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E856" w14:textId="77777777" w:rsidR="004F6D5C" w:rsidRPr="00155028" w:rsidRDefault="00A32B9A" w:rsidP="004F6D5C">
      <w:pPr>
        <w:pBdr>
          <w:top w:val="single" w:sz="4" w:space="1" w:color="auto"/>
          <w:left w:val="single" w:sz="4" w:space="1" w:color="auto"/>
          <w:bottom w:val="single" w:sz="4" w:space="1" w:color="auto"/>
          <w:right w:val="single" w:sz="4" w:space="1" w:color="auto"/>
        </w:pBdr>
        <w:spacing w:before="120" w:after="0" w:line="264" w:lineRule="auto"/>
        <w:jc w:val="both"/>
        <w:rPr>
          <w:rFonts w:eastAsia="Arial"/>
          <w:sz w:val="16"/>
          <w:szCs w:val="16"/>
          <w:lang w:eastAsia="en-GB"/>
        </w:rPr>
      </w:pPr>
      <w:r w:rsidRPr="00155028">
        <w:rPr>
          <w:rFonts w:eastAsia="Arial"/>
          <w:noProof/>
          <w:sz w:val="16"/>
          <w:szCs w:val="16"/>
          <w:lang w:eastAsia="sl-SI"/>
        </w:rPr>
        <w:drawing>
          <wp:anchor distT="0" distB="0" distL="114300" distR="114300" simplePos="0" relativeHeight="251658240" behindDoc="1" locked="0" layoutInCell="1" allowOverlap="1" wp14:anchorId="3EDAAEC3" wp14:editId="77F5B9C2">
            <wp:simplePos x="0" y="0"/>
            <wp:positionH relativeFrom="page">
              <wp:posOffset>3639928</wp:posOffset>
            </wp:positionH>
            <wp:positionV relativeFrom="page">
              <wp:posOffset>1612517</wp:posOffset>
            </wp:positionV>
            <wp:extent cx="4170608" cy="1086928"/>
            <wp:effectExtent l="0" t="0" r="1905" b="0"/>
            <wp:wrapNone/>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0608" cy="10869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7DA73" w14:textId="77777777" w:rsidR="004F6D5C" w:rsidRPr="00155028" w:rsidRDefault="00A32B9A" w:rsidP="004F6D5C">
      <w:pPr>
        <w:pBdr>
          <w:top w:val="single" w:sz="4" w:space="1" w:color="auto"/>
          <w:left w:val="single" w:sz="4" w:space="1" w:color="auto"/>
          <w:bottom w:val="single" w:sz="4" w:space="1" w:color="auto"/>
          <w:right w:val="single" w:sz="4" w:space="1" w:color="auto"/>
        </w:pBdr>
        <w:spacing w:before="120" w:after="0" w:line="264" w:lineRule="auto"/>
        <w:jc w:val="both"/>
        <w:rPr>
          <w:rFonts w:eastAsia="Arial"/>
          <w:sz w:val="16"/>
          <w:szCs w:val="16"/>
          <w:lang w:eastAsia="en-GB"/>
        </w:rPr>
      </w:pPr>
      <w:r w:rsidRPr="00155028">
        <w:rPr>
          <w:noProof/>
          <w:lang w:eastAsia="sl-SI"/>
        </w:rPr>
        <w:drawing>
          <wp:anchor distT="0" distB="0" distL="114300" distR="114300" simplePos="0" relativeHeight="251660288" behindDoc="1" locked="0" layoutInCell="1" allowOverlap="1" wp14:anchorId="53756D37" wp14:editId="63E2341A">
            <wp:simplePos x="0" y="0"/>
            <wp:positionH relativeFrom="margin">
              <wp:align>left</wp:align>
            </wp:positionH>
            <wp:positionV relativeFrom="paragraph">
              <wp:posOffset>85258</wp:posOffset>
            </wp:positionV>
            <wp:extent cx="2725200" cy="1036800"/>
            <wp:effectExtent l="0" t="0" r="0" b="0"/>
            <wp:wrapNone/>
            <wp:docPr id="100002" name="Slika 1000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Slika 100002">
                      <a:extLst>
                        <a:ext uri="{C183D7F6-B498-43B3-948B-1728B52AA6E4}">
                          <adec:decorative xmlns:adec="http://schemas.microsoft.com/office/drawing/2017/decorative" val="1"/>
                        </a:ext>
                      </a:extLst>
                    </pic:cNvPr>
                    <pic:cNvPicPr>
                      <a:picLocks noChangeAspect="1"/>
                    </pic:cNvPicPr>
                  </pic:nvPicPr>
                  <pic:blipFill>
                    <a:blip r:embed="rId13"/>
                    <a:stretch>
                      <a:fillRect/>
                    </a:stretch>
                  </pic:blipFill>
                  <pic:spPr>
                    <a:xfrm>
                      <a:off x="0" y="0"/>
                      <a:ext cx="2725200" cy="1036800"/>
                    </a:xfrm>
                    <a:prstGeom prst="rect">
                      <a:avLst/>
                    </a:prstGeom>
                  </pic:spPr>
                </pic:pic>
              </a:graphicData>
            </a:graphic>
            <wp14:sizeRelH relativeFrom="margin">
              <wp14:pctWidth>0</wp14:pctWidth>
            </wp14:sizeRelH>
            <wp14:sizeRelV relativeFrom="margin">
              <wp14:pctHeight>0</wp14:pctHeight>
            </wp14:sizeRelV>
          </wp:anchor>
        </w:drawing>
      </w:r>
    </w:p>
    <w:p w14:paraId="235431E4" w14:textId="77777777" w:rsidR="004F6D5C" w:rsidRPr="00155028" w:rsidRDefault="004F6D5C" w:rsidP="004F6D5C">
      <w:pPr>
        <w:pBdr>
          <w:top w:val="single" w:sz="4" w:space="1" w:color="auto"/>
          <w:left w:val="single" w:sz="4" w:space="1" w:color="auto"/>
          <w:bottom w:val="single" w:sz="4" w:space="1" w:color="auto"/>
          <w:right w:val="single" w:sz="4" w:space="1" w:color="auto"/>
        </w:pBdr>
        <w:spacing w:before="120" w:after="0" w:line="264" w:lineRule="auto"/>
        <w:jc w:val="both"/>
        <w:rPr>
          <w:rFonts w:eastAsia="Arial"/>
          <w:b/>
          <w:sz w:val="16"/>
          <w:szCs w:val="16"/>
          <w:lang w:eastAsia="en-GB"/>
        </w:rPr>
      </w:pPr>
    </w:p>
    <w:p w14:paraId="700AAF92" w14:textId="77777777" w:rsidR="004F6D5C" w:rsidRPr="00155028" w:rsidRDefault="004F6D5C" w:rsidP="004F6D5C">
      <w:pPr>
        <w:pBdr>
          <w:top w:val="single" w:sz="4" w:space="1" w:color="auto"/>
          <w:left w:val="single" w:sz="4" w:space="1" w:color="auto"/>
          <w:bottom w:val="single" w:sz="4" w:space="1" w:color="auto"/>
          <w:right w:val="single" w:sz="4" w:space="1" w:color="auto"/>
        </w:pBdr>
        <w:spacing w:after="0" w:line="240" w:lineRule="auto"/>
        <w:jc w:val="center"/>
        <w:rPr>
          <w:rFonts w:eastAsia="Malgun Gothic"/>
          <w:b/>
          <w:color w:val="92D050"/>
          <w:sz w:val="72"/>
          <w:szCs w:val="72"/>
          <w:lang w:val="de-DE" w:eastAsia="en-GB"/>
        </w:rPr>
      </w:pPr>
    </w:p>
    <w:p w14:paraId="118D36F6" w14:textId="1DBB6BCD" w:rsidR="009A295B" w:rsidRPr="00155028" w:rsidRDefault="009A295B" w:rsidP="00445B26">
      <w:pPr>
        <w:pBdr>
          <w:top w:val="single" w:sz="4" w:space="1" w:color="auto"/>
          <w:left w:val="single" w:sz="4" w:space="1" w:color="auto"/>
          <w:bottom w:val="single" w:sz="4" w:space="1" w:color="auto"/>
          <w:right w:val="single" w:sz="4" w:space="1" w:color="auto"/>
        </w:pBdr>
        <w:spacing w:after="0" w:line="240" w:lineRule="auto"/>
        <w:rPr>
          <w:rFonts w:eastAsia="Malgun Gothic"/>
          <w:b/>
          <w:color w:val="92D050"/>
          <w:sz w:val="72"/>
          <w:szCs w:val="72"/>
          <w:lang w:val="de-DE" w:eastAsia="en-GB"/>
        </w:rPr>
      </w:pPr>
    </w:p>
    <w:p w14:paraId="3A235E21" w14:textId="77777777" w:rsidR="00445B26" w:rsidRPr="00155028" w:rsidRDefault="00445B26" w:rsidP="00445B26">
      <w:pPr>
        <w:pBdr>
          <w:top w:val="single" w:sz="4" w:space="1" w:color="auto"/>
          <w:left w:val="single" w:sz="4" w:space="1" w:color="auto"/>
          <w:bottom w:val="single" w:sz="4" w:space="1" w:color="auto"/>
          <w:right w:val="single" w:sz="4" w:space="1" w:color="auto"/>
        </w:pBdr>
        <w:spacing w:after="0" w:line="240" w:lineRule="auto"/>
        <w:rPr>
          <w:rFonts w:eastAsia="Malgun Gothic"/>
          <w:b/>
          <w:color w:val="92D050"/>
          <w:sz w:val="72"/>
          <w:szCs w:val="72"/>
          <w:lang w:val="de-DE" w:eastAsia="en-GB"/>
        </w:rPr>
      </w:pPr>
    </w:p>
    <w:p w14:paraId="71823F8D" w14:textId="45B95E9A" w:rsidR="004F6D5C" w:rsidRPr="00155028" w:rsidRDefault="004F6D5C" w:rsidP="004F6D5C">
      <w:pPr>
        <w:pBdr>
          <w:top w:val="single" w:sz="4" w:space="1" w:color="auto"/>
          <w:left w:val="single" w:sz="4" w:space="1" w:color="auto"/>
          <w:bottom w:val="single" w:sz="4" w:space="1" w:color="auto"/>
          <w:right w:val="single" w:sz="4" w:space="1" w:color="auto"/>
        </w:pBdr>
        <w:spacing w:after="0" w:line="240" w:lineRule="auto"/>
        <w:jc w:val="center"/>
        <w:rPr>
          <w:rFonts w:eastAsia="Malgun Gothic"/>
          <w:b/>
          <w:color w:val="92D050"/>
          <w:sz w:val="72"/>
          <w:szCs w:val="72"/>
          <w:lang w:val="de-DE" w:eastAsia="en-GB"/>
        </w:rPr>
      </w:pPr>
      <w:r w:rsidRPr="00155028">
        <w:rPr>
          <w:rFonts w:eastAsia="Malgun Gothic"/>
          <w:b/>
          <w:color w:val="92D050"/>
          <w:sz w:val="72"/>
          <w:szCs w:val="72"/>
          <w:lang w:val="de-DE" w:eastAsia="en-GB"/>
        </w:rPr>
        <w:t>STRATEŠKI NAČRT SKUPNE KMETIJSKE POLITIKE 202</w:t>
      </w:r>
      <w:r w:rsidR="009F4F97" w:rsidRPr="00155028">
        <w:rPr>
          <w:rFonts w:eastAsia="Malgun Gothic"/>
          <w:b/>
          <w:color w:val="92D050"/>
          <w:sz w:val="72"/>
          <w:szCs w:val="72"/>
          <w:lang w:val="de-DE" w:eastAsia="en-GB"/>
        </w:rPr>
        <w:t>3</w:t>
      </w:r>
      <w:r w:rsidRPr="00155028">
        <w:rPr>
          <w:rFonts w:eastAsia="Malgun Gothic"/>
          <w:b/>
          <w:color w:val="92D050"/>
          <w:sz w:val="72"/>
          <w:szCs w:val="72"/>
          <w:lang w:val="de-DE" w:eastAsia="en-GB"/>
        </w:rPr>
        <w:t>–2027</w:t>
      </w:r>
    </w:p>
    <w:p w14:paraId="2CCCE94D" w14:textId="77777777" w:rsidR="004F6D5C" w:rsidRPr="00155028" w:rsidRDefault="004F6D5C" w:rsidP="004F6D5C">
      <w:pPr>
        <w:pBdr>
          <w:top w:val="single" w:sz="4" w:space="1" w:color="auto"/>
          <w:left w:val="single" w:sz="4" w:space="1" w:color="auto"/>
          <w:bottom w:val="single" w:sz="4" w:space="1" w:color="auto"/>
          <w:right w:val="single" w:sz="4" w:space="1" w:color="auto"/>
        </w:pBdr>
        <w:spacing w:after="0" w:line="240" w:lineRule="auto"/>
        <w:jc w:val="center"/>
        <w:rPr>
          <w:rFonts w:eastAsia="Malgun Gothic"/>
          <w:b/>
          <w:color w:val="92D050"/>
          <w:sz w:val="72"/>
          <w:szCs w:val="72"/>
          <w:lang w:val="de-DE" w:eastAsia="en-GB"/>
        </w:rPr>
      </w:pPr>
    </w:p>
    <w:p w14:paraId="67D77A37" w14:textId="7C09C444" w:rsidR="004F6D5C" w:rsidRPr="00155028" w:rsidRDefault="00FE1E32" w:rsidP="00445B26">
      <w:pPr>
        <w:pBdr>
          <w:top w:val="single" w:sz="4" w:space="1" w:color="auto"/>
          <w:left w:val="single" w:sz="4" w:space="1" w:color="auto"/>
          <w:bottom w:val="single" w:sz="4" w:space="1" w:color="auto"/>
          <w:right w:val="single" w:sz="4" w:space="1" w:color="auto"/>
        </w:pBdr>
        <w:spacing w:after="0" w:line="240" w:lineRule="auto"/>
        <w:jc w:val="center"/>
        <w:rPr>
          <w:rFonts w:eastAsia="Malgun Gothic"/>
          <w:b/>
          <w:color w:val="92D050"/>
          <w:sz w:val="52"/>
          <w:szCs w:val="52"/>
          <w:lang w:val="de-DE" w:eastAsia="en-GB"/>
        </w:rPr>
      </w:pPr>
      <w:r w:rsidRPr="00155028">
        <w:rPr>
          <w:rFonts w:eastAsia="Malgun Gothic"/>
          <w:b/>
          <w:color w:val="92D050"/>
          <w:sz w:val="52"/>
          <w:szCs w:val="52"/>
          <w:lang w:val="de-DE" w:eastAsia="en-GB"/>
        </w:rPr>
        <w:t>SPECIFIČNI CILJ 9</w:t>
      </w:r>
      <w:r w:rsidR="004F6D5C" w:rsidRPr="00155028">
        <w:rPr>
          <w:rFonts w:eastAsia="Malgun Gothic"/>
          <w:b/>
          <w:color w:val="92D050"/>
          <w:sz w:val="52"/>
          <w:szCs w:val="52"/>
          <w:lang w:val="de-DE" w:eastAsia="en-GB"/>
        </w:rPr>
        <w:t xml:space="preserve">: </w:t>
      </w:r>
      <w:r w:rsidRPr="00155028">
        <w:rPr>
          <w:rFonts w:eastAsia="Malgun Gothic"/>
          <w:b/>
          <w:color w:val="92D050"/>
          <w:sz w:val="52"/>
          <w:szCs w:val="52"/>
          <w:lang w:val="de-DE" w:eastAsia="en-GB"/>
        </w:rPr>
        <w:t>IZBOLJŠANJE ODZIVA KMETIJSTVA EU NA POTREBE DRUŽBE PO HRANI IN ZDRAVJU, VKLJUČNO Z ZDRAVO, HRANLJIVO IN TRAJNOSTNO HRANO, TER DOBROBITI ŽIVALI</w:t>
      </w:r>
    </w:p>
    <w:p w14:paraId="50788B50" w14:textId="77777777" w:rsidR="004F6D5C" w:rsidRPr="00155028" w:rsidRDefault="004F6D5C" w:rsidP="004F6D5C">
      <w:pPr>
        <w:pBdr>
          <w:top w:val="single" w:sz="4" w:space="1" w:color="auto"/>
          <w:left w:val="single" w:sz="4" w:space="1" w:color="auto"/>
          <w:bottom w:val="single" w:sz="4" w:space="1" w:color="auto"/>
          <w:right w:val="single" w:sz="4" w:space="1" w:color="auto"/>
        </w:pBdr>
        <w:spacing w:before="120" w:after="0" w:line="264" w:lineRule="auto"/>
        <w:jc w:val="both"/>
        <w:rPr>
          <w:rFonts w:eastAsia="Arial"/>
          <w:sz w:val="16"/>
          <w:szCs w:val="16"/>
          <w:lang w:eastAsia="en-GB"/>
        </w:rPr>
      </w:pPr>
    </w:p>
    <w:p w14:paraId="3B855527" w14:textId="77777777" w:rsidR="004F6D5C" w:rsidRPr="00155028" w:rsidRDefault="004F6D5C" w:rsidP="004F6D5C">
      <w:pPr>
        <w:pBdr>
          <w:top w:val="single" w:sz="4" w:space="1" w:color="auto"/>
          <w:left w:val="single" w:sz="4" w:space="1" w:color="auto"/>
          <w:bottom w:val="single" w:sz="4" w:space="1" w:color="auto"/>
          <w:right w:val="single" w:sz="4" w:space="1" w:color="auto"/>
        </w:pBdr>
        <w:spacing w:before="120" w:after="0" w:line="360" w:lineRule="auto"/>
        <w:jc w:val="center"/>
        <w:rPr>
          <w:rFonts w:eastAsia="Times New Roman"/>
          <w:b/>
          <w:color w:val="92D050"/>
          <w:sz w:val="28"/>
          <w:szCs w:val="28"/>
          <w:lang w:eastAsia="en-GB"/>
        </w:rPr>
      </w:pPr>
      <w:r w:rsidRPr="00155028">
        <w:rPr>
          <w:rFonts w:eastAsia="Times New Roman"/>
          <w:b/>
          <w:color w:val="92D050"/>
          <w:sz w:val="28"/>
          <w:szCs w:val="28"/>
          <w:lang w:eastAsia="en-GB"/>
        </w:rPr>
        <w:t>ANALIZA STANJA</w:t>
      </w:r>
    </w:p>
    <w:p w14:paraId="052091E3" w14:textId="77777777" w:rsidR="004F6D5C" w:rsidRPr="00155028" w:rsidRDefault="008875EC" w:rsidP="004F6D5C">
      <w:pPr>
        <w:pBdr>
          <w:top w:val="single" w:sz="4" w:space="1" w:color="auto"/>
          <w:left w:val="single" w:sz="4" w:space="1" w:color="auto"/>
          <w:bottom w:val="single" w:sz="4" w:space="1" w:color="auto"/>
          <w:right w:val="single" w:sz="4" w:space="1" w:color="auto"/>
        </w:pBdr>
        <w:spacing w:before="120" w:after="0" w:line="360" w:lineRule="auto"/>
        <w:jc w:val="center"/>
        <w:rPr>
          <w:rFonts w:eastAsia="Times New Roman"/>
          <w:b/>
          <w:color w:val="92D050"/>
          <w:sz w:val="28"/>
          <w:szCs w:val="28"/>
          <w:lang w:eastAsia="en-GB"/>
        </w:rPr>
      </w:pPr>
      <w:r w:rsidRPr="00155028">
        <w:rPr>
          <w:rFonts w:eastAsia="Times New Roman"/>
          <w:b/>
          <w:color w:val="92D050"/>
          <w:sz w:val="28"/>
          <w:szCs w:val="28"/>
          <w:lang w:eastAsia="en-GB"/>
        </w:rPr>
        <w:t xml:space="preserve">ANALIZA </w:t>
      </w:r>
      <w:r w:rsidR="004F6D5C" w:rsidRPr="00155028">
        <w:rPr>
          <w:rFonts w:eastAsia="Times New Roman"/>
          <w:b/>
          <w:color w:val="92D050"/>
          <w:sz w:val="28"/>
          <w:szCs w:val="28"/>
          <w:lang w:eastAsia="en-GB"/>
        </w:rPr>
        <w:t xml:space="preserve">SWOT </w:t>
      </w:r>
    </w:p>
    <w:p w14:paraId="18E582CC" w14:textId="26872435" w:rsidR="004F6D5C" w:rsidRPr="00155028" w:rsidRDefault="004F6D5C" w:rsidP="004F6D5C">
      <w:pPr>
        <w:pBdr>
          <w:top w:val="single" w:sz="4" w:space="1" w:color="auto"/>
          <w:left w:val="single" w:sz="4" w:space="1" w:color="auto"/>
          <w:bottom w:val="single" w:sz="4" w:space="1" w:color="auto"/>
          <w:right w:val="single" w:sz="4" w:space="1" w:color="auto"/>
        </w:pBdr>
        <w:spacing w:before="120" w:after="0" w:line="264" w:lineRule="auto"/>
        <w:jc w:val="center"/>
        <w:rPr>
          <w:rFonts w:eastAsia="Malgun Gothic"/>
          <w:szCs w:val="24"/>
          <w:lang w:eastAsia="en-GB"/>
        </w:rPr>
      </w:pPr>
      <w:r w:rsidRPr="00155028">
        <w:rPr>
          <w:rFonts w:eastAsia="Malgun Gothic"/>
          <w:szCs w:val="24"/>
          <w:lang w:eastAsia="en-GB"/>
        </w:rPr>
        <w:t xml:space="preserve">Ljubljana, </w:t>
      </w:r>
      <w:r w:rsidR="00737153">
        <w:rPr>
          <w:rFonts w:eastAsia="Malgun Gothic"/>
          <w:szCs w:val="24"/>
          <w:lang w:eastAsia="en-GB"/>
        </w:rPr>
        <w:t>dec</w:t>
      </w:r>
      <w:r w:rsidR="00C35754" w:rsidRPr="00155028">
        <w:rPr>
          <w:rFonts w:eastAsia="Malgun Gothic"/>
          <w:szCs w:val="24"/>
          <w:lang w:eastAsia="en-GB"/>
        </w:rPr>
        <w:t>ember</w:t>
      </w:r>
      <w:r w:rsidR="004B51C6" w:rsidRPr="00155028">
        <w:rPr>
          <w:rFonts w:eastAsia="Malgun Gothic"/>
          <w:szCs w:val="24"/>
          <w:lang w:eastAsia="en-GB"/>
        </w:rPr>
        <w:t xml:space="preserve"> </w:t>
      </w:r>
      <w:r w:rsidRPr="00155028">
        <w:rPr>
          <w:rFonts w:eastAsia="Malgun Gothic"/>
          <w:szCs w:val="24"/>
          <w:lang w:eastAsia="en-GB"/>
        </w:rPr>
        <w:t>202</w:t>
      </w:r>
      <w:r w:rsidR="009F4F97" w:rsidRPr="00155028">
        <w:rPr>
          <w:rFonts w:eastAsia="Malgun Gothic"/>
          <w:szCs w:val="24"/>
          <w:lang w:eastAsia="en-GB"/>
        </w:rPr>
        <w:t>1</w:t>
      </w:r>
    </w:p>
    <w:p w14:paraId="37D79A43" w14:textId="77777777" w:rsidR="004F6D5C" w:rsidRPr="00155028" w:rsidRDefault="004F6D5C" w:rsidP="004F6D5C">
      <w:pPr>
        <w:pBdr>
          <w:top w:val="single" w:sz="4" w:space="1" w:color="auto"/>
          <w:left w:val="single" w:sz="4" w:space="1" w:color="auto"/>
          <w:bottom w:val="single" w:sz="4" w:space="1" w:color="auto"/>
          <w:right w:val="single" w:sz="4" w:space="1" w:color="auto"/>
        </w:pBdr>
        <w:spacing w:before="120" w:after="0" w:line="264" w:lineRule="auto"/>
        <w:jc w:val="both"/>
        <w:rPr>
          <w:rFonts w:eastAsia="Arial"/>
          <w:sz w:val="16"/>
          <w:szCs w:val="16"/>
          <w:lang w:eastAsia="en-GB"/>
        </w:rPr>
      </w:pPr>
    </w:p>
    <w:p w14:paraId="61DA1249" w14:textId="766848D2" w:rsidR="00342C52" w:rsidRPr="00155028" w:rsidRDefault="004F6D5C" w:rsidP="00672EFA">
      <w:pPr>
        <w:pBdr>
          <w:top w:val="single" w:sz="4" w:space="1" w:color="auto"/>
          <w:left w:val="single" w:sz="4" w:space="1" w:color="auto"/>
          <w:bottom w:val="single" w:sz="4" w:space="1" w:color="auto"/>
          <w:right w:val="single" w:sz="4" w:space="1" w:color="auto"/>
        </w:pBdr>
        <w:spacing w:before="120" w:after="0" w:line="264" w:lineRule="auto"/>
        <w:jc w:val="both"/>
        <w:rPr>
          <w:rFonts w:eastAsia="Arial"/>
          <w:sz w:val="16"/>
          <w:szCs w:val="16"/>
          <w:lang w:eastAsia="en-GB"/>
        </w:rPr>
      </w:pPr>
      <w:r w:rsidRPr="00155028">
        <w:rPr>
          <w:rFonts w:eastAsia="Arial"/>
          <w:sz w:val="16"/>
          <w:szCs w:val="16"/>
          <w:lang w:eastAsia="en-GB"/>
        </w:rPr>
        <w:t>Ta dokument predstavlja osnutek analize stanja</w:t>
      </w:r>
      <w:r w:rsidR="009F4F97" w:rsidRPr="00155028">
        <w:rPr>
          <w:rFonts w:eastAsia="Arial"/>
          <w:sz w:val="16"/>
          <w:szCs w:val="16"/>
          <w:lang w:eastAsia="en-GB"/>
        </w:rPr>
        <w:t xml:space="preserve"> in</w:t>
      </w:r>
      <w:r w:rsidRPr="00155028">
        <w:rPr>
          <w:rFonts w:eastAsia="Arial"/>
          <w:sz w:val="16"/>
          <w:szCs w:val="16"/>
          <w:lang w:eastAsia="en-GB"/>
        </w:rPr>
        <w:t xml:space="preserve"> analize SWOT za Strateški načrt SKP 202</w:t>
      </w:r>
      <w:r w:rsidR="004B76EA">
        <w:rPr>
          <w:rFonts w:eastAsia="Arial"/>
          <w:sz w:val="16"/>
          <w:szCs w:val="16"/>
          <w:lang w:eastAsia="en-GB"/>
        </w:rPr>
        <w:t>3</w:t>
      </w:r>
      <w:r w:rsidRPr="00155028">
        <w:rPr>
          <w:rFonts w:eastAsia="Arial"/>
          <w:sz w:val="16"/>
          <w:szCs w:val="16"/>
          <w:lang w:eastAsia="en-GB"/>
        </w:rPr>
        <w:t>−2027. Gre za delovni dokument, ki je podlaga za razpravo in nadaljnje delo pri pripravi Strateškega načrta SKP 202</w:t>
      </w:r>
      <w:r w:rsidR="004B76EA">
        <w:rPr>
          <w:rFonts w:eastAsia="Arial"/>
          <w:sz w:val="16"/>
          <w:szCs w:val="16"/>
          <w:lang w:eastAsia="en-GB"/>
        </w:rPr>
        <w:t>3</w:t>
      </w:r>
      <w:r w:rsidRPr="00155028">
        <w:rPr>
          <w:rFonts w:eastAsia="Arial"/>
          <w:sz w:val="16"/>
          <w:szCs w:val="16"/>
          <w:lang w:eastAsia="en-GB"/>
        </w:rPr>
        <w:t>−2027. Vsebine, predstavljene v tem delovnem dokumentu, se lahko spremenijo in med nadaljnjo razpravo ustrezno prilagodijo.</w:t>
      </w:r>
    </w:p>
    <w:sdt>
      <w:sdtPr>
        <w:rPr>
          <w:rFonts w:ascii="Arial" w:eastAsiaTheme="minorHAnsi" w:hAnsi="Arial" w:cs="Arial"/>
          <w:b w:val="0"/>
          <w:bCs w:val="0"/>
          <w:color w:val="auto"/>
          <w:sz w:val="24"/>
          <w:szCs w:val="20"/>
          <w:lang w:eastAsia="en-US"/>
        </w:rPr>
        <w:id w:val="545950161"/>
        <w:docPartObj>
          <w:docPartGallery w:val="Table of Contents"/>
          <w:docPartUnique/>
        </w:docPartObj>
      </w:sdtPr>
      <w:sdtEndPr/>
      <w:sdtContent>
        <w:p w14:paraId="7DD3C96B" w14:textId="6A325D1D" w:rsidR="00342C52" w:rsidRPr="00155028" w:rsidRDefault="00F80C74">
          <w:pPr>
            <w:pStyle w:val="NaslovTOC"/>
            <w:rPr>
              <w:rFonts w:ascii="Arial" w:hAnsi="Arial" w:cs="Arial"/>
            </w:rPr>
          </w:pPr>
          <w:r w:rsidRPr="00155028">
            <w:rPr>
              <w:rFonts w:ascii="Arial" w:hAnsi="Arial" w:cs="Arial"/>
            </w:rPr>
            <w:t xml:space="preserve">Kazalo </w:t>
          </w:r>
        </w:p>
        <w:p w14:paraId="41AA5B4C" w14:textId="2984D9A0" w:rsidR="000834CF" w:rsidRPr="00155028" w:rsidRDefault="00342C52">
          <w:pPr>
            <w:pStyle w:val="Kazalovsebine3"/>
            <w:tabs>
              <w:tab w:val="right" w:leader="dot" w:pos="9062"/>
            </w:tabs>
            <w:rPr>
              <w:rFonts w:asciiTheme="minorHAnsi" w:eastAsiaTheme="minorEastAsia" w:hAnsiTheme="minorHAnsi" w:cstheme="minorBidi"/>
              <w:noProof/>
              <w:sz w:val="22"/>
              <w:szCs w:val="22"/>
              <w:lang w:eastAsia="sl-SI"/>
            </w:rPr>
          </w:pPr>
          <w:r w:rsidRPr="00155028">
            <w:fldChar w:fldCharType="begin"/>
          </w:r>
          <w:r w:rsidRPr="00155028">
            <w:instrText xml:space="preserve"> TOC \o "1-3" \h \z \u </w:instrText>
          </w:r>
          <w:r w:rsidRPr="00155028">
            <w:fldChar w:fldCharType="separate"/>
          </w:r>
          <w:hyperlink w:anchor="_Toc86826481" w:history="1">
            <w:r w:rsidR="000834CF" w:rsidRPr="00155028">
              <w:rPr>
                <w:rStyle w:val="Hiperpovezava"/>
                <w:noProof/>
              </w:rPr>
              <w:t>SEZNAM UPORABLJENIH KRATIC IN SIMBOLOV</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_Toc86826481 \h </w:instrText>
            </w:r>
            <w:r w:rsidR="000834CF" w:rsidRPr="00155028">
              <w:rPr>
                <w:noProof/>
                <w:webHidden/>
              </w:rPr>
            </w:r>
            <w:r w:rsidR="000834CF" w:rsidRPr="00155028">
              <w:rPr>
                <w:noProof/>
                <w:webHidden/>
              </w:rPr>
              <w:fldChar w:fldCharType="separate"/>
            </w:r>
            <w:r w:rsidR="00F25B09">
              <w:rPr>
                <w:noProof/>
                <w:webHidden/>
              </w:rPr>
              <w:t>5</w:t>
            </w:r>
            <w:r w:rsidR="000834CF" w:rsidRPr="00155028">
              <w:rPr>
                <w:noProof/>
                <w:webHidden/>
              </w:rPr>
              <w:fldChar w:fldCharType="end"/>
            </w:r>
          </w:hyperlink>
        </w:p>
        <w:p w14:paraId="3F7D584A" w14:textId="689D96D4" w:rsidR="000834CF" w:rsidRPr="00155028" w:rsidRDefault="00783478">
          <w:pPr>
            <w:pStyle w:val="Kazalovsebine3"/>
            <w:tabs>
              <w:tab w:val="right" w:leader="dot" w:pos="9062"/>
            </w:tabs>
            <w:rPr>
              <w:rFonts w:asciiTheme="minorHAnsi" w:eastAsiaTheme="minorEastAsia" w:hAnsiTheme="minorHAnsi" w:cstheme="minorBidi"/>
              <w:noProof/>
              <w:sz w:val="22"/>
              <w:szCs w:val="22"/>
              <w:lang w:eastAsia="sl-SI"/>
            </w:rPr>
          </w:pPr>
          <w:hyperlink w:anchor="_Toc86826482" w:history="1">
            <w:r w:rsidR="000834CF" w:rsidRPr="00155028">
              <w:rPr>
                <w:rStyle w:val="Hiperpovezava"/>
                <w:noProof/>
              </w:rPr>
              <w:t>UPORABLJENI KAZALNIKI STANJA</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_Toc86826482 \h </w:instrText>
            </w:r>
            <w:r w:rsidR="000834CF" w:rsidRPr="00155028">
              <w:rPr>
                <w:noProof/>
                <w:webHidden/>
              </w:rPr>
            </w:r>
            <w:r w:rsidR="000834CF" w:rsidRPr="00155028">
              <w:rPr>
                <w:noProof/>
                <w:webHidden/>
              </w:rPr>
              <w:fldChar w:fldCharType="separate"/>
            </w:r>
            <w:r w:rsidR="00F25B09">
              <w:rPr>
                <w:noProof/>
                <w:webHidden/>
              </w:rPr>
              <w:t>5</w:t>
            </w:r>
            <w:r w:rsidR="000834CF" w:rsidRPr="00155028">
              <w:rPr>
                <w:noProof/>
                <w:webHidden/>
              </w:rPr>
              <w:fldChar w:fldCharType="end"/>
            </w:r>
          </w:hyperlink>
        </w:p>
        <w:p w14:paraId="46B0D504" w14:textId="00B03CB4" w:rsidR="000834CF" w:rsidRPr="00155028" w:rsidRDefault="00783478">
          <w:pPr>
            <w:pStyle w:val="Kazalovsebine1"/>
            <w:tabs>
              <w:tab w:val="left" w:pos="440"/>
              <w:tab w:val="right" w:leader="dot" w:pos="9062"/>
            </w:tabs>
            <w:rPr>
              <w:rFonts w:asciiTheme="minorHAnsi" w:eastAsiaTheme="minorEastAsia" w:hAnsiTheme="minorHAnsi" w:cstheme="minorBidi"/>
              <w:noProof/>
              <w:sz w:val="22"/>
              <w:szCs w:val="22"/>
              <w:lang w:eastAsia="sl-SI"/>
            </w:rPr>
          </w:pPr>
          <w:hyperlink w:anchor="_Toc86826483" w:history="1">
            <w:r w:rsidR="000834CF" w:rsidRPr="00155028">
              <w:rPr>
                <w:rStyle w:val="Hiperpovezava"/>
                <w:rFonts w:eastAsia="Calibri"/>
                <w:b/>
                <w:bCs/>
                <w:noProof/>
              </w:rPr>
              <w:t>1.</w:t>
            </w:r>
            <w:r w:rsidR="000834CF" w:rsidRPr="00155028">
              <w:rPr>
                <w:rFonts w:asciiTheme="minorHAnsi" w:eastAsiaTheme="minorEastAsia" w:hAnsiTheme="minorHAnsi" w:cstheme="minorBidi"/>
                <w:noProof/>
                <w:sz w:val="22"/>
                <w:szCs w:val="22"/>
                <w:lang w:eastAsia="sl-SI"/>
              </w:rPr>
              <w:tab/>
            </w:r>
            <w:r w:rsidR="000834CF" w:rsidRPr="00155028">
              <w:rPr>
                <w:rStyle w:val="Hiperpovezava"/>
                <w:rFonts w:eastAsia="Calibri"/>
                <w:b/>
                <w:bCs/>
                <w:noProof/>
              </w:rPr>
              <w:t>VARNA HRANA</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_Toc86826483 \h </w:instrText>
            </w:r>
            <w:r w:rsidR="000834CF" w:rsidRPr="00155028">
              <w:rPr>
                <w:noProof/>
                <w:webHidden/>
              </w:rPr>
            </w:r>
            <w:r w:rsidR="000834CF" w:rsidRPr="00155028">
              <w:rPr>
                <w:noProof/>
                <w:webHidden/>
              </w:rPr>
              <w:fldChar w:fldCharType="separate"/>
            </w:r>
            <w:r w:rsidR="00F25B09">
              <w:rPr>
                <w:noProof/>
                <w:webHidden/>
              </w:rPr>
              <w:t>6</w:t>
            </w:r>
            <w:r w:rsidR="000834CF" w:rsidRPr="00155028">
              <w:rPr>
                <w:noProof/>
                <w:webHidden/>
              </w:rPr>
              <w:fldChar w:fldCharType="end"/>
            </w:r>
          </w:hyperlink>
        </w:p>
        <w:p w14:paraId="08E8D4E5" w14:textId="04157845" w:rsidR="000834CF" w:rsidRPr="00155028" w:rsidRDefault="00783478">
          <w:pPr>
            <w:pStyle w:val="Kazalovsebine1"/>
            <w:tabs>
              <w:tab w:val="left" w:pos="440"/>
              <w:tab w:val="right" w:leader="dot" w:pos="9062"/>
            </w:tabs>
            <w:rPr>
              <w:rFonts w:asciiTheme="minorHAnsi" w:eastAsiaTheme="minorEastAsia" w:hAnsiTheme="minorHAnsi" w:cstheme="minorBidi"/>
              <w:noProof/>
              <w:sz w:val="22"/>
              <w:szCs w:val="22"/>
              <w:lang w:eastAsia="sl-SI"/>
            </w:rPr>
          </w:pPr>
          <w:hyperlink w:anchor="_Toc86826484" w:history="1">
            <w:r w:rsidR="000834CF" w:rsidRPr="00155028">
              <w:rPr>
                <w:rStyle w:val="Hiperpovezava"/>
                <w:rFonts w:eastAsia="Calibri"/>
                <w:b/>
                <w:bCs/>
                <w:noProof/>
              </w:rPr>
              <w:t>2.</w:t>
            </w:r>
            <w:r w:rsidR="000834CF" w:rsidRPr="00155028">
              <w:rPr>
                <w:rFonts w:asciiTheme="minorHAnsi" w:eastAsiaTheme="minorEastAsia" w:hAnsiTheme="minorHAnsi" w:cstheme="minorBidi"/>
                <w:noProof/>
                <w:sz w:val="22"/>
                <w:szCs w:val="22"/>
                <w:lang w:eastAsia="sl-SI"/>
              </w:rPr>
              <w:tab/>
            </w:r>
            <w:r w:rsidR="000834CF" w:rsidRPr="00155028">
              <w:rPr>
                <w:rStyle w:val="Hiperpovezava"/>
                <w:rFonts w:eastAsia="Calibri"/>
                <w:b/>
                <w:bCs/>
                <w:noProof/>
              </w:rPr>
              <w:t>ZDRAVILA ZA ŽIVALI (C. 47)</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_Toc86826484 \h </w:instrText>
            </w:r>
            <w:r w:rsidR="000834CF" w:rsidRPr="00155028">
              <w:rPr>
                <w:noProof/>
                <w:webHidden/>
              </w:rPr>
            </w:r>
            <w:r w:rsidR="000834CF" w:rsidRPr="00155028">
              <w:rPr>
                <w:noProof/>
                <w:webHidden/>
              </w:rPr>
              <w:fldChar w:fldCharType="separate"/>
            </w:r>
            <w:r w:rsidR="00F25B09">
              <w:rPr>
                <w:noProof/>
                <w:webHidden/>
              </w:rPr>
              <w:t>7</w:t>
            </w:r>
            <w:r w:rsidR="000834CF" w:rsidRPr="00155028">
              <w:rPr>
                <w:noProof/>
                <w:webHidden/>
              </w:rPr>
              <w:fldChar w:fldCharType="end"/>
            </w:r>
          </w:hyperlink>
        </w:p>
        <w:p w14:paraId="673C11E2" w14:textId="46B3AF5B" w:rsidR="000834CF" w:rsidRPr="00155028" w:rsidRDefault="00783478">
          <w:pPr>
            <w:pStyle w:val="Kazalovsebine2"/>
            <w:tabs>
              <w:tab w:val="right" w:leader="dot" w:pos="9062"/>
            </w:tabs>
            <w:rPr>
              <w:rFonts w:asciiTheme="minorHAnsi" w:eastAsiaTheme="minorEastAsia" w:hAnsiTheme="minorHAnsi" w:cstheme="minorBidi"/>
              <w:noProof/>
              <w:sz w:val="22"/>
              <w:szCs w:val="22"/>
              <w:lang w:eastAsia="sl-SI"/>
            </w:rPr>
          </w:pPr>
          <w:hyperlink w:anchor="_Toc86826485" w:history="1">
            <w:r w:rsidR="000834CF" w:rsidRPr="00155028">
              <w:rPr>
                <w:rStyle w:val="Hiperpovezava"/>
                <w:noProof/>
              </w:rPr>
              <w:t>2.1 Zakonodaja</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_Toc86826485 \h </w:instrText>
            </w:r>
            <w:r w:rsidR="000834CF" w:rsidRPr="00155028">
              <w:rPr>
                <w:noProof/>
                <w:webHidden/>
              </w:rPr>
            </w:r>
            <w:r w:rsidR="000834CF" w:rsidRPr="00155028">
              <w:rPr>
                <w:noProof/>
                <w:webHidden/>
              </w:rPr>
              <w:fldChar w:fldCharType="separate"/>
            </w:r>
            <w:r w:rsidR="00F25B09">
              <w:rPr>
                <w:noProof/>
                <w:webHidden/>
              </w:rPr>
              <w:t>11</w:t>
            </w:r>
            <w:r w:rsidR="000834CF" w:rsidRPr="00155028">
              <w:rPr>
                <w:noProof/>
                <w:webHidden/>
              </w:rPr>
              <w:fldChar w:fldCharType="end"/>
            </w:r>
          </w:hyperlink>
        </w:p>
        <w:p w14:paraId="0686E9E4" w14:textId="765B158C" w:rsidR="000834CF" w:rsidRPr="00155028" w:rsidRDefault="00783478">
          <w:pPr>
            <w:pStyle w:val="Kazalovsebine2"/>
            <w:tabs>
              <w:tab w:val="right" w:leader="dot" w:pos="9062"/>
            </w:tabs>
            <w:rPr>
              <w:rFonts w:asciiTheme="minorHAnsi" w:eastAsiaTheme="minorEastAsia" w:hAnsiTheme="minorHAnsi" w:cstheme="minorBidi"/>
              <w:noProof/>
              <w:sz w:val="22"/>
              <w:szCs w:val="22"/>
              <w:lang w:eastAsia="sl-SI"/>
            </w:rPr>
          </w:pPr>
          <w:hyperlink w:anchor="_Toc86826486" w:history="1">
            <w:r w:rsidR="000834CF" w:rsidRPr="00155028">
              <w:rPr>
                <w:rStyle w:val="Hiperpovezava"/>
                <w:noProof/>
              </w:rPr>
              <w:t>2.2 Ključne ugotovitve</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_Toc86826486 \h </w:instrText>
            </w:r>
            <w:r w:rsidR="000834CF" w:rsidRPr="00155028">
              <w:rPr>
                <w:noProof/>
                <w:webHidden/>
              </w:rPr>
            </w:r>
            <w:r w:rsidR="000834CF" w:rsidRPr="00155028">
              <w:rPr>
                <w:noProof/>
                <w:webHidden/>
              </w:rPr>
              <w:fldChar w:fldCharType="separate"/>
            </w:r>
            <w:r w:rsidR="00F25B09">
              <w:rPr>
                <w:noProof/>
                <w:webHidden/>
              </w:rPr>
              <w:t>11</w:t>
            </w:r>
            <w:r w:rsidR="000834CF" w:rsidRPr="00155028">
              <w:rPr>
                <w:noProof/>
                <w:webHidden/>
              </w:rPr>
              <w:fldChar w:fldCharType="end"/>
            </w:r>
          </w:hyperlink>
        </w:p>
        <w:p w14:paraId="00C77AB1" w14:textId="1F56947F" w:rsidR="000834CF" w:rsidRPr="00155028" w:rsidRDefault="00783478">
          <w:pPr>
            <w:pStyle w:val="Kazalovsebine1"/>
            <w:tabs>
              <w:tab w:val="left" w:pos="440"/>
              <w:tab w:val="right" w:leader="dot" w:pos="9062"/>
            </w:tabs>
            <w:rPr>
              <w:rFonts w:asciiTheme="minorHAnsi" w:eastAsiaTheme="minorEastAsia" w:hAnsiTheme="minorHAnsi" w:cstheme="minorBidi"/>
              <w:noProof/>
              <w:sz w:val="22"/>
              <w:szCs w:val="22"/>
              <w:lang w:eastAsia="sl-SI"/>
            </w:rPr>
          </w:pPr>
          <w:hyperlink w:anchor="_Toc86826487" w:history="1">
            <w:r w:rsidR="000834CF" w:rsidRPr="00155028">
              <w:rPr>
                <w:rStyle w:val="Hiperpovezava"/>
                <w:rFonts w:eastAsia="Arial"/>
                <w:b/>
                <w:bCs/>
                <w:noProof/>
              </w:rPr>
              <w:t>3.</w:t>
            </w:r>
            <w:r w:rsidR="000834CF" w:rsidRPr="00155028">
              <w:rPr>
                <w:rFonts w:asciiTheme="minorHAnsi" w:eastAsiaTheme="minorEastAsia" w:hAnsiTheme="minorHAnsi" w:cstheme="minorBidi"/>
                <w:noProof/>
                <w:sz w:val="22"/>
                <w:szCs w:val="22"/>
                <w:lang w:eastAsia="sl-SI"/>
              </w:rPr>
              <w:tab/>
            </w:r>
            <w:r w:rsidR="000834CF" w:rsidRPr="00155028">
              <w:rPr>
                <w:rStyle w:val="Hiperpovezava"/>
                <w:rFonts w:eastAsia="Arial"/>
                <w:b/>
                <w:bCs/>
                <w:noProof/>
              </w:rPr>
              <w:t>PESTICIDI</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_Toc86826487 \h </w:instrText>
            </w:r>
            <w:r w:rsidR="000834CF" w:rsidRPr="00155028">
              <w:rPr>
                <w:noProof/>
                <w:webHidden/>
              </w:rPr>
            </w:r>
            <w:r w:rsidR="000834CF" w:rsidRPr="00155028">
              <w:rPr>
                <w:noProof/>
                <w:webHidden/>
              </w:rPr>
              <w:fldChar w:fldCharType="separate"/>
            </w:r>
            <w:r w:rsidR="00F25B09">
              <w:rPr>
                <w:noProof/>
                <w:webHidden/>
              </w:rPr>
              <w:t>11</w:t>
            </w:r>
            <w:r w:rsidR="000834CF" w:rsidRPr="00155028">
              <w:rPr>
                <w:noProof/>
                <w:webHidden/>
              </w:rPr>
              <w:fldChar w:fldCharType="end"/>
            </w:r>
          </w:hyperlink>
        </w:p>
        <w:p w14:paraId="7FBA87E0" w14:textId="578B90B2" w:rsidR="000834CF" w:rsidRPr="00155028" w:rsidRDefault="00783478">
          <w:pPr>
            <w:pStyle w:val="Kazalovsebine2"/>
            <w:tabs>
              <w:tab w:val="right" w:leader="dot" w:pos="9062"/>
            </w:tabs>
            <w:rPr>
              <w:rFonts w:asciiTheme="minorHAnsi" w:eastAsiaTheme="minorEastAsia" w:hAnsiTheme="minorHAnsi" w:cstheme="minorBidi"/>
              <w:noProof/>
              <w:sz w:val="22"/>
              <w:szCs w:val="22"/>
              <w:lang w:eastAsia="sl-SI"/>
            </w:rPr>
          </w:pPr>
          <w:hyperlink w:anchor="_Toc86826488" w:history="1">
            <w:r w:rsidR="000834CF" w:rsidRPr="00155028">
              <w:rPr>
                <w:rStyle w:val="Hiperpovezava"/>
                <w:noProof/>
              </w:rPr>
              <w:t>3.1 Podatki o prodaji FFS (C. 48)</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_Toc86826488 \h </w:instrText>
            </w:r>
            <w:r w:rsidR="000834CF" w:rsidRPr="00155028">
              <w:rPr>
                <w:noProof/>
                <w:webHidden/>
              </w:rPr>
            </w:r>
            <w:r w:rsidR="000834CF" w:rsidRPr="00155028">
              <w:rPr>
                <w:noProof/>
                <w:webHidden/>
              </w:rPr>
              <w:fldChar w:fldCharType="separate"/>
            </w:r>
            <w:r w:rsidR="00F25B09">
              <w:rPr>
                <w:noProof/>
                <w:webHidden/>
              </w:rPr>
              <w:t>12</w:t>
            </w:r>
            <w:r w:rsidR="000834CF" w:rsidRPr="00155028">
              <w:rPr>
                <w:noProof/>
                <w:webHidden/>
              </w:rPr>
              <w:fldChar w:fldCharType="end"/>
            </w:r>
          </w:hyperlink>
        </w:p>
        <w:p w14:paraId="31FBA9B1" w14:textId="203ADE39" w:rsidR="000834CF" w:rsidRPr="00155028" w:rsidRDefault="00783478">
          <w:pPr>
            <w:pStyle w:val="Kazalovsebine2"/>
            <w:tabs>
              <w:tab w:val="right" w:leader="dot" w:pos="9062"/>
            </w:tabs>
            <w:rPr>
              <w:rFonts w:asciiTheme="minorHAnsi" w:eastAsiaTheme="minorEastAsia" w:hAnsiTheme="minorHAnsi" w:cstheme="minorBidi"/>
              <w:noProof/>
              <w:sz w:val="22"/>
              <w:szCs w:val="22"/>
              <w:lang w:eastAsia="sl-SI"/>
            </w:rPr>
          </w:pPr>
          <w:hyperlink w:anchor="_Toc86826489" w:history="1">
            <w:r w:rsidR="000834CF" w:rsidRPr="00155028">
              <w:rPr>
                <w:rStyle w:val="Hiperpovezava"/>
                <w:noProof/>
              </w:rPr>
              <w:t>3.2 Podatki o rabi FFS pri uporabnikih</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_Toc86826489 \h </w:instrText>
            </w:r>
            <w:r w:rsidR="000834CF" w:rsidRPr="00155028">
              <w:rPr>
                <w:noProof/>
                <w:webHidden/>
              </w:rPr>
            </w:r>
            <w:r w:rsidR="000834CF" w:rsidRPr="00155028">
              <w:rPr>
                <w:noProof/>
                <w:webHidden/>
              </w:rPr>
              <w:fldChar w:fldCharType="separate"/>
            </w:r>
            <w:r w:rsidR="00F25B09">
              <w:rPr>
                <w:noProof/>
                <w:webHidden/>
              </w:rPr>
              <w:t>14</w:t>
            </w:r>
            <w:r w:rsidR="000834CF" w:rsidRPr="00155028">
              <w:rPr>
                <w:noProof/>
                <w:webHidden/>
              </w:rPr>
              <w:fldChar w:fldCharType="end"/>
            </w:r>
          </w:hyperlink>
        </w:p>
        <w:p w14:paraId="1EA9C059" w14:textId="0D6BF738" w:rsidR="000834CF" w:rsidRPr="00155028" w:rsidRDefault="00783478">
          <w:pPr>
            <w:pStyle w:val="Kazalovsebine2"/>
            <w:tabs>
              <w:tab w:val="right" w:leader="dot" w:pos="9062"/>
            </w:tabs>
            <w:rPr>
              <w:rFonts w:asciiTheme="minorHAnsi" w:eastAsiaTheme="minorEastAsia" w:hAnsiTheme="minorHAnsi" w:cstheme="minorBidi"/>
              <w:noProof/>
              <w:sz w:val="22"/>
              <w:szCs w:val="22"/>
              <w:lang w:eastAsia="sl-SI"/>
            </w:rPr>
          </w:pPr>
          <w:hyperlink w:anchor="_Toc86826490" w:history="1">
            <w:r w:rsidR="000834CF" w:rsidRPr="00155028">
              <w:rPr>
                <w:rStyle w:val="Hiperpovezava"/>
                <w:noProof/>
              </w:rPr>
              <w:t>3.3 Izvajanje Nacionalnega akcijskega programa za doseganje trajnostne rabe FFS</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_Toc86826490 \h </w:instrText>
            </w:r>
            <w:r w:rsidR="000834CF" w:rsidRPr="00155028">
              <w:rPr>
                <w:noProof/>
                <w:webHidden/>
              </w:rPr>
            </w:r>
            <w:r w:rsidR="000834CF" w:rsidRPr="00155028">
              <w:rPr>
                <w:noProof/>
                <w:webHidden/>
              </w:rPr>
              <w:fldChar w:fldCharType="separate"/>
            </w:r>
            <w:r w:rsidR="00F25B09">
              <w:rPr>
                <w:noProof/>
                <w:webHidden/>
              </w:rPr>
              <w:t>14</w:t>
            </w:r>
            <w:r w:rsidR="000834CF" w:rsidRPr="00155028">
              <w:rPr>
                <w:noProof/>
                <w:webHidden/>
              </w:rPr>
              <w:fldChar w:fldCharType="end"/>
            </w:r>
          </w:hyperlink>
        </w:p>
        <w:p w14:paraId="7144D006" w14:textId="01F7CFE7" w:rsidR="000834CF" w:rsidRPr="00155028" w:rsidRDefault="00783478">
          <w:pPr>
            <w:pStyle w:val="Kazalovsebine2"/>
            <w:tabs>
              <w:tab w:val="right" w:leader="dot" w:pos="9062"/>
            </w:tabs>
            <w:rPr>
              <w:rFonts w:asciiTheme="minorHAnsi" w:eastAsiaTheme="minorEastAsia" w:hAnsiTheme="minorHAnsi" w:cstheme="minorBidi"/>
              <w:noProof/>
              <w:sz w:val="22"/>
              <w:szCs w:val="22"/>
              <w:lang w:eastAsia="sl-SI"/>
            </w:rPr>
          </w:pPr>
          <w:hyperlink w:anchor="_Toc86826491" w:history="1">
            <w:r w:rsidR="000834CF" w:rsidRPr="00155028">
              <w:rPr>
                <w:rStyle w:val="Hiperpovezava"/>
                <w:noProof/>
              </w:rPr>
              <w:t>3.4 Kazalniki tveganja za spremljanje napredka pri zmanjšanju tveganja in škodljivih vplivov fitofarmacevtskih sredstev</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_Toc86826491 \h </w:instrText>
            </w:r>
            <w:r w:rsidR="000834CF" w:rsidRPr="00155028">
              <w:rPr>
                <w:noProof/>
                <w:webHidden/>
              </w:rPr>
            </w:r>
            <w:r w:rsidR="000834CF" w:rsidRPr="00155028">
              <w:rPr>
                <w:noProof/>
                <w:webHidden/>
              </w:rPr>
              <w:fldChar w:fldCharType="separate"/>
            </w:r>
            <w:r w:rsidR="00F25B09">
              <w:rPr>
                <w:noProof/>
                <w:webHidden/>
              </w:rPr>
              <w:t>16</w:t>
            </w:r>
            <w:r w:rsidR="000834CF" w:rsidRPr="00155028">
              <w:rPr>
                <w:noProof/>
                <w:webHidden/>
              </w:rPr>
              <w:fldChar w:fldCharType="end"/>
            </w:r>
          </w:hyperlink>
        </w:p>
        <w:p w14:paraId="77ED7122" w14:textId="1AEF7902" w:rsidR="000834CF" w:rsidRPr="00155028" w:rsidRDefault="00783478">
          <w:pPr>
            <w:pStyle w:val="Kazalovsebine3"/>
            <w:tabs>
              <w:tab w:val="right" w:leader="dot" w:pos="9062"/>
            </w:tabs>
            <w:rPr>
              <w:rFonts w:asciiTheme="minorHAnsi" w:eastAsiaTheme="minorEastAsia" w:hAnsiTheme="minorHAnsi" w:cstheme="minorBidi"/>
              <w:noProof/>
              <w:sz w:val="22"/>
              <w:szCs w:val="22"/>
              <w:lang w:eastAsia="sl-SI"/>
            </w:rPr>
          </w:pPr>
          <w:hyperlink w:anchor="_Toc86826492" w:history="1">
            <w:r w:rsidR="000834CF" w:rsidRPr="00155028">
              <w:rPr>
                <w:rStyle w:val="Hiperpovezava"/>
                <w:noProof/>
              </w:rPr>
              <w:t>3.4.1 Kazalnik tveganja 1 (kazalnik stanja C.48)</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_Toc86826492 \h </w:instrText>
            </w:r>
            <w:r w:rsidR="000834CF" w:rsidRPr="00155028">
              <w:rPr>
                <w:noProof/>
                <w:webHidden/>
              </w:rPr>
            </w:r>
            <w:r w:rsidR="000834CF" w:rsidRPr="00155028">
              <w:rPr>
                <w:noProof/>
                <w:webHidden/>
              </w:rPr>
              <w:fldChar w:fldCharType="separate"/>
            </w:r>
            <w:r w:rsidR="00F25B09">
              <w:rPr>
                <w:noProof/>
                <w:webHidden/>
              </w:rPr>
              <w:t>16</w:t>
            </w:r>
            <w:r w:rsidR="000834CF" w:rsidRPr="00155028">
              <w:rPr>
                <w:noProof/>
                <w:webHidden/>
              </w:rPr>
              <w:fldChar w:fldCharType="end"/>
            </w:r>
          </w:hyperlink>
        </w:p>
        <w:p w14:paraId="6B1A2866" w14:textId="7001FC05" w:rsidR="000834CF" w:rsidRPr="00155028" w:rsidRDefault="00783478">
          <w:pPr>
            <w:pStyle w:val="Kazalovsebine3"/>
            <w:tabs>
              <w:tab w:val="right" w:leader="dot" w:pos="9062"/>
            </w:tabs>
            <w:rPr>
              <w:rFonts w:asciiTheme="minorHAnsi" w:eastAsiaTheme="minorEastAsia" w:hAnsiTheme="minorHAnsi" w:cstheme="minorBidi"/>
              <w:noProof/>
              <w:sz w:val="22"/>
              <w:szCs w:val="22"/>
              <w:lang w:eastAsia="sl-SI"/>
            </w:rPr>
          </w:pPr>
          <w:hyperlink w:anchor="_Toc86826493" w:history="1">
            <w:r w:rsidR="000834CF" w:rsidRPr="00155028">
              <w:rPr>
                <w:rStyle w:val="Hiperpovezava"/>
                <w:noProof/>
              </w:rPr>
              <w:t>3.4.2. Kazalnik tveganja 2</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_Toc86826493 \h </w:instrText>
            </w:r>
            <w:r w:rsidR="000834CF" w:rsidRPr="00155028">
              <w:rPr>
                <w:noProof/>
                <w:webHidden/>
              </w:rPr>
            </w:r>
            <w:r w:rsidR="000834CF" w:rsidRPr="00155028">
              <w:rPr>
                <w:noProof/>
                <w:webHidden/>
              </w:rPr>
              <w:fldChar w:fldCharType="separate"/>
            </w:r>
            <w:r w:rsidR="00F25B09">
              <w:rPr>
                <w:noProof/>
                <w:webHidden/>
              </w:rPr>
              <w:t>18</w:t>
            </w:r>
            <w:r w:rsidR="000834CF" w:rsidRPr="00155028">
              <w:rPr>
                <w:noProof/>
                <w:webHidden/>
              </w:rPr>
              <w:fldChar w:fldCharType="end"/>
            </w:r>
          </w:hyperlink>
        </w:p>
        <w:p w14:paraId="658CC56B" w14:textId="172E48CD" w:rsidR="000834CF" w:rsidRPr="00155028" w:rsidRDefault="00783478">
          <w:pPr>
            <w:pStyle w:val="Kazalovsebine2"/>
            <w:tabs>
              <w:tab w:val="right" w:leader="dot" w:pos="9062"/>
            </w:tabs>
            <w:rPr>
              <w:rFonts w:asciiTheme="minorHAnsi" w:eastAsiaTheme="minorEastAsia" w:hAnsiTheme="minorHAnsi" w:cstheme="minorBidi"/>
              <w:noProof/>
              <w:sz w:val="22"/>
              <w:szCs w:val="22"/>
              <w:lang w:eastAsia="sl-SI"/>
            </w:rPr>
          </w:pPr>
          <w:hyperlink w:anchor="_Toc86826494" w:history="1">
            <w:r w:rsidR="000834CF" w:rsidRPr="00155028">
              <w:rPr>
                <w:rStyle w:val="Hiperpovezava"/>
                <w:noProof/>
              </w:rPr>
              <w:t>3.5 Ukrepi za zmanjšanje rabe FFS</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_Toc86826494 \h </w:instrText>
            </w:r>
            <w:r w:rsidR="000834CF" w:rsidRPr="00155028">
              <w:rPr>
                <w:noProof/>
                <w:webHidden/>
              </w:rPr>
            </w:r>
            <w:r w:rsidR="000834CF" w:rsidRPr="00155028">
              <w:rPr>
                <w:noProof/>
                <w:webHidden/>
              </w:rPr>
              <w:fldChar w:fldCharType="separate"/>
            </w:r>
            <w:r w:rsidR="00F25B09">
              <w:rPr>
                <w:noProof/>
                <w:webHidden/>
              </w:rPr>
              <w:t>18</w:t>
            </w:r>
            <w:r w:rsidR="000834CF" w:rsidRPr="00155028">
              <w:rPr>
                <w:noProof/>
                <w:webHidden/>
              </w:rPr>
              <w:fldChar w:fldCharType="end"/>
            </w:r>
          </w:hyperlink>
        </w:p>
        <w:p w14:paraId="647E7728" w14:textId="65AB930C" w:rsidR="000834CF" w:rsidRPr="00155028" w:rsidRDefault="00783478">
          <w:pPr>
            <w:pStyle w:val="Kazalovsebine2"/>
            <w:tabs>
              <w:tab w:val="right" w:leader="dot" w:pos="9062"/>
            </w:tabs>
            <w:rPr>
              <w:rFonts w:asciiTheme="minorHAnsi" w:eastAsiaTheme="minorEastAsia" w:hAnsiTheme="minorHAnsi" w:cstheme="minorBidi"/>
              <w:noProof/>
              <w:sz w:val="22"/>
              <w:szCs w:val="22"/>
              <w:lang w:eastAsia="sl-SI"/>
            </w:rPr>
          </w:pPr>
          <w:hyperlink w:anchor="_Toc86826495" w:history="1">
            <w:r w:rsidR="000834CF" w:rsidRPr="00155028">
              <w:rPr>
                <w:rStyle w:val="Hiperpovezava"/>
                <w:noProof/>
              </w:rPr>
              <w:t>3.6 Zdravstveno varstvo rastlin</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_Toc86826495 \h </w:instrText>
            </w:r>
            <w:r w:rsidR="000834CF" w:rsidRPr="00155028">
              <w:rPr>
                <w:noProof/>
                <w:webHidden/>
              </w:rPr>
            </w:r>
            <w:r w:rsidR="000834CF" w:rsidRPr="00155028">
              <w:rPr>
                <w:noProof/>
                <w:webHidden/>
              </w:rPr>
              <w:fldChar w:fldCharType="separate"/>
            </w:r>
            <w:r w:rsidR="00F25B09">
              <w:rPr>
                <w:noProof/>
                <w:webHidden/>
              </w:rPr>
              <w:t>21</w:t>
            </w:r>
            <w:r w:rsidR="000834CF" w:rsidRPr="00155028">
              <w:rPr>
                <w:noProof/>
                <w:webHidden/>
              </w:rPr>
              <w:fldChar w:fldCharType="end"/>
            </w:r>
          </w:hyperlink>
        </w:p>
        <w:p w14:paraId="62AE18D7" w14:textId="02352481" w:rsidR="000834CF" w:rsidRPr="00155028" w:rsidRDefault="00783478">
          <w:pPr>
            <w:pStyle w:val="Kazalovsebine2"/>
            <w:tabs>
              <w:tab w:val="right" w:leader="dot" w:pos="9062"/>
            </w:tabs>
            <w:rPr>
              <w:rFonts w:asciiTheme="minorHAnsi" w:eastAsiaTheme="minorEastAsia" w:hAnsiTheme="minorHAnsi" w:cstheme="minorBidi"/>
              <w:noProof/>
              <w:sz w:val="22"/>
              <w:szCs w:val="22"/>
              <w:lang w:eastAsia="sl-SI"/>
            </w:rPr>
          </w:pPr>
          <w:hyperlink w:anchor="_Toc86826496" w:history="1">
            <w:r w:rsidR="000834CF" w:rsidRPr="00155028">
              <w:rPr>
                <w:rStyle w:val="Hiperpovezava"/>
                <w:noProof/>
              </w:rPr>
              <w:t>3.7 Ključne ugotovitve</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_Toc86826496 \h </w:instrText>
            </w:r>
            <w:r w:rsidR="000834CF" w:rsidRPr="00155028">
              <w:rPr>
                <w:noProof/>
                <w:webHidden/>
              </w:rPr>
            </w:r>
            <w:r w:rsidR="000834CF" w:rsidRPr="00155028">
              <w:rPr>
                <w:noProof/>
                <w:webHidden/>
              </w:rPr>
              <w:fldChar w:fldCharType="separate"/>
            </w:r>
            <w:r w:rsidR="00F25B09">
              <w:rPr>
                <w:noProof/>
                <w:webHidden/>
              </w:rPr>
              <w:t>22</w:t>
            </w:r>
            <w:r w:rsidR="000834CF" w:rsidRPr="00155028">
              <w:rPr>
                <w:noProof/>
                <w:webHidden/>
              </w:rPr>
              <w:fldChar w:fldCharType="end"/>
            </w:r>
          </w:hyperlink>
        </w:p>
        <w:p w14:paraId="4BFBCBBE" w14:textId="4BC626FA" w:rsidR="000834CF" w:rsidRPr="00155028" w:rsidRDefault="00783478">
          <w:pPr>
            <w:pStyle w:val="Kazalovsebine1"/>
            <w:tabs>
              <w:tab w:val="left" w:pos="440"/>
              <w:tab w:val="right" w:leader="dot" w:pos="9062"/>
            </w:tabs>
            <w:rPr>
              <w:rFonts w:asciiTheme="minorHAnsi" w:eastAsiaTheme="minorEastAsia" w:hAnsiTheme="minorHAnsi" w:cstheme="minorBidi"/>
              <w:noProof/>
              <w:sz w:val="22"/>
              <w:szCs w:val="22"/>
              <w:lang w:eastAsia="sl-SI"/>
            </w:rPr>
          </w:pPr>
          <w:hyperlink w:anchor="_Toc86826497" w:history="1">
            <w:r w:rsidR="000834CF" w:rsidRPr="00155028">
              <w:rPr>
                <w:rStyle w:val="Hiperpovezava"/>
                <w:rFonts w:eastAsia="Calibri"/>
                <w:b/>
                <w:bCs/>
                <w:noProof/>
              </w:rPr>
              <w:t>4.</w:t>
            </w:r>
            <w:r w:rsidR="000834CF" w:rsidRPr="00155028">
              <w:rPr>
                <w:rFonts w:asciiTheme="minorHAnsi" w:eastAsiaTheme="minorEastAsia" w:hAnsiTheme="minorHAnsi" w:cstheme="minorBidi"/>
                <w:noProof/>
                <w:sz w:val="22"/>
                <w:szCs w:val="22"/>
                <w:lang w:eastAsia="sl-SI"/>
              </w:rPr>
              <w:tab/>
            </w:r>
            <w:r w:rsidR="000834CF" w:rsidRPr="00155028">
              <w:rPr>
                <w:rStyle w:val="Hiperpovezava"/>
                <w:rFonts w:eastAsia="Calibri"/>
                <w:b/>
                <w:bCs/>
                <w:noProof/>
              </w:rPr>
              <w:t>DOBROBIT ŽIVALI</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_Toc86826497 \h </w:instrText>
            </w:r>
            <w:r w:rsidR="000834CF" w:rsidRPr="00155028">
              <w:rPr>
                <w:noProof/>
                <w:webHidden/>
              </w:rPr>
            </w:r>
            <w:r w:rsidR="000834CF" w:rsidRPr="00155028">
              <w:rPr>
                <w:noProof/>
                <w:webHidden/>
              </w:rPr>
              <w:fldChar w:fldCharType="separate"/>
            </w:r>
            <w:r w:rsidR="00F25B09">
              <w:rPr>
                <w:noProof/>
                <w:webHidden/>
              </w:rPr>
              <w:t>23</w:t>
            </w:r>
            <w:r w:rsidR="000834CF" w:rsidRPr="00155028">
              <w:rPr>
                <w:noProof/>
                <w:webHidden/>
              </w:rPr>
              <w:fldChar w:fldCharType="end"/>
            </w:r>
          </w:hyperlink>
        </w:p>
        <w:p w14:paraId="15C4177C" w14:textId="0BD234EB" w:rsidR="000834CF" w:rsidRPr="00155028" w:rsidRDefault="00783478">
          <w:pPr>
            <w:pStyle w:val="Kazalovsebine2"/>
            <w:tabs>
              <w:tab w:val="right" w:leader="dot" w:pos="9062"/>
            </w:tabs>
            <w:rPr>
              <w:rFonts w:asciiTheme="minorHAnsi" w:eastAsiaTheme="minorEastAsia" w:hAnsiTheme="minorHAnsi" w:cstheme="minorBidi"/>
              <w:noProof/>
              <w:sz w:val="22"/>
              <w:szCs w:val="22"/>
              <w:lang w:eastAsia="sl-SI"/>
            </w:rPr>
          </w:pPr>
          <w:hyperlink w:anchor="_Toc86826498" w:history="1">
            <w:r w:rsidR="000834CF" w:rsidRPr="00155028">
              <w:rPr>
                <w:rStyle w:val="Hiperpovezava"/>
                <w:rFonts w:eastAsia="Arial"/>
                <w:noProof/>
              </w:rPr>
              <w:t>4.1 Pričakovanja potrošnikov</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_Toc86826498 \h </w:instrText>
            </w:r>
            <w:r w:rsidR="000834CF" w:rsidRPr="00155028">
              <w:rPr>
                <w:noProof/>
                <w:webHidden/>
              </w:rPr>
            </w:r>
            <w:r w:rsidR="000834CF" w:rsidRPr="00155028">
              <w:rPr>
                <w:noProof/>
                <w:webHidden/>
              </w:rPr>
              <w:fldChar w:fldCharType="separate"/>
            </w:r>
            <w:r w:rsidR="00F25B09">
              <w:rPr>
                <w:noProof/>
                <w:webHidden/>
              </w:rPr>
              <w:t>23</w:t>
            </w:r>
            <w:r w:rsidR="000834CF" w:rsidRPr="00155028">
              <w:rPr>
                <w:noProof/>
                <w:webHidden/>
              </w:rPr>
              <w:fldChar w:fldCharType="end"/>
            </w:r>
          </w:hyperlink>
        </w:p>
        <w:p w14:paraId="1EC5B343" w14:textId="1A44DBAA" w:rsidR="000834CF" w:rsidRPr="00155028" w:rsidRDefault="00783478">
          <w:pPr>
            <w:pStyle w:val="Kazalovsebine2"/>
            <w:tabs>
              <w:tab w:val="right" w:leader="dot" w:pos="9062"/>
            </w:tabs>
            <w:rPr>
              <w:rFonts w:asciiTheme="minorHAnsi" w:eastAsiaTheme="minorEastAsia" w:hAnsiTheme="minorHAnsi" w:cstheme="minorBidi"/>
              <w:noProof/>
              <w:sz w:val="22"/>
              <w:szCs w:val="22"/>
              <w:lang w:eastAsia="sl-SI"/>
            </w:rPr>
          </w:pPr>
          <w:hyperlink w:anchor="_Toc86826499" w:history="1">
            <w:r w:rsidR="000834CF" w:rsidRPr="00155028">
              <w:rPr>
                <w:rStyle w:val="Hiperpovezava"/>
                <w:noProof/>
              </w:rPr>
              <w:t>4.2 Stanje in dosedanje izkušnje (C. 22, C. 23)</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_Toc86826499 \h </w:instrText>
            </w:r>
            <w:r w:rsidR="000834CF" w:rsidRPr="00155028">
              <w:rPr>
                <w:noProof/>
                <w:webHidden/>
              </w:rPr>
            </w:r>
            <w:r w:rsidR="000834CF" w:rsidRPr="00155028">
              <w:rPr>
                <w:noProof/>
                <w:webHidden/>
              </w:rPr>
              <w:fldChar w:fldCharType="separate"/>
            </w:r>
            <w:r w:rsidR="00F25B09">
              <w:rPr>
                <w:noProof/>
                <w:webHidden/>
              </w:rPr>
              <w:t>25</w:t>
            </w:r>
            <w:r w:rsidR="000834CF" w:rsidRPr="00155028">
              <w:rPr>
                <w:noProof/>
                <w:webHidden/>
              </w:rPr>
              <w:fldChar w:fldCharType="end"/>
            </w:r>
          </w:hyperlink>
        </w:p>
        <w:p w14:paraId="217AC232" w14:textId="5EABB663" w:rsidR="000834CF" w:rsidRPr="00155028" w:rsidRDefault="00783478">
          <w:pPr>
            <w:pStyle w:val="Kazalovsebine2"/>
            <w:tabs>
              <w:tab w:val="right" w:leader="dot" w:pos="9062"/>
            </w:tabs>
            <w:rPr>
              <w:rFonts w:asciiTheme="minorHAnsi" w:eastAsiaTheme="minorEastAsia" w:hAnsiTheme="minorHAnsi" w:cstheme="minorBidi"/>
              <w:noProof/>
              <w:sz w:val="22"/>
              <w:szCs w:val="22"/>
              <w:lang w:eastAsia="sl-SI"/>
            </w:rPr>
          </w:pPr>
          <w:hyperlink w:anchor="_Toc86826500" w:history="1">
            <w:r w:rsidR="000834CF" w:rsidRPr="00155028">
              <w:rPr>
                <w:rStyle w:val="Hiperpovezava"/>
                <w:noProof/>
              </w:rPr>
              <w:t>4.3 Ukrep Dobrobiti v Sloveniji</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_Toc86826500 \h </w:instrText>
            </w:r>
            <w:r w:rsidR="000834CF" w:rsidRPr="00155028">
              <w:rPr>
                <w:noProof/>
                <w:webHidden/>
              </w:rPr>
            </w:r>
            <w:r w:rsidR="000834CF" w:rsidRPr="00155028">
              <w:rPr>
                <w:noProof/>
                <w:webHidden/>
              </w:rPr>
              <w:fldChar w:fldCharType="separate"/>
            </w:r>
            <w:r w:rsidR="00F25B09">
              <w:rPr>
                <w:noProof/>
                <w:webHidden/>
              </w:rPr>
              <w:t>29</w:t>
            </w:r>
            <w:r w:rsidR="000834CF" w:rsidRPr="00155028">
              <w:rPr>
                <w:noProof/>
                <w:webHidden/>
              </w:rPr>
              <w:fldChar w:fldCharType="end"/>
            </w:r>
          </w:hyperlink>
        </w:p>
        <w:p w14:paraId="7D78BC1F" w14:textId="7C80E58E" w:rsidR="000834CF" w:rsidRPr="00155028" w:rsidRDefault="00783478">
          <w:pPr>
            <w:pStyle w:val="Kazalovsebine2"/>
            <w:tabs>
              <w:tab w:val="right" w:leader="dot" w:pos="9062"/>
            </w:tabs>
            <w:rPr>
              <w:rFonts w:asciiTheme="minorHAnsi" w:eastAsiaTheme="minorEastAsia" w:hAnsiTheme="minorHAnsi" w:cstheme="minorBidi"/>
              <w:noProof/>
              <w:sz w:val="22"/>
              <w:szCs w:val="22"/>
              <w:lang w:eastAsia="sl-SI"/>
            </w:rPr>
          </w:pPr>
          <w:hyperlink w:anchor="_Toc86826501" w:history="1">
            <w:r w:rsidR="000834CF" w:rsidRPr="00155028">
              <w:rPr>
                <w:rStyle w:val="Hiperpovezava"/>
                <w:noProof/>
              </w:rPr>
              <w:t>4.4 Ključne ugotovitve</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_Toc86826501 \h </w:instrText>
            </w:r>
            <w:r w:rsidR="000834CF" w:rsidRPr="00155028">
              <w:rPr>
                <w:noProof/>
                <w:webHidden/>
              </w:rPr>
            </w:r>
            <w:r w:rsidR="000834CF" w:rsidRPr="00155028">
              <w:rPr>
                <w:noProof/>
                <w:webHidden/>
              </w:rPr>
              <w:fldChar w:fldCharType="separate"/>
            </w:r>
            <w:r w:rsidR="00F25B09">
              <w:rPr>
                <w:noProof/>
                <w:webHidden/>
              </w:rPr>
              <w:t>32</w:t>
            </w:r>
            <w:r w:rsidR="000834CF" w:rsidRPr="00155028">
              <w:rPr>
                <w:noProof/>
                <w:webHidden/>
              </w:rPr>
              <w:fldChar w:fldCharType="end"/>
            </w:r>
          </w:hyperlink>
        </w:p>
        <w:p w14:paraId="1BD5E7CD" w14:textId="77F36082" w:rsidR="000834CF" w:rsidRPr="00155028" w:rsidRDefault="00783478">
          <w:pPr>
            <w:pStyle w:val="Kazalovsebine1"/>
            <w:tabs>
              <w:tab w:val="right" w:leader="dot" w:pos="9062"/>
            </w:tabs>
            <w:rPr>
              <w:rFonts w:asciiTheme="minorHAnsi" w:eastAsiaTheme="minorEastAsia" w:hAnsiTheme="minorHAnsi" w:cstheme="minorBidi"/>
              <w:noProof/>
              <w:sz w:val="22"/>
              <w:szCs w:val="22"/>
              <w:lang w:eastAsia="sl-SI"/>
            </w:rPr>
          </w:pPr>
          <w:hyperlink w:anchor="_Toc86826502" w:history="1">
            <w:r w:rsidR="000834CF" w:rsidRPr="00155028">
              <w:rPr>
                <w:rStyle w:val="Hiperpovezava"/>
                <w:rFonts w:eastAsia="Calibri"/>
                <w:b/>
                <w:bCs/>
                <w:noProof/>
              </w:rPr>
              <w:t>5. ODPADNA HRANA</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_Toc86826502 \h </w:instrText>
            </w:r>
            <w:r w:rsidR="000834CF" w:rsidRPr="00155028">
              <w:rPr>
                <w:noProof/>
                <w:webHidden/>
              </w:rPr>
            </w:r>
            <w:r w:rsidR="000834CF" w:rsidRPr="00155028">
              <w:rPr>
                <w:noProof/>
                <w:webHidden/>
              </w:rPr>
              <w:fldChar w:fldCharType="separate"/>
            </w:r>
            <w:r w:rsidR="00F25B09">
              <w:rPr>
                <w:noProof/>
                <w:webHidden/>
              </w:rPr>
              <w:t>33</w:t>
            </w:r>
            <w:r w:rsidR="000834CF" w:rsidRPr="00155028">
              <w:rPr>
                <w:noProof/>
                <w:webHidden/>
              </w:rPr>
              <w:fldChar w:fldCharType="end"/>
            </w:r>
          </w:hyperlink>
        </w:p>
        <w:p w14:paraId="782A64BB" w14:textId="4ECA5908" w:rsidR="000834CF" w:rsidRPr="00155028" w:rsidRDefault="00783478">
          <w:pPr>
            <w:pStyle w:val="Kazalovsebine2"/>
            <w:tabs>
              <w:tab w:val="right" w:leader="dot" w:pos="9062"/>
            </w:tabs>
            <w:rPr>
              <w:rFonts w:asciiTheme="minorHAnsi" w:eastAsiaTheme="minorEastAsia" w:hAnsiTheme="minorHAnsi" w:cstheme="minorBidi"/>
              <w:noProof/>
              <w:sz w:val="22"/>
              <w:szCs w:val="22"/>
              <w:lang w:eastAsia="sl-SI"/>
            </w:rPr>
          </w:pPr>
          <w:hyperlink w:anchor="_Toc86826503" w:history="1">
            <w:r w:rsidR="000834CF" w:rsidRPr="00155028">
              <w:rPr>
                <w:rStyle w:val="Hiperpovezava"/>
                <w:noProof/>
                <w:shd w:val="clear" w:color="auto" w:fill="FFFFFF"/>
              </w:rPr>
              <w:t>5.1 Ključne ugotovitve</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_Toc86826503 \h </w:instrText>
            </w:r>
            <w:r w:rsidR="000834CF" w:rsidRPr="00155028">
              <w:rPr>
                <w:noProof/>
                <w:webHidden/>
              </w:rPr>
            </w:r>
            <w:r w:rsidR="000834CF" w:rsidRPr="00155028">
              <w:rPr>
                <w:noProof/>
                <w:webHidden/>
              </w:rPr>
              <w:fldChar w:fldCharType="separate"/>
            </w:r>
            <w:r w:rsidR="00F25B09">
              <w:rPr>
                <w:noProof/>
                <w:webHidden/>
              </w:rPr>
              <w:t>37</w:t>
            </w:r>
            <w:r w:rsidR="000834CF" w:rsidRPr="00155028">
              <w:rPr>
                <w:noProof/>
                <w:webHidden/>
              </w:rPr>
              <w:fldChar w:fldCharType="end"/>
            </w:r>
          </w:hyperlink>
        </w:p>
        <w:p w14:paraId="0D676228" w14:textId="43C660D9" w:rsidR="000834CF" w:rsidRPr="00155028" w:rsidRDefault="00783478">
          <w:pPr>
            <w:pStyle w:val="Kazalovsebine1"/>
            <w:tabs>
              <w:tab w:val="left" w:pos="440"/>
              <w:tab w:val="right" w:leader="dot" w:pos="9062"/>
            </w:tabs>
            <w:rPr>
              <w:rFonts w:asciiTheme="minorHAnsi" w:eastAsiaTheme="minorEastAsia" w:hAnsiTheme="minorHAnsi" w:cstheme="minorBidi"/>
              <w:noProof/>
              <w:sz w:val="22"/>
              <w:szCs w:val="22"/>
              <w:lang w:eastAsia="sl-SI"/>
            </w:rPr>
          </w:pPr>
          <w:hyperlink w:anchor="_Toc86826504" w:history="1">
            <w:r w:rsidR="000834CF" w:rsidRPr="00155028">
              <w:rPr>
                <w:rStyle w:val="Hiperpovezava"/>
                <w:b/>
                <w:bCs/>
                <w:noProof/>
              </w:rPr>
              <w:t>6.</w:t>
            </w:r>
            <w:r w:rsidR="000834CF" w:rsidRPr="00155028">
              <w:rPr>
                <w:rFonts w:asciiTheme="minorHAnsi" w:eastAsiaTheme="minorEastAsia" w:hAnsiTheme="minorHAnsi" w:cstheme="minorBidi"/>
                <w:noProof/>
                <w:sz w:val="22"/>
                <w:szCs w:val="22"/>
                <w:lang w:eastAsia="sl-SI"/>
              </w:rPr>
              <w:tab/>
            </w:r>
            <w:r w:rsidR="000834CF" w:rsidRPr="00155028">
              <w:rPr>
                <w:rStyle w:val="Hiperpovezava"/>
                <w:b/>
                <w:bCs/>
                <w:noProof/>
              </w:rPr>
              <w:t>ANALIZA SWOT</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_Toc86826504 \h </w:instrText>
            </w:r>
            <w:r w:rsidR="000834CF" w:rsidRPr="00155028">
              <w:rPr>
                <w:noProof/>
                <w:webHidden/>
              </w:rPr>
            </w:r>
            <w:r w:rsidR="000834CF" w:rsidRPr="00155028">
              <w:rPr>
                <w:noProof/>
                <w:webHidden/>
              </w:rPr>
              <w:fldChar w:fldCharType="separate"/>
            </w:r>
            <w:r w:rsidR="00F25B09">
              <w:rPr>
                <w:noProof/>
                <w:webHidden/>
              </w:rPr>
              <w:t>37</w:t>
            </w:r>
            <w:r w:rsidR="000834CF" w:rsidRPr="00155028">
              <w:rPr>
                <w:noProof/>
                <w:webHidden/>
              </w:rPr>
              <w:fldChar w:fldCharType="end"/>
            </w:r>
          </w:hyperlink>
        </w:p>
        <w:p w14:paraId="522D54B3" w14:textId="2C7E2F9D" w:rsidR="000834CF" w:rsidRPr="00155028" w:rsidRDefault="00783478">
          <w:pPr>
            <w:pStyle w:val="Kazalovsebine1"/>
            <w:tabs>
              <w:tab w:val="right" w:leader="dot" w:pos="9062"/>
            </w:tabs>
            <w:rPr>
              <w:rFonts w:asciiTheme="minorHAnsi" w:eastAsiaTheme="minorEastAsia" w:hAnsiTheme="minorHAnsi" w:cstheme="minorBidi"/>
              <w:noProof/>
              <w:sz w:val="22"/>
              <w:szCs w:val="22"/>
              <w:lang w:eastAsia="sl-SI"/>
            </w:rPr>
          </w:pPr>
          <w:hyperlink w:anchor="_Toc86826505" w:history="1">
            <w:r w:rsidR="000834CF" w:rsidRPr="00155028">
              <w:rPr>
                <w:rStyle w:val="Hiperpovezava"/>
                <w:b/>
                <w:bCs/>
                <w:noProof/>
              </w:rPr>
              <w:t>8. VIRI IN LITERATURA</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_Toc86826505 \h </w:instrText>
            </w:r>
            <w:r w:rsidR="000834CF" w:rsidRPr="00155028">
              <w:rPr>
                <w:noProof/>
                <w:webHidden/>
              </w:rPr>
            </w:r>
            <w:r w:rsidR="000834CF" w:rsidRPr="00155028">
              <w:rPr>
                <w:noProof/>
                <w:webHidden/>
              </w:rPr>
              <w:fldChar w:fldCharType="separate"/>
            </w:r>
            <w:r w:rsidR="00F25B09">
              <w:rPr>
                <w:noProof/>
                <w:webHidden/>
              </w:rPr>
              <w:t>41</w:t>
            </w:r>
            <w:r w:rsidR="000834CF" w:rsidRPr="00155028">
              <w:rPr>
                <w:noProof/>
                <w:webHidden/>
              </w:rPr>
              <w:fldChar w:fldCharType="end"/>
            </w:r>
          </w:hyperlink>
        </w:p>
        <w:p w14:paraId="5390717E" w14:textId="3F5DF44D" w:rsidR="00342C52" w:rsidRPr="00155028" w:rsidRDefault="00342C52" w:rsidP="007F41C6">
          <w:pPr>
            <w:rPr>
              <w:b/>
              <w:bCs/>
            </w:rPr>
          </w:pPr>
          <w:r w:rsidRPr="00155028">
            <w:rPr>
              <w:b/>
              <w:bCs/>
            </w:rPr>
            <w:fldChar w:fldCharType="end"/>
          </w:r>
        </w:p>
        <w:p w14:paraId="5C8B5BF1" w14:textId="77ACD094" w:rsidR="00F80C74" w:rsidRPr="00155028" w:rsidRDefault="00783478" w:rsidP="00F80C74"/>
      </w:sdtContent>
    </w:sdt>
    <w:p w14:paraId="0158F847" w14:textId="6EBC4CD0" w:rsidR="009F4F97" w:rsidRPr="00155028" w:rsidRDefault="009F4F97">
      <w:pPr>
        <w:rPr>
          <w:sz w:val="20"/>
        </w:rPr>
      </w:pPr>
      <w:r w:rsidRPr="00155028">
        <w:rPr>
          <w:sz w:val="20"/>
        </w:rPr>
        <w:br w:type="page"/>
      </w:r>
    </w:p>
    <w:p w14:paraId="07D85E5D" w14:textId="77777777" w:rsidR="009F4F97" w:rsidRPr="00155028" w:rsidRDefault="009F4F97" w:rsidP="009F4F97">
      <w:pPr>
        <w:rPr>
          <w:b/>
          <w:color w:val="548DD4" w:themeColor="text2" w:themeTint="99"/>
        </w:rPr>
      </w:pPr>
      <w:r w:rsidRPr="00155028">
        <w:rPr>
          <w:b/>
          <w:color w:val="548DD4" w:themeColor="text2" w:themeTint="99"/>
        </w:rPr>
        <w:lastRenderedPageBreak/>
        <w:t>Kazalo slik</w:t>
      </w:r>
    </w:p>
    <w:p w14:paraId="6D5E4D7E" w14:textId="30DFD920" w:rsidR="000834CF" w:rsidRPr="00155028" w:rsidRDefault="00FA679D">
      <w:pPr>
        <w:pStyle w:val="Kazaloslik"/>
        <w:tabs>
          <w:tab w:val="right" w:leader="dot" w:pos="9062"/>
        </w:tabs>
        <w:rPr>
          <w:rFonts w:asciiTheme="minorHAnsi" w:eastAsiaTheme="minorEastAsia" w:hAnsiTheme="minorHAnsi" w:cstheme="minorBidi"/>
          <w:noProof/>
          <w:sz w:val="22"/>
          <w:szCs w:val="22"/>
          <w:lang w:eastAsia="sl-SI"/>
        </w:rPr>
      </w:pPr>
      <w:r w:rsidRPr="00155028">
        <w:rPr>
          <w:sz w:val="20"/>
        </w:rPr>
        <w:fldChar w:fldCharType="begin"/>
      </w:r>
      <w:r w:rsidRPr="00155028">
        <w:rPr>
          <w:sz w:val="20"/>
        </w:rPr>
        <w:instrText xml:space="preserve"> TOC \h \z \c "Slika" </w:instrText>
      </w:r>
      <w:r w:rsidRPr="00155028">
        <w:rPr>
          <w:sz w:val="20"/>
        </w:rPr>
        <w:fldChar w:fldCharType="separate"/>
      </w:r>
      <w:hyperlink w:anchor="_Toc86826506" w:history="1">
        <w:r w:rsidR="000834CF" w:rsidRPr="00155028">
          <w:rPr>
            <w:rStyle w:val="Hiperpovezava"/>
            <w:noProof/>
          </w:rPr>
          <w:t>Slika 1:Skupna prodaja veterinarskih protimikrobnih zdravil za živalske vrste, ki proizvajajo hrano, v mg/PCU, po državah, od 2010 do 2017 (VIR: NINTH ESVAC REPORT)</w:t>
        </w:r>
        <w:r w:rsidR="000834CF" w:rsidRPr="00155028">
          <w:rPr>
            <w:rStyle w:val="Hiperpovezava"/>
            <w:noProof/>
            <w:vertAlign w:val="superscript"/>
          </w:rPr>
          <w:t>2</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_Toc86826506 \h </w:instrText>
        </w:r>
        <w:r w:rsidR="000834CF" w:rsidRPr="00155028">
          <w:rPr>
            <w:noProof/>
            <w:webHidden/>
          </w:rPr>
        </w:r>
        <w:r w:rsidR="000834CF" w:rsidRPr="00155028">
          <w:rPr>
            <w:noProof/>
            <w:webHidden/>
          </w:rPr>
          <w:fldChar w:fldCharType="separate"/>
        </w:r>
        <w:r w:rsidR="00F25B09">
          <w:rPr>
            <w:noProof/>
            <w:webHidden/>
          </w:rPr>
          <w:t>7</w:t>
        </w:r>
        <w:r w:rsidR="000834CF" w:rsidRPr="00155028">
          <w:rPr>
            <w:noProof/>
            <w:webHidden/>
          </w:rPr>
          <w:fldChar w:fldCharType="end"/>
        </w:r>
      </w:hyperlink>
    </w:p>
    <w:p w14:paraId="55CFCE76" w14:textId="1699602B" w:rsidR="000834CF" w:rsidRPr="00155028" w:rsidRDefault="00783478">
      <w:pPr>
        <w:pStyle w:val="Kazaloslik"/>
        <w:tabs>
          <w:tab w:val="right" w:leader="dot" w:pos="9062"/>
        </w:tabs>
        <w:rPr>
          <w:rFonts w:asciiTheme="minorHAnsi" w:eastAsiaTheme="minorEastAsia" w:hAnsiTheme="minorHAnsi" w:cstheme="minorBidi"/>
          <w:noProof/>
          <w:sz w:val="22"/>
          <w:szCs w:val="22"/>
          <w:lang w:eastAsia="sl-SI"/>
        </w:rPr>
      </w:pPr>
      <w:hyperlink w:anchor="_Toc86826507" w:history="1">
        <w:r w:rsidR="000834CF" w:rsidRPr="00155028">
          <w:rPr>
            <w:rStyle w:val="Hiperpovezava"/>
            <w:noProof/>
          </w:rPr>
          <w:t>Slika 2: Prodaja  veterinarskih protimikrobnih zdravil za živali za proizvodnjo hrane (v mg/PCU) po evropskih državah v letu 2017 (VIR: NINTH ESVAC REPORT)</w:t>
        </w:r>
        <w:r w:rsidR="000834CF" w:rsidRPr="00155028">
          <w:rPr>
            <w:rStyle w:val="Hiperpovezava"/>
            <w:noProof/>
            <w:vertAlign w:val="superscript"/>
          </w:rPr>
          <w:t>2</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_Toc86826507 \h </w:instrText>
        </w:r>
        <w:r w:rsidR="000834CF" w:rsidRPr="00155028">
          <w:rPr>
            <w:noProof/>
            <w:webHidden/>
          </w:rPr>
        </w:r>
        <w:r w:rsidR="000834CF" w:rsidRPr="00155028">
          <w:rPr>
            <w:noProof/>
            <w:webHidden/>
          </w:rPr>
          <w:fldChar w:fldCharType="separate"/>
        </w:r>
        <w:r w:rsidR="00F25B09">
          <w:rPr>
            <w:noProof/>
            <w:webHidden/>
          </w:rPr>
          <w:t>8</w:t>
        </w:r>
        <w:r w:rsidR="000834CF" w:rsidRPr="00155028">
          <w:rPr>
            <w:noProof/>
            <w:webHidden/>
          </w:rPr>
          <w:fldChar w:fldCharType="end"/>
        </w:r>
      </w:hyperlink>
    </w:p>
    <w:p w14:paraId="20307018" w14:textId="150B064C" w:rsidR="000834CF" w:rsidRPr="00155028" w:rsidRDefault="00783478">
      <w:pPr>
        <w:pStyle w:val="Kazaloslik"/>
        <w:tabs>
          <w:tab w:val="right" w:leader="dot" w:pos="9062"/>
        </w:tabs>
        <w:rPr>
          <w:rFonts w:asciiTheme="minorHAnsi" w:eastAsiaTheme="minorEastAsia" w:hAnsiTheme="minorHAnsi" w:cstheme="minorBidi"/>
          <w:noProof/>
          <w:sz w:val="22"/>
          <w:szCs w:val="22"/>
          <w:lang w:eastAsia="sl-SI"/>
        </w:rPr>
      </w:pPr>
      <w:hyperlink w:anchor="_Toc86826508" w:history="1">
        <w:r w:rsidR="000834CF" w:rsidRPr="00155028">
          <w:rPr>
            <w:rStyle w:val="Hiperpovezava"/>
            <w:noProof/>
          </w:rPr>
          <w:t>Slika 3:Prodaja veterinarskih protimikrobnih zdravil za živali za proizvodnjo hrane (v mg/PCU) v Sloveniji ter v 25 državah EU in EGP v obdobju med leti 2011 in 2017 (Vir: Ninth ESVAC report)</w:t>
        </w:r>
        <w:r w:rsidR="000834CF" w:rsidRPr="00155028">
          <w:rPr>
            <w:rStyle w:val="Hiperpovezava"/>
            <w:noProof/>
            <w:vertAlign w:val="superscript"/>
          </w:rPr>
          <w:t xml:space="preserve"> 2</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_Toc86826508 \h </w:instrText>
        </w:r>
        <w:r w:rsidR="000834CF" w:rsidRPr="00155028">
          <w:rPr>
            <w:noProof/>
            <w:webHidden/>
          </w:rPr>
        </w:r>
        <w:r w:rsidR="000834CF" w:rsidRPr="00155028">
          <w:rPr>
            <w:noProof/>
            <w:webHidden/>
          </w:rPr>
          <w:fldChar w:fldCharType="separate"/>
        </w:r>
        <w:r w:rsidR="00F25B09">
          <w:rPr>
            <w:noProof/>
            <w:webHidden/>
          </w:rPr>
          <w:t>9</w:t>
        </w:r>
        <w:r w:rsidR="000834CF" w:rsidRPr="00155028">
          <w:rPr>
            <w:noProof/>
            <w:webHidden/>
          </w:rPr>
          <w:fldChar w:fldCharType="end"/>
        </w:r>
      </w:hyperlink>
    </w:p>
    <w:p w14:paraId="7D48F96B" w14:textId="62FD5FAF" w:rsidR="000834CF" w:rsidRPr="00155028" w:rsidRDefault="00783478">
      <w:pPr>
        <w:pStyle w:val="Kazaloslik"/>
        <w:tabs>
          <w:tab w:val="right" w:leader="dot" w:pos="9062"/>
        </w:tabs>
        <w:rPr>
          <w:rFonts w:asciiTheme="minorHAnsi" w:eastAsiaTheme="minorEastAsia" w:hAnsiTheme="minorHAnsi" w:cstheme="minorBidi"/>
          <w:noProof/>
          <w:sz w:val="22"/>
          <w:szCs w:val="22"/>
          <w:lang w:eastAsia="sl-SI"/>
        </w:rPr>
      </w:pPr>
      <w:hyperlink w:anchor="_Toc86826509" w:history="1">
        <w:r w:rsidR="000834CF" w:rsidRPr="00155028">
          <w:rPr>
            <w:rStyle w:val="Hiperpovezava"/>
            <w:noProof/>
          </w:rPr>
          <w:t>Slika 4:Prodaja  cefalosporinov 3. in 4. generacije, fluorokinolonov, drugih kinolonov in polimiksinov pri živalih za hrano, v mg/PCU, za 31 Evropskih držav v letu 2017  (Vir: Ninth ESVAC report)</w:t>
        </w:r>
        <w:r w:rsidR="000834CF" w:rsidRPr="00155028">
          <w:rPr>
            <w:rStyle w:val="Hiperpovezava"/>
            <w:noProof/>
            <w:vertAlign w:val="superscript"/>
          </w:rPr>
          <w:t>2</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_Toc86826509 \h </w:instrText>
        </w:r>
        <w:r w:rsidR="000834CF" w:rsidRPr="00155028">
          <w:rPr>
            <w:noProof/>
            <w:webHidden/>
          </w:rPr>
        </w:r>
        <w:r w:rsidR="000834CF" w:rsidRPr="00155028">
          <w:rPr>
            <w:noProof/>
            <w:webHidden/>
          </w:rPr>
          <w:fldChar w:fldCharType="separate"/>
        </w:r>
        <w:r w:rsidR="00F25B09">
          <w:rPr>
            <w:noProof/>
            <w:webHidden/>
          </w:rPr>
          <w:t>10</w:t>
        </w:r>
        <w:r w:rsidR="000834CF" w:rsidRPr="00155028">
          <w:rPr>
            <w:noProof/>
            <w:webHidden/>
          </w:rPr>
          <w:fldChar w:fldCharType="end"/>
        </w:r>
      </w:hyperlink>
    </w:p>
    <w:p w14:paraId="7395809E" w14:textId="2D4CA0C1" w:rsidR="000834CF" w:rsidRPr="00155028" w:rsidRDefault="00783478">
      <w:pPr>
        <w:pStyle w:val="Kazaloslik"/>
        <w:tabs>
          <w:tab w:val="right" w:leader="dot" w:pos="9062"/>
        </w:tabs>
        <w:rPr>
          <w:rFonts w:asciiTheme="minorHAnsi" w:eastAsiaTheme="minorEastAsia" w:hAnsiTheme="minorHAnsi" w:cstheme="minorBidi"/>
          <w:noProof/>
          <w:sz w:val="22"/>
          <w:szCs w:val="22"/>
          <w:lang w:eastAsia="sl-SI"/>
        </w:rPr>
      </w:pPr>
      <w:hyperlink w:anchor="_Toc86826510" w:history="1">
        <w:r w:rsidR="000834CF" w:rsidRPr="00155028">
          <w:rPr>
            <w:rStyle w:val="Hiperpovezava"/>
            <w:noProof/>
          </w:rPr>
          <w:t>Slika 5:Prodaja fitofarmacevtskih sredstev (v milijonih kilogramov) v letu 2018 v EU</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_Toc86826510 \h </w:instrText>
        </w:r>
        <w:r w:rsidR="000834CF" w:rsidRPr="00155028">
          <w:rPr>
            <w:noProof/>
            <w:webHidden/>
          </w:rPr>
        </w:r>
        <w:r w:rsidR="000834CF" w:rsidRPr="00155028">
          <w:rPr>
            <w:noProof/>
            <w:webHidden/>
          </w:rPr>
          <w:fldChar w:fldCharType="separate"/>
        </w:r>
        <w:r w:rsidR="00F25B09">
          <w:rPr>
            <w:noProof/>
            <w:webHidden/>
          </w:rPr>
          <w:t>12</w:t>
        </w:r>
        <w:r w:rsidR="000834CF" w:rsidRPr="00155028">
          <w:rPr>
            <w:noProof/>
            <w:webHidden/>
          </w:rPr>
          <w:fldChar w:fldCharType="end"/>
        </w:r>
      </w:hyperlink>
    </w:p>
    <w:p w14:paraId="49742C40" w14:textId="6FBFE055" w:rsidR="000834CF" w:rsidRPr="00155028" w:rsidRDefault="00783478">
      <w:pPr>
        <w:pStyle w:val="Kazaloslik"/>
        <w:tabs>
          <w:tab w:val="right" w:leader="dot" w:pos="9062"/>
        </w:tabs>
        <w:rPr>
          <w:rFonts w:asciiTheme="minorHAnsi" w:eastAsiaTheme="minorEastAsia" w:hAnsiTheme="minorHAnsi" w:cstheme="minorBidi"/>
          <w:noProof/>
          <w:sz w:val="22"/>
          <w:szCs w:val="22"/>
          <w:lang w:eastAsia="sl-SI"/>
        </w:rPr>
      </w:pPr>
      <w:hyperlink w:anchor="_Toc86826511" w:history="1">
        <w:r w:rsidR="000834CF" w:rsidRPr="00155028">
          <w:rPr>
            <w:rStyle w:val="Hiperpovezava"/>
            <w:noProof/>
          </w:rPr>
          <w:t>Slika 6: Prodaja fitofarmacevtskih sredstev (v milijonih kilogramov) v obdobju 2001-2019 v EU</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_Toc86826511 \h </w:instrText>
        </w:r>
        <w:r w:rsidR="000834CF" w:rsidRPr="00155028">
          <w:rPr>
            <w:noProof/>
            <w:webHidden/>
          </w:rPr>
        </w:r>
        <w:r w:rsidR="000834CF" w:rsidRPr="00155028">
          <w:rPr>
            <w:noProof/>
            <w:webHidden/>
          </w:rPr>
          <w:fldChar w:fldCharType="separate"/>
        </w:r>
        <w:r w:rsidR="00F25B09">
          <w:rPr>
            <w:noProof/>
            <w:webHidden/>
          </w:rPr>
          <w:t>13</w:t>
        </w:r>
        <w:r w:rsidR="000834CF" w:rsidRPr="00155028">
          <w:rPr>
            <w:noProof/>
            <w:webHidden/>
          </w:rPr>
          <w:fldChar w:fldCharType="end"/>
        </w:r>
      </w:hyperlink>
    </w:p>
    <w:p w14:paraId="08D28106" w14:textId="2F0DFD03" w:rsidR="000834CF" w:rsidRPr="00155028" w:rsidRDefault="00783478">
      <w:pPr>
        <w:pStyle w:val="Kazaloslik"/>
        <w:tabs>
          <w:tab w:val="right" w:leader="dot" w:pos="9062"/>
        </w:tabs>
        <w:rPr>
          <w:rFonts w:asciiTheme="minorHAnsi" w:eastAsiaTheme="minorEastAsia" w:hAnsiTheme="minorHAnsi" w:cstheme="minorBidi"/>
          <w:noProof/>
          <w:sz w:val="22"/>
          <w:szCs w:val="22"/>
          <w:lang w:eastAsia="sl-SI"/>
        </w:rPr>
      </w:pPr>
      <w:hyperlink w:anchor="_Toc86826512" w:history="1">
        <w:r w:rsidR="000834CF" w:rsidRPr="00155028">
          <w:rPr>
            <w:rStyle w:val="Hiperpovezava"/>
            <w:noProof/>
          </w:rPr>
          <w:t>Slika 7: Pomembnost zaščite dobrobiti rejnih živali za potrošnike v EU in Sloveniji</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_Toc86826512 \h </w:instrText>
        </w:r>
        <w:r w:rsidR="000834CF" w:rsidRPr="00155028">
          <w:rPr>
            <w:noProof/>
            <w:webHidden/>
          </w:rPr>
        </w:r>
        <w:r w:rsidR="000834CF" w:rsidRPr="00155028">
          <w:rPr>
            <w:noProof/>
            <w:webHidden/>
          </w:rPr>
          <w:fldChar w:fldCharType="separate"/>
        </w:r>
        <w:r w:rsidR="00F25B09">
          <w:rPr>
            <w:noProof/>
            <w:webHidden/>
          </w:rPr>
          <w:t>24</w:t>
        </w:r>
        <w:r w:rsidR="000834CF" w:rsidRPr="00155028">
          <w:rPr>
            <w:noProof/>
            <w:webHidden/>
          </w:rPr>
          <w:fldChar w:fldCharType="end"/>
        </w:r>
      </w:hyperlink>
    </w:p>
    <w:p w14:paraId="0EAC7AA1" w14:textId="46B037BA" w:rsidR="000834CF" w:rsidRPr="00155028" w:rsidRDefault="00783478">
      <w:pPr>
        <w:pStyle w:val="Kazaloslik"/>
        <w:tabs>
          <w:tab w:val="right" w:leader="dot" w:pos="9062"/>
        </w:tabs>
        <w:rPr>
          <w:rFonts w:asciiTheme="minorHAnsi" w:eastAsiaTheme="minorEastAsia" w:hAnsiTheme="minorHAnsi" w:cstheme="minorBidi"/>
          <w:noProof/>
          <w:sz w:val="22"/>
          <w:szCs w:val="22"/>
          <w:lang w:eastAsia="sl-SI"/>
        </w:rPr>
      </w:pPr>
      <w:hyperlink w:anchor="_Toc86826513" w:history="1">
        <w:r w:rsidR="000834CF" w:rsidRPr="00155028">
          <w:rPr>
            <w:rStyle w:val="Hiperpovezava"/>
            <w:noProof/>
          </w:rPr>
          <w:t>Slika 8: Koliko so pripravljeni EU in slovenski potrošniki plačati več za izdelke, ki izvirajo iz živalim prijaznih sistemov reje</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_Toc86826513 \h </w:instrText>
        </w:r>
        <w:r w:rsidR="000834CF" w:rsidRPr="00155028">
          <w:rPr>
            <w:noProof/>
            <w:webHidden/>
          </w:rPr>
        </w:r>
        <w:r w:rsidR="000834CF" w:rsidRPr="00155028">
          <w:rPr>
            <w:noProof/>
            <w:webHidden/>
          </w:rPr>
          <w:fldChar w:fldCharType="separate"/>
        </w:r>
        <w:r w:rsidR="00F25B09">
          <w:rPr>
            <w:noProof/>
            <w:webHidden/>
          </w:rPr>
          <w:t>24</w:t>
        </w:r>
        <w:r w:rsidR="000834CF" w:rsidRPr="00155028">
          <w:rPr>
            <w:noProof/>
            <w:webHidden/>
          </w:rPr>
          <w:fldChar w:fldCharType="end"/>
        </w:r>
      </w:hyperlink>
    </w:p>
    <w:p w14:paraId="09E935DA" w14:textId="7156BA07" w:rsidR="000834CF" w:rsidRPr="00155028" w:rsidRDefault="00783478">
      <w:pPr>
        <w:pStyle w:val="Kazaloslik"/>
        <w:tabs>
          <w:tab w:val="right" w:leader="dot" w:pos="9062"/>
        </w:tabs>
        <w:rPr>
          <w:rFonts w:asciiTheme="minorHAnsi" w:eastAsiaTheme="minorEastAsia" w:hAnsiTheme="minorHAnsi" w:cstheme="minorBidi"/>
          <w:noProof/>
          <w:sz w:val="22"/>
          <w:szCs w:val="22"/>
          <w:lang w:eastAsia="sl-SI"/>
        </w:rPr>
      </w:pPr>
      <w:hyperlink w:anchor="_Toc86826514" w:history="1">
        <w:r w:rsidR="000834CF" w:rsidRPr="00155028">
          <w:rPr>
            <w:rStyle w:val="Hiperpovezava"/>
            <w:noProof/>
          </w:rPr>
          <w:t>Slika 9: Delež EU in slovenskih potrošnikov, ki pri nakupu na izdelkih iščejo oznake, da le ti izvirajo iz živalim prijaznih sistemov reje</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_Toc86826514 \h </w:instrText>
        </w:r>
        <w:r w:rsidR="000834CF" w:rsidRPr="00155028">
          <w:rPr>
            <w:noProof/>
            <w:webHidden/>
          </w:rPr>
        </w:r>
        <w:r w:rsidR="000834CF" w:rsidRPr="00155028">
          <w:rPr>
            <w:noProof/>
            <w:webHidden/>
          </w:rPr>
          <w:fldChar w:fldCharType="separate"/>
        </w:r>
        <w:r w:rsidR="00F25B09">
          <w:rPr>
            <w:noProof/>
            <w:webHidden/>
          </w:rPr>
          <w:t>25</w:t>
        </w:r>
        <w:r w:rsidR="000834CF" w:rsidRPr="00155028">
          <w:rPr>
            <w:noProof/>
            <w:webHidden/>
          </w:rPr>
          <w:fldChar w:fldCharType="end"/>
        </w:r>
      </w:hyperlink>
    </w:p>
    <w:p w14:paraId="52C3AAFC" w14:textId="272B881E" w:rsidR="000834CF" w:rsidRPr="00155028" w:rsidRDefault="00783478">
      <w:pPr>
        <w:pStyle w:val="Kazaloslik"/>
        <w:tabs>
          <w:tab w:val="right" w:leader="dot" w:pos="9062"/>
        </w:tabs>
        <w:rPr>
          <w:rFonts w:asciiTheme="minorHAnsi" w:eastAsiaTheme="minorEastAsia" w:hAnsiTheme="minorHAnsi" w:cstheme="minorBidi"/>
          <w:noProof/>
          <w:sz w:val="22"/>
          <w:szCs w:val="22"/>
          <w:lang w:eastAsia="sl-SI"/>
        </w:rPr>
      </w:pPr>
      <w:hyperlink w:anchor="_Toc86826515" w:history="1">
        <w:r w:rsidR="000834CF" w:rsidRPr="00155028">
          <w:rPr>
            <w:rStyle w:val="Hiperpovezava"/>
            <w:noProof/>
          </w:rPr>
          <w:t>Slika 10: Skupno število glav velike živine (GVŽ) in deleži po posameznih kategorijah živali, 2016 (kazalnik stanja C.22)</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_Toc86826515 \h </w:instrText>
        </w:r>
        <w:r w:rsidR="000834CF" w:rsidRPr="00155028">
          <w:rPr>
            <w:noProof/>
            <w:webHidden/>
          </w:rPr>
        </w:r>
        <w:r w:rsidR="000834CF" w:rsidRPr="00155028">
          <w:rPr>
            <w:noProof/>
            <w:webHidden/>
          </w:rPr>
          <w:fldChar w:fldCharType="separate"/>
        </w:r>
        <w:r w:rsidR="00F25B09">
          <w:rPr>
            <w:noProof/>
            <w:webHidden/>
          </w:rPr>
          <w:t>25</w:t>
        </w:r>
        <w:r w:rsidR="000834CF" w:rsidRPr="00155028">
          <w:rPr>
            <w:noProof/>
            <w:webHidden/>
          </w:rPr>
          <w:fldChar w:fldCharType="end"/>
        </w:r>
      </w:hyperlink>
    </w:p>
    <w:p w14:paraId="378367A1" w14:textId="4C11BE31" w:rsidR="000834CF" w:rsidRPr="00155028" w:rsidRDefault="00783478">
      <w:pPr>
        <w:pStyle w:val="Kazaloslik"/>
        <w:tabs>
          <w:tab w:val="right" w:leader="dot" w:pos="9062"/>
        </w:tabs>
        <w:rPr>
          <w:rFonts w:asciiTheme="minorHAnsi" w:eastAsiaTheme="minorEastAsia" w:hAnsiTheme="minorHAnsi" w:cstheme="minorBidi"/>
          <w:noProof/>
          <w:sz w:val="22"/>
          <w:szCs w:val="22"/>
          <w:lang w:eastAsia="sl-SI"/>
        </w:rPr>
      </w:pPr>
      <w:hyperlink w:anchor="_Toc86826516" w:history="1">
        <w:r w:rsidR="000834CF" w:rsidRPr="00155028">
          <w:rPr>
            <w:rStyle w:val="Hiperpovezava"/>
            <w:noProof/>
          </w:rPr>
          <w:t>Slika 11: Število GVŽ in delež prašičev vključenih v ukrep DŽ glede na celoten stalež prašičev v GVŽ</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_Toc86826516 \h </w:instrText>
        </w:r>
        <w:r w:rsidR="000834CF" w:rsidRPr="00155028">
          <w:rPr>
            <w:noProof/>
            <w:webHidden/>
          </w:rPr>
        </w:r>
        <w:r w:rsidR="000834CF" w:rsidRPr="00155028">
          <w:rPr>
            <w:noProof/>
            <w:webHidden/>
          </w:rPr>
          <w:fldChar w:fldCharType="separate"/>
        </w:r>
        <w:r w:rsidR="00F25B09">
          <w:rPr>
            <w:noProof/>
            <w:webHidden/>
          </w:rPr>
          <w:t>31</w:t>
        </w:r>
        <w:r w:rsidR="000834CF" w:rsidRPr="00155028">
          <w:rPr>
            <w:noProof/>
            <w:webHidden/>
          </w:rPr>
          <w:fldChar w:fldCharType="end"/>
        </w:r>
      </w:hyperlink>
    </w:p>
    <w:p w14:paraId="472B5C69" w14:textId="5FBA28BA" w:rsidR="000834CF" w:rsidRPr="00155028" w:rsidRDefault="00783478">
      <w:pPr>
        <w:pStyle w:val="Kazaloslik"/>
        <w:tabs>
          <w:tab w:val="right" w:leader="dot" w:pos="9062"/>
        </w:tabs>
        <w:rPr>
          <w:rFonts w:asciiTheme="minorHAnsi" w:eastAsiaTheme="minorEastAsia" w:hAnsiTheme="minorHAnsi" w:cstheme="minorBidi"/>
          <w:noProof/>
          <w:sz w:val="22"/>
          <w:szCs w:val="22"/>
          <w:lang w:eastAsia="sl-SI"/>
        </w:rPr>
      </w:pPr>
      <w:hyperlink w:anchor="_Toc86826517" w:history="1">
        <w:r w:rsidR="000834CF" w:rsidRPr="00155028">
          <w:rPr>
            <w:rStyle w:val="Hiperpovezava"/>
            <w:noProof/>
          </w:rPr>
          <w:t>Slika 12: Število GVŽ in delež goveda vključenega v ukrep DŽ glede na celoten stalež goveda v GVŽ</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_Toc86826517 \h </w:instrText>
        </w:r>
        <w:r w:rsidR="000834CF" w:rsidRPr="00155028">
          <w:rPr>
            <w:noProof/>
            <w:webHidden/>
          </w:rPr>
        </w:r>
        <w:r w:rsidR="000834CF" w:rsidRPr="00155028">
          <w:rPr>
            <w:noProof/>
            <w:webHidden/>
          </w:rPr>
          <w:fldChar w:fldCharType="separate"/>
        </w:r>
        <w:r w:rsidR="00F25B09">
          <w:rPr>
            <w:noProof/>
            <w:webHidden/>
          </w:rPr>
          <w:t>31</w:t>
        </w:r>
        <w:r w:rsidR="000834CF" w:rsidRPr="00155028">
          <w:rPr>
            <w:noProof/>
            <w:webHidden/>
          </w:rPr>
          <w:fldChar w:fldCharType="end"/>
        </w:r>
      </w:hyperlink>
    </w:p>
    <w:p w14:paraId="65850893" w14:textId="03B959FD" w:rsidR="000834CF" w:rsidRPr="00155028" w:rsidRDefault="00783478">
      <w:pPr>
        <w:pStyle w:val="Kazaloslik"/>
        <w:tabs>
          <w:tab w:val="right" w:leader="dot" w:pos="9062"/>
        </w:tabs>
        <w:rPr>
          <w:rFonts w:asciiTheme="minorHAnsi" w:eastAsiaTheme="minorEastAsia" w:hAnsiTheme="minorHAnsi" w:cstheme="minorBidi"/>
          <w:noProof/>
          <w:sz w:val="22"/>
          <w:szCs w:val="22"/>
          <w:lang w:eastAsia="sl-SI"/>
        </w:rPr>
      </w:pPr>
      <w:hyperlink w:anchor="_Toc86826518" w:history="1">
        <w:r w:rsidR="000834CF" w:rsidRPr="00155028">
          <w:rPr>
            <w:rStyle w:val="Hiperpovezava"/>
            <w:noProof/>
          </w:rPr>
          <w:t>Slika 13: Število GVŽ in delež drobnice vključene v ukrep DŽ glede na celoten stalež drobnice v GVŽ</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_Toc86826518 \h </w:instrText>
        </w:r>
        <w:r w:rsidR="000834CF" w:rsidRPr="00155028">
          <w:rPr>
            <w:noProof/>
            <w:webHidden/>
          </w:rPr>
        </w:r>
        <w:r w:rsidR="000834CF" w:rsidRPr="00155028">
          <w:rPr>
            <w:noProof/>
            <w:webHidden/>
          </w:rPr>
          <w:fldChar w:fldCharType="separate"/>
        </w:r>
        <w:r w:rsidR="00F25B09">
          <w:rPr>
            <w:noProof/>
            <w:webHidden/>
          </w:rPr>
          <w:t>32</w:t>
        </w:r>
        <w:r w:rsidR="000834CF" w:rsidRPr="00155028">
          <w:rPr>
            <w:noProof/>
            <w:webHidden/>
          </w:rPr>
          <w:fldChar w:fldCharType="end"/>
        </w:r>
      </w:hyperlink>
    </w:p>
    <w:p w14:paraId="3BA6E6D7" w14:textId="78BE0065" w:rsidR="000834CF" w:rsidRPr="00155028" w:rsidRDefault="00783478">
      <w:pPr>
        <w:pStyle w:val="Kazaloslik"/>
        <w:tabs>
          <w:tab w:val="right" w:leader="dot" w:pos="9062"/>
        </w:tabs>
        <w:rPr>
          <w:rFonts w:asciiTheme="minorHAnsi" w:eastAsiaTheme="minorEastAsia" w:hAnsiTheme="minorHAnsi" w:cstheme="minorBidi"/>
          <w:noProof/>
          <w:sz w:val="22"/>
          <w:szCs w:val="22"/>
          <w:lang w:eastAsia="sl-SI"/>
        </w:rPr>
      </w:pPr>
      <w:hyperlink w:anchor="_Toc86826519" w:history="1">
        <w:r w:rsidR="000834CF" w:rsidRPr="00155028">
          <w:rPr>
            <w:rStyle w:val="Hiperpovezava"/>
            <w:noProof/>
          </w:rPr>
          <w:t>Slika 14: Odpadna hrana po gospodinjstvih in skupaj  (1000 t) po letih</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_Toc86826519 \h </w:instrText>
        </w:r>
        <w:r w:rsidR="000834CF" w:rsidRPr="00155028">
          <w:rPr>
            <w:noProof/>
            <w:webHidden/>
          </w:rPr>
        </w:r>
        <w:r w:rsidR="000834CF" w:rsidRPr="00155028">
          <w:rPr>
            <w:noProof/>
            <w:webHidden/>
          </w:rPr>
          <w:fldChar w:fldCharType="separate"/>
        </w:r>
        <w:r w:rsidR="00F25B09">
          <w:rPr>
            <w:noProof/>
            <w:webHidden/>
          </w:rPr>
          <w:t>35</w:t>
        </w:r>
        <w:r w:rsidR="000834CF" w:rsidRPr="00155028">
          <w:rPr>
            <w:noProof/>
            <w:webHidden/>
          </w:rPr>
          <w:fldChar w:fldCharType="end"/>
        </w:r>
      </w:hyperlink>
    </w:p>
    <w:p w14:paraId="1DCBDD68" w14:textId="77777777" w:rsidR="003C239F" w:rsidRPr="00155028" w:rsidRDefault="00FA679D" w:rsidP="009F4F97">
      <w:r w:rsidRPr="00155028">
        <w:rPr>
          <w:sz w:val="20"/>
        </w:rPr>
        <w:fldChar w:fldCharType="end"/>
      </w:r>
      <w:r w:rsidR="00F80C74" w:rsidRPr="00155028">
        <w:t xml:space="preserve"> </w:t>
      </w:r>
    </w:p>
    <w:p w14:paraId="7446DECC" w14:textId="77777777" w:rsidR="003C239F" w:rsidRPr="00155028" w:rsidRDefault="003C239F">
      <w:r w:rsidRPr="00155028">
        <w:br w:type="page"/>
      </w:r>
    </w:p>
    <w:p w14:paraId="1FD98FF8" w14:textId="30F9A54A" w:rsidR="009F4F97" w:rsidRPr="00155028" w:rsidRDefault="009F4F97" w:rsidP="009F4F97">
      <w:pPr>
        <w:rPr>
          <w:b/>
          <w:color w:val="548DD4" w:themeColor="text2" w:themeTint="99"/>
        </w:rPr>
      </w:pPr>
      <w:r w:rsidRPr="00155028">
        <w:rPr>
          <w:b/>
          <w:color w:val="548DD4" w:themeColor="text2" w:themeTint="99"/>
        </w:rPr>
        <w:lastRenderedPageBreak/>
        <w:t>Kazalo tabel</w:t>
      </w:r>
    </w:p>
    <w:p w14:paraId="59BCEB42" w14:textId="2C221974" w:rsidR="000834CF" w:rsidRPr="00155028" w:rsidRDefault="00FA679D">
      <w:pPr>
        <w:pStyle w:val="Kazaloslik"/>
        <w:tabs>
          <w:tab w:val="right" w:leader="dot" w:pos="9062"/>
        </w:tabs>
        <w:rPr>
          <w:rFonts w:asciiTheme="minorHAnsi" w:eastAsiaTheme="minorEastAsia" w:hAnsiTheme="minorHAnsi" w:cstheme="minorBidi"/>
          <w:noProof/>
          <w:sz w:val="22"/>
          <w:szCs w:val="22"/>
          <w:lang w:eastAsia="sl-SI"/>
        </w:rPr>
      </w:pPr>
      <w:r w:rsidRPr="00155028">
        <w:rPr>
          <w:sz w:val="20"/>
        </w:rPr>
        <w:fldChar w:fldCharType="begin"/>
      </w:r>
      <w:r w:rsidRPr="00155028">
        <w:rPr>
          <w:sz w:val="20"/>
        </w:rPr>
        <w:instrText xml:space="preserve"> TOC \h \z \c "Tabela" </w:instrText>
      </w:r>
      <w:r w:rsidRPr="00155028">
        <w:rPr>
          <w:sz w:val="20"/>
        </w:rPr>
        <w:fldChar w:fldCharType="separate"/>
      </w:r>
      <w:hyperlink w:anchor="_Toc86826520" w:history="1">
        <w:r w:rsidR="000834CF" w:rsidRPr="00155028">
          <w:rPr>
            <w:rStyle w:val="Hiperpovezava"/>
            <w:noProof/>
          </w:rPr>
          <w:t>Tabela 1: Kazalniki stanja, ki so uporabljeni v okviru specifičnega cilja 9:</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_Toc86826520 \h </w:instrText>
        </w:r>
        <w:r w:rsidR="000834CF" w:rsidRPr="00155028">
          <w:rPr>
            <w:noProof/>
            <w:webHidden/>
          </w:rPr>
        </w:r>
        <w:r w:rsidR="000834CF" w:rsidRPr="00155028">
          <w:rPr>
            <w:noProof/>
            <w:webHidden/>
          </w:rPr>
          <w:fldChar w:fldCharType="separate"/>
        </w:r>
        <w:r w:rsidR="00F25B09">
          <w:rPr>
            <w:noProof/>
            <w:webHidden/>
          </w:rPr>
          <w:t>5</w:t>
        </w:r>
        <w:r w:rsidR="000834CF" w:rsidRPr="00155028">
          <w:rPr>
            <w:noProof/>
            <w:webHidden/>
          </w:rPr>
          <w:fldChar w:fldCharType="end"/>
        </w:r>
      </w:hyperlink>
    </w:p>
    <w:p w14:paraId="3F9A346B" w14:textId="33374D3C" w:rsidR="000834CF" w:rsidRPr="00155028" w:rsidRDefault="00783478">
      <w:pPr>
        <w:pStyle w:val="Kazaloslik"/>
        <w:tabs>
          <w:tab w:val="right" w:leader="dot" w:pos="9062"/>
        </w:tabs>
        <w:rPr>
          <w:rFonts w:asciiTheme="minorHAnsi" w:eastAsiaTheme="minorEastAsia" w:hAnsiTheme="minorHAnsi" w:cstheme="minorBidi"/>
          <w:noProof/>
          <w:sz w:val="22"/>
          <w:szCs w:val="22"/>
          <w:lang w:eastAsia="sl-SI"/>
        </w:rPr>
      </w:pPr>
      <w:hyperlink w:anchor="_Toc86826521" w:history="1">
        <w:r w:rsidR="000834CF" w:rsidRPr="00155028">
          <w:rPr>
            <w:rStyle w:val="Hiperpovezava"/>
            <w:noProof/>
          </w:rPr>
          <w:t>Tabela 2: Prodaja veterinarskih protimikrobnih zdravil za živali, ki so pretežno namenjene proizvodnji hrane, v Sloveniji, v tonah, od leta 2011 do leta 2017</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_Toc86826521 \h </w:instrText>
        </w:r>
        <w:r w:rsidR="000834CF" w:rsidRPr="00155028">
          <w:rPr>
            <w:noProof/>
            <w:webHidden/>
          </w:rPr>
        </w:r>
        <w:r w:rsidR="000834CF" w:rsidRPr="00155028">
          <w:rPr>
            <w:noProof/>
            <w:webHidden/>
          </w:rPr>
          <w:fldChar w:fldCharType="separate"/>
        </w:r>
        <w:r w:rsidR="00F25B09">
          <w:rPr>
            <w:noProof/>
            <w:webHidden/>
          </w:rPr>
          <w:t>9</w:t>
        </w:r>
        <w:r w:rsidR="000834CF" w:rsidRPr="00155028">
          <w:rPr>
            <w:noProof/>
            <w:webHidden/>
          </w:rPr>
          <w:fldChar w:fldCharType="end"/>
        </w:r>
      </w:hyperlink>
    </w:p>
    <w:p w14:paraId="19D9C6DD" w14:textId="6B9AC552" w:rsidR="000834CF" w:rsidRPr="00155028" w:rsidRDefault="00783478">
      <w:pPr>
        <w:pStyle w:val="Kazaloslik"/>
        <w:tabs>
          <w:tab w:val="right" w:leader="dot" w:pos="9062"/>
        </w:tabs>
        <w:rPr>
          <w:rFonts w:asciiTheme="minorHAnsi" w:eastAsiaTheme="minorEastAsia" w:hAnsiTheme="minorHAnsi" w:cstheme="minorBidi"/>
          <w:noProof/>
          <w:sz w:val="22"/>
          <w:szCs w:val="22"/>
          <w:lang w:eastAsia="sl-SI"/>
        </w:rPr>
      </w:pPr>
      <w:hyperlink w:anchor="_Toc86826522" w:history="1">
        <w:r w:rsidR="000834CF" w:rsidRPr="00155028">
          <w:rPr>
            <w:rStyle w:val="Hiperpovezava"/>
            <w:noProof/>
          </w:rPr>
          <w:t>Tabela 3: Prodaja FFS (kg aktivnih snovi) po glavnih skupinah, Slovenija, letno (kazalnik stanja C. 48)</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_Toc86826522 \h </w:instrText>
        </w:r>
        <w:r w:rsidR="000834CF" w:rsidRPr="00155028">
          <w:rPr>
            <w:noProof/>
            <w:webHidden/>
          </w:rPr>
        </w:r>
        <w:r w:rsidR="000834CF" w:rsidRPr="00155028">
          <w:rPr>
            <w:noProof/>
            <w:webHidden/>
          </w:rPr>
          <w:fldChar w:fldCharType="separate"/>
        </w:r>
        <w:r w:rsidR="00F25B09">
          <w:rPr>
            <w:noProof/>
            <w:webHidden/>
          </w:rPr>
          <w:t>13</w:t>
        </w:r>
        <w:r w:rsidR="000834CF" w:rsidRPr="00155028">
          <w:rPr>
            <w:noProof/>
            <w:webHidden/>
          </w:rPr>
          <w:fldChar w:fldCharType="end"/>
        </w:r>
      </w:hyperlink>
    </w:p>
    <w:p w14:paraId="52AEC588" w14:textId="2B90C26B" w:rsidR="000834CF" w:rsidRPr="00155028" w:rsidRDefault="00783478">
      <w:pPr>
        <w:pStyle w:val="Kazaloslik"/>
        <w:tabs>
          <w:tab w:val="right" w:leader="dot" w:pos="9062"/>
        </w:tabs>
        <w:rPr>
          <w:rFonts w:asciiTheme="minorHAnsi" w:eastAsiaTheme="minorEastAsia" w:hAnsiTheme="minorHAnsi" w:cstheme="minorBidi"/>
          <w:noProof/>
          <w:sz w:val="22"/>
          <w:szCs w:val="22"/>
          <w:lang w:eastAsia="sl-SI"/>
        </w:rPr>
      </w:pPr>
      <w:hyperlink w:anchor="_Toc86826523" w:history="1">
        <w:r w:rsidR="000834CF" w:rsidRPr="00155028">
          <w:rPr>
            <w:rStyle w:val="Hiperpovezava"/>
            <w:noProof/>
          </w:rPr>
          <w:t>Tabela 4: Gibanje celotnega utežnega indeksa z izhodiščno vrednostjo 100. Izhodiščna vrednost za kazalnik tveganja 1 je enaka povprečnemu rezultatu izračuna za obdobje od leta 2011 do 2013</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_Toc86826523 \h </w:instrText>
        </w:r>
        <w:r w:rsidR="000834CF" w:rsidRPr="00155028">
          <w:rPr>
            <w:noProof/>
            <w:webHidden/>
          </w:rPr>
        </w:r>
        <w:r w:rsidR="000834CF" w:rsidRPr="00155028">
          <w:rPr>
            <w:noProof/>
            <w:webHidden/>
          </w:rPr>
          <w:fldChar w:fldCharType="separate"/>
        </w:r>
        <w:r w:rsidR="00F25B09">
          <w:rPr>
            <w:noProof/>
            <w:webHidden/>
          </w:rPr>
          <w:t>16</w:t>
        </w:r>
        <w:r w:rsidR="000834CF" w:rsidRPr="00155028">
          <w:rPr>
            <w:noProof/>
            <w:webHidden/>
          </w:rPr>
          <w:fldChar w:fldCharType="end"/>
        </w:r>
      </w:hyperlink>
    </w:p>
    <w:p w14:paraId="15DCC38E" w14:textId="6B7F3E70" w:rsidR="000834CF" w:rsidRPr="00155028" w:rsidRDefault="00783478">
      <w:pPr>
        <w:pStyle w:val="Kazaloslik"/>
        <w:tabs>
          <w:tab w:val="right" w:leader="dot" w:pos="9062"/>
        </w:tabs>
        <w:rPr>
          <w:rFonts w:asciiTheme="minorHAnsi" w:eastAsiaTheme="minorEastAsia" w:hAnsiTheme="minorHAnsi" w:cstheme="minorBidi"/>
          <w:noProof/>
          <w:sz w:val="22"/>
          <w:szCs w:val="22"/>
          <w:lang w:eastAsia="sl-SI"/>
        </w:rPr>
      </w:pPr>
      <w:hyperlink w:anchor="_Toc86826524" w:history="1">
        <w:r w:rsidR="000834CF" w:rsidRPr="00155028">
          <w:rPr>
            <w:rStyle w:val="Hiperpovezava"/>
            <w:noProof/>
          </w:rPr>
          <w:t>Tabela 5: Gibanje celotnega utežnega indeksa v vsaki izmed sedmih razredov aktivnih snovi (a.s.) z izhodiščno vrednostjo 100. Izhodiščna vrednost za kazalnik tveganja 1 je enaka povprečnemu rezultatu izračuna za obdobje 2011–2013</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_Toc86826524 \h </w:instrText>
        </w:r>
        <w:r w:rsidR="000834CF" w:rsidRPr="00155028">
          <w:rPr>
            <w:noProof/>
            <w:webHidden/>
          </w:rPr>
        </w:r>
        <w:r w:rsidR="000834CF" w:rsidRPr="00155028">
          <w:rPr>
            <w:noProof/>
            <w:webHidden/>
          </w:rPr>
          <w:fldChar w:fldCharType="separate"/>
        </w:r>
        <w:r w:rsidR="00F25B09">
          <w:rPr>
            <w:noProof/>
            <w:webHidden/>
          </w:rPr>
          <w:t>16</w:t>
        </w:r>
        <w:r w:rsidR="000834CF" w:rsidRPr="00155028">
          <w:rPr>
            <w:noProof/>
            <w:webHidden/>
          </w:rPr>
          <w:fldChar w:fldCharType="end"/>
        </w:r>
      </w:hyperlink>
    </w:p>
    <w:p w14:paraId="5146ED8F" w14:textId="0B8B380A" w:rsidR="000834CF" w:rsidRPr="00155028" w:rsidRDefault="00783478">
      <w:pPr>
        <w:pStyle w:val="Kazaloslik"/>
        <w:tabs>
          <w:tab w:val="right" w:leader="dot" w:pos="9062"/>
        </w:tabs>
        <w:rPr>
          <w:rFonts w:asciiTheme="minorHAnsi" w:eastAsiaTheme="minorEastAsia" w:hAnsiTheme="minorHAnsi" w:cstheme="minorBidi"/>
          <w:noProof/>
          <w:sz w:val="22"/>
          <w:szCs w:val="22"/>
          <w:lang w:eastAsia="sl-SI"/>
        </w:rPr>
      </w:pPr>
      <w:hyperlink w:anchor="_Toc86826525" w:history="1">
        <w:r w:rsidR="000834CF" w:rsidRPr="00155028">
          <w:rPr>
            <w:rStyle w:val="Hiperpovezava"/>
            <w:noProof/>
          </w:rPr>
          <w:t>Tabela 6: Gibanje celotnega utežnega indeksa z izhodiščno vrednostjo 100. Izhodiščna vrednost za usklajeni kazalnik tveganja 2 je enaka povprečnemu rezultatu izračuna iz števila izdanih dovoljenj za obdobje 2011–2013</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_Toc86826525 \h </w:instrText>
        </w:r>
        <w:r w:rsidR="000834CF" w:rsidRPr="00155028">
          <w:rPr>
            <w:noProof/>
            <w:webHidden/>
          </w:rPr>
        </w:r>
        <w:r w:rsidR="000834CF" w:rsidRPr="00155028">
          <w:rPr>
            <w:noProof/>
            <w:webHidden/>
          </w:rPr>
          <w:fldChar w:fldCharType="separate"/>
        </w:r>
        <w:r w:rsidR="00F25B09">
          <w:rPr>
            <w:noProof/>
            <w:webHidden/>
          </w:rPr>
          <w:t>18</w:t>
        </w:r>
        <w:r w:rsidR="000834CF" w:rsidRPr="00155028">
          <w:rPr>
            <w:noProof/>
            <w:webHidden/>
          </w:rPr>
          <w:fldChar w:fldCharType="end"/>
        </w:r>
      </w:hyperlink>
    </w:p>
    <w:p w14:paraId="29147206" w14:textId="76F19A17" w:rsidR="000834CF" w:rsidRPr="00155028" w:rsidRDefault="00783478">
      <w:pPr>
        <w:pStyle w:val="Kazaloslik"/>
        <w:tabs>
          <w:tab w:val="right" w:leader="dot" w:pos="9062"/>
        </w:tabs>
        <w:rPr>
          <w:rFonts w:asciiTheme="minorHAnsi" w:eastAsiaTheme="minorEastAsia" w:hAnsiTheme="minorHAnsi" w:cstheme="minorBidi"/>
          <w:noProof/>
          <w:sz w:val="22"/>
          <w:szCs w:val="22"/>
          <w:lang w:eastAsia="sl-SI"/>
        </w:rPr>
      </w:pPr>
      <w:hyperlink w:anchor="_Toc86826526" w:history="1">
        <w:r w:rsidR="000834CF" w:rsidRPr="00155028">
          <w:rPr>
            <w:rStyle w:val="Hiperpovezava"/>
            <w:noProof/>
          </w:rPr>
          <w:t>Tabela 7: Operacije ukrepa KOPOP, ki zmanjšujejo uporabo FFS</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_Toc86826526 \h </w:instrText>
        </w:r>
        <w:r w:rsidR="000834CF" w:rsidRPr="00155028">
          <w:rPr>
            <w:noProof/>
            <w:webHidden/>
          </w:rPr>
        </w:r>
        <w:r w:rsidR="000834CF" w:rsidRPr="00155028">
          <w:rPr>
            <w:noProof/>
            <w:webHidden/>
          </w:rPr>
          <w:fldChar w:fldCharType="separate"/>
        </w:r>
        <w:r w:rsidR="00F25B09">
          <w:rPr>
            <w:noProof/>
            <w:webHidden/>
          </w:rPr>
          <w:t>18</w:t>
        </w:r>
        <w:r w:rsidR="000834CF" w:rsidRPr="00155028">
          <w:rPr>
            <w:noProof/>
            <w:webHidden/>
          </w:rPr>
          <w:fldChar w:fldCharType="end"/>
        </w:r>
      </w:hyperlink>
    </w:p>
    <w:p w14:paraId="10671950" w14:textId="2DB168FB" w:rsidR="000834CF" w:rsidRPr="00155028" w:rsidRDefault="00783478">
      <w:pPr>
        <w:pStyle w:val="Kazaloslik"/>
        <w:tabs>
          <w:tab w:val="right" w:leader="dot" w:pos="9062"/>
        </w:tabs>
        <w:rPr>
          <w:rFonts w:asciiTheme="minorHAnsi" w:eastAsiaTheme="minorEastAsia" w:hAnsiTheme="minorHAnsi" w:cstheme="minorBidi"/>
          <w:noProof/>
          <w:sz w:val="22"/>
          <w:szCs w:val="22"/>
          <w:lang w:eastAsia="sl-SI"/>
        </w:rPr>
      </w:pPr>
      <w:hyperlink w:anchor="_Toc86826527" w:history="1">
        <w:r w:rsidR="000834CF" w:rsidRPr="00155028">
          <w:rPr>
            <w:rStyle w:val="Hiperpovezava"/>
            <w:noProof/>
          </w:rPr>
          <w:t>Tabela 8: Kmetijska gospodarstva po velikostnih razredih števila GVŽ v letu 2016</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_Toc86826527 \h </w:instrText>
        </w:r>
        <w:r w:rsidR="000834CF" w:rsidRPr="00155028">
          <w:rPr>
            <w:noProof/>
            <w:webHidden/>
          </w:rPr>
        </w:r>
        <w:r w:rsidR="000834CF" w:rsidRPr="00155028">
          <w:rPr>
            <w:noProof/>
            <w:webHidden/>
          </w:rPr>
          <w:fldChar w:fldCharType="separate"/>
        </w:r>
        <w:r w:rsidR="00F25B09">
          <w:rPr>
            <w:noProof/>
            <w:webHidden/>
          </w:rPr>
          <w:t>26</w:t>
        </w:r>
        <w:r w:rsidR="000834CF" w:rsidRPr="00155028">
          <w:rPr>
            <w:noProof/>
            <w:webHidden/>
          </w:rPr>
          <w:fldChar w:fldCharType="end"/>
        </w:r>
      </w:hyperlink>
    </w:p>
    <w:p w14:paraId="5E42D054" w14:textId="0A152C25" w:rsidR="000834CF" w:rsidRPr="00155028" w:rsidRDefault="00783478">
      <w:pPr>
        <w:pStyle w:val="Kazaloslik"/>
        <w:tabs>
          <w:tab w:val="right" w:leader="dot" w:pos="9062"/>
        </w:tabs>
        <w:rPr>
          <w:rFonts w:asciiTheme="minorHAnsi" w:eastAsiaTheme="minorEastAsia" w:hAnsiTheme="minorHAnsi" w:cstheme="minorBidi"/>
          <w:noProof/>
          <w:sz w:val="22"/>
          <w:szCs w:val="22"/>
          <w:lang w:eastAsia="sl-SI"/>
        </w:rPr>
      </w:pPr>
      <w:hyperlink w:anchor="_Toc86826528" w:history="1">
        <w:r w:rsidR="000834CF" w:rsidRPr="00155028">
          <w:rPr>
            <w:rStyle w:val="Hiperpovezava"/>
            <w:noProof/>
          </w:rPr>
          <w:t>Tabela 9: Ocena deleža prašičev s skrajšanimi repi glede na velikost gospodarstev na podlagi podatkov iz obveznih letnih pregledov gospodarstev v letu 2016</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_Toc86826528 \h </w:instrText>
        </w:r>
        <w:r w:rsidR="000834CF" w:rsidRPr="00155028">
          <w:rPr>
            <w:noProof/>
            <w:webHidden/>
          </w:rPr>
        </w:r>
        <w:r w:rsidR="000834CF" w:rsidRPr="00155028">
          <w:rPr>
            <w:noProof/>
            <w:webHidden/>
          </w:rPr>
          <w:fldChar w:fldCharType="separate"/>
        </w:r>
        <w:r w:rsidR="00F25B09">
          <w:rPr>
            <w:noProof/>
            <w:webHidden/>
          </w:rPr>
          <w:t>27</w:t>
        </w:r>
        <w:r w:rsidR="000834CF" w:rsidRPr="00155028">
          <w:rPr>
            <w:noProof/>
            <w:webHidden/>
          </w:rPr>
          <w:fldChar w:fldCharType="end"/>
        </w:r>
      </w:hyperlink>
    </w:p>
    <w:p w14:paraId="443EFE2F" w14:textId="694B3B70" w:rsidR="000834CF" w:rsidRPr="00155028" w:rsidRDefault="00783478">
      <w:pPr>
        <w:pStyle w:val="Kazaloslik"/>
        <w:tabs>
          <w:tab w:val="right" w:leader="dot" w:pos="9062"/>
        </w:tabs>
        <w:rPr>
          <w:rFonts w:asciiTheme="minorHAnsi" w:eastAsiaTheme="minorEastAsia" w:hAnsiTheme="minorHAnsi" w:cstheme="minorBidi"/>
          <w:noProof/>
          <w:sz w:val="22"/>
          <w:szCs w:val="22"/>
          <w:lang w:eastAsia="sl-SI"/>
        </w:rPr>
      </w:pPr>
      <w:hyperlink w:anchor="_Toc86826529" w:history="1">
        <w:r w:rsidR="000834CF" w:rsidRPr="00155028">
          <w:rPr>
            <w:rStyle w:val="Hiperpovezava"/>
            <w:noProof/>
          </w:rPr>
          <w:t>Tabela 10: Število živali na KMG na 1. februar iz obrazca Stalež živali po vrstah in kategorijah rejnih živali ter število in delež živali vključenih v ukrep DŽ</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_Toc86826529 \h </w:instrText>
        </w:r>
        <w:r w:rsidR="000834CF" w:rsidRPr="00155028">
          <w:rPr>
            <w:noProof/>
            <w:webHidden/>
          </w:rPr>
        </w:r>
        <w:r w:rsidR="000834CF" w:rsidRPr="00155028">
          <w:rPr>
            <w:noProof/>
            <w:webHidden/>
          </w:rPr>
          <w:fldChar w:fldCharType="separate"/>
        </w:r>
        <w:r w:rsidR="00F25B09">
          <w:rPr>
            <w:noProof/>
            <w:webHidden/>
          </w:rPr>
          <w:t>30</w:t>
        </w:r>
        <w:r w:rsidR="000834CF" w:rsidRPr="00155028">
          <w:rPr>
            <w:noProof/>
            <w:webHidden/>
          </w:rPr>
          <w:fldChar w:fldCharType="end"/>
        </w:r>
      </w:hyperlink>
    </w:p>
    <w:p w14:paraId="3FAA187B" w14:textId="06343A24" w:rsidR="000834CF" w:rsidRPr="00155028" w:rsidRDefault="00783478">
      <w:pPr>
        <w:pStyle w:val="Kazaloslik"/>
        <w:tabs>
          <w:tab w:val="right" w:leader="dot" w:pos="9062"/>
        </w:tabs>
        <w:rPr>
          <w:rFonts w:asciiTheme="minorHAnsi" w:eastAsiaTheme="minorEastAsia" w:hAnsiTheme="minorHAnsi" w:cstheme="minorBidi"/>
          <w:noProof/>
          <w:sz w:val="22"/>
          <w:szCs w:val="22"/>
          <w:lang w:eastAsia="sl-SI"/>
        </w:rPr>
      </w:pPr>
      <w:hyperlink w:anchor="_Toc86826530" w:history="1">
        <w:r w:rsidR="000834CF" w:rsidRPr="00155028">
          <w:rPr>
            <w:rStyle w:val="Hiperpovezava"/>
            <w:noProof/>
          </w:rPr>
          <w:t>Tabela 11: Odpadki, nastali v proizvodnih in storitvenih dejavnostih iz kmetijstva, vrtnarstva, ribogojstva, gozdarstva, lova in ribištva ter proizvodnje hrane, kakor tudi izbrani povezani komunalni odpadki* (v tonah) za leta 2013–2018</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_Toc86826530 \h </w:instrText>
        </w:r>
        <w:r w:rsidR="000834CF" w:rsidRPr="00155028">
          <w:rPr>
            <w:noProof/>
            <w:webHidden/>
          </w:rPr>
        </w:r>
        <w:r w:rsidR="000834CF" w:rsidRPr="00155028">
          <w:rPr>
            <w:noProof/>
            <w:webHidden/>
          </w:rPr>
          <w:fldChar w:fldCharType="separate"/>
        </w:r>
        <w:r w:rsidR="00F25B09">
          <w:rPr>
            <w:noProof/>
            <w:webHidden/>
          </w:rPr>
          <w:t>34</w:t>
        </w:r>
        <w:r w:rsidR="000834CF" w:rsidRPr="00155028">
          <w:rPr>
            <w:noProof/>
            <w:webHidden/>
          </w:rPr>
          <w:fldChar w:fldCharType="end"/>
        </w:r>
      </w:hyperlink>
    </w:p>
    <w:p w14:paraId="7B7A047E" w14:textId="1CA7339F" w:rsidR="000834CF" w:rsidRPr="00155028" w:rsidRDefault="00783478">
      <w:pPr>
        <w:pStyle w:val="Kazaloslik"/>
        <w:tabs>
          <w:tab w:val="right" w:leader="dot" w:pos="9062"/>
        </w:tabs>
        <w:rPr>
          <w:rFonts w:asciiTheme="minorHAnsi" w:eastAsiaTheme="minorEastAsia" w:hAnsiTheme="minorHAnsi" w:cstheme="minorBidi"/>
          <w:noProof/>
          <w:sz w:val="22"/>
          <w:szCs w:val="22"/>
          <w:lang w:eastAsia="sl-SI"/>
        </w:rPr>
      </w:pPr>
      <w:hyperlink w:anchor="_Toc86826531" w:history="1">
        <w:r w:rsidR="000834CF" w:rsidRPr="00155028">
          <w:rPr>
            <w:rStyle w:val="Hiperpovezava"/>
            <w:noProof/>
          </w:rPr>
          <w:t>Tabela 12: Nastajanje in ravnanje z odpadno hrano v obdobju 2013 do 2020</w:t>
        </w:r>
        <w:r w:rsidR="000834CF" w:rsidRPr="00155028">
          <w:rPr>
            <w:noProof/>
            <w:webHidden/>
          </w:rPr>
          <w:tab/>
        </w:r>
        <w:r w:rsidR="000834CF" w:rsidRPr="00155028">
          <w:rPr>
            <w:noProof/>
            <w:webHidden/>
          </w:rPr>
          <w:fldChar w:fldCharType="begin"/>
        </w:r>
        <w:r w:rsidR="000834CF" w:rsidRPr="00155028">
          <w:rPr>
            <w:noProof/>
            <w:webHidden/>
          </w:rPr>
          <w:instrText xml:space="preserve"> PAGEREF _Toc86826531 \h </w:instrText>
        </w:r>
        <w:r w:rsidR="000834CF" w:rsidRPr="00155028">
          <w:rPr>
            <w:noProof/>
            <w:webHidden/>
          </w:rPr>
        </w:r>
        <w:r w:rsidR="000834CF" w:rsidRPr="00155028">
          <w:rPr>
            <w:noProof/>
            <w:webHidden/>
          </w:rPr>
          <w:fldChar w:fldCharType="separate"/>
        </w:r>
        <w:r w:rsidR="00F25B09">
          <w:rPr>
            <w:noProof/>
            <w:webHidden/>
          </w:rPr>
          <w:t>35</w:t>
        </w:r>
        <w:r w:rsidR="000834CF" w:rsidRPr="00155028">
          <w:rPr>
            <w:noProof/>
            <w:webHidden/>
          </w:rPr>
          <w:fldChar w:fldCharType="end"/>
        </w:r>
      </w:hyperlink>
    </w:p>
    <w:p w14:paraId="6C7D4FF4" w14:textId="0868048E" w:rsidR="00565C3B" w:rsidRPr="00155028" w:rsidRDefault="00FA679D" w:rsidP="00F80C74">
      <w:pPr>
        <w:rPr>
          <w:sz w:val="20"/>
        </w:rPr>
      </w:pPr>
      <w:r w:rsidRPr="00155028">
        <w:rPr>
          <w:sz w:val="20"/>
        </w:rPr>
        <w:fldChar w:fldCharType="end"/>
      </w:r>
    </w:p>
    <w:p w14:paraId="19836446" w14:textId="77777777" w:rsidR="00565C3B" w:rsidRPr="00155028" w:rsidRDefault="00565C3B">
      <w:pPr>
        <w:rPr>
          <w:sz w:val="20"/>
        </w:rPr>
      </w:pPr>
      <w:r w:rsidRPr="00155028">
        <w:rPr>
          <w:sz w:val="20"/>
        </w:rPr>
        <w:br w:type="page"/>
      </w:r>
    </w:p>
    <w:p w14:paraId="4DB84590" w14:textId="5D267945" w:rsidR="004F6D5C" w:rsidRPr="00155028" w:rsidRDefault="00CA6187" w:rsidP="003C239F">
      <w:pPr>
        <w:pStyle w:val="Naslov1"/>
        <w:numPr>
          <w:ilvl w:val="0"/>
          <w:numId w:val="1"/>
        </w:numPr>
        <w:rPr>
          <w:rFonts w:ascii="Arial" w:eastAsia="Calibri" w:hAnsi="Arial" w:cs="Arial"/>
          <w:b/>
          <w:bCs/>
          <w:sz w:val="28"/>
          <w:szCs w:val="28"/>
          <w:lang w:eastAsia="en-GB"/>
        </w:rPr>
      </w:pPr>
      <w:bookmarkStart w:id="0" w:name="_Toc86826481"/>
      <w:r w:rsidRPr="00155028">
        <w:rPr>
          <w:rFonts w:ascii="Arial" w:eastAsia="Calibri" w:hAnsi="Arial" w:cs="Arial"/>
          <w:b/>
          <w:bCs/>
          <w:sz w:val="28"/>
          <w:szCs w:val="28"/>
          <w:lang w:eastAsia="en-GB"/>
        </w:rPr>
        <w:lastRenderedPageBreak/>
        <w:t>SEZNAM UPORABLJENIH KRATIC IN SIMBOLOV</w:t>
      </w:r>
      <w:bookmarkEnd w:id="0"/>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126"/>
      </w:tblGrid>
      <w:tr w:rsidR="00983F82" w:rsidRPr="00155028" w14:paraId="6E801F05" w14:textId="77777777" w:rsidTr="0048262F">
        <w:trPr>
          <w:jc w:val="center"/>
        </w:trPr>
        <w:tc>
          <w:tcPr>
            <w:tcW w:w="1701" w:type="dxa"/>
          </w:tcPr>
          <w:p w14:paraId="65A13163" w14:textId="45A7A296" w:rsidR="007C24FA" w:rsidRPr="00155028" w:rsidRDefault="00983F82" w:rsidP="00071F6F">
            <w:pPr>
              <w:rPr>
                <w:b/>
              </w:rPr>
            </w:pPr>
            <w:bookmarkStart w:id="1" w:name="_Toc55464574"/>
            <w:bookmarkStart w:id="2" w:name="_Toc55484716"/>
            <w:bookmarkStart w:id="3" w:name="_Toc55547415"/>
            <w:r w:rsidRPr="00155028">
              <w:t>AM</w:t>
            </w:r>
            <w:bookmarkEnd w:id="1"/>
            <w:bookmarkEnd w:id="2"/>
            <w:bookmarkEnd w:id="3"/>
          </w:p>
        </w:tc>
        <w:tc>
          <w:tcPr>
            <w:tcW w:w="6126" w:type="dxa"/>
          </w:tcPr>
          <w:p w14:paraId="73F08DE2" w14:textId="113B519A" w:rsidR="007C24FA" w:rsidRPr="00155028" w:rsidRDefault="00983F82" w:rsidP="00071F6F">
            <w:pPr>
              <w:rPr>
                <w:b/>
              </w:rPr>
            </w:pPr>
            <w:r w:rsidRPr="00155028">
              <w:t xml:space="preserve"> </w:t>
            </w:r>
            <w:bookmarkStart w:id="4" w:name="_Toc55464575"/>
            <w:bookmarkStart w:id="5" w:name="_Toc55484717"/>
            <w:bookmarkStart w:id="6" w:name="_Toc55547416"/>
            <w:r w:rsidRPr="00155028">
              <w:t>Protimikrobna zdravila</w:t>
            </w:r>
            <w:bookmarkEnd w:id="4"/>
            <w:bookmarkEnd w:id="5"/>
            <w:bookmarkEnd w:id="6"/>
          </w:p>
        </w:tc>
      </w:tr>
      <w:tr w:rsidR="00983F82" w:rsidRPr="00155028" w14:paraId="41E3C4E1" w14:textId="77777777" w:rsidTr="0048262F">
        <w:trPr>
          <w:jc w:val="center"/>
        </w:trPr>
        <w:tc>
          <w:tcPr>
            <w:tcW w:w="1701" w:type="dxa"/>
          </w:tcPr>
          <w:p w14:paraId="4432EFB0" w14:textId="4B153BD1" w:rsidR="007C24FA" w:rsidRPr="00155028" w:rsidRDefault="00983F82" w:rsidP="00071F6F">
            <w:pPr>
              <w:rPr>
                <w:b/>
              </w:rPr>
            </w:pPr>
            <w:bookmarkStart w:id="7" w:name="_Toc55464576"/>
            <w:bookmarkStart w:id="8" w:name="_Toc55484718"/>
            <w:bookmarkStart w:id="9" w:name="_Toc55547417"/>
            <w:r w:rsidRPr="00155028">
              <w:t>ARSO</w:t>
            </w:r>
            <w:bookmarkEnd w:id="7"/>
            <w:bookmarkEnd w:id="8"/>
            <w:bookmarkEnd w:id="9"/>
          </w:p>
        </w:tc>
        <w:tc>
          <w:tcPr>
            <w:tcW w:w="6126" w:type="dxa"/>
          </w:tcPr>
          <w:p w14:paraId="712209ED" w14:textId="2BB62D01" w:rsidR="007C24FA" w:rsidRPr="00155028" w:rsidRDefault="00983F82" w:rsidP="00071F6F">
            <w:pPr>
              <w:rPr>
                <w:b/>
              </w:rPr>
            </w:pPr>
            <w:bookmarkStart w:id="10" w:name="_Toc55464577"/>
            <w:bookmarkStart w:id="11" w:name="_Toc55484719"/>
            <w:bookmarkStart w:id="12" w:name="_Toc55547418"/>
            <w:r w:rsidRPr="00155028">
              <w:t>Agencija Republike Slovenije za okolje</w:t>
            </w:r>
            <w:bookmarkEnd w:id="10"/>
            <w:bookmarkEnd w:id="11"/>
            <w:bookmarkEnd w:id="12"/>
          </w:p>
        </w:tc>
      </w:tr>
      <w:tr w:rsidR="005B4F92" w:rsidRPr="00155028" w14:paraId="4BF123F0" w14:textId="77777777" w:rsidTr="0048262F">
        <w:trPr>
          <w:jc w:val="center"/>
        </w:trPr>
        <w:tc>
          <w:tcPr>
            <w:tcW w:w="1701" w:type="dxa"/>
          </w:tcPr>
          <w:p w14:paraId="6AF417F9" w14:textId="7E4BEE1A" w:rsidR="005B4F92" w:rsidRPr="00155028" w:rsidRDefault="005B4F92" w:rsidP="00071F6F">
            <w:pPr>
              <w:rPr>
                <w:b/>
              </w:rPr>
            </w:pPr>
            <w:bookmarkStart w:id="13" w:name="_Toc55547419"/>
            <w:r w:rsidRPr="00155028">
              <w:t>EFSA</w:t>
            </w:r>
            <w:bookmarkEnd w:id="13"/>
          </w:p>
        </w:tc>
        <w:tc>
          <w:tcPr>
            <w:tcW w:w="6126" w:type="dxa"/>
          </w:tcPr>
          <w:p w14:paraId="3148ABBC" w14:textId="04A05F15" w:rsidR="005B4F92" w:rsidRPr="00155028" w:rsidRDefault="005B4F92" w:rsidP="00071F6F">
            <w:pPr>
              <w:rPr>
                <w:b/>
              </w:rPr>
            </w:pPr>
            <w:bookmarkStart w:id="14" w:name="_Toc55547420"/>
            <w:r w:rsidRPr="00155028">
              <w:rPr>
                <w:rFonts w:eastAsia="Arial"/>
              </w:rPr>
              <w:t>Evropska agencija za varnost hrane</w:t>
            </w:r>
            <w:bookmarkEnd w:id="14"/>
          </w:p>
        </w:tc>
      </w:tr>
      <w:tr w:rsidR="00983F82" w:rsidRPr="00155028" w14:paraId="58C4D624" w14:textId="77777777" w:rsidTr="0048262F">
        <w:trPr>
          <w:jc w:val="center"/>
        </w:trPr>
        <w:tc>
          <w:tcPr>
            <w:tcW w:w="1701" w:type="dxa"/>
          </w:tcPr>
          <w:p w14:paraId="5A04C846" w14:textId="08A4AD47" w:rsidR="007C24FA" w:rsidRPr="00155028" w:rsidRDefault="00983F82" w:rsidP="00071F6F">
            <w:pPr>
              <w:rPr>
                <w:b/>
              </w:rPr>
            </w:pPr>
            <w:bookmarkStart w:id="15" w:name="_Toc55464578"/>
            <w:bookmarkStart w:id="16" w:name="_Toc55484720"/>
            <w:bookmarkStart w:id="17" w:name="_Toc55547421"/>
            <w:r w:rsidRPr="00155028">
              <w:t>EGP</w:t>
            </w:r>
            <w:bookmarkEnd w:id="15"/>
            <w:bookmarkEnd w:id="16"/>
            <w:bookmarkEnd w:id="17"/>
          </w:p>
        </w:tc>
        <w:tc>
          <w:tcPr>
            <w:tcW w:w="6126" w:type="dxa"/>
          </w:tcPr>
          <w:p w14:paraId="04840BC9" w14:textId="06E951B7" w:rsidR="007C24FA" w:rsidRPr="00155028" w:rsidRDefault="00983F82" w:rsidP="00071F6F">
            <w:pPr>
              <w:rPr>
                <w:b/>
              </w:rPr>
            </w:pPr>
            <w:bookmarkStart w:id="18" w:name="_Toc55464579"/>
            <w:bookmarkStart w:id="19" w:name="_Toc55484721"/>
            <w:bookmarkStart w:id="20" w:name="_Toc55547422"/>
            <w:r w:rsidRPr="00155028">
              <w:t>Evropski gospodarski prostor</w:t>
            </w:r>
            <w:bookmarkEnd w:id="18"/>
            <w:bookmarkEnd w:id="19"/>
            <w:bookmarkEnd w:id="20"/>
          </w:p>
        </w:tc>
      </w:tr>
      <w:tr w:rsidR="00983F82" w:rsidRPr="00155028" w14:paraId="41D8F7A7" w14:textId="77777777" w:rsidTr="0048262F">
        <w:trPr>
          <w:jc w:val="center"/>
        </w:trPr>
        <w:tc>
          <w:tcPr>
            <w:tcW w:w="1701" w:type="dxa"/>
          </w:tcPr>
          <w:p w14:paraId="1257FECB" w14:textId="309822EF" w:rsidR="007C24FA" w:rsidRPr="00155028" w:rsidRDefault="00983F82" w:rsidP="00071F6F">
            <w:pPr>
              <w:rPr>
                <w:b/>
              </w:rPr>
            </w:pPr>
            <w:bookmarkStart w:id="21" w:name="_Toc55464580"/>
            <w:bookmarkStart w:id="22" w:name="_Toc55484722"/>
            <w:bookmarkStart w:id="23" w:name="_Toc55547423"/>
            <w:r w:rsidRPr="00155028">
              <w:t>EU</w:t>
            </w:r>
            <w:bookmarkEnd w:id="21"/>
            <w:bookmarkEnd w:id="22"/>
            <w:bookmarkEnd w:id="23"/>
          </w:p>
        </w:tc>
        <w:tc>
          <w:tcPr>
            <w:tcW w:w="6126" w:type="dxa"/>
          </w:tcPr>
          <w:p w14:paraId="54D671CF" w14:textId="3FF07E7F" w:rsidR="007C24FA" w:rsidRPr="00155028" w:rsidRDefault="00983F82" w:rsidP="00071F6F">
            <w:pPr>
              <w:rPr>
                <w:b/>
              </w:rPr>
            </w:pPr>
            <w:bookmarkStart w:id="24" w:name="_Toc55464581"/>
            <w:bookmarkStart w:id="25" w:name="_Toc55484723"/>
            <w:bookmarkStart w:id="26" w:name="_Toc55547424"/>
            <w:r w:rsidRPr="00155028">
              <w:t>Evropska unija</w:t>
            </w:r>
            <w:bookmarkEnd w:id="24"/>
            <w:bookmarkEnd w:id="25"/>
            <w:bookmarkEnd w:id="26"/>
          </w:p>
        </w:tc>
      </w:tr>
      <w:tr w:rsidR="00983F82" w:rsidRPr="00155028" w14:paraId="1B44373A" w14:textId="77777777" w:rsidTr="0048262F">
        <w:trPr>
          <w:jc w:val="center"/>
        </w:trPr>
        <w:tc>
          <w:tcPr>
            <w:tcW w:w="1701" w:type="dxa"/>
          </w:tcPr>
          <w:p w14:paraId="3BA19942" w14:textId="5780EFC2" w:rsidR="007C24FA" w:rsidRPr="00155028" w:rsidRDefault="00983F82" w:rsidP="00071F6F">
            <w:pPr>
              <w:rPr>
                <w:b/>
              </w:rPr>
            </w:pPr>
            <w:bookmarkStart w:id="27" w:name="_Toc55464582"/>
            <w:bookmarkStart w:id="28" w:name="_Toc55484724"/>
            <w:bookmarkStart w:id="29" w:name="_Toc55547425"/>
            <w:r w:rsidRPr="00155028">
              <w:t>ESVAC</w:t>
            </w:r>
            <w:bookmarkEnd w:id="27"/>
            <w:bookmarkEnd w:id="28"/>
            <w:bookmarkEnd w:id="29"/>
          </w:p>
        </w:tc>
        <w:tc>
          <w:tcPr>
            <w:tcW w:w="6126" w:type="dxa"/>
          </w:tcPr>
          <w:p w14:paraId="41815FC7" w14:textId="24EEF747" w:rsidR="007C24FA" w:rsidRPr="00155028" w:rsidRDefault="00C40617" w:rsidP="00071F6F">
            <w:pPr>
              <w:rPr>
                <w:b/>
              </w:rPr>
            </w:pPr>
            <w:bookmarkStart w:id="30" w:name="_Toc55547426"/>
            <w:r w:rsidRPr="00155028">
              <w:rPr>
                <w:color w:val="000000"/>
              </w:rPr>
              <w:t>Evropski uradni nadzor porabe protimikrobnih zdravil za uporabo v veterinarski medicini</w:t>
            </w:r>
            <w:bookmarkEnd w:id="30"/>
            <w:r w:rsidRPr="00155028">
              <w:rPr>
                <w:rFonts w:eastAsia="Arial"/>
              </w:rPr>
              <w:t xml:space="preserve"> </w:t>
            </w:r>
          </w:p>
        </w:tc>
      </w:tr>
      <w:tr w:rsidR="00983F82" w:rsidRPr="00155028" w14:paraId="788C8D29" w14:textId="77777777" w:rsidTr="0048262F">
        <w:trPr>
          <w:jc w:val="center"/>
        </w:trPr>
        <w:tc>
          <w:tcPr>
            <w:tcW w:w="1701" w:type="dxa"/>
          </w:tcPr>
          <w:p w14:paraId="23076F0F" w14:textId="298D9F66" w:rsidR="007C24FA" w:rsidRPr="00155028" w:rsidRDefault="00983F82" w:rsidP="00071F6F">
            <w:pPr>
              <w:rPr>
                <w:b/>
              </w:rPr>
            </w:pPr>
            <w:bookmarkStart w:id="31" w:name="_Toc55464583"/>
            <w:bookmarkStart w:id="32" w:name="_Toc55484725"/>
            <w:bookmarkStart w:id="33" w:name="_Toc55547427"/>
            <w:r w:rsidRPr="00155028">
              <w:t>FFS</w:t>
            </w:r>
            <w:bookmarkEnd w:id="31"/>
            <w:bookmarkEnd w:id="32"/>
            <w:bookmarkEnd w:id="33"/>
          </w:p>
        </w:tc>
        <w:tc>
          <w:tcPr>
            <w:tcW w:w="6126" w:type="dxa"/>
          </w:tcPr>
          <w:p w14:paraId="6F3C54C2" w14:textId="2E4B9794" w:rsidR="007C24FA" w:rsidRPr="00155028" w:rsidRDefault="00983F82" w:rsidP="00071F6F">
            <w:pPr>
              <w:rPr>
                <w:b/>
              </w:rPr>
            </w:pPr>
            <w:bookmarkStart w:id="34" w:name="_Toc55464584"/>
            <w:bookmarkStart w:id="35" w:name="_Toc55484726"/>
            <w:bookmarkStart w:id="36" w:name="_Toc55547428"/>
            <w:r w:rsidRPr="00155028">
              <w:t>Fitofarmacevtska sredstva</w:t>
            </w:r>
            <w:bookmarkEnd w:id="34"/>
            <w:bookmarkEnd w:id="35"/>
            <w:bookmarkEnd w:id="36"/>
          </w:p>
        </w:tc>
      </w:tr>
      <w:tr w:rsidR="00983F82" w:rsidRPr="00155028" w14:paraId="3D35331E" w14:textId="77777777" w:rsidTr="0048262F">
        <w:trPr>
          <w:jc w:val="center"/>
        </w:trPr>
        <w:tc>
          <w:tcPr>
            <w:tcW w:w="1701" w:type="dxa"/>
          </w:tcPr>
          <w:p w14:paraId="4310534F" w14:textId="01E276A6" w:rsidR="007C24FA" w:rsidRPr="00155028" w:rsidRDefault="00983F82" w:rsidP="00071F6F">
            <w:pPr>
              <w:rPr>
                <w:b/>
              </w:rPr>
            </w:pPr>
            <w:bookmarkStart w:id="37" w:name="_Toc55464585"/>
            <w:bookmarkStart w:id="38" w:name="_Toc55484727"/>
            <w:bookmarkStart w:id="39" w:name="_Toc55547429"/>
            <w:r w:rsidRPr="00155028">
              <w:t>IVR</w:t>
            </w:r>
            <w:bookmarkEnd w:id="37"/>
            <w:bookmarkEnd w:id="38"/>
            <w:bookmarkEnd w:id="39"/>
          </w:p>
        </w:tc>
        <w:tc>
          <w:tcPr>
            <w:tcW w:w="6126" w:type="dxa"/>
          </w:tcPr>
          <w:p w14:paraId="6458C973" w14:textId="2502CEC0" w:rsidR="007C24FA" w:rsidRPr="00155028" w:rsidRDefault="00983F82" w:rsidP="00071F6F">
            <w:pPr>
              <w:rPr>
                <w:b/>
              </w:rPr>
            </w:pPr>
            <w:bookmarkStart w:id="40" w:name="_Toc55464586"/>
            <w:bookmarkStart w:id="41" w:name="_Toc55484728"/>
            <w:bookmarkStart w:id="42" w:name="_Toc55547430"/>
            <w:r w:rsidRPr="00155028">
              <w:t>Integrirano varstvo rastlin</w:t>
            </w:r>
            <w:bookmarkEnd w:id="40"/>
            <w:bookmarkEnd w:id="41"/>
            <w:bookmarkEnd w:id="42"/>
          </w:p>
        </w:tc>
      </w:tr>
      <w:tr w:rsidR="00983F82" w:rsidRPr="00155028" w14:paraId="13B6A2FE" w14:textId="77777777" w:rsidTr="0048262F">
        <w:trPr>
          <w:jc w:val="center"/>
        </w:trPr>
        <w:tc>
          <w:tcPr>
            <w:tcW w:w="1701" w:type="dxa"/>
          </w:tcPr>
          <w:p w14:paraId="3CF6E6C8" w14:textId="0F49BA5A" w:rsidR="007C24FA" w:rsidRPr="00155028" w:rsidRDefault="00983F82" w:rsidP="00071F6F">
            <w:pPr>
              <w:rPr>
                <w:b/>
              </w:rPr>
            </w:pPr>
            <w:bookmarkStart w:id="43" w:name="_Toc55464587"/>
            <w:bookmarkStart w:id="44" w:name="_Toc55484729"/>
            <w:bookmarkStart w:id="45" w:name="_Toc55547431"/>
            <w:r w:rsidRPr="00155028">
              <w:t>UVHVVR</w:t>
            </w:r>
            <w:bookmarkEnd w:id="43"/>
            <w:bookmarkEnd w:id="44"/>
            <w:bookmarkEnd w:id="45"/>
          </w:p>
        </w:tc>
        <w:tc>
          <w:tcPr>
            <w:tcW w:w="6126" w:type="dxa"/>
          </w:tcPr>
          <w:p w14:paraId="67005B2C" w14:textId="2B8D4905" w:rsidR="007C24FA" w:rsidRPr="00155028" w:rsidRDefault="00983F82" w:rsidP="00071F6F">
            <w:pPr>
              <w:rPr>
                <w:b/>
              </w:rPr>
            </w:pPr>
            <w:bookmarkStart w:id="46" w:name="_Toc55464588"/>
            <w:bookmarkStart w:id="47" w:name="_Toc55484730"/>
            <w:bookmarkStart w:id="48" w:name="_Toc55547432"/>
            <w:r w:rsidRPr="00155028">
              <w:t xml:space="preserve">Uprava </w:t>
            </w:r>
            <w:r w:rsidR="00231869">
              <w:t xml:space="preserve">Republike Slovenije </w:t>
            </w:r>
            <w:r w:rsidRPr="00155028">
              <w:t>za varno hrano, veterinarstvo in varstvo rastlin</w:t>
            </w:r>
            <w:bookmarkEnd w:id="46"/>
            <w:bookmarkEnd w:id="47"/>
            <w:bookmarkEnd w:id="48"/>
          </w:p>
        </w:tc>
      </w:tr>
    </w:tbl>
    <w:p w14:paraId="58B67782" w14:textId="77777777" w:rsidR="007C24FA" w:rsidRPr="00155028" w:rsidRDefault="007C24FA" w:rsidP="00803049">
      <w:pPr>
        <w:pStyle w:val="Naslov3"/>
        <w:numPr>
          <w:ilvl w:val="0"/>
          <w:numId w:val="0"/>
        </w:numPr>
        <w:ind w:left="720" w:hanging="360"/>
      </w:pPr>
    </w:p>
    <w:p w14:paraId="2BFD4A4F" w14:textId="77777777" w:rsidR="00983F82" w:rsidRPr="00155028" w:rsidRDefault="00983F82" w:rsidP="00CA6187">
      <w:pPr>
        <w:rPr>
          <w:sz w:val="28"/>
          <w:szCs w:val="28"/>
        </w:rPr>
      </w:pPr>
    </w:p>
    <w:p w14:paraId="21CF2714" w14:textId="67BF9AE7" w:rsidR="006F3E8D" w:rsidRPr="00155028" w:rsidRDefault="009F4F97" w:rsidP="003C239F">
      <w:pPr>
        <w:pStyle w:val="Naslov1"/>
        <w:numPr>
          <w:ilvl w:val="0"/>
          <w:numId w:val="1"/>
        </w:numPr>
        <w:rPr>
          <w:rFonts w:ascii="Arial" w:eastAsia="Calibri" w:hAnsi="Arial" w:cs="Arial"/>
          <w:b/>
          <w:bCs/>
          <w:sz w:val="28"/>
          <w:szCs w:val="28"/>
          <w:lang w:eastAsia="en-GB"/>
        </w:rPr>
      </w:pPr>
      <w:bookmarkStart w:id="49" w:name="_Toc86826482"/>
      <w:r w:rsidRPr="00155028">
        <w:rPr>
          <w:rFonts w:ascii="Arial" w:eastAsia="Calibri" w:hAnsi="Arial" w:cs="Arial"/>
          <w:b/>
          <w:bCs/>
          <w:sz w:val="28"/>
          <w:szCs w:val="28"/>
          <w:lang w:eastAsia="en-GB"/>
        </w:rPr>
        <w:t>UPORABLJENI KAZALNIKI STANJA</w:t>
      </w:r>
      <w:bookmarkEnd w:id="49"/>
    </w:p>
    <w:p w14:paraId="414B147F" w14:textId="77777777" w:rsidR="00CA2047" w:rsidRPr="00155028" w:rsidRDefault="00CA2047" w:rsidP="00867750">
      <w:pPr>
        <w:jc w:val="both"/>
        <w:rPr>
          <w:sz w:val="20"/>
          <w:lang w:eastAsia="sl-SI"/>
        </w:rPr>
      </w:pPr>
      <w:bookmarkStart w:id="50" w:name="_Toc49245361"/>
    </w:p>
    <w:p w14:paraId="2491B471" w14:textId="3E2A9119" w:rsidR="00B97EB7" w:rsidRPr="00155028" w:rsidRDefault="00CA2047" w:rsidP="00CA2047">
      <w:pPr>
        <w:pStyle w:val="Napis"/>
        <w:rPr>
          <w:szCs w:val="20"/>
        </w:rPr>
      </w:pPr>
      <w:bookmarkStart w:id="51" w:name="_Toc86826520"/>
      <w:r w:rsidRPr="00155028">
        <w:rPr>
          <w:szCs w:val="20"/>
        </w:rPr>
        <w:t xml:space="preserve">Tabela </w:t>
      </w:r>
      <w:r w:rsidR="004270C0" w:rsidRPr="00155028">
        <w:rPr>
          <w:szCs w:val="20"/>
        </w:rPr>
        <w:fldChar w:fldCharType="begin"/>
      </w:r>
      <w:r w:rsidR="004270C0" w:rsidRPr="00155028">
        <w:rPr>
          <w:szCs w:val="20"/>
        </w:rPr>
        <w:instrText xml:space="preserve"> SEQ Tabela \* ARABIC </w:instrText>
      </w:r>
      <w:r w:rsidR="004270C0" w:rsidRPr="00155028">
        <w:rPr>
          <w:szCs w:val="20"/>
        </w:rPr>
        <w:fldChar w:fldCharType="separate"/>
      </w:r>
      <w:r w:rsidR="00F25B09">
        <w:rPr>
          <w:noProof/>
          <w:szCs w:val="20"/>
        </w:rPr>
        <w:t>1</w:t>
      </w:r>
      <w:r w:rsidR="004270C0" w:rsidRPr="00155028">
        <w:rPr>
          <w:noProof/>
          <w:szCs w:val="20"/>
        </w:rPr>
        <w:fldChar w:fldCharType="end"/>
      </w:r>
      <w:r w:rsidRPr="00155028">
        <w:rPr>
          <w:szCs w:val="20"/>
        </w:rPr>
        <w:t>: Kazalniki stanja, ki so uporabljeni v okviru specifičnega cilja 9:</w:t>
      </w:r>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2567"/>
        <w:gridCol w:w="1995"/>
        <w:gridCol w:w="4500"/>
      </w:tblGrid>
      <w:tr w:rsidR="00B97EB7" w:rsidRPr="00155028" w14:paraId="291A2145" w14:textId="77777777" w:rsidTr="004C5674">
        <w:trPr>
          <w:tblHeader/>
        </w:trPr>
        <w:tc>
          <w:tcPr>
            <w:tcW w:w="1416" w:type="pct"/>
            <w:shd w:val="clear" w:color="auto" w:fill="92D050"/>
            <w:vAlign w:val="center"/>
          </w:tcPr>
          <w:p w14:paraId="04C41D15" w14:textId="77777777" w:rsidR="00B97EB7" w:rsidRPr="00155028" w:rsidRDefault="00B97EB7" w:rsidP="00B97EB7">
            <w:pPr>
              <w:jc w:val="both"/>
              <w:rPr>
                <w:b/>
                <w:sz w:val="20"/>
                <w:lang w:eastAsia="sl-SI"/>
              </w:rPr>
            </w:pPr>
            <w:r w:rsidRPr="00155028">
              <w:rPr>
                <w:b/>
                <w:sz w:val="20"/>
                <w:lang w:eastAsia="sl-SI"/>
              </w:rPr>
              <w:t>Področje</w:t>
            </w:r>
          </w:p>
        </w:tc>
        <w:tc>
          <w:tcPr>
            <w:tcW w:w="1101" w:type="pct"/>
            <w:shd w:val="clear" w:color="auto" w:fill="92D050"/>
            <w:vAlign w:val="center"/>
          </w:tcPr>
          <w:p w14:paraId="729C73C9" w14:textId="77777777" w:rsidR="00B97EB7" w:rsidRPr="00155028" w:rsidRDefault="00B97EB7" w:rsidP="00B97EB7">
            <w:pPr>
              <w:jc w:val="both"/>
              <w:rPr>
                <w:b/>
                <w:sz w:val="20"/>
                <w:lang w:eastAsia="sl-SI"/>
              </w:rPr>
            </w:pPr>
            <w:r w:rsidRPr="00155028">
              <w:rPr>
                <w:b/>
                <w:sz w:val="20"/>
                <w:lang w:eastAsia="sl-SI"/>
              </w:rPr>
              <w:t>Oznaka kazalnika PMEF</w:t>
            </w:r>
          </w:p>
        </w:tc>
        <w:tc>
          <w:tcPr>
            <w:tcW w:w="2483" w:type="pct"/>
            <w:shd w:val="clear" w:color="auto" w:fill="92D050"/>
            <w:vAlign w:val="center"/>
          </w:tcPr>
          <w:p w14:paraId="7712D8F5" w14:textId="77777777" w:rsidR="00B97EB7" w:rsidRPr="00155028" w:rsidRDefault="00B97EB7" w:rsidP="00B97EB7">
            <w:pPr>
              <w:jc w:val="both"/>
              <w:rPr>
                <w:b/>
                <w:sz w:val="20"/>
                <w:lang w:eastAsia="sl-SI"/>
              </w:rPr>
            </w:pPr>
            <w:r w:rsidRPr="00155028">
              <w:rPr>
                <w:b/>
                <w:sz w:val="20"/>
                <w:lang w:eastAsia="sl-SI"/>
              </w:rPr>
              <w:t>Kazalnik PMEF</w:t>
            </w:r>
          </w:p>
        </w:tc>
      </w:tr>
      <w:tr w:rsidR="00B97EB7" w:rsidRPr="00155028" w14:paraId="63430189" w14:textId="77777777" w:rsidTr="004C5674">
        <w:tc>
          <w:tcPr>
            <w:tcW w:w="1416" w:type="pct"/>
            <w:vMerge w:val="restart"/>
            <w:shd w:val="clear" w:color="auto" w:fill="auto"/>
            <w:vAlign w:val="center"/>
          </w:tcPr>
          <w:p w14:paraId="6A7B2E0E" w14:textId="77777777" w:rsidR="00B97EB7" w:rsidRPr="00155028" w:rsidRDefault="00B97EB7" w:rsidP="00B97EB7">
            <w:pPr>
              <w:jc w:val="both"/>
              <w:rPr>
                <w:sz w:val="20"/>
                <w:lang w:eastAsia="sl-SI"/>
              </w:rPr>
            </w:pPr>
            <w:r w:rsidRPr="00155028">
              <w:rPr>
                <w:sz w:val="20"/>
                <w:lang w:eastAsia="sl-SI"/>
              </w:rPr>
              <w:t>Živinoreja</w:t>
            </w:r>
          </w:p>
        </w:tc>
        <w:tc>
          <w:tcPr>
            <w:tcW w:w="1101" w:type="pct"/>
            <w:shd w:val="clear" w:color="auto" w:fill="auto"/>
            <w:vAlign w:val="center"/>
          </w:tcPr>
          <w:p w14:paraId="12A2AEB3" w14:textId="77777777" w:rsidR="00B97EB7" w:rsidRPr="00155028" w:rsidRDefault="00B97EB7" w:rsidP="00B97EB7">
            <w:pPr>
              <w:jc w:val="both"/>
              <w:rPr>
                <w:sz w:val="20"/>
                <w:lang w:eastAsia="sl-SI"/>
              </w:rPr>
            </w:pPr>
            <w:r w:rsidRPr="00155028">
              <w:rPr>
                <w:sz w:val="20"/>
                <w:lang w:eastAsia="sl-SI"/>
              </w:rPr>
              <w:t>C.22</w:t>
            </w:r>
          </w:p>
        </w:tc>
        <w:tc>
          <w:tcPr>
            <w:tcW w:w="2483" w:type="pct"/>
            <w:shd w:val="clear" w:color="auto" w:fill="auto"/>
            <w:vAlign w:val="center"/>
          </w:tcPr>
          <w:p w14:paraId="0614B3D1" w14:textId="77777777" w:rsidR="00B97EB7" w:rsidRPr="00155028" w:rsidRDefault="00B97EB7" w:rsidP="00B97EB7">
            <w:pPr>
              <w:jc w:val="both"/>
              <w:rPr>
                <w:sz w:val="20"/>
                <w:lang w:eastAsia="sl-SI"/>
              </w:rPr>
            </w:pPr>
            <w:r w:rsidRPr="00155028">
              <w:rPr>
                <w:sz w:val="20"/>
                <w:lang w:eastAsia="sl-SI"/>
              </w:rPr>
              <w:t>Število živali v glavah velike živine (GVŽ)</w:t>
            </w:r>
          </w:p>
        </w:tc>
      </w:tr>
      <w:tr w:rsidR="00B97EB7" w:rsidRPr="00155028" w14:paraId="4B54E348" w14:textId="77777777" w:rsidTr="004C5674">
        <w:tc>
          <w:tcPr>
            <w:tcW w:w="1416" w:type="pct"/>
            <w:vMerge/>
            <w:shd w:val="clear" w:color="auto" w:fill="auto"/>
            <w:vAlign w:val="center"/>
          </w:tcPr>
          <w:p w14:paraId="1C9ECFD8" w14:textId="77777777" w:rsidR="00B97EB7" w:rsidRPr="00155028" w:rsidRDefault="00B97EB7" w:rsidP="00B97EB7">
            <w:pPr>
              <w:jc w:val="both"/>
              <w:rPr>
                <w:sz w:val="20"/>
                <w:lang w:eastAsia="sl-SI"/>
              </w:rPr>
            </w:pPr>
          </w:p>
        </w:tc>
        <w:tc>
          <w:tcPr>
            <w:tcW w:w="1101" w:type="pct"/>
            <w:shd w:val="clear" w:color="auto" w:fill="auto"/>
            <w:vAlign w:val="center"/>
          </w:tcPr>
          <w:p w14:paraId="13985A9A" w14:textId="77777777" w:rsidR="00B97EB7" w:rsidRPr="00155028" w:rsidRDefault="00B97EB7" w:rsidP="00B97EB7">
            <w:pPr>
              <w:jc w:val="both"/>
              <w:rPr>
                <w:sz w:val="20"/>
                <w:lang w:eastAsia="sl-SI"/>
              </w:rPr>
            </w:pPr>
            <w:r w:rsidRPr="00155028">
              <w:rPr>
                <w:sz w:val="20"/>
                <w:lang w:eastAsia="sl-SI"/>
              </w:rPr>
              <w:t>C.23</w:t>
            </w:r>
          </w:p>
        </w:tc>
        <w:tc>
          <w:tcPr>
            <w:tcW w:w="2483" w:type="pct"/>
            <w:shd w:val="clear" w:color="auto" w:fill="auto"/>
            <w:vAlign w:val="center"/>
          </w:tcPr>
          <w:p w14:paraId="56D88436" w14:textId="77777777" w:rsidR="00B97EB7" w:rsidRPr="00155028" w:rsidRDefault="00B97EB7" w:rsidP="00B97EB7">
            <w:pPr>
              <w:jc w:val="both"/>
              <w:rPr>
                <w:sz w:val="20"/>
                <w:lang w:eastAsia="sl-SI"/>
              </w:rPr>
            </w:pPr>
            <w:r w:rsidRPr="00155028">
              <w:rPr>
                <w:sz w:val="20"/>
                <w:lang w:eastAsia="sl-SI"/>
              </w:rPr>
              <w:t>Gostota (obtežba) z živalmi (GVŽ na ha kmetijskih zemljišč v uporabi)</w:t>
            </w:r>
          </w:p>
        </w:tc>
      </w:tr>
      <w:tr w:rsidR="00B97EB7" w:rsidRPr="00155028" w14:paraId="69DD5084" w14:textId="77777777" w:rsidTr="004C5674">
        <w:tc>
          <w:tcPr>
            <w:tcW w:w="1416" w:type="pct"/>
            <w:vMerge w:val="restart"/>
            <w:shd w:val="clear" w:color="auto" w:fill="auto"/>
            <w:vAlign w:val="center"/>
          </w:tcPr>
          <w:p w14:paraId="12A02EEE" w14:textId="77777777" w:rsidR="00B97EB7" w:rsidRPr="00155028" w:rsidRDefault="00B97EB7" w:rsidP="00B97EB7">
            <w:pPr>
              <w:jc w:val="both"/>
              <w:rPr>
                <w:sz w:val="20"/>
                <w:lang w:eastAsia="sl-SI"/>
              </w:rPr>
            </w:pPr>
            <w:r w:rsidRPr="00155028">
              <w:rPr>
                <w:sz w:val="20"/>
                <w:lang w:eastAsia="sl-SI"/>
              </w:rPr>
              <w:t>Zdravje</w:t>
            </w:r>
          </w:p>
        </w:tc>
        <w:tc>
          <w:tcPr>
            <w:tcW w:w="1101" w:type="pct"/>
            <w:shd w:val="clear" w:color="auto" w:fill="auto"/>
            <w:vAlign w:val="center"/>
          </w:tcPr>
          <w:p w14:paraId="263517E9" w14:textId="77777777" w:rsidR="00B97EB7" w:rsidRPr="00155028" w:rsidRDefault="00B97EB7" w:rsidP="00B97EB7">
            <w:pPr>
              <w:jc w:val="both"/>
              <w:rPr>
                <w:sz w:val="20"/>
                <w:lang w:eastAsia="sl-SI"/>
              </w:rPr>
            </w:pPr>
            <w:r w:rsidRPr="00155028">
              <w:rPr>
                <w:sz w:val="20"/>
                <w:lang w:eastAsia="sl-SI"/>
              </w:rPr>
              <w:t>C.47</w:t>
            </w:r>
          </w:p>
        </w:tc>
        <w:tc>
          <w:tcPr>
            <w:tcW w:w="2483" w:type="pct"/>
            <w:shd w:val="clear" w:color="auto" w:fill="auto"/>
            <w:vAlign w:val="center"/>
          </w:tcPr>
          <w:p w14:paraId="5DE30901" w14:textId="77777777" w:rsidR="00B97EB7" w:rsidRPr="00155028" w:rsidRDefault="00B97EB7" w:rsidP="00B97EB7">
            <w:pPr>
              <w:jc w:val="both"/>
              <w:rPr>
                <w:sz w:val="20"/>
                <w:lang w:eastAsia="sl-SI"/>
              </w:rPr>
            </w:pPr>
            <w:r w:rsidRPr="00155028">
              <w:rPr>
                <w:sz w:val="20"/>
                <w:lang w:eastAsia="sl-SI"/>
              </w:rPr>
              <w:t>Prodaja antibiotikov pri živalih za proizvodnjo živil</w:t>
            </w:r>
          </w:p>
        </w:tc>
      </w:tr>
      <w:tr w:rsidR="00B97EB7" w:rsidRPr="00155028" w14:paraId="1E30C2E0" w14:textId="77777777" w:rsidTr="004C5674">
        <w:tc>
          <w:tcPr>
            <w:tcW w:w="1416" w:type="pct"/>
            <w:vMerge/>
            <w:shd w:val="clear" w:color="auto" w:fill="auto"/>
            <w:vAlign w:val="center"/>
          </w:tcPr>
          <w:p w14:paraId="6A66BA08" w14:textId="77777777" w:rsidR="00B97EB7" w:rsidRPr="00155028" w:rsidRDefault="00B97EB7" w:rsidP="00B97EB7">
            <w:pPr>
              <w:jc w:val="both"/>
              <w:rPr>
                <w:sz w:val="20"/>
                <w:lang w:eastAsia="sl-SI"/>
              </w:rPr>
            </w:pPr>
          </w:p>
        </w:tc>
        <w:tc>
          <w:tcPr>
            <w:tcW w:w="1101" w:type="pct"/>
            <w:shd w:val="clear" w:color="auto" w:fill="auto"/>
            <w:vAlign w:val="center"/>
          </w:tcPr>
          <w:p w14:paraId="01FBBC32" w14:textId="77777777" w:rsidR="00B97EB7" w:rsidRPr="00155028" w:rsidRDefault="00B97EB7" w:rsidP="00B97EB7">
            <w:pPr>
              <w:jc w:val="both"/>
              <w:rPr>
                <w:sz w:val="20"/>
                <w:lang w:eastAsia="sl-SI"/>
              </w:rPr>
            </w:pPr>
            <w:r w:rsidRPr="00155028">
              <w:rPr>
                <w:sz w:val="20"/>
                <w:lang w:eastAsia="sl-SI"/>
              </w:rPr>
              <w:t>C.48</w:t>
            </w:r>
          </w:p>
        </w:tc>
        <w:tc>
          <w:tcPr>
            <w:tcW w:w="2483" w:type="pct"/>
            <w:shd w:val="clear" w:color="auto" w:fill="auto"/>
            <w:vAlign w:val="center"/>
          </w:tcPr>
          <w:p w14:paraId="316F843C" w14:textId="77777777" w:rsidR="00B97EB7" w:rsidRPr="00155028" w:rsidRDefault="00B97EB7" w:rsidP="00B97EB7">
            <w:pPr>
              <w:jc w:val="both"/>
              <w:rPr>
                <w:sz w:val="20"/>
                <w:lang w:eastAsia="sl-SI"/>
              </w:rPr>
            </w:pPr>
            <w:r w:rsidRPr="00155028">
              <w:rPr>
                <w:sz w:val="20"/>
                <w:lang w:eastAsia="sl-SI"/>
              </w:rPr>
              <w:t>Tveganje in vplivi pesticidov</w:t>
            </w:r>
          </w:p>
        </w:tc>
      </w:tr>
    </w:tbl>
    <w:p w14:paraId="097EDC93" w14:textId="71A3FF78" w:rsidR="00867750" w:rsidRPr="00155028" w:rsidRDefault="00867750" w:rsidP="00867750">
      <w:pPr>
        <w:jc w:val="both"/>
        <w:rPr>
          <w:sz w:val="20"/>
          <w:lang w:eastAsia="sl-SI"/>
        </w:rPr>
      </w:pPr>
      <w:r w:rsidRPr="00155028">
        <w:rPr>
          <w:sz w:val="20"/>
          <w:lang w:eastAsia="sl-SI"/>
        </w:rPr>
        <w:br w:type="page"/>
      </w:r>
    </w:p>
    <w:p w14:paraId="43CE8499" w14:textId="6C783E83" w:rsidR="009919A1" w:rsidRPr="00155028" w:rsidRDefault="009919A1" w:rsidP="009919A1">
      <w:pPr>
        <w:jc w:val="center"/>
        <w:rPr>
          <w:b/>
          <w:lang w:eastAsia="en-GB"/>
        </w:rPr>
      </w:pPr>
      <w:bookmarkStart w:id="52" w:name="_Toc30495272"/>
      <w:bookmarkStart w:id="53" w:name="_Toc50376679"/>
      <w:bookmarkEnd w:id="50"/>
      <w:r w:rsidRPr="00155028">
        <w:rPr>
          <w:b/>
          <w:lang w:eastAsia="en-GB"/>
        </w:rPr>
        <w:lastRenderedPageBreak/>
        <w:t>ANALIZA STANJA</w:t>
      </w:r>
    </w:p>
    <w:p w14:paraId="35380F31" w14:textId="35D83DFB" w:rsidR="00900630" w:rsidRPr="00155028" w:rsidRDefault="004821DC" w:rsidP="00C07901">
      <w:pPr>
        <w:pStyle w:val="Naslov1"/>
        <w:numPr>
          <w:ilvl w:val="0"/>
          <w:numId w:val="1"/>
        </w:numPr>
        <w:rPr>
          <w:rFonts w:ascii="Arial" w:eastAsia="Calibri" w:hAnsi="Arial" w:cs="Arial"/>
          <w:b/>
          <w:bCs/>
          <w:sz w:val="28"/>
          <w:szCs w:val="28"/>
          <w:lang w:eastAsia="en-GB"/>
        </w:rPr>
      </w:pPr>
      <w:bookmarkStart w:id="54" w:name="_Toc86826483"/>
      <w:r w:rsidRPr="00155028">
        <w:rPr>
          <w:rFonts w:ascii="Arial" w:eastAsia="Calibri" w:hAnsi="Arial" w:cs="Arial"/>
          <w:b/>
          <w:bCs/>
          <w:sz w:val="28"/>
          <w:szCs w:val="28"/>
          <w:lang w:eastAsia="en-GB"/>
        </w:rPr>
        <w:t>VARNA HRANA</w:t>
      </w:r>
      <w:bookmarkEnd w:id="54"/>
    </w:p>
    <w:p w14:paraId="6223F22B" w14:textId="77777777" w:rsidR="00C07901" w:rsidRPr="00155028" w:rsidRDefault="00C07901" w:rsidP="00C07901">
      <w:pPr>
        <w:rPr>
          <w:lang w:eastAsia="en-GB"/>
        </w:rPr>
      </w:pPr>
    </w:p>
    <w:p w14:paraId="0475F115" w14:textId="2F7D6D6D" w:rsidR="003557E8" w:rsidRPr="00155028" w:rsidRDefault="00900630" w:rsidP="00900630">
      <w:pPr>
        <w:spacing w:after="120" w:line="259" w:lineRule="auto"/>
        <w:jc w:val="both"/>
        <w:rPr>
          <w:rFonts w:eastAsia="Calibri"/>
          <w:sz w:val="20"/>
        </w:rPr>
      </w:pPr>
      <w:r w:rsidRPr="00155028">
        <w:rPr>
          <w:rFonts w:eastAsia="Calibri"/>
          <w:sz w:val="20"/>
        </w:rPr>
        <w:t>»Varna hrana« je  izraz za skupek pravil, katerih izvajanje v največji možni meri zagotavlja, da imajo potrošniki na razpolago živila, ki niso škodljiva za zdravje, upoštevajoč dolgoročne učinke in ki so ustrezna za prehrano ljudi. Na skupnem evropskem trgu, katerega del je R Slovenija, velja prost pretok blaga vključno z živili, zato so pravila, ki opredeljujejo varnost živil harmonizirana znotraj držav Evropske unije. Zaradi navedenega dejstva so tudi pravila o uradnem nadzoru enotna in se morajo izvajati na kar se da enoten način. R</w:t>
      </w:r>
      <w:r w:rsidR="00231869">
        <w:rPr>
          <w:rFonts w:eastAsia="Calibri"/>
          <w:sz w:val="20"/>
        </w:rPr>
        <w:t>epublika</w:t>
      </w:r>
      <w:r w:rsidRPr="00155028">
        <w:rPr>
          <w:rFonts w:eastAsia="Calibri"/>
          <w:sz w:val="20"/>
        </w:rPr>
        <w:t xml:space="preserve"> Slovenija je z ustanovitvijo Uprave </w:t>
      </w:r>
      <w:r w:rsidR="00231869">
        <w:rPr>
          <w:rFonts w:eastAsia="Calibri"/>
          <w:sz w:val="20"/>
        </w:rPr>
        <w:t xml:space="preserve">Republike Slovenije </w:t>
      </w:r>
      <w:r w:rsidRPr="00155028">
        <w:rPr>
          <w:rFonts w:eastAsia="Calibri"/>
          <w:sz w:val="20"/>
        </w:rPr>
        <w:t xml:space="preserve">za varno hrano, veterinarstvo in varstvo rastlin (UVHVVR) sledila najsodobnejšim trendom Evrope in sveta, saj je združevanje in povezovanje v agroživilski verigi edin odgovor na vedno večje in vedno nove izzive varovanja zdravja ljudi, živali, rastlin in okolja.  Različna tveganja se pojavljajo na vseh stopnjah agroživilske verige od pridelave, predelave in distribucije vključno z uvozom. Za obvladovanje tveganj so v prvi vrsti odgovorni izvajalci dejavnosti, uspešnost njihovega delovanja pa preverja UVHVVR z uradnim nadzorom tako izvajalcev dejavnosti kot preverjanjem skladnosti živali in blaga na trgu. Ob tem pa z izvajanjem programov spremljanja stanja pravočasno odkriva, preprečuje oziroma odpravlja pojav bolezni živali </w:t>
      </w:r>
      <w:r w:rsidR="00231869">
        <w:rPr>
          <w:rFonts w:eastAsia="Calibri"/>
          <w:sz w:val="20"/>
        </w:rPr>
        <w:t>oziroma preprečuje navzočnost škodljivih organizmov</w:t>
      </w:r>
      <w:r w:rsidRPr="00155028">
        <w:rPr>
          <w:rFonts w:eastAsia="Calibri"/>
          <w:sz w:val="20"/>
        </w:rPr>
        <w:t xml:space="preserve"> rastlin.</w:t>
      </w:r>
    </w:p>
    <w:p w14:paraId="3BAE5DDD" w14:textId="2A9C47D6" w:rsidR="003557E8" w:rsidRPr="00155028" w:rsidRDefault="003557E8" w:rsidP="00900630">
      <w:pPr>
        <w:spacing w:after="120" w:line="259" w:lineRule="auto"/>
        <w:jc w:val="both"/>
        <w:rPr>
          <w:rFonts w:eastAsia="Calibri"/>
          <w:sz w:val="20"/>
        </w:rPr>
      </w:pPr>
      <w:r w:rsidRPr="00155028">
        <w:rPr>
          <w:rFonts w:eastAsia="Calibri"/>
          <w:sz w:val="20"/>
        </w:rPr>
        <w:t>Varovanje zdravja ljudi je ena najpomembnejših družbenih nalog. Evropska unija in Slovenija si s politiko varne hrane prizadevata zagotoviti prebivalcem čim bolj varno hrano, ki nima škodljivih vplivov na naše zdravje in je primerna za prehrano. Varnost hrane se zagotavlja v celotni „agroživilski verigi“, to je na vsaki stopnji pridelave in predelave ter distribucije hrane vse do potrošnikov. Govorimo o načelu »od vil do vilic« oziroma od »hleva do mize«.</w:t>
      </w:r>
    </w:p>
    <w:p w14:paraId="67DBF3A4" w14:textId="2FE65349" w:rsidR="003557E8" w:rsidRPr="00155028" w:rsidRDefault="003557E8" w:rsidP="003557E8">
      <w:pPr>
        <w:spacing w:after="120" w:line="259" w:lineRule="auto"/>
        <w:jc w:val="both"/>
        <w:rPr>
          <w:rFonts w:eastAsia="Calibri"/>
          <w:sz w:val="20"/>
        </w:rPr>
      </w:pPr>
      <w:r w:rsidRPr="00155028">
        <w:rPr>
          <w:rFonts w:eastAsia="Calibri"/>
          <w:sz w:val="20"/>
        </w:rPr>
        <w:t>Varna krma je ključna za zdravje živali, zdravo okolje in varno hrano živalskega izvora. Zakonodaja zagotavlja, da krma ne predstavlja nevarnosti za zdravje ljudi in živali ali za okolje. Vključuje pravila o prometu in uporabi krme, zahteve za higieno krme, pravila o nezaželenih snoveh v krmi, pravila o gensko spremenjeni krmi ter pogoje za uporabo krmnih dodatkov v prehrani živali.</w:t>
      </w:r>
    </w:p>
    <w:p w14:paraId="4301A744" w14:textId="3215E0A7" w:rsidR="003557E8" w:rsidRPr="00155028" w:rsidRDefault="003557E8" w:rsidP="003557E8">
      <w:pPr>
        <w:spacing w:after="120" w:line="259" w:lineRule="auto"/>
        <w:jc w:val="both"/>
        <w:rPr>
          <w:rFonts w:eastAsia="Calibri"/>
          <w:sz w:val="20"/>
        </w:rPr>
      </w:pPr>
      <w:r w:rsidRPr="00155028">
        <w:rPr>
          <w:rFonts w:eastAsia="Calibri"/>
          <w:sz w:val="20"/>
        </w:rPr>
        <w:t>Živinoreja ima zelo pomembno vlogo v kmetijskem sektorju. Zadovoljivi rezultati te dejavnosti so v veliki meri odvisni od uporabe varne in kakovostne krme. V Evropski uniji vzreja živali za proizvodnjo hrane približno 5 milijonov kmetov, ki za svoje živali vsako leto potrebujejo 450 milijonov ton krme. Poleg tega 70 milijonov gospodinjstev porabi 10 milijonov ton krme za svoje hišne ljubljenčke.</w:t>
      </w:r>
    </w:p>
    <w:p w14:paraId="1820E34B" w14:textId="317AA835" w:rsidR="00571CEB" w:rsidRPr="00155028" w:rsidRDefault="003557E8" w:rsidP="003557E8">
      <w:pPr>
        <w:spacing w:after="120" w:line="259" w:lineRule="auto"/>
        <w:jc w:val="both"/>
        <w:rPr>
          <w:rFonts w:eastAsia="Calibri"/>
          <w:sz w:val="20"/>
        </w:rPr>
      </w:pPr>
      <w:r w:rsidRPr="00155028">
        <w:rPr>
          <w:rFonts w:eastAsia="Calibri"/>
          <w:sz w:val="20"/>
        </w:rPr>
        <w:t>V preteklosti so se v Evropi na področju živil zgodile številne krize, katerih vzrok je bila kontaminirana krma. Zaradi tega je bila uvedena politika na področju zagotavljanja varne hrane, ki je uveljavila strategijo od vil do vilic. Varnost krme je pomemben faktor na začetku prehranske verige.</w:t>
      </w:r>
    </w:p>
    <w:p w14:paraId="23099EEA" w14:textId="0C5824F0" w:rsidR="003557E8" w:rsidRPr="00155028" w:rsidRDefault="00571CEB" w:rsidP="00571CEB">
      <w:pPr>
        <w:spacing w:after="120" w:line="259" w:lineRule="auto"/>
        <w:jc w:val="both"/>
        <w:rPr>
          <w:rFonts w:eastAsia="Calibri"/>
          <w:sz w:val="20"/>
        </w:rPr>
      </w:pPr>
      <w:r w:rsidRPr="00155028">
        <w:rPr>
          <w:rFonts w:eastAsia="Calibri"/>
          <w:sz w:val="20"/>
        </w:rPr>
        <w:t>Podatki o uradnem nadzoru in o spremljanju stanja na področju zdravja živali za leto 2019 kažejo izjemno dobro situacijo. Kar se tiče podatkov o preiskavah in drugih aktivnostih glede škodljivih organizmov rastlin  in odgovornosti izvajalcev dejavnosti pa ti kažejo, da so usmerjene v učinkovito obvladovanje tveganj.</w:t>
      </w:r>
    </w:p>
    <w:p w14:paraId="02FA748B" w14:textId="57CF8273" w:rsidR="00571CEB" w:rsidRPr="00155028" w:rsidRDefault="003557E8" w:rsidP="00571CEB">
      <w:pPr>
        <w:spacing w:after="120" w:line="259" w:lineRule="auto"/>
        <w:jc w:val="both"/>
        <w:rPr>
          <w:rFonts w:eastAsia="Calibri"/>
          <w:sz w:val="20"/>
        </w:rPr>
      </w:pPr>
      <w:r w:rsidRPr="00155028">
        <w:rPr>
          <w:rFonts w:eastAsia="Calibri"/>
          <w:sz w:val="20"/>
        </w:rPr>
        <w:t>UVHVVR izvaja tudi nadzor nosilcev dejavnosti na področju  predelave živil rastlinskega izvora ter distribucije živil (proizvodnja živil, skladiščenje, pakiranje, sledljivost, sheme kakovosti in označevanje).</w:t>
      </w:r>
      <w:r w:rsidRPr="00155028">
        <w:t xml:space="preserve"> </w:t>
      </w:r>
      <w:r w:rsidRPr="00155028">
        <w:rPr>
          <w:rFonts w:eastAsia="Calibri"/>
          <w:sz w:val="20"/>
        </w:rPr>
        <w:t xml:space="preserve">V skladu z zakonodajo uradni veterinarji Inšpekcije UVHVVR izvajajo v klavnicah stalen nadzor za zagotavljanje </w:t>
      </w:r>
      <w:proofErr w:type="spellStart"/>
      <w:r w:rsidRPr="00155028">
        <w:rPr>
          <w:rFonts w:eastAsia="Calibri"/>
          <w:sz w:val="20"/>
        </w:rPr>
        <w:t>ante</w:t>
      </w:r>
      <w:proofErr w:type="spellEnd"/>
      <w:r w:rsidRPr="00155028">
        <w:rPr>
          <w:rFonts w:eastAsia="Calibri"/>
          <w:sz w:val="20"/>
        </w:rPr>
        <w:t xml:space="preserve"> in post </w:t>
      </w:r>
      <w:proofErr w:type="spellStart"/>
      <w:r w:rsidRPr="00155028">
        <w:rPr>
          <w:rFonts w:eastAsia="Calibri"/>
          <w:sz w:val="20"/>
        </w:rPr>
        <w:t>mortem</w:t>
      </w:r>
      <w:proofErr w:type="spellEnd"/>
      <w:r w:rsidRPr="00155028">
        <w:rPr>
          <w:rFonts w:eastAsia="Calibri"/>
          <w:sz w:val="20"/>
        </w:rPr>
        <w:t xml:space="preserve"> pregleda živali, ki vstopajo v prehransko verigo in pregled notranjih kontrol v skladu s frekvenco nadzora.</w:t>
      </w:r>
      <w:r w:rsidRPr="00155028">
        <w:t xml:space="preserve"> </w:t>
      </w:r>
      <w:r w:rsidRPr="00155028">
        <w:rPr>
          <w:rFonts w:eastAsia="Calibri"/>
          <w:sz w:val="20"/>
        </w:rPr>
        <w:t>V odobrenih obratih za klanje živali je UVHVVR zagotovila prisotnost vsaj enega uradnega veterinarja v času izvajanja klanja živali in obdelave trupov živali. Večina klavnic izvaja klanje vsak delovni dan, nekatere pa le določene dni v tednu ali delujejo sezonsko. Vsaka žival ali skupina živali (perutnina, kunci), ki vstopi v prehransko verigo, je pregledana pred in po klanju z namenom ugotavljanja zdravstvene ustreznosti za prehrano ljudi.</w:t>
      </w:r>
    </w:p>
    <w:p w14:paraId="6AC0F68B" w14:textId="77777777" w:rsidR="003557E8" w:rsidRPr="00155028" w:rsidRDefault="003557E8" w:rsidP="00571CEB">
      <w:pPr>
        <w:spacing w:after="120" w:line="259" w:lineRule="auto"/>
        <w:jc w:val="both"/>
        <w:rPr>
          <w:rFonts w:eastAsia="Calibri"/>
          <w:sz w:val="20"/>
        </w:rPr>
      </w:pPr>
      <w:r w:rsidRPr="00155028">
        <w:rPr>
          <w:rFonts w:eastAsia="Calibri"/>
          <w:sz w:val="20"/>
        </w:rPr>
        <w:t xml:space="preserve">Kot splošni nadzor in kot poostreni oz. nujni nadzor.se izvaja tudi uradni nadzor nad vnosom živil </w:t>
      </w:r>
      <w:proofErr w:type="spellStart"/>
      <w:r w:rsidRPr="00155028">
        <w:rPr>
          <w:rFonts w:eastAsia="Calibri"/>
          <w:sz w:val="20"/>
        </w:rPr>
        <w:t>neživalskega</w:t>
      </w:r>
      <w:proofErr w:type="spellEnd"/>
      <w:r w:rsidRPr="00155028">
        <w:rPr>
          <w:rFonts w:eastAsia="Calibri"/>
          <w:sz w:val="20"/>
        </w:rPr>
        <w:t xml:space="preserve"> izvora iz tretjih držav. </w:t>
      </w:r>
    </w:p>
    <w:p w14:paraId="07BF2045" w14:textId="77777777" w:rsidR="003557E8" w:rsidRPr="00155028" w:rsidRDefault="003557E8" w:rsidP="00571CEB">
      <w:pPr>
        <w:spacing w:after="120" w:line="259" w:lineRule="auto"/>
        <w:jc w:val="both"/>
        <w:rPr>
          <w:rFonts w:eastAsia="Calibri"/>
          <w:sz w:val="20"/>
        </w:rPr>
      </w:pPr>
    </w:p>
    <w:p w14:paraId="052B97DC" w14:textId="0913AF7F" w:rsidR="007F41C6" w:rsidRPr="00155028" w:rsidRDefault="004372F7" w:rsidP="009B695E">
      <w:pPr>
        <w:pStyle w:val="Naslov1"/>
        <w:numPr>
          <w:ilvl w:val="0"/>
          <w:numId w:val="1"/>
        </w:numPr>
        <w:rPr>
          <w:rFonts w:ascii="Arial" w:eastAsia="Calibri" w:hAnsi="Arial" w:cs="Arial"/>
          <w:b/>
          <w:bCs/>
          <w:sz w:val="28"/>
          <w:szCs w:val="28"/>
          <w:lang w:eastAsia="en-GB"/>
        </w:rPr>
      </w:pPr>
      <w:bookmarkStart w:id="55" w:name="_Toc86826484"/>
      <w:bookmarkEnd w:id="52"/>
      <w:bookmarkEnd w:id="53"/>
      <w:r w:rsidRPr="00155028">
        <w:rPr>
          <w:rFonts w:ascii="Arial" w:eastAsia="Calibri" w:hAnsi="Arial" w:cs="Arial"/>
          <w:b/>
          <w:bCs/>
          <w:sz w:val="28"/>
          <w:szCs w:val="28"/>
          <w:lang w:eastAsia="en-GB"/>
        </w:rPr>
        <w:lastRenderedPageBreak/>
        <w:t>ZDRAVILA ZA ŽIVALI</w:t>
      </w:r>
      <w:r w:rsidR="00731546" w:rsidRPr="00155028">
        <w:rPr>
          <w:rFonts w:ascii="Arial" w:eastAsia="Calibri" w:hAnsi="Arial" w:cs="Arial"/>
          <w:b/>
          <w:bCs/>
          <w:sz w:val="28"/>
          <w:szCs w:val="28"/>
          <w:lang w:eastAsia="en-GB"/>
        </w:rPr>
        <w:t xml:space="preserve"> (C. 47)</w:t>
      </w:r>
      <w:bookmarkEnd w:id="55"/>
    </w:p>
    <w:p w14:paraId="746D9202" w14:textId="29CB609A" w:rsidR="007F41C6" w:rsidRPr="00155028" w:rsidRDefault="007F41C6" w:rsidP="007F41C6">
      <w:pPr>
        <w:spacing w:before="120" w:after="0" w:line="240" w:lineRule="auto"/>
        <w:jc w:val="both"/>
        <w:rPr>
          <w:rFonts w:eastAsia="Arial"/>
          <w:sz w:val="20"/>
        </w:rPr>
      </w:pPr>
      <w:r w:rsidRPr="00155028">
        <w:rPr>
          <w:rFonts w:eastAsia="Arial"/>
          <w:sz w:val="20"/>
        </w:rPr>
        <w:t>Na osnovi podatkov o prodaji protimikrobnih zdravil</w:t>
      </w:r>
      <w:r w:rsidR="005E7FC2" w:rsidRPr="00155028">
        <w:rPr>
          <w:rFonts w:eastAsia="Arial"/>
          <w:sz w:val="20"/>
        </w:rPr>
        <w:t xml:space="preserve"> (AM)</w:t>
      </w:r>
      <w:r w:rsidRPr="00155028">
        <w:rPr>
          <w:rFonts w:eastAsia="Arial"/>
          <w:sz w:val="20"/>
        </w:rPr>
        <w:t xml:space="preserve">, ki nam jih posredujejo veletrgovci z zdravili, ocenjeni v okviru </w:t>
      </w:r>
      <w:r w:rsidR="00821F2F" w:rsidRPr="00155028">
        <w:rPr>
          <w:rFonts w:eastAsia="Arial"/>
          <w:sz w:val="20"/>
        </w:rPr>
        <w:t>projekta E</w:t>
      </w:r>
      <w:r w:rsidR="00821F2F" w:rsidRPr="00155028">
        <w:rPr>
          <w:rFonts w:eastAsia="Times New Roman"/>
          <w:color w:val="000000"/>
          <w:sz w:val="20"/>
          <w:lang w:eastAsia="sl-SI"/>
        </w:rPr>
        <w:t xml:space="preserve">vropskega uradnega nadzora porabe </w:t>
      </w:r>
      <w:r w:rsidR="00C40617" w:rsidRPr="00155028">
        <w:rPr>
          <w:rFonts w:eastAsia="Times New Roman"/>
          <w:color w:val="000000"/>
          <w:sz w:val="20"/>
          <w:lang w:eastAsia="sl-SI"/>
        </w:rPr>
        <w:t xml:space="preserve">protimikrobnih zdravil za uporabo v veterinarski medicini </w:t>
      </w:r>
      <w:r w:rsidR="00821F2F" w:rsidRPr="00155028">
        <w:rPr>
          <w:rFonts w:eastAsia="Times New Roman"/>
          <w:color w:val="000000"/>
          <w:sz w:val="20"/>
          <w:lang w:eastAsia="sl-SI"/>
        </w:rPr>
        <w:t>(</w:t>
      </w:r>
      <w:r w:rsidR="008B5C49" w:rsidRPr="00155028">
        <w:rPr>
          <w:rFonts w:eastAsia="Times New Roman"/>
          <w:color w:val="000000"/>
          <w:sz w:val="20"/>
          <w:lang w:eastAsia="sl-SI"/>
        </w:rPr>
        <w:t xml:space="preserve">v </w:t>
      </w:r>
      <w:r w:rsidR="00750B72" w:rsidRPr="00155028">
        <w:rPr>
          <w:rFonts w:eastAsia="Arial"/>
          <w:sz w:val="20"/>
        </w:rPr>
        <w:t>nadaljnjem besedilu</w:t>
      </w:r>
      <w:r w:rsidR="008B5C49" w:rsidRPr="00155028">
        <w:rPr>
          <w:rFonts w:eastAsia="Times New Roman"/>
          <w:color w:val="000000"/>
          <w:sz w:val="20"/>
          <w:lang w:eastAsia="sl-SI"/>
        </w:rPr>
        <w:t xml:space="preserve">: ESVAC, angl. </w:t>
      </w:r>
      <w:r w:rsidR="00723512" w:rsidRPr="00155028">
        <w:rPr>
          <w:rFonts w:eastAsia="Arial"/>
          <w:noProof/>
          <w:sz w:val="20"/>
          <w:lang w:eastAsia="sl-SI"/>
        </w:rPr>
        <w:t>European Surveillance of Veterinary Antimicrobial Consumption</w:t>
      </w:r>
      <w:r w:rsidR="00821F2F" w:rsidRPr="00155028">
        <w:rPr>
          <w:rFonts w:eastAsia="Times New Roman"/>
          <w:color w:val="000000"/>
          <w:sz w:val="20"/>
          <w:lang w:eastAsia="sl-SI"/>
        </w:rPr>
        <w:t>)</w:t>
      </w:r>
      <w:r w:rsidRPr="00155028">
        <w:rPr>
          <w:rFonts w:eastAsia="Arial"/>
          <w:sz w:val="20"/>
        </w:rPr>
        <w:t>, za živali, ki so pretežno namenje</w:t>
      </w:r>
      <w:r w:rsidR="00867750" w:rsidRPr="00155028">
        <w:rPr>
          <w:rFonts w:eastAsia="Arial"/>
          <w:sz w:val="20"/>
        </w:rPr>
        <w:t>ne</w:t>
      </w:r>
      <w:r w:rsidRPr="00155028">
        <w:rPr>
          <w:rFonts w:eastAsia="Arial"/>
          <w:sz w:val="20"/>
        </w:rPr>
        <w:t xml:space="preserve"> proizvodnji hrane, </w:t>
      </w:r>
      <w:r w:rsidR="00A15219" w:rsidRPr="00155028">
        <w:rPr>
          <w:rFonts w:eastAsia="Arial"/>
          <w:sz w:val="20"/>
        </w:rPr>
        <w:t>ocenjujemo</w:t>
      </w:r>
      <w:r w:rsidRPr="00155028">
        <w:rPr>
          <w:rFonts w:eastAsia="Arial"/>
          <w:sz w:val="20"/>
        </w:rPr>
        <w:t xml:space="preserve">, da je bila Slovenija </w:t>
      </w:r>
      <w:r w:rsidR="00FD4726" w:rsidRPr="00155028">
        <w:rPr>
          <w:rFonts w:eastAsia="Arial"/>
          <w:sz w:val="20"/>
        </w:rPr>
        <w:t>v zadnjih letih (s 36,5 mg/PCU v letu 2017, 43,2 mg/PCU v 2018, 44,9</w:t>
      </w:r>
      <w:r w:rsidR="00FD4726" w:rsidRPr="00155028">
        <w:t xml:space="preserve"> </w:t>
      </w:r>
      <w:r w:rsidR="00FD4726" w:rsidRPr="00155028">
        <w:rPr>
          <w:rFonts w:eastAsia="Arial"/>
          <w:sz w:val="20"/>
        </w:rPr>
        <w:t>mg/PCU v 2019 in 33,3 mg/PCU v 2020 ) v razmeroma dobrem položaju, saj so bile prodane količine AM pod povprečjem evropskih držav (109,3 mg/PCU v letu 2017 in 91,5</w:t>
      </w:r>
      <w:r w:rsidR="00FD4726" w:rsidRPr="00155028">
        <w:t xml:space="preserve"> </w:t>
      </w:r>
      <w:r w:rsidR="00FD4726" w:rsidRPr="00155028">
        <w:rPr>
          <w:rFonts w:eastAsia="Arial"/>
          <w:sz w:val="20"/>
        </w:rPr>
        <w:t>mg/PCU v letu 2020), kar nam je cilj tudi ostati.</w:t>
      </w:r>
    </w:p>
    <w:p w14:paraId="37589A6A" w14:textId="77777777" w:rsidR="00285183" w:rsidRPr="00155028" w:rsidRDefault="00285183" w:rsidP="007F41C6">
      <w:pPr>
        <w:spacing w:before="120" w:after="0" w:line="240" w:lineRule="auto"/>
        <w:jc w:val="both"/>
        <w:rPr>
          <w:rFonts w:eastAsia="Arial"/>
          <w:sz w:val="20"/>
        </w:rPr>
      </w:pPr>
    </w:p>
    <w:p w14:paraId="2FB6D224" w14:textId="6ED16B6F" w:rsidR="00CA2047" w:rsidRPr="00155028" w:rsidRDefault="00CA2047" w:rsidP="00CA2047">
      <w:pPr>
        <w:pStyle w:val="Napis"/>
        <w:jc w:val="both"/>
      </w:pPr>
      <w:bookmarkStart w:id="56" w:name="_Toc86826506"/>
      <w:r w:rsidRPr="00155028">
        <w:rPr>
          <w:szCs w:val="20"/>
        </w:rPr>
        <w:t xml:space="preserve">Slika </w:t>
      </w:r>
      <w:r w:rsidR="004270C0" w:rsidRPr="00155028">
        <w:rPr>
          <w:szCs w:val="20"/>
        </w:rPr>
        <w:fldChar w:fldCharType="begin"/>
      </w:r>
      <w:r w:rsidR="004270C0" w:rsidRPr="00155028">
        <w:rPr>
          <w:szCs w:val="20"/>
        </w:rPr>
        <w:instrText xml:space="preserve"> SEQ Slika \* ARABIC </w:instrText>
      </w:r>
      <w:r w:rsidR="004270C0" w:rsidRPr="00155028">
        <w:rPr>
          <w:szCs w:val="20"/>
        </w:rPr>
        <w:fldChar w:fldCharType="separate"/>
      </w:r>
      <w:r w:rsidR="00F25B09">
        <w:rPr>
          <w:noProof/>
          <w:szCs w:val="20"/>
        </w:rPr>
        <w:t>1</w:t>
      </w:r>
      <w:r w:rsidR="004270C0" w:rsidRPr="00155028">
        <w:rPr>
          <w:noProof/>
          <w:szCs w:val="20"/>
        </w:rPr>
        <w:fldChar w:fldCharType="end"/>
      </w:r>
      <w:r w:rsidRPr="00155028">
        <w:rPr>
          <w:szCs w:val="20"/>
        </w:rPr>
        <w:t>:Skupna prodaja veterinarskih protimikrobnih zdravil za živalske vrste, ki proizvajajo hrano, v mg/PCU, po državah, od 2010 do 2017 (VIR: NINTH ESVAC REPORT)</w:t>
      </w:r>
      <w:r w:rsidRPr="00155028">
        <w:rPr>
          <w:vertAlign w:val="superscript"/>
        </w:rPr>
        <w:t>2</w:t>
      </w:r>
      <w:bookmarkEnd w:id="56"/>
    </w:p>
    <w:p w14:paraId="36567E51" w14:textId="7E032916" w:rsidR="008579FE" w:rsidRPr="00155028" w:rsidRDefault="008579FE" w:rsidP="007F41C6">
      <w:pPr>
        <w:spacing w:before="120" w:after="0" w:line="240" w:lineRule="auto"/>
        <w:jc w:val="both"/>
        <w:rPr>
          <w:rFonts w:eastAsia="Arial"/>
          <w:sz w:val="20"/>
        </w:rPr>
      </w:pPr>
      <w:r w:rsidRPr="00155028">
        <w:rPr>
          <w:rFonts w:ascii="Calibri" w:eastAsia="Calibri" w:hAnsi="Calibri" w:cs="Times New Roman"/>
          <w:noProof/>
          <w:lang w:eastAsia="sl-SI"/>
        </w:rPr>
        <w:drawing>
          <wp:inline distT="0" distB="0" distL="0" distR="0" wp14:anchorId="5A4C334B" wp14:editId="13053C9B">
            <wp:extent cx="5760720" cy="5843252"/>
            <wp:effectExtent l="0" t="0" r="0" b="5715"/>
            <wp:docPr id="15" name="Slika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5">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5760720" cy="5843252"/>
                    </a:xfrm>
                    <a:prstGeom prst="rect">
                      <a:avLst/>
                    </a:prstGeom>
                  </pic:spPr>
                </pic:pic>
              </a:graphicData>
            </a:graphic>
          </wp:inline>
        </w:drawing>
      </w:r>
    </w:p>
    <w:p w14:paraId="2A8754AF" w14:textId="0462A7A8" w:rsidR="007F41C6" w:rsidRPr="00155028" w:rsidRDefault="007F41C6" w:rsidP="007F41C6">
      <w:pPr>
        <w:spacing w:before="120" w:after="0" w:line="240" w:lineRule="auto"/>
        <w:jc w:val="both"/>
        <w:rPr>
          <w:rFonts w:eastAsia="Arial"/>
          <w:sz w:val="20"/>
        </w:rPr>
      </w:pPr>
      <w:r w:rsidRPr="00155028">
        <w:rPr>
          <w:rFonts w:eastAsia="Arial"/>
          <w:sz w:val="20"/>
        </w:rPr>
        <w:t>Podatki o prodaji oz. porabi protimikrobnih zdravil se precej razlikujejo med posameznimi državami (Slika</w:t>
      </w:r>
      <w:r w:rsidR="00821F2F" w:rsidRPr="00155028">
        <w:rPr>
          <w:rFonts w:eastAsia="Arial"/>
          <w:sz w:val="20"/>
        </w:rPr>
        <w:t xml:space="preserve"> </w:t>
      </w:r>
      <w:r w:rsidRPr="00155028">
        <w:rPr>
          <w:rFonts w:eastAsia="Arial"/>
          <w:sz w:val="20"/>
        </w:rPr>
        <w:t>1</w:t>
      </w:r>
      <w:r w:rsidR="008579FE" w:rsidRPr="00155028">
        <w:rPr>
          <w:rFonts w:eastAsia="Arial"/>
          <w:sz w:val="20"/>
        </w:rPr>
        <w:t xml:space="preserve"> in 2</w:t>
      </w:r>
      <w:r w:rsidRPr="00155028">
        <w:rPr>
          <w:rFonts w:eastAsia="Arial"/>
          <w:sz w:val="20"/>
        </w:rPr>
        <w:t xml:space="preserve">). </w:t>
      </w:r>
    </w:p>
    <w:p w14:paraId="7F01E788" w14:textId="77777777" w:rsidR="00B10CA5" w:rsidRPr="00155028" w:rsidRDefault="00B10CA5" w:rsidP="00285183">
      <w:pPr>
        <w:pStyle w:val="SCslika"/>
        <w:rPr>
          <w:rFonts w:eastAsia="Arial"/>
        </w:rPr>
      </w:pPr>
    </w:p>
    <w:p w14:paraId="063E3B6B" w14:textId="487DFF87" w:rsidR="00CA2047" w:rsidRPr="00155028" w:rsidRDefault="00CA2047" w:rsidP="00CA2047">
      <w:pPr>
        <w:pStyle w:val="Napis"/>
        <w:jc w:val="both"/>
        <w:rPr>
          <w:szCs w:val="20"/>
        </w:rPr>
      </w:pPr>
      <w:bookmarkStart w:id="57" w:name="_Toc86826507"/>
      <w:r w:rsidRPr="00155028">
        <w:rPr>
          <w:szCs w:val="20"/>
        </w:rPr>
        <w:lastRenderedPageBreak/>
        <w:t xml:space="preserve">Slika </w:t>
      </w:r>
      <w:r w:rsidR="004270C0" w:rsidRPr="00155028">
        <w:rPr>
          <w:szCs w:val="20"/>
        </w:rPr>
        <w:fldChar w:fldCharType="begin"/>
      </w:r>
      <w:r w:rsidR="004270C0" w:rsidRPr="00155028">
        <w:rPr>
          <w:szCs w:val="20"/>
        </w:rPr>
        <w:instrText xml:space="preserve"> SEQ Slika \* ARABIC </w:instrText>
      </w:r>
      <w:r w:rsidR="004270C0" w:rsidRPr="00155028">
        <w:rPr>
          <w:szCs w:val="20"/>
        </w:rPr>
        <w:fldChar w:fldCharType="separate"/>
      </w:r>
      <w:r w:rsidR="00F25B09">
        <w:rPr>
          <w:noProof/>
          <w:szCs w:val="20"/>
        </w:rPr>
        <w:t>2</w:t>
      </w:r>
      <w:r w:rsidR="004270C0" w:rsidRPr="00155028">
        <w:rPr>
          <w:noProof/>
          <w:szCs w:val="20"/>
        </w:rPr>
        <w:fldChar w:fldCharType="end"/>
      </w:r>
      <w:r w:rsidRPr="00155028">
        <w:rPr>
          <w:szCs w:val="20"/>
        </w:rPr>
        <w:t>:</w:t>
      </w:r>
      <w:r w:rsidR="00C20BCC" w:rsidRPr="00155028">
        <w:rPr>
          <w:szCs w:val="20"/>
        </w:rPr>
        <w:t xml:space="preserve"> </w:t>
      </w:r>
      <w:r w:rsidRPr="00155028">
        <w:rPr>
          <w:szCs w:val="20"/>
        </w:rPr>
        <w:t xml:space="preserve">Prodaja  veterinarskih protimikrobnih zdravil za živali za proizvodnjo hrane (v mg/PCU) po evropskih državah </w:t>
      </w:r>
      <w:r w:rsidR="00FD4726" w:rsidRPr="00155028">
        <w:rPr>
          <w:szCs w:val="20"/>
        </w:rPr>
        <w:t xml:space="preserve">v letu 2017 </w:t>
      </w:r>
      <w:r w:rsidRPr="00155028">
        <w:rPr>
          <w:szCs w:val="20"/>
        </w:rPr>
        <w:t>(VIR: NINTH ESVAC REPORT)</w:t>
      </w:r>
      <w:r w:rsidRPr="00155028">
        <w:rPr>
          <w:szCs w:val="20"/>
          <w:vertAlign w:val="superscript"/>
        </w:rPr>
        <w:t>2</w:t>
      </w:r>
      <w:bookmarkEnd w:id="57"/>
    </w:p>
    <w:p w14:paraId="24C87E17" w14:textId="77777777" w:rsidR="007F41C6" w:rsidRPr="00155028" w:rsidRDefault="007F41C6" w:rsidP="007F41C6">
      <w:pPr>
        <w:spacing w:before="120" w:after="0" w:line="240" w:lineRule="auto"/>
        <w:jc w:val="both"/>
        <w:rPr>
          <w:rFonts w:eastAsia="Arial"/>
          <w:szCs w:val="24"/>
        </w:rPr>
      </w:pPr>
      <w:r w:rsidRPr="00155028">
        <w:rPr>
          <w:rFonts w:eastAsia="Times New Roman"/>
          <w:noProof/>
          <w:szCs w:val="24"/>
          <w:lang w:eastAsia="sl-SI"/>
        </w:rPr>
        <w:drawing>
          <wp:inline distT="0" distB="0" distL="0" distR="0" wp14:anchorId="1E05444F" wp14:editId="4AF2D189">
            <wp:extent cx="4943475" cy="4393332"/>
            <wp:effectExtent l="0" t="0" r="0" b="7620"/>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t="11961"/>
                    <a:stretch/>
                  </pic:blipFill>
                  <pic:spPr bwMode="auto">
                    <a:xfrm>
                      <a:off x="0" y="0"/>
                      <a:ext cx="4948938" cy="4398187"/>
                    </a:xfrm>
                    <a:prstGeom prst="rect">
                      <a:avLst/>
                    </a:prstGeom>
                    <a:noFill/>
                    <a:ln>
                      <a:noFill/>
                    </a:ln>
                    <a:extLst>
                      <a:ext uri="{53640926-AAD7-44D8-BBD7-CCE9431645EC}">
                        <a14:shadowObscured xmlns:a14="http://schemas.microsoft.com/office/drawing/2010/main"/>
                      </a:ext>
                    </a:extLst>
                  </pic:spPr>
                </pic:pic>
              </a:graphicData>
            </a:graphic>
          </wp:inline>
        </w:drawing>
      </w:r>
    </w:p>
    <w:p w14:paraId="2DFF1C23" w14:textId="057AD38D" w:rsidR="007F41C6" w:rsidRPr="00155028" w:rsidRDefault="007F41C6" w:rsidP="007F41C6">
      <w:pPr>
        <w:spacing w:before="80" w:after="80" w:line="240" w:lineRule="auto"/>
        <w:jc w:val="both"/>
        <w:rPr>
          <w:rFonts w:eastAsia="Arial"/>
          <w:b/>
          <w:i/>
          <w:smallCaps/>
          <w:noProof/>
          <w:sz w:val="20"/>
          <w:lang w:eastAsia="sl-SI"/>
        </w:rPr>
      </w:pPr>
      <w:r w:rsidRPr="00155028">
        <w:rPr>
          <w:rFonts w:eastAsia="Arial"/>
          <w:noProof/>
          <w:sz w:val="20"/>
          <w:lang w:eastAsia="sl-SI"/>
        </w:rPr>
        <w:t>Po podatkih Evropske agencije za zdravila, ki v okviru projekta ESVAC spremlja prodajo oz. porabo veterinarskih protimikrobnih zdravil je bilo za 25 držav, ki so med letoma 2011 in 2017 zagotavljale podatke o prodaji veterinarskih protimikrobnih zdravil za vsa leta, zabeleženo skupno znižanje prodaje (v mg/PCU</w:t>
      </w:r>
      <w:r w:rsidRPr="00155028">
        <w:rPr>
          <w:rFonts w:eastAsia="Arial"/>
          <w:noProof/>
          <w:sz w:val="20"/>
          <w:vertAlign w:val="superscript"/>
          <w:lang w:eastAsia="sl-SI"/>
        </w:rPr>
        <w:footnoteReference w:id="2"/>
      </w:r>
      <w:r w:rsidRPr="00155028">
        <w:rPr>
          <w:rFonts w:eastAsia="Arial"/>
          <w:noProof/>
          <w:sz w:val="20"/>
          <w:lang w:eastAsia="sl-SI"/>
        </w:rPr>
        <w:t>) za 3</w:t>
      </w:r>
      <w:r w:rsidR="004372F7" w:rsidRPr="00155028">
        <w:rPr>
          <w:rFonts w:eastAsia="Arial"/>
          <w:noProof/>
          <w:sz w:val="20"/>
          <w:lang w:eastAsia="sl-SI"/>
        </w:rPr>
        <w:t xml:space="preserve">3 </w:t>
      </w:r>
      <w:r w:rsidRPr="00155028">
        <w:rPr>
          <w:rFonts w:eastAsia="Arial"/>
          <w:noProof/>
          <w:sz w:val="20"/>
          <w:lang w:eastAsia="sl-SI"/>
        </w:rPr>
        <w:t xml:space="preserve">%. Skupna ocenjena prodaja je padla s 162 mg/PCU v letu 2011 na 109  mg/PCU v letu 2017 (Slika </w:t>
      </w:r>
      <w:r w:rsidR="008579FE" w:rsidRPr="00155028">
        <w:rPr>
          <w:rFonts w:eastAsia="Arial"/>
          <w:noProof/>
          <w:sz w:val="20"/>
          <w:lang w:eastAsia="sl-SI"/>
        </w:rPr>
        <w:t>3</w:t>
      </w:r>
      <w:r w:rsidRPr="00155028">
        <w:rPr>
          <w:rFonts w:eastAsia="Arial"/>
          <w:noProof/>
          <w:sz w:val="20"/>
          <w:lang w:eastAsia="sl-SI"/>
        </w:rPr>
        <w:t>). Med temi 25 državami je bilo opazno zmanjšanje prodaje (v mg/PCU) zlasti za nekatere države, ki so imele prvotno visoko prodajo, kar je pomembno vplivalo na skupno zmanjšanje prodaje za 3</w:t>
      </w:r>
      <w:r w:rsidR="004372F7" w:rsidRPr="00155028">
        <w:rPr>
          <w:rFonts w:eastAsia="Arial"/>
          <w:noProof/>
          <w:sz w:val="20"/>
          <w:lang w:eastAsia="sl-SI"/>
        </w:rPr>
        <w:t xml:space="preserve">3 </w:t>
      </w:r>
      <w:r w:rsidRPr="00155028">
        <w:rPr>
          <w:rFonts w:eastAsia="Arial"/>
          <w:noProof/>
          <w:sz w:val="20"/>
          <w:lang w:eastAsia="sl-SI"/>
        </w:rPr>
        <w:t>% v tem obdobju. Razlike med državami so med ostalimi tudi zaradi različnih struktur reje, zaradi demografskih razlik v populacijah živali.</w:t>
      </w:r>
    </w:p>
    <w:p w14:paraId="2EE73785" w14:textId="60683D93" w:rsidR="007F41C6" w:rsidRPr="00155028" w:rsidRDefault="007F41C6" w:rsidP="007F41C6">
      <w:pPr>
        <w:spacing w:before="120" w:after="0" w:line="240" w:lineRule="auto"/>
        <w:jc w:val="both"/>
        <w:rPr>
          <w:rFonts w:eastAsia="Arial"/>
          <w:sz w:val="20"/>
        </w:rPr>
      </w:pPr>
      <w:r w:rsidRPr="00155028">
        <w:rPr>
          <w:rFonts w:eastAsia="Times New Roman"/>
          <w:sz w:val="20"/>
          <w:lang w:eastAsia="en-GB"/>
        </w:rPr>
        <w:t>V Sloveniji</w:t>
      </w:r>
      <w:r w:rsidR="00614BAF" w:rsidRPr="00155028">
        <w:rPr>
          <w:rFonts w:eastAsia="Times New Roman"/>
          <w:sz w:val="20"/>
          <w:lang w:eastAsia="en-GB"/>
        </w:rPr>
        <w:t xml:space="preserve"> </w:t>
      </w:r>
      <w:r w:rsidR="00ED1B85" w:rsidRPr="00155028">
        <w:rPr>
          <w:rFonts w:eastAsia="Times New Roman"/>
          <w:sz w:val="20"/>
          <w:lang w:eastAsia="en-GB"/>
        </w:rPr>
        <w:t xml:space="preserve">že </w:t>
      </w:r>
      <w:r w:rsidRPr="00155028">
        <w:rPr>
          <w:rFonts w:eastAsia="Times New Roman"/>
          <w:sz w:val="20"/>
          <w:lang w:eastAsia="en-GB"/>
        </w:rPr>
        <w:t xml:space="preserve">10 let zbiramo podatke od veletrgovcev o prodaji zdravil, ki so namenjena za zdravljenje živali. </w:t>
      </w:r>
      <w:r w:rsidRPr="00155028">
        <w:rPr>
          <w:rFonts w:eastAsia="Arial"/>
          <w:sz w:val="20"/>
        </w:rPr>
        <w:t>Prodaja veterinarskih protimikrobnih zdravil (v mg/PCU) se je v Sloveniji zmanjševala, in sicer od leta 2011 do leta 2017 beležimo padec prodaje (v mg/PCU) za več kot 20 %, od 46 mg/PCU (2011) na 3</w:t>
      </w:r>
      <w:r w:rsidR="004372F7" w:rsidRPr="00155028">
        <w:rPr>
          <w:rFonts w:eastAsia="Arial"/>
          <w:sz w:val="20"/>
        </w:rPr>
        <w:t>7</w:t>
      </w:r>
      <w:r w:rsidRPr="00155028">
        <w:rPr>
          <w:rFonts w:eastAsia="Arial"/>
          <w:sz w:val="20"/>
        </w:rPr>
        <w:t xml:space="preserve"> mg/PCU (2017). Za vsa ta leta je prodaja v Sloveniji pod povprečjem EU kar je razvidno in Slike 2</w:t>
      </w:r>
      <w:r w:rsidRPr="00155028">
        <w:rPr>
          <w:rFonts w:eastAsia="Arial"/>
          <w:sz w:val="20"/>
          <w:vertAlign w:val="superscript"/>
        </w:rPr>
        <w:footnoteReference w:id="3"/>
      </w:r>
      <w:r w:rsidR="008B5C49" w:rsidRPr="00155028">
        <w:rPr>
          <w:rFonts w:eastAsia="Arial"/>
          <w:sz w:val="20"/>
        </w:rPr>
        <w:t>.</w:t>
      </w:r>
    </w:p>
    <w:p w14:paraId="33371955" w14:textId="02F4722E" w:rsidR="000A1A7D" w:rsidRPr="00155028" w:rsidRDefault="000A1A7D" w:rsidP="000A1A7D">
      <w:pPr>
        <w:pStyle w:val="Napis"/>
        <w:jc w:val="both"/>
      </w:pPr>
      <w:bookmarkStart w:id="58" w:name="_Toc86826508"/>
      <w:r w:rsidRPr="00155028">
        <w:rPr>
          <w:szCs w:val="20"/>
        </w:rPr>
        <w:lastRenderedPageBreak/>
        <w:t xml:space="preserve">Slika </w:t>
      </w:r>
      <w:r w:rsidR="004270C0" w:rsidRPr="00155028">
        <w:rPr>
          <w:szCs w:val="20"/>
        </w:rPr>
        <w:fldChar w:fldCharType="begin"/>
      </w:r>
      <w:r w:rsidR="004270C0" w:rsidRPr="00155028">
        <w:rPr>
          <w:szCs w:val="20"/>
        </w:rPr>
        <w:instrText xml:space="preserve"> SEQ Slika \* ARABIC </w:instrText>
      </w:r>
      <w:r w:rsidR="004270C0" w:rsidRPr="00155028">
        <w:rPr>
          <w:szCs w:val="20"/>
        </w:rPr>
        <w:fldChar w:fldCharType="separate"/>
      </w:r>
      <w:r w:rsidR="00F25B09">
        <w:rPr>
          <w:noProof/>
          <w:szCs w:val="20"/>
        </w:rPr>
        <w:t>3</w:t>
      </w:r>
      <w:r w:rsidR="004270C0" w:rsidRPr="00155028">
        <w:rPr>
          <w:noProof/>
          <w:szCs w:val="20"/>
        </w:rPr>
        <w:fldChar w:fldCharType="end"/>
      </w:r>
      <w:r w:rsidRPr="00155028">
        <w:rPr>
          <w:szCs w:val="20"/>
        </w:rPr>
        <w:t xml:space="preserve">:Prodaja veterinarskih protimikrobnih zdravil za živali za proizvodnjo hrane (v mg/PCU) v Sloveniji ter v 25 državah EU in EGP v obdobju med leti 2011 in 2017 (Vir: </w:t>
      </w:r>
      <w:proofErr w:type="spellStart"/>
      <w:r w:rsidRPr="00155028">
        <w:rPr>
          <w:szCs w:val="20"/>
        </w:rPr>
        <w:t>Ninth</w:t>
      </w:r>
      <w:proofErr w:type="spellEnd"/>
      <w:r w:rsidRPr="00155028">
        <w:rPr>
          <w:szCs w:val="20"/>
        </w:rPr>
        <w:t xml:space="preserve"> ESVAC </w:t>
      </w:r>
      <w:proofErr w:type="spellStart"/>
      <w:r w:rsidRPr="00155028">
        <w:rPr>
          <w:szCs w:val="20"/>
        </w:rPr>
        <w:t>report</w:t>
      </w:r>
      <w:proofErr w:type="spellEnd"/>
      <w:r w:rsidRPr="00155028">
        <w:rPr>
          <w:szCs w:val="20"/>
        </w:rPr>
        <w:t>)</w:t>
      </w:r>
      <w:r w:rsidRPr="00155028">
        <w:rPr>
          <w:vertAlign w:val="superscript"/>
        </w:rPr>
        <w:t xml:space="preserve"> 2</w:t>
      </w:r>
      <w:bookmarkEnd w:id="58"/>
    </w:p>
    <w:p w14:paraId="7749A3C2" w14:textId="50838D9F" w:rsidR="007F41C6" w:rsidRPr="00155028" w:rsidRDefault="00FA7A05" w:rsidP="007F41C6">
      <w:pPr>
        <w:keepNext/>
        <w:spacing w:before="120" w:after="0" w:line="240" w:lineRule="auto"/>
        <w:jc w:val="both"/>
        <w:rPr>
          <w:rFonts w:eastAsia="Arial"/>
          <w:sz w:val="20"/>
          <w:lang w:eastAsia="en-GB"/>
        </w:rPr>
      </w:pPr>
      <w:r w:rsidRPr="00155028">
        <w:rPr>
          <w:rFonts w:eastAsia="Times New Roman"/>
          <w:noProof/>
          <w:sz w:val="20"/>
          <w:lang w:eastAsia="sl-SI"/>
        </w:rPr>
        <w:drawing>
          <wp:inline distT="0" distB="0" distL="0" distR="0" wp14:anchorId="61DCF450" wp14:editId="78B9F007">
            <wp:extent cx="5530850" cy="3069590"/>
            <wp:effectExtent l="0" t="0" r="12700" b="16510"/>
            <wp:docPr id="3" name="Grafikon 3" descr="Vrednost z leti pada v EU/EGP. V Sloveniji n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1B58740" w14:textId="489B5AD4" w:rsidR="008579FE" w:rsidRPr="00155028" w:rsidRDefault="008579FE" w:rsidP="008579FE">
      <w:pPr>
        <w:spacing w:before="120" w:after="0" w:line="240" w:lineRule="auto"/>
        <w:jc w:val="both"/>
        <w:rPr>
          <w:rFonts w:eastAsia="Arial"/>
          <w:sz w:val="20"/>
        </w:rPr>
      </w:pPr>
      <w:r w:rsidRPr="00155028">
        <w:rPr>
          <w:rFonts w:eastAsia="Arial"/>
          <w:sz w:val="20"/>
        </w:rPr>
        <w:t xml:space="preserve">V </w:t>
      </w:r>
      <w:r w:rsidR="000A1A7D" w:rsidRPr="00155028">
        <w:rPr>
          <w:rFonts w:eastAsia="Arial"/>
          <w:sz w:val="20"/>
        </w:rPr>
        <w:t xml:space="preserve">Tabeli </w:t>
      </w:r>
      <w:r w:rsidR="00B10CA5" w:rsidRPr="00155028">
        <w:rPr>
          <w:rFonts w:eastAsia="Arial"/>
          <w:sz w:val="20"/>
        </w:rPr>
        <w:t>2</w:t>
      </w:r>
      <w:r w:rsidRPr="00155028">
        <w:rPr>
          <w:rFonts w:eastAsia="Arial"/>
          <w:sz w:val="20"/>
        </w:rPr>
        <w:t xml:space="preserve"> je prikazana količinska prodaja veterinarskih protimikrobnih zdravil za živali, ki so pretežno namenjene proizvodnji hrane, v Sloveniji, v tonah, od leta 2011 do leta 2017. Celokupna prodaja namenjena živalim za proizvodnjo hrane se je med leti 2011 in 2017 zmanjšala za </w:t>
      </w:r>
      <w:r w:rsidR="00FD4726" w:rsidRPr="00155028">
        <w:rPr>
          <w:rFonts w:eastAsia="Arial"/>
          <w:sz w:val="20"/>
        </w:rPr>
        <w:t xml:space="preserve">približno </w:t>
      </w:r>
      <w:r w:rsidRPr="00155028">
        <w:rPr>
          <w:rFonts w:eastAsia="Arial"/>
          <w:sz w:val="20"/>
        </w:rPr>
        <w:t>1</w:t>
      </w:r>
      <w:r w:rsidR="00C87C51" w:rsidRPr="00155028">
        <w:rPr>
          <w:rFonts w:eastAsia="Arial"/>
          <w:sz w:val="20"/>
        </w:rPr>
        <w:t xml:space="preserve"> </w:t>
      </w:r>
      <w:r w:rsidRPr="00155028">
        <w:rPr>
          <w:rFonts w:eastAsia="Arial"/>
          <w:sz w:val="20"/>
        </w:rPr>
        <w:t>ton</w:t>
      </w:r>
      <w:r w:rsidR="00C87C51" w:rsidRPr="00155028">
        <w:rPr>
          <w:rFonts w:eastAsia="Arial"/>
          <w:sz w:val="20"/>
        </w:rPr>
        <w:t>o</w:t>
      </w:r>
      <w:r w:rsidRPr="00155028">
        <w:rPr>
          <w:rFonts w:eastAsia="Arial"/>
          <w:sz w:val="20"/>
        </w:rPr>
        <w:t xml:space="preserve"> (iz </w:t>
      </w:r>
      <w:r w:rsidR="00FD4726" w:rsidRPr="00155028">
        <w:rPr>
          <w:rFonts w:eastAsia="Arial"/>
          <w:sz w:val="20"/>
        </w:rPr>
        <w:t>7,</w:t>
      </w:r>
      <w:r w:rsidR="00C87C51" w:rsidRPr="00155028">
        <w:rPr>
          <w:rFonts w:eastAsia="Arial"/>
          <w:sz w:val="20"/>
        </w:rPr>
        <w:t>8</w:t>
      </w:r>
      <w:r w:rsidRPr="00155028">
        <w:rPr>
          <w:rFonts w:eastAsia="Arial"/>
          <w:sz w:val="20"/>
        </w:rPr>
        <w:t xml:space="preserve"> na </w:t>
      </w:r>
      <w:r w:rsidR="00FD4726" w:rsidRPr="00155028">
        <w:rPr>
          <w:rFonts w:eastAsia="Arial"/>
          <w:sz w:val="20"/>
        </w:rPr>
        <w:t>6,</w:t>
      </w:r>
      <w:r w:rsidRPr="00155028">
        <w:rPr>
          <w:rFonts w:eastAsia="Arial"/>
          <w:sz w:val="20"/>
        </w:rPr>
        <w:t>7 tone</w:t>
      </w:r>
      <w:r w:rsidR="00FD4726" w:rsidRPr="00155028">
        <w:rPr>
          <w:rFonts w:eastAsia="Arial"/>
          <w:sz w:val="20"/>
        </w:rPr>
        <w:t>, od 2010 do leta 2020 pa za 2,5 tone iz 8,4 tone na 5,9 tone</w:t>
      </w:r>
      <w:r w:rsidRPr="00155028">
        <w:rPr>
          <w:rFonts w:eastAsia="Arial"/>
          <w:sz w:val="20"/>
        </w:rPr>
        <w:t>).</w:t>
      </w:r>
    </w:p>
    <w:p w14:paraId="669D8C07" w14:textId="0CBBA83A" w:rsidR="000A1A7D" w:rsidRPr="00155028" w:rsidRDefault="000A1A7D" w:rsidP="000A1A7D">
      <w:pPr>
        <w:pStyle w:val="Napis"/>
        <w:jc w:val="both"/>
      </w:pPr>
      <w:bookmarkStart w:id="59" w:name="_Toc86826521"/>
      <w:r w:rsidRPr="00155028">
        <w:rPr>
          <w:szCs w:val="20"/>
        </w:rPr>
        <w:t xml:space="preserve">Tabela </w:t>
      </w:r>
      <w:r w:rsidR="004270C0" w:rsidRPr="00155028">
        <w:rPr>
          <w:szCs w:val="20"/>
        </w:rPr>
        <w:fldChar w:fldCharType="begin"/>
      </w:r>
      <w:r w:rsidR="004270C0" w:rsidRPr="00155028">
        <w:rPr>
          <w:szCs w:val="20"/>
        </w:rPr>
        <w:instrText xml:space="preserve"> SEQ Tabela \* ARABIC </w:instrText>
      </w:r>
      <w:r w:rsidR="004270C0" w:rsidRPr="00155028">
        <w:rPr>
          <w:szCs w:val="20"/>
        </w:rPr>
        <w:fldChar w:fldCharType="separate"/>
      </w:r>
      <w:r w:rsidR="00F25B09">
        <w:rPr>
          <w:noProof/>
          <w:szCs w:val="20"/>
        </w:rPr>
        <w:t>2</w:t>
      </w:r>
      <w:r w:rsidR="004270C0" w:rsidRPr="00155028">
        <w:rPr>
          <w:noProof/>
          <w:szCs w:val="20"/>
        </w:rPr>
        <w:fldChar w:fldCharType="end"/>
      </w:r>
      <w:r w:rsidRPr="00155028">
        <w:rPr>
          <w:szCs w:val="20"/>
        </w:rPr>
        <w:t>:</w:t>
      </w:r>
      <w:r w:rsidR="00837C52" w:rsidRPr="00155028">
        <w:rPr>
          <w:szCs w:val="20"/>
        </w:rPr>
        <w:t xml:space="preserve"> </w:t>
      </w:r>
      <w:r w:rsidRPr="00155028">
        <w:rPr>
          <w:szCs w:val="20"/>
        </w:rPr>
        <w:t>Prodaja veterinarskih protimikrobnih zdravil za živali, ki so pretežno namenjene proizvodnji hrane, v Sloveniji, v tonah, od leta 2011 do leta 2017</w:t>
      </w:r>
      <w:bookmarkEnd w:id="59"/>
    </w:p>
    <w:p w14:paraId="0C129CE9" w14:textId="176D635A" w:rsidR="008579FE" w:rsidRPr="00155028" w:rsidRDefault="008579FE" w:rsidP="008579FE">
      <w:pPr>
        <w:spacing w:before="120" w:after="0" w:line="240" w:lineRule="auto"/>
        <w:jc w:val="both"/>
        <w:rPr>
          <w:rFonts w:eastAsia="Arial"/>
          <w:sz w:val="20"/>
        </w:rPr>
      </w:pPr>
      <w:r w:rsidRPr="00155028">
        <w:rPr>
          <w:noProof/>
          <w:lang w:eastAsia="sl-SI"/>
        </w:rPr>
        <w:drawing>
          <wp:inline distT="0" distB="0" distL="0" distR="0" wp14:anchorId="5A8942E5" wp14:editId="24088AD8">
            <wp:extent cx="5760720" cy="3640455"/>
            <wp:effectExtent l="0" t="0" r="0" b="0"/>
            <wp:docPr id="16" name="Slika 16" descr="Prodaja veterinarskih protimikrobnih zdravil za živali, ki so pretežno namenjene proizvodnji hrane, v Sloveniji, v tonah, od leta 2011 do leta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ka 16" descr="Prodaja veterinarskih protimikrobnih zdravil za živali, ki so pretežno namenjene proizvodnji hrane, v Sloveniji, v tonah, od leta 2011 do leta 20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640455"/>
                    </a:xfrm>
                    <a:prstGeom prst="rect">
                      <a:avLst/>
                    </a:prstGeom>
                    <a:noFill/>
                    <a:ln>
                      <a:noFill/>
                    </a:ln>
                  </pic:spPr>
                </pic:pic>
              </a:graphicData>
            </a:graphic>
          </wp:inline>
        </w:drawing>
      </w:r>
    </w:p>
    <w:p w14:paraId="161EA890" w14:textId="03AF52D4" w:rsidR="008579FE" w:rsidRPr="00155028" w:rsidRDefault="008579FE" w:rsidP="008579FE">
      <w:pPr>
        <w:spacing w:before="120" w:after="0" w:line="240" w:lineRule="auto"/>
        <w:jc w:val="both"/>
        <w:rPr>
          <w:rFonts w:eastAsia="Arial"/>
          <w:sz w:val="20"/>
        </w:rPr>
      </w:pPr>
      <w:r w:rsidRPr="00155028">
        <w:rPr>
          <w:rFonts w:eastAsia="Arial"/>
          <w:sz w:val="20"/>
        </w:rPr>
        <w:t xml:space="preserve">Opazna je zlasti razlika, porast v prodaji penicilinov in ob tem manjša prodaja </w:t>
      </w:r>
      <w:proofErr w:type="spellStart"/>
      <w:r w:rsidRPr="00155028">
        <w:rPr>
          <w:rFonts w:eastAsia="Arial"/>
          <w:sz w:val="20"/>
        </w:rPr>
        <w:t>fluorokinolonov</w:t>
      </w:r>
      <w:proofErr w:type="spellEnd"/>
      <w:r w:rsidRPr="00155028">
        <w:rPr>
          <w:rFonts w:eastAsia="Arial"/>
          <w:sz w:val="20"/>
        </w:rPr>
        <w:t xml:space="preserve">, </w:t>
      </w:r>
      <w:proofErr w:type="spellStart"/>
      <w:r w:rsidR="00FD4726" w:rsidRPr="00155028">
        <w:rPr>
          <w:rFonts w:eastAsia="Arial"/>
          <w:sz w:val="20"/>
        </w:rPr>
        <w:t>slednji</w:t>
      </w:r>
      <w:r w:rsidRPr="00155028">
        <w:rPr>
          <w:rFonts w:eastAsia="Arial"/>
          <w:sz w:val="20"/>
        </w:rPr>
        <w:t>spadajo</w:t>
      </w:r>
      <w:proofErr w:type="spellEnd"/>
      <w:r w:rsidRPr="00155028">
        <w:rPr>
          <w:rFonts w:eastAsia="Arial"/>
          <w:sz w:val="20"/>
        </w:rPr>
        <w:t xml:space="preserve"> v skupino kritično pomembnih protimikrobnih zdravil v humani medicini </w:t>
      </w:r>
      <w:r w:rsidR="00FD4726" w:rsidRPr="00155028">
        <w:rPr>
          <w:rFonts w:eastAsia="Arial"/>
          <w:sz w:val="20"/>
        </w:rPr>
        <w:t xml:space="preserve">(CIA, angl. </w:t>
      </w:r>
      <w:proofErr w:type="spellStart"/>
      <w:r w:rsidR="00FD4726" w:rsidRPr="00155028">
        <w:rPr>
          <w:rFonts w:eastAsia="Arial"/>
          <w:sz w:val="20"/>
        </w:rPr>
        <w:t>Critical</w:t>
      </w:r>
      <w:proofErr w:type="spellEnd"/>
      <w:r w:rsidR="00FD4726" w:rsidRPr="00155028">
        <w:rPr>
          <w:rFonts w:eastAsia="Arial"/>
          <w:sz w:val="20"/>
        </w:rPr>
        <w:t xml:space="preserve"> </w:t>
      </w:r>
      <w:proofErr w:type="spellStart"/>
      <w:r w:rsidR="00FD4726" w:rsidRPr="00155028">
        <w:rPr>
          <w:rFonts w:eastAsia="Arial"/>
          <w:sz w:val="20"/>
        </w:rPr>
        <w:lastRenderedPageBreak/>
        <w:t>important</w:t>
      </w:r>
      <w:proofErr w:type="spellEnd"/>
      <w:r w:rsidR="00FD4726" w:rsidRPr="00155028">
        <w:rPr>
          <w:rFonts w:eastAsia="Arial"/>
          <w:sz w:val="20"/>
        </w:rPr>
        <w:t xml:space="preserve"> </w:t>
      </w:r>
      <w:proofErr w:type="spellStart"/>
      <w:r w:rsidR="00FD4726" w:rsidRPr="00155028">
        <w:rPr>
          <w:rFonts w:eastAsia="Arial"/>
          <w:sz w:val="20"/>
        </w:rPr>
        <w:t>antimicrobials</w:t>
      </w:r>
      <w:proofErr w:type="spellEnd"/>
      <w:r w:rsidR="00FD4726" w:rsidRPr="00155028">
        <w:rPr>
          <w:rFonts w:eastAsia="Arial"/>
          <w:sz w:val="20"/>
        </w:rPr>
        <w:t xml:space="preserve">) </w:t>
      </w:r>
      <w:r w:rsidRPr="00155028">
        <w:rPr>
          <w:rFonts w:eastAsia="Arial"/>
          <w:sz w:val="20"/>
        </w:rPr>
        <w:t>in moramo njihovo porabo za zdravljenje živali še zmanjševati oz. jo omejevati na le upravičene primere.</w:t>
      </w:r>
      <w:r w:rsidRPr="00155028">
        <w:rPr>
          <w:rFonts w:eastAsia="Arial"/>
          <w:sz w:val="20"/>
        </w:rPr>
        <w:softHyphen/>
      </w:r>
      <w:r w:rsidRPr="00155028">
        <w:rPr>
          <w:rFonts w:eastAsia="Arial"/>
          <w:sz w:val="20"/>
        </w:rPr>
        <w:softHyphen/>
      </w:r>
      <w:r w:rsidRPr="00155028">
        <w:rPr>
          <w:rFonts w:eastAsia="Arial"/>
          <w:sz w:val="20"/>
        </w:rPr>
        <w:softHyphen/>
      </w:r>
    </w:p>
    <w:p w14:paraId="7F17A4A2" w14:textId="77777777" w:rsidR="007F41C6" w:rsidRPr="00155028" w:rsidRDefault="007F41C6" w:rsidP="007F41C6">
      <w:pPr>
        <w:spacing w:before="120" w:after="0" w:line="240" w:lineRule="auto"/>
        <w:jc w:val="both"/>
        <w:rPr>
          <w:rFonts w:eastAsia="Arial"/>
          <w:sz w:val="20"/>
        </w:rPr>
      </w:pPr>
    </w:p>
    <w:p w14:paraId="4913CF71" w14:textId="42CB0A13" w:rsidR="007F41C6" w:rsidRPr="00155028" w:rsidRDefault="00FD4726" w:rsidP="007F41C6">
      <w:pPr>
        <w:spacing w:before="120" w:after="0" w:line="240" w:lineRule="auto"/>
        <w:jc w:val="both"/>
        <w:rPr>
          <w:rFonts w:eastAsia="Arial"/>
          <w:sz w:val="20"/>
        </w:rPr>
      </w:pPr>
      <w:r w:rsidRPr="00155028">
        <w:rPr>
          <w:rFonts w:eastAsia="Arial"/>
          <w:sz w:val="20"/>
        </w:rPr>
        <w:t xml:space="preserve">Od leta 2008 je Nacionalna komisija za smiselno rabo protimikrobnih zdravil v sodelovanju z Upravo Republike Slovenije za varno hrano, veterinarstvo in varstvo rastlin (v nadaljevanju besedila: UVHVVR)  izvajala ozaveščanje za obvladovanje AMR in za bolj odgovorno uporabo protimikrobnih zdravil v humani in veterinarski medicini. Med leti 2011 in 2015 smo  tako s pomočjo ozaveščanj, zlasti veterinarjev in tudi rejcev preko medijev,  beležili ugoden trend zniževanja skupne prodaje antibiotikov, ki so bili namenjeni za zdravljenje živali. Od leta 2016 dalje beležimo trend rahlega porasta prodaje antibiotikov za zdravljenje živali (Slika 2), zlasti zaradi vpliva razmer v intenzivni reji perutnine in posledične večje porabe antibiotikov v delu intenzivne perutninske proizvodnje, kar je vplivalo na povečanje obsega skupne prodaje protimikrobnih zdravil na ravni države. V letu 2020 so se razmere v zadevni proizvodnji perutnine izboljšale tako smo zabeležili padec prodaje omenjenih zdravil na vrednost iz leta 2014 (33,3 mg/PCU). </w:t>
      </w:r>
    </w:p>
    <w:p w14:paraId="10BB7396" w14:textId="5EBB2F1E" w:rsidR="007B2CC8" w:rsidRPr="00155028" w:rsidRDefault="00FD4726" w:rsidP="007F41C6">
      <w:pPr>
        <w:spacing w:before="120" w:after="0" w:line="240" w:lineRule="auto"/>
        <w:jc w:val="both"/>
        <w:rPr>
          <w:rFonts w:eastAsia="Arial"/>
          <w:sz w:val="20"/>
        </w:rPr>
      </w:pPr>
      <w:r w:rsidRPr="00155028">
        <w:rPr>
          <w:rFonts w:eastAsia="Arial"/>
          <w:sz w:val="20"/>
        </w:rPr>
        <w:t xml:space="preserve">V skupino kritično pomembnih protimikrobnih zdravil spadajo </w:t>
      </w:r>
      <w:proofErr w:type="spellStart"/>
      <w:r w:rsidRPr="00155028">
        <w:rPr>
          <w:rFonts w:eastAsia="Arial"/>
          <w:sz w:val="20"/>
        </w:rPr>
        <w:t>cefalosporini</w:t>
      </w:r>
      <w:proofErr w:type="spellEnd"/>
      <w:r w:rsidRPr="00155028">
        <w:rPr>
          <w:rFonts w:eastAsia="Arial"/>
          <w:sz w:val="20"/>
        </w:rPr>
        <w:t xml:space="preserve"> tretje in četrte generacije, </w:t>
      </w:r>
      <w:proofErr w:type="spellStart"/>
      <w:r w:rsidRPr="00155028">
        <w:rPr>
          <w:rFonts w:eastAsia="Arial"/>
          <w:sz w:val="20"/>
        </w:rPr>
        <w:t>fluorokinoloni</w:t>
      </w:r>
      <w:proofErr w:type="spellEnd"/>
      <w:r w:rsidRPr="00155028">
        <w:rPr>
          <w:rFonts w:eastAsia="Arial"/>
          <w:sz w:val="20"/>
        </w:rPr>
        <w:t xml:space="preserve">, ostali </w:t>
      </w:r>
      <w:proofErr w:type="spellStart"/>
      <w:r w:rsidRPr="00155028">
        <w:rPr>
          <w:rFonts w:eastAsia="Arial"/>
          <w:sz w:val="20"/>
        </w:rPr>
        <w:t>kinoloni</w:t>
      </w:r>
      <w:proofErr w:type="spellEnd"/>
      <w:r w:rsidRPr="00155028">
        <w:rPr>
          <w:rFonts w:eastAsia="Arial"/>
          <w:sz w:val="20"/>
        </w:rPr>
        <w:t xml:space="preserve"> in </w:t>
      </w:r>
      <w:proofErr w:type="spellStart"/>
      <w:r w:rsidRPr="00155028">
        <w:rPr>
          <w:rFonts w:eastAsia="Arial"/>
          <w:sz w:val="20"/>
        </w:rPr>
        <w:t>polimiksini</w:t>
      </w:r>
      <w:proofErr w:type="spellEnd"/>
      <w:r w:rsidRPr="00155028">
        <w:rPr>
          <w:rFonts w:eastAsia="Arial"/>
          <w:sz w:val="20"/>
        </w:rPr>
        <w:t xml:space="preserve">. Med temi protimikrobnimi zdravili je bil  v Sloveniji večji delež prodaje </w:t>
      </w:r>
      <w:proofErr w:type="spellStart"/>
      <w:r w:rsidRPr="00155028">
        <w:rPr>
          <w:rFonts w:eastAsia="Arial"/>
          <w:sz w:val="20"/>
        </w:rPr>
        <w:t>fluorokinolonov</w:t>
      </w:r>
      <w:proofErr w:type="spellEnd"/>
      <w:r w:rsidRPr="00155028">
        <w:rPr>
          <w:rFonts w:eastAsia="Arial"/>
          <w:sz w:val="20"/>
        </w:rPr>
        <w:t xml:space="preserve"> (Slika 3), katerih porabo smo v Sloveniji v letu 2020 znižali iz 5,94 mg/PCU na 0,99 mg/PCU v letu 2020. Ozaveščanje veterinarjev in rejcev je dalo določene rezultate. Trenutne razmere pa kažejo, da je treba ozaveščanje za boljše poznavanje in obvladovanje odpornosti mikrobov še okrepiti in dopolniti z izobraževanji in usposabljanji. Za namen odkrivanja prekomernih porabnikov in možnostjo ukrepanja za ureditev razmer, da bi bile potrebe po uporabi antibiotikov manjše, je treba spremljanje prodaje antibiotikov čimprej nadgraditi z uvedbo spremljanja porabe protimikrobnih zdravil na gospodarstvih po živalskih vrstah</w:t>
      </w:r>
      <w:r w:rsidR="006A24BC" w:rsidRPr="00155028">
        <w:rPr>
          <w:rFonts w:eastAsia="Arial"/>
          <w:sz w:val="20"/>
        </w:rPr>
        <w:t>.</w:t>
      </w:r>
    </w:p>
    <w:p w14:paraId="53A4A2A1" w14:textId="5F83A59F" w:rsidR="000A1A7D" w:rsidRPr="00155028" w:rsidRDefault="000A1A7D" w:rsidP="000A1A7D">
      <w:pPr>
        <w:pStyle w:val="Napis"/>
        <w:jc w:val="both"/>
        <w:rPr>
          <w:szCs w:val="20"/>
          <w:vertAlign w:val="superscript"/>
        </w:rPr>
      </w:pPr>
      <w:bookmarkStart w:id="60" w:name="_Toc86826509"/>
      <w:r w:rsidRPr="00155028">
        <w:rPr>
          <w:szCs w:val="20"/>
        </w:rPr>
        <w:t xml:space="preserve">Slika </w:t>
      </w:r>
      <w:r w:rsidR="004270C0" w:rsidRPr="00155028">
        <w:rPr>
          <w:szCs w:val="20"/>
        </w:rPr>
        <w:fldChar w:fldCharType="begin"/>
      </w:r>
      <w:r w:rsidR="004270C0" w:rsidRPr="00155028">
        <w:rPr>
          <w:szCs w:val="20"/>
        </w:rPr>
        <w:instrText xml:space="preserve"> SEQ Slika \* ARABIC </w:instrText>
      </w:r>
      <w:r w:rsidR="004270C0" w:rsidRPr="00155028">
        <w:rPr>
          <w:szCs w:val="20"/>
        </w:rPr>
        <w:fldChar w:fldCharType="separate"/>
      </w:r>
      <w:r w:rsidR="00F25B09">
        <w:rPr>
          <w:noProof/>
          <w:szCs w:val="20"/>
        </w:rPr>
        <w:t>4</w:t>
      </w:r>
      <w:r w:rsidR="004270C0" w:rsidRPr="00155028">
        <w:rPr>
          <w:noProof/>
          <w:szCs w:val="20"/>
        </w:rPr>
        <w:fldChar w:fldCharType="end"/>
      </w:r>
      <w:r w:rsidRPr="00155028">
        <w:rPr>
          <w:szCs w:val="20"/>
        </w:rPr>
        <w:t xml:space="preserve">:Prodaja  </w:t>
      </w:r>
      <w:proofErr w:type="spellStart"/>
      <w:r w:rsidRPr="00155028">
        <w:rPr>
          <w:szCs w:val="20"/>
        </w:rPr>
        <w:t>cefalosporinov</w:t>
      </w:r>
      <w:proofErr w:type="spellEnd"/>
      <w:r w:rsidRPr="00155028">
        <w:rPr>
          <w:szCs w:val="20"/>
        </w:rPr>
        <w:t xml:space="preserve"> 3. in 4. generacije, </w:t>
      </w:r>
      <w:proofErr w:type="spellStart"/>
      <w:r w:rsidRPr="00155028">
        <w:rPr>
          <w:szCs w:val="20"/>
        </w:rPr>
        <w:t>fluorokinolonov</w:t>
      </w:r>
      <w:proofErr w:type="spellEnd"/>
      <w:r w:rsidRPr="00155028">
        <w:rPr>
          <w:szCs w:val="20"/>
        </w:rPr>
        <w:t xml:space="preserve">, drugih </w:t>
      </w:r>
      <w:proofErr w:type="spellStart"/>
      <w:r w:rsidRPr="00155028">
        <w:rPr>
          <w:szCs w:val="20"/>
        </w:rPr>
        <w:t>kinolonov</w:t>
      </w:r>
      <w:proofErr w:type="spellEnd"/>
      <w:r w:rsidRPr="00155028">
        <w:rPr>
          <w:szCs w:val="20"/>
        </w:rPr>
        <w:t xml:space="preserve"> in </w:t>
      </w:r>
      <w:proofErr w:type="spellStart"/>
      <w:r w:rsidRPr="00155028">
        <w:rPr>
          <w:szCs w:val="20"/>
        </w:rPr>
        <w:t>polimiksinov</w:t>
      </w:r>
      <w:proofErr w:type="spellEnd"/>
      <w:r w:rsidRPr="00155028">
        <w:rPr>
          <w:szCs w:val="20"/>
        </w:rPr>
        <w:t xml:space="preserve"> pri živalih za hrano, v mg/PCU, za 31 Evropskih držav v letu 2017  (Vir: </w:t>
      </w:r>
      <w:proofErr w:type="spellStart"/>
      <w:r w:rsidRPr="00155028">
        <w:rPr>
          <w:szCs w:val="20"/>
        </w:rPr>
        <w:t>Ninth</w:t>
      </w:r>
      <w:proofErr w:type="spellEnd"/>
      <w:r w:rsidRPr="00155028">
        <w:rPr>
          <w:szCs w:val="20"/>
        </w:rPr>
        <w:t xml:space="preserve"> ESVAC </w:t>
      </w:r>
      <w:proofErr w:type="spellStart"/>
      <w:r w:rsidRPr="00155028">
        <w:rPr>
          <w:szCs w:val="20"/>
        </w:rPr>
        <w:t>report</w:t>
      </w:r>
      <w:proofErr w:type="spellEnd"/>
      <w:r w:rsidRPr="00155028">
        <w:rPr>
          <w:szCs w:val="20"/>
        </w:rPr>
        <w:t>)</w:t>
      </w:r>
      <w:r w:rsidRPr="00155028">
        <w:rPr>
          <w:szCs w:val="20"/>
          <w:vertAlign w:val="superscript"/>
        </w:rPr>
        <w:t>2</w:t>
      </w:r>
      <w:bookmarkEnd w:id="60"/>
    </w:p>
    <w:p w14:paraId="7C08E371" w14:textId="77777777" w:rsidR="007F41C6" w:rsidRPr="00155028" w:rsidRDefault="007F41C6" w:rsidP="007F41C6">
      <w:pPr>
        <w:spacing w:before="120" w:after="0" w:line="240" w:lineRule="auto"/>
        <w:jc w:val="both"/>
        <w:rPr>
          <w:rFonts w:eastAsia="Arial"/>
          <w:szCs w:val="24"/>
        </w:rPr>
      </w:pPr>
      <w:r w:rsidRPr="00155028">
        <w:rPr>
          <w:rFonts w:ascii="Calibri" w:eastAsia="Calibri" w:hAnsi="Calibri" w:cs="Times New Roman"/>
          <w:noProof/>
          <w:lang w:eastAsia="sl-SI"/>
        </w:rPr>
        <w:drawing>
          <wp:inline distT="0" distB="0" distL="0" distR="0" wp14:anchorId="002FF6E8" wp14:editId="3CDFD7BB">
            <wp:extent cx="4998720" cy="3250750"/>
            <wp:effectExtent l="0" t="0" r="0" b="6985"/>
            <wp:docPr id="4" name="Slika 4" descr="V Sloveniji prevladujejo fluorokinol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V Sloveniji prevladujejo fluorokinoloni."/>
                    <pic:cNvPicPr/>
                  </pic:nvPicPr>
                  <pic:blipFill>
                    <a:blip r:embed="rId18">
                      <a:extLst>
                        <a:ext uri="{28A0092B-C50C-407E-A947-70E740481C1C}">
                          <a14:useLocalDpi xmlns:a14="http://schemas.microsoft.com/office/drawing/2010/main" val="0"/>
                        </a:ext>
                      </a:extLst>
                    </a:blip>
                    <a:stretch>
                      <a:fillRect/>
                    </a:stretch>
                  </pic:blipFill>
                  <pic:spPr>
                    <a:xfrm>
                      <a:off x="0" y="0"/>
                      <a:ext cx="5009781" cy="3257943"/>
                    </a:xfrm>
                    <a:prstGeom prst="rect">
                      <a:avLst/>
                    </a:prstGeom>
                  </pic:spPr>
                </pic:pic>
              </a:graphicData>
            </a:graphic>
          </wp:inline>
        </w:drawing>
      </w:r>
    </w:p>
    <w:p w14:paraId="35358678" w14:textId="126CF938" w:rsidR="007F41C6" w:rsidRPr="00155028" w:rsidRDefault="007F41C6" w:rsidP="007F41C6">
      <w:pPr>
        <w:spacing w:before="120" w:after="0" w:line="240" w:lineRule="auto"/>
        <w:jc w:val="both"/>
        <w:rPr>
          <w:rFonts w:eastAsia="Arial"/>
          <w:sz w:val="20"/>
        </w:rPr>
      </w:pPr>
      <w:r w:rsidRPr="00155028">
        <w:rPr>
          <w:rFonts w:eastAsia="Arial"/>
          <w:sz w:val="20"/>
        </w:rPr>
        <w:t xml:space="preserve">Odpornost mikrobov proti protimikrobnim zdravilom, kot so antibiotiki, je resna nevarnost za zdravje ljudi, dobrobit in zdravje živali, kakor tudi za prehransko varnost po vsem svetu. Vlada Republike Slovenije je septembra 2019 sprejela Državno strategijo „Eno zdravje" za obvladovanje odpornosti mikrobov (2019-2024), s triletnim nacionalnim akcijskim načrtom (2019-2021). Strategija vključuje vidik zdravja ljudi in živali z upoštevanjem okolja, povezuje zdravstveni, kmetijski in </w:t>
      </w:r>
      <w:proofErr w:type="spellStart"/>
      <w:r w:rsidRPr="00155028">
        <w:rPr>
          <w:rFonts w:eastAsia="Arial"/>
          <w:sz w:val="20"/>
        </w:rPr>
        <w:t>okoljski</w:t>
      </w:r>
      <w:proofErr w:type="spellEnd"/>
      <w:r w:rsidRPr="00155028">
        <w:rPr>
          <w:rFonts w:eastAsia="Arial"/>
          <w:sz w:val="20"/>
        </w:rPr>
        <w:t xml:space="preserve"> resor ter stroko in deležnike na tem področju.</w:t>
      </w:r>
      <w:r w:rsidRPr="00155028">
        <w:rPr>
          <w:rFonts w:eastAsia="Arial"/>
          <w:b/>
          <w:smallCaps/>
          <w:sz w:val="20"/>
          <w:vertAlign w:val="superscript"/>
        </w:rPr>
        <w:footnoteReference w:id="4"/>
      </w:r>
      <w:r w:rsidR="000F22E7" w:rsidRPr="00155028">
        <w:rPr>
          <w:rFonts w:eastAsia="Arial"/>
          <w:sz w:val="20"/>
        </w:rPr>
        <w:t xml:space="preserve"> </w:t>
      </w:r>
    </w:p>
    <w:p w14:paraId="19EBEF22" w14:textId="77777777" w:rsidR="00AA5278" w:rsidRPr="00155028" w:rsidRDefault="00AA5278" w:rsidP="000F22E7">
      <w:pPr>
        <w:spacing w:before="120" w:after="0" w:line="240" w:lineRule="auto"/>
        <w:jc w:val="both"/>
        <w:rPr>
          <w:rFonts w:eastAsia="Arial"/>
          <w:sz w:val="20"/>
        </w:rPr>
      </w:pPr>
    </w:p>
    <w:p w14:paraId="70F82B5B" w14:textId="77777777" w:rsidR="00AA5278" w:rsidRPr="00155028" w:rsidRDefault="00AA5278" w:rsidP="000F22E7">
      <w:pPr>
        <w:spacing w:before="120" w:after="0" w:line="240" w:lineRule="auto"/>
        <w:jc w:val="both"/>
        <w:rPr>
          <w:rFonts w:eastAsia="Arial"/>
          <w:sz w:val="20"/>
        </w:rPr>
      </w:pPr>
    </w:p>
    <w:p w14:paraId="754432DB" w14:textId="3AD2739D" w:rsidR="000F22E7" w:rsidRPr="00155028" w:rsidRDefault="006A5242" w:rsidP="006A5242">
      <w:pPr>
        <w:pStyle w:val="Naslov2"/>
        <w:rPr>
          <w:rFonts w:ascii="Arial" w:hAnsi="Arial" w:cs="Arial"/>
        </w:rPr>
      </w:pPr>
      <w:bookmarkStart w:id="61" w:name="_Toc86826485"/>
      <w:r w:rsidRPr="00155028">
        <w:rPr>
          <w:rFonts w:ascii="Arial" w:hAnsi="Arial" w:cs="Arial"/>
        </w:rPr>
        <w:t>2.1</w:t>
      </w:r>
      <w:r w:rsidR="00AA5278" w:rsidRPr="00155028">
        <w:rPr>
          <w:rFonts w:ascii="Arial" w:hAnsi="Arial" w:cs="Arial"/>
        </w:rPr>
        <w:t xml:space="preserve"> Zakonodaja</w:t>
      </w:r>
      <w:bookmarkEnd w:id="61"/>
    </w:p>
    <w:p w14:paraId="545FFF48" w14:textId="7ACBCD21" w:rsidR="000F22E7" w:rsidRPr="00155028" w:rsidRDefault="000F22E7" w:rsidP="000F22E7">
      <w:pPr>
        <w:spacing w:before="120" w:after="0" w:line="240" w:lineRule="auto"/>
        <w:jc w:val="both"/>
        <w:rPr>
          <w:rFonts w:eastAsia="Arial"/>
          <w:sz w:val="20"/>
        </w:rPr>
      </w:pPr>
      <w:r w:rsidRPr="00155028">
        <w:rPr>
          <w:rFonts w:eastAsia="Arial"/>
          <w:sz w:val="20"/>
        </w:rPr>
        <w:t xml:space="preserve">Slovenska zakonodaja je na področju veterinarskih zdravil usklajena z zakonodajo EU. Direktiva 2001/82, ki ureja zdravila za uporabo v veterinarski medicini v EU je bila </w:t>
      </w:r>
      <w:r w:rsidR="00AA5278" w:rsidRPr="00155028">
        <w:rPr>
          <w:rFonts w:eastAsia="Arial"/>
          <w:sz w:val="20"/>
        </w:rPr>
        <w:t xml:space="preserve">v največji meri </w:t>
      </w:r>
      <w:r w:rsidRPr="00155028">
        <w:rPr>
          <w:rFonts w:eastAsia="Arial"/>
          <w:sz w:val="20"/>
        </w:rPr>
        <w:t>prenesena</w:t>
      </w:r>
      <w:r w:rsidR="00AA5278" w:rsidRPr="00155028">
        <w:rPr>
          <w:rFonts w:eastAsia="Arial"/>
          <w:sz w:val="20"/>
        </w:rPr>
        <w:t xml:space="preserve"> </w:t>
      </w:r>
      <w:r w:rsidRPr="00155028">
        <w:rPr>
          <w:rFonts w:eastAsia="Arial"/>
          <w:sz w:val="20"/>
        </w:rPr>
        <w:t xml:space="preserve">v Zakon o zdravilih (ZZdr2) in tudi </w:t>
      </w:r>
      <w:r w:rsidR="00AA5278" w:rsidRPr="00155028">
        <w:rPr>
          <w:rFonts w:eastAsia="Arial"/>
          <w:sz w:val="20"/>
        </w:rPr>
        <w:t xml:space="preserve">v </w:t>
      </w:r>
      <w:r w:rsidRPr="00155028">
        <w:rPr>
          <w:rFonts w:eastAsia="Arial"/>
          <w:sz w:val="20"/>
        </w:rPr>
        <w:t xml:space="preserve">Zakon o veterinarskih merilih skladnosti. V začetku leta 2022 se bo pričela uporabljati nova EU Uredba </w:t>
      </w:r>
      <w:r w:rsidR="00FD4726" w:rsidRPr="00155028">
        <w:rPr>
          <w:rFonts w:eastAsia="Arial"/>
          <w:sz w:val="20"/>
        </w:rPr>
        <w:t>2019/6</w:t>
      </w:r>
      <w:r w:rsidRPr="00155028">
        <w:rPr>
          <w:rFonts w:eastAsia="Arial"/>
          <w:sz w:val="20"/>
        </w:rPr>
        <w:t xml:space="preserve">o zdravilih za uporabo v veterinarski medicini in razveljavitvi Direktive 2001/82/ES, ki bo uvedla obveznost poročanja o prodaji in porabi protimikrobnih zdravil po živalskih vrstah (na gospodarstvih), kar bo v pomoč obvladovanju </w:t>
      </w:r>
      <w:r w:rsidR="00AA5278" w:rsidRPr="00155028">
        <w:rPr>
          <w:rFonts w:eastAsia="Arial"/>
          <w:sz w:val="20"/>
        </w:rPr>
        <w:t>mikrobne odpornosti</w:t>
      </w:r>
      <w:r w:rsidRPr="00155028">
        <w:rPr>
          <w:rFonts w:eastAsia="Arial"/>
          <w:sz w:val="20"/>
        </w:rPr>
        <w:t>.</w:t>
      </w:r>
    </w:p>
    <w:p w14:paraId="008D2C05" w14:textId="7B79D873" w:rsidR="000F22E7" w:rsidRPr="00155028" w:rsidRDefault="00AA5278" w:rsidP="007F41C6">
      <w:pPr>
        <w:spacing w:before="120" w:after="0" w:line="240" w:lineRule="auto"/>
        <w:jc w:val="both"/>
        <w:rPr>
          <w:rFonts w:eastAsia="Arial"/>
          <w:sz w:val="20"/>
        </w:rPr>
      </w:pPr>
      <w:r w:rsidRPr="00155028">
        <w:rPr>
          <w:rFonts w:eastAsia="Arial"/>
          <w:sz w:val="20"/>
        </w:rPr>
        <w:t>Že sedaj so na voljo obsežni podatki o uporabi veterinarskih zdravil n</w:t>
      </w:r>
      <w:r w:rsidR="000F22E7" w:rsidRPr="00155028">
        <w:rPr>
          <w:rFonts w:eastAsia="Arial"/>
          <w:sz w:val="20"/>
        </w:rPr>
        <w:t xml:space="preserve">a kmetijskih gospodarstvih in pri veterinarjih v katere imajo kadar koli vpogled pristojni nadzorni organi. Pristojni organi lahko ugotovljene pogostosti zdravljenja z antibiotiki uporabijo pri načrtovanju kontrol/pregledov na podlagi </w:t>
      </w:r>
      <w:r w:rsidR="00FD4726" w:rsidRPr="00155028">
        <w:rPr>
          <w:rFonts w:eastAsia="Arial"/>
          <w:sz w:val="20"/>
        </w:rPr>
        <w:t xml:space="preserve">ocene </w:t>
      </w:r>
      <w:r w:rsidR="000F22E7" w:rsidRPr="00155028">
        <w:rPr>
          <w:rFonts w:eastAsia="Arial"/>
          <w:sz w:val="20"/>
        </w:rPr>
        <w:t>tveganj</w:t>
      </w:r>
      <w:r w:rsidR="00FD4726" w:rsidRPr="00155028">
        <w:rPr>
          <w:rFonts w:eastAsia="Arial"/>
          <w:sz w:val="20"/>
        </w:rPr>
        <w:t>a</w:t>
      </w:r>
      <w:r w:rsidR="000F22E7" w:rsidRPr="00155028">
        <w:rPr>
          <w:rFonts w:eastAsia="Arial"/>
          <w:sz w:val="20"/>
        </w:rPr>
        <w:t xml:space="preserve"> pri rejcih živali in pri veterinarjih.</w:t>
      </w:r>
    </w:p>
    <w:p w14:paraId="617474BF" w14:textId="3A88F9DF" w:rsidR="007F41C6" w:rsidRPr="00155028" w:rsidRDefault="006A5242" w:rsidP="006A5242">
      <w:pPr>
        <w:pStyle w:val="Naslov2"/>
        <w:rPr>
          <w:rFonts w:ascii="Arial" w:hAnsi="Arial" w:cs="Arial"/>
        </w:rPr>
      </w:pPr>
      <w:bookmarkStart w:id="62" w:name="_Toc86826486"/>
      <w:r w:rsidRPr="00155028">
        <w:rPr>
          <w:rFonts w:ascii="Arial" w:hAnsi="Arial" w:cs="Arial"/>
        </w:rPr>
        <w:t>2</w:t>
      </w:r>
      <w:r w:rsidR="009B3AD4" w:rsidRPr="00155028">
        <w:rPr>
          <w:rFonts w:ascii="Arial" w:hAnsi="Arial" w:cs="Arial"/>
        </w:rPr>
        <w:t xml:space="preserve">.2 </w:t>
      </w:r>
      <w:r w:rsidR="00996CAF" w:rsidRPr="00155028">
        <w:rPr>
          <w:rFonts w:ascii="Arial" w:hAnsi="Arial" w:cs="Arial"/>
        </w:rPr>
        <w:t>Ključne ugotovitve</w:t>
      </w:r>
      <w:bookmarkEnd w:id="62"/>
    </w:p>
    <w:p w14:paraId="4BAFA458" w14:textId="351B0082" w:rsidR="007F41C6" w:rsidRPr="00155028" w:rsidRDefault="000F22E7" w:rsidP="007F41C6">
      <w:pPr>
        <w:spacing w:before="120" w:after="0" w:line="240" w:lineRule="auto"/>
        <w:jc w:val="both"/>
        <w:rPr>
          <w:rFonts w:eastAsia="Arial"/>
          <w:sz w:val="20"/>
        </w:rPr>
      </w:pPr>
      <w:r w:rsidRPr="00155028">
        <w:rPr>
          <w:rFonts w:eastAsia="Arial"/>
          <w:sz w:val="20"/>
        </w:rPr>
        <w:t xml:space="preserve">Številni tako </w:t>
      </w:r>
      <w:r w:rsidR="009B3AD4" w:rsidRPr="00155028">
        <w:rPr>
          <w:rFonts w:eastAsia="Arial"/>
          <w:sz w:val="20"/>
        </w:rPr>
        <w:t>slovenski</w:t>
      </w:r>
      <w:r w:rsidRPr="00155028">
        <w:rPr>
          <w:rFonts w:eastAsia="Arial"/>
          <w:sz w:val="20"/>
        </w:rPr>
        <w:t xml:space="preserve"> kot evropski bolj ozaveščeni potrošniki so občutljivi in gledajo kritično na uporabo zdravil pri živalih, ki so namenjene za proizvodnjo živil. Ne le zaradi ostankov zdravil po zdravljenju, kar je sicer predmet rednega nadzora, ampak tudi zaradi možnega doprinosa k pojavu in širjenju mikrobne odpornosti zaradi uporabe protimikrobnih zdravil/antibiotikov pri zdravljenju živali. </w:t>
      </w:r>
      <w:r w:rsidR="009B3AD4" w:rsidRPr="00155028">
        <w:rPr>
          <w:rFonts w:eastAsia="Arial"/>
          <w:sz w:val="20"/>
        </w:rPr>
        <w:t>V bodoče bo zato treba š</w:t>
      </w:r>
      <w:r w:rsidRPr="00155028">
        <w:rPr>
          <w:rFonts w:eastAsia="Arial"/>
          <w:sz w:val="20"/>
        </w:rPr>
        <w:t xml:space="preserve">e več delati na področju zdravstvenega varstva teh živali in njihove dobrobiti. </w:t>
      </w:r>
      <w:r w:rsidR="007F41C6" w:rsidRPr="00155028">
        <w:rPr>
          <w:rFonts w:eastAsia="Arial"/>
          <w:sz w:val="20"/>
        </w:rPr>
        <w:t>Na podlagi spremljanja stanja prodaje antibiotikov za živali, ki so namenjene</w:t>
      </w:r>
      <w:r w:rsidR="00B1297E" w:rsidRPr="00155028">
        <w:rPr>
          <w:rFonts w:eastAsia="Arial"/>
          <w:sz w:val="20"/>
        </w:rPr>
        <w:t xml:space="preserve"> proizvodnji hrane v okviru proj</w:t>
      </w:r>
      <w:r w:rsidR="007F41C6" w:rsidRPr="00155028">
        <w:rPr>
          <w:rFonts w:eastAsia="Arial"/>
          <w:sz w:val="20"/>
        </w:rPr>
        <w:t>ekta ESVAC, lahko zaključimo, da smo</w:t>
      </w:r>
      <w:r w:rsidRPr="00155028">
        <w:rPr>
          <w:rFonts w:eastAsia="Arial"/>
          <w:sz w:val="20"/>
        </w:rPr>
        <w:t xml:space="preserve"> v Sloveniji</w:t>
      </w:r>
      <w:r w:rsidR="007F41C6" w:rsidRPr="00155028">
        <w:rPr>
          <w:rFonts w:eastAsia="Arial"/>
          <w:sz w:val="20"/>
        </w:rPr>
        <w:t xml:space="preserve"> pretežno z ozaveščanjem veterinarjev in tudi rejcev beležili razmeroma ugoden trend zniževanja prodaje med leti 2010 do 2015 (s 46 na 26 mg/PCU). Zmanjšanje prodaje je bil rezultat skupnih naporov veterinarjev, rejcev živali, drugih akterjev na področju reje in oskrbe živali. </w:t>
      </w:r>
      <w:r w:rsidRPr="00155028">
        <w:rPr>
          <w:rFonts w:eastAsia="Arial"/>
          <w:sz w:val="20"/>
        </w:rPr>
        <w:t xml:space="preserve">To nam je prineslo dober položaj v primerjavi s številnimi drugimi državami.  </w:t>
      </w:r>
      <w:r w:rsidR="007F41C6" w:rsidRPr="00155028">
        <w:rPr>
          <w:rFonts w:eastAsia="Arial"/>
          <w:sz w:val="20"/>
        </w:rPr>
        <w:t xml:space="preserve">Po letu 2016 se </w:t>
      </w:r>
      <w:r w:rsidR="000A2846" w:rsidRPr="00155028">
        <w:rPr>
          <w:rFonts w:eastAsia="Arial"/>
          <w:sz w:val="20"/>
        </w:rPr>
        <w:t>je</w:t>
      </w:r>
      <w:r w:rsidR="007F41C6" w:rsidRPr="00155028">
        <w:rPr>
          <w:rFonts w:eastAsia="Arial"/>
          <w:sz w:val="20"/>
        </w:rPr>
        <w:t xml:space="preserve"> trend njihove prodaje </w:t>
      </w:r>
      <w:r w:rsidR="000A2846" w:rsidRPr="00155028">
        <w:rPr>
          <w:rFonts w:eastAsia="Arial"/>
          <w:sz w:val="20"/>
        </w:rPr>
        <w:t xml:space="preserve">spet obrnil </w:t>
      </w:r>
      <w:r w:rsidR="007F41C6" w:rsidRPr="00155028">
        <w:rPr>
          <w:rFonts w:eastAsia="Arial"/>
          <w:sz w:val="20"/>
        </w:rPr>
        <w:t xml:space="preserve">navzgor (2016 </w:t>
      </w:r>
      <w:r w:rsidR="000A2846" w:rsidRPr="00155028">
        <w:rPr>
          <w:rFonts w:eastAsia="Arial"/>
          <w:sz w:val="20"/>
        </w:rPr>
        <w:t>–</w:t>
      </w:r>
      <w:r w:rsidR="007F41C6" w:rsidRPr="00155028">
        <w:rPr>
          <w:rFonts w:eastAsia="Arial"/>
          <w:sz w:val="20"/>
        </w:rPr>
        <w:t xml:space="preserve"> 30 mg/PCU</w:t>
      </w:r>
      <w:r w:rsidR="000A2846" w:rsidRPr="00155028">
        <w:rPr>
          <w:rFonts w:eastAsia="Arial"/>
          <w:sz w:val="20"/>
        </w:rPr>
        <w:t>,</w:t>
      </w:r>
      <w:r w:rsidR="007F41C6" w:rsidRPr="00155028">
        <w:rPr>
          <w:rFonts w:eastAsia="Arial"/>
          <w:sz w:val="20"/>
        </w:rPr>
        <w:t>2017 – 3</w:t>
      </w:r>
      <w:r w:rsidR="00C87C51" w:rsidRPr="00155028">
        <w:rPr>
          <w:rFonts w:eastAsia="Arial"/>
          <w:sz w:val="20"/>
        </w:rPr>
        <w:t>7</w:t>
      </w:r>
      <w:r w:rsidR="007F41C6" w:rsidRPr="00155028">
        <w:rPr>
          <w:rFonts w:eastAsia="Arial"/>
          <w:sz w:val="20"/>
        </w:rPr>
        <w:t xml:space="preserve"> mg/PCU). Povprečje držav EU/</w:t>
      </w:r>
      <w:r w:rsidR="009B3AD4" w:rsidRPr="00155028">
        <w:rPr>
          <w:rFonts w:eastAsia="Arial"/>
          <w:sz w:val="20"/>
        </w:rPr>
        <w:t>E</w:t>
      </w:r>
      <w:r w:rsidR="009B3AD4" w:rsidRPr="00155028">
        <w:rPr>
          <w:rFonts w:eastAsia="Arial"/>
          <w:sz w:val="20"/>
          <w:lang w:eastAsia="en-GB"/>
        </w:rPr>
        <w:t>vropskega gospodarskega prostora</w:t>
      </w:r>
      <w:r w:rsidR="007F41C6" w:rsidRPr="00155028">
        <w:rPr>
          <w:rFonts w:eastAsia="Arial"/>
          <w:sz w:val="20"/>
        </w:rPr>
        <w:t xml:space="preserve"> </w:t>
      </w:r>
      <w:r w:rsidR="0054058B" w:rsidRPr="00155028">
        <w:rPr>
          <w:rFonts w:eastAsia="Arial"/>
          <w:sz w:val="20"/>
        </w:rPr>
        <w:t xml:space="preserve">(v nadaljevanju: EGP) </w:t>
      </w:r>
      <w:r w:rsidR="007F41C6" w:rsidRPr="00155028">
        <w:rPr>
          <w:rFonts w:eastAsia="Arial"/>
          <w:sz w:val="20"/>
        </w:rPr>
        <w:t>je za leto 2017 znašalo 109 mg/PCU</w:t>
      </w:r>
      <w:r w:rsidR="009B3AD4" w:rsidRPr="00155028">
        <w:rPr>
          <w:rFonts w:eastAsia="Arial"/>
          <w:sz w:val="20"/>
          <w:vertAlign w:val="superscript"/>
        </w:rPr>
        <w:t>2</w:t>
      </w:r>
      <w:r w:rsidR="009B3AD4" w:rsidRPr="00155028">
        <w:rPr>
          <w:rFonts w:eastAsia="Arial"/>
          <w:sz w:val="20"/>
        </w:rPr>
        <w:t>.</w:t>
      </w:r>
      <w:r w:rsidR="007F41C6" w:rsidRPr="00155028">
        <w:rPr>
          <w:rFonts w:eastAsia="Arial"/>
          <w:sz w:val="20"/>
        </w:rPr>
        <w:t xml:space="preserve"> </w:t>
      </w:r>
      <w:r w:rsidR="00FD4726" w:rsidRPr="00155028">
        <w:rPr>
          <w:rFonts w:eastAsia="Arial"/>
          <w:sz w:val="20"/>
        </w:rPr>
        <w:t xml:space="preserve">Celotna prodaja je pod povprečjem EU/EGP, opažamo pa da prodaja med leti niha za leto 2020 je padla na 33.3 mg/PCU. Slovenija je bila v letu 2017 na 9. mestu med državami z najnižjo prodajo antibiotikov, namenjenim pretežno živalim za proizvodnjo hrane. Enako mesto naj bi ji pripadlo tudi za leto 2020 (ESVAC poročilo v času tega pisanja za leto 2020 še ni bilo uradno objavljeno). </w:t>
      </w:r>
      <w:r w:rsidR="007F41C6" w:rsidRPr="00155028">
        <w:rPr>
          <w:rFonts w:eastAsia="Arial"/>
          <w:sz w:val="20"/>
        </w:rPr>
        <w:t>Prodaja nekaterih antibiotikov (</w:t>
      </w:r>
      <w:proofErr w:type="spellStart"/>
      <w:r w:rsidR="007F41C6" w:rsidRPr="00155028">
        <w:rPr>
          <w:rFonts w:eastAsia="Arial"/>
          <w:sz w:val="20"/>
        </w:rPr>
        <w:t>fluorokinolonov</w:t>
      </w:r>
      <w:proofErr w:type="spellEnd"/>
      <w:r w:rsidR="007F41C6" w:rsidRPr="00155028">
        <w:rPr>
          <w:rFonts w:eastAsia="Arial"/>
          <w:sz w:val="20"/>
        </w:rPr>
        <w:t>) iz skupine</w:t>
      </w:r>
      <w:r w:rsidR="0054058B" w:rsidRPr="00155028">
        <w:rPr>
          <w:rFonts w:eastAsia="Arial"/>
          <w:sz w:val="20"/>
        </w:rPr>
        <w:t xml:space="preserve"> Kritično pomembnih protimikrobnih zdravil (v nadalj</w:t>
      </w:r>
      <w:r w:rsidR="00750B72" w:rsidRPr="00155028">
        <w:rPr>
          <w:rFonts w:eastAsia="Arial"/>
          <w:sz w:val="20"/>
        </w:rPr>
        <w:t>njem besedilu:</w:t>
      </w:r>
      <w:r w:rsidR="0054058B" w:rsidRPr="00155028">
        <w:rPr>
          <w:rFonts w:eastAsia="Arial"/>
          <w:sz w:val="20"/>
        </w:rPr>
        <w:t xml:space="preserve"> CIA, angl. </w:t>
      </w:r>
      <w:proofErr w:type="spellStart"/>
      <w:r w:rsidR="0054058B" w:rsidRPr="00155028">
        <w:rPr>
          <w:rFonts w:eastAsia="Arial"/>
          <w:sz w:val="20"/>
        </w:rPr>
        <w:t>Critical</w:t>
      </w:r>
      <w:proofErr w:type="spellEnd"/>
      <w:r w:rsidR="0054058B" w:rsidRPr="00155028">
        <w:rPr>
          <w:rFonts w:eastAsia="Arial"/>
          <w:sz w:val="20"/>
        </w:rPr>
        <w:t xml:space="preserve"> </w:t>
      </w:r>
      <w:proofErr w:type="spellStart"/>
      <w:r w:rsidR="0054058B" w:rsidRPr="00155028">
        <w:rPr>
          <w:rFonts w:eastAsia="Arial"/>
          <w:sz w:val="20"/>
        </w:rPr>
        <w:t>important</w:t>
      </w:r>
      <w:proofErr w:type="spellEnd"/>
      <w:r w:rsidR="0054058B" w:rsidRPr="00155028">
        <w:rPr>
          <w:rFonts w:eastAsia="Arial"/>
          <w:sz w:val="20"/>
        </w:rPr>
        <w:t xml:space="preserve"> </w:t>
      </w:r>
      <w:proofErr w:type="spellStart"/>
      <w:r w:rsidR="0054058B" w:rsidRPr="00155028">
        <w:rPr>
          <w:rFonts w:eastAsia="Arial"/>
          <w:sz w:val="20"/>
        </w:rPr>
        <w:t>antimicrobials</w:t>
      </w:r>
      <w:proofErr w:type="spellEnd"/>
      <w:r w:rsidR="0054058B" w:rsidRPr="00155028">
        <w:rPr>
          <w:rFonts w:eastAsia="Arial"/>
          <w:sz w:val="20"/>
        </w:rPr>
        <w:t xml:space="preserve">) </w:t>
      </w:r>
      <w:r w:rsidR="007F41C6" w:rsidRPr="00155028">
        <w:rPr>
          <w:rFonts w:eastAsia="Arial"/>
          <w:sz w:val="20"/>
        </w:rPr>
        <w:t xml:space="preserve">je bila v letu 2017 2,9 mg/PCU, kar je </w:t>
      </w:r>
      <w:r w:rsidRPr="00155028">
        <w:rPr>
          <w:rFonts w:eastAsia="Arial"/>
          <w:sz w:val="20"/>
        </w:rPr>
        <w:t xml:space="preserve">malo </w:t>
      </w:r>
      <w:r w:rsidR="007F41C6" w:rsidRPr="00155028">
        <w:rPr>
          <w:rFonts w:eastAsia="Arial"/>
          <w:sz w:val="20"/>
        </w:rPr>
        <w:t>nad povprečjem EU/EGP (2,28 mg/PCU).</w:t>
      </w:r>
    </w:p>
    <w:p w14:paraId="2C409F75" w14:textId="1995F719" w:rsidR="007F41C6" w:rsidRPr="00155028" w:rsidRDefault="007F41C6" w:rsidP="007F41C6">
      <w:pPr>
        <w:spacing w:before="120" w:after="0" w:line="240" w:lineRule="auto"/>
        <w:jc w:val="both"/>
        <w:rPr>
          <w:rFonts w:eastAsia="Arial"/>
          <w:sz w:val="20"/>
        </w:rPr>
      </w:pPr>
      <w:r w:rsidRPr="00155028">
        <w:rPr>
          <w:rFonts w:eastAsia="Arial"/>
          <w:sz w:val="20"/>
        </w:rPr>
        <w:t xml:space="preserve">Evropska komisija je </w:t>
      </w:r>
      <w:r w:rsidR="00232358" w:rsidRPr="00155028">
        <w:rPr>
          <w:rFonts w:eastAsia="Arial"/>
          <w:sz w:val="20"/>
        </w:rPr>
        <w:t>maja</w:t>
      </w:r>
      <w:r w:rsidRPr="00155028">
        <w:rPr>
          <w:rFonts w:eastAsia="Arial"/>
          <w:sz w:val="20"/>
        </w:rPr>
        <w:t xml:space="preserve"> 2020 predstavila Strategijo »od vil do vilic</w:t>
      </w:r>
      <w:r w:rsidR="00F07AA3" w:rsidRPr="00155028">
        <w:rPr>
          <w:rFonts w:eastAsia="Arial"/>
          <w:sz w:val="20"/>
        </w:rPr>
        <w:t>«</w:t>
      </w:r>
      <w:r w:rsidRPr="00155028">
        <w:rPr>
          <w:rFonts w:eastAsia="Arial"/>
          <w:sz w:val="20"/>
        </w:rPr>
        <w:t xml:space="preserve"> za pravičen prehod, zdrav in okolju prijazen prehranski sistem v kateri je cilj zmanjšanje prodaje protimikrobnih zdravil za uporabo v veterinarski medicini za </w:t>
      </w:r>
      <w:proofErr w:type="spellStart"/>
      <w:r w:rsidRPr="00155028">
        <w:rPr>
          <w:rFonts w:eastAsia="Arial"/>
          <w:sz w:val="20"/>
        </w:rPr>
        <w:t>rejne</w:t>
      </w:r>
      <w:proofErr w:type="spellEnd"/>
      <w:r w:rsidRPr="00155028">
        <w:rPr>
          <w:rFonts w:eastAsia="Arial"/>
          <w:sz w:val="20"/>
        </w:rPr>
        <w:t xml:space="preserve"> živali za 50 % do leta 2030.</w:t>
      </w:r>
    </w:p>
    <w:p w14:paraId="46321D07" w14:textId="6490B3FB" w:rsidR="007F41C6" w:rsidRPr="00155028" w:rsidRDefault="007F41C6" w:rsidP="007F41C6">
      <w:pPr>
        <w:spacing w:before="120" w:after="0" w:line="240" w:lineRule="auto"/>
        <w:jc w:val="both"/>
        <w:rPr>
          <w:rFonts w:eastAsia="Arial"/>
          <w:sz w:val="20"/>
        </w:rPr>
      </w:pPr>
      <w:r w:rsidRPr="00155028">
        <w:rPr>
          <w:rFonts w:eastAsia="Arial"/>
          <w:sz w:val="20"/>
        </w:rPr>
        <w:t xml:space="preserve">Razmere </w:t>
      </w:r>
      <w:r w:rsidR="000F22E7" w:rsidRPr="00155028">
        <w:rPr>
          <w:rFonts w:eastAsia="Arial"/>
          <w:sz w:val="20"/>
        </w:rPr>
        <w:t>nakazujejo</w:t>
      </w:r>
      <w:r w:rsidRPr="00155028">
        <w:rPr>
          <w:rFonts w:eastAsia="Arial"/>
          <w:sz w:val="20"/>
        </w:rPr>
        <w:t xml:space="preserve">, da je treba obstoječe aktivnosti </w:t>
      </w:r>
      <w:r w:rsidR="000F22E7" w:rsidRPr="00155028">
        <w:rPr>
          <w:rFonts w:eastAsia="Arial"/>
          <w:sz w:val="20"/>
        </w:rPr>
        <w:t xml:space="preserve">še </w:t>
      </w:r>
      <w:r w:rsidRPr="00155028">
        <w:rPr>
          <w:rFonts w:eastAsia="Arial"/>
          <w:sz w:val="20"/>
        </w:rPr>
        <w:t>okrepiti in jih dopolnit</w:t>
      </w:r>
      <w:r w:rsidR="00DA5EFA" w:rsidRPr="00155028">
        <w:rPr>
          <w:rFonts w:eastAsia="Arial"/>
          <w:sz w:val="20"/>
        </w:rPr>
        <w:t>i</w:t>
      </w:r>
      <w:r w:rsidR="009D6D0D" w:rsidRPr="00155028">
        <w:rPr>
          <w:rFonts w:eastAsia="Arial"/>
          <w:sz w:val="20"/>
        </w:rPr>
        <w:t xml:space="preserve">, med drugim z uvedbo spremljanja porabe antibiotikov na gospodarstvih po živalskih vrstah za odkrivanja prekomernih porabnikov </w:t>
      </w:r>
      <w:r w:rsidR="00D91B10" w:rsidRPr="00155028">
        <w:rPr>
          <w:rFonts w:eastAsia="Arial"/>
          <w:sz w:val="20"/>
        </w:rPr>
        <w:t xml:space="preserve">in </w:t>
      </w:r>
      <w:r w:rsidRPr="00155028">
        <w:rPr>
          <w:rFonts w:eastAsia="Arial"/>
          <w:sz w:val="20"/>
        </w:rPr>
        <w:t>možnost</w:t>
      </w:r>
      <w:r w:rsidR="00232358" w:rsidRPr="00155028">
        <w:rPr>
          <w:rFonts w:eastAsia="Arial"/>
          <w:sz w:val="20"/>
        </w:rPr>
        <w:t>jo</w:t>
      </w:r>
      <w:r w:rsidRPr="00155028">
        <w:rPr>
          <w:rFonts w:eastAsia="Arial"/>
          <w:sz w:val="20"/>
        </w:rPr>
        <w:t xml:space="preserve"> ukrepanja za ureditev razmer (s strokovnimi nadzori idr.)</w:t>
      </w:r>
      <w:r w:rsidR="00D91B10" w:rsidRPr="00155028">
        <w:rPr>
          <w:rFonts w:eastAsia="Arial"/>
          <w:sz w:val="20"/>
        </w:rPr>
        <w:t xml:space="preserve">. V </w:t>
      </w:r>
      <w:r w:rsidRPr="00155028">
        <w:rPr>
          <w:rFonts w:eastAsia="Arial"/>
          <w:sz w:val="20"/>
        </w:rPr>
        <w:t>Državni strategiji „Eno zdravje" za obvladovanje odpornosti mikrobov (2019-2024), s triletnim nacionalnim akcijskim načrtom (2019-2021)</w:t>
      </w:r>
      <w:r w:rsidR="00D91B10" w:rsidRPr="00155028">
        <w:rPr>
          <w:rFonts w:eastAsia="Arial"/>
          <w:sz w:val="20"/>
        </w:rPr>
        <w:t>, so ti ukrepi že predvideni</w:t>
      </w:r>
      <w:r w:rsidRPr="00155028">
        <w:rPr>
          <w:rFonts w:eastAsia="Arial"/>
          <w:sz w:val="20"/>
        </w:rPr>
        <w:t>. V intenzivnih panogah, kjer smo močno zastopani</w:t>
      </w:r>
      <w:r w:rsidR="009D6D0D" w:rsidRPr="00155028">
        <w:rPr>
          <w:rFonts w:eastAsia="Arial"/>
          <w:sz w:val="20"/>
        </w:rPr>
        <w:t>,</w:t>
      </w:r>
      <w:r w:rsidRPr="00155028">
        <w:rPr>
          <w:rFonts w:eastAsia="Arial"/>
          <w:sz w:val="20"/>
        </w:rPr>
        <w:t xml:space="preserve"> rej</w:t>
      </w:r>
      <w:r w:rsidR="009D6D0D" w:rsidRPr="00155028">
        <w:rPr>
          <w:rFonts w:eastAsia="Arial"/>
          <w:sz w:val="20"/>
        </w:rPr>
        <w:t>a</w:t>
      </w:r>
      <w:r w:rsidRPr="00155028">
        <w:rPr>
          <w:rFonts w:eastAsia="Arial"/>
          <w:sz w:val="20"/>
        </w:rPr>
        <w:t xml:space="preserve"> perutnine, ki je </w:t>
      </w:r>
      <w:r w:rsidR="000F22E7" w:rsidRPr="00155028">
        <w:rPr>
          <w:rFonts w:eastAsia="Arial"/>
          <w:sz w:val="20"/>
        </w:rPr>
        <w:t xml:space="preserve">v Sloveniji </w:t>
      </w:r>
      <w:r w:rsidRPr="00155028">
        <w:rPr>
          <w:rFonts w:eastAsia="Arial"/>
          <w:sz w:val="20"/>
        </w:rPr>
        <w:t xml:space="preserve">med večjimi porabniki </w:t>
      </w:r>
      <w:r w:rsidR="00DA5EFA" w:rsidRPr="00155028">
        <w:rPr>
          <w:rFonts w:eastAsia="Arial"/>
          <w:sz w:val="20"/>
        </w:rPr>
        <w:t>antibiotikov</w:t>
      </w:r>
      <w:r w:rsidRPr="00155028">
        <w:rPr>
          <w:rFonts w:eastAsia="Arial"/>
          <w:sz w:val="20"/>
        </w:rPr>
        <w:t>, želimo ostati konkurenčni ostalim državam. Za</w:t>
      </w:r>
      <w:r w:rsidR="00DA5EFA" w:rsidRPr="00155028">
        <w:rPr>
          <w:rFonts w:eastAsia="Arial"/>
          <w:sz w:val="20"/>
        </w:rPr>
        <w:t xml:space="preserve"> realizacijo sprejetega nacionalnega akcijskega načrta </w:t>
      </w:r>
      <w:r w:rsidRPr="00155028">
        <w:rPr>
          <w:rFonts w:eastAsia="Arial"/>
          <w:sz w:val="20"/>
        </w:rPr>
        <w:t xml:space="preserve">bi morali pravočasno zagotoviti potrebne </w:t>
      </w:r>
      <w:r w:rsidR="00232358" w:rsidRPr="00155028">
        <w:rPr>
          <w:rFonts w:eastAsia="Arial"/>
          <w:sz w:val="20"/>
        </w:rPr>
        <w:t xml:space="preserve">finančne in kadrovske </w:t>
      </w:r>
      <w:r w:rsidRPr="00155028">
        <w:rPr>
          <w:rFonts w:eastAsia="Arial"/>
          <w:sz w:val="20"/>
        </w:rPr>
        <w:t xml:space="preserve">pogoje. </w:t>
      </w:r>
      <w:r w:rsidR="00232358" w:rsidRPr="00155028">
        <w:rPr>
          <w:rFonts w:eastAsia="Arial"/>
          <w:sz w:val="20"/>
        </w:rPr>
        <w:t xml:space="preserve">Po </w:t>
      </w:r>
      <w:r w:rsidRPr="00155028">
        <w:rPr>
          <w:rFonts w:eastAsia="Arial"/>
          <w:sz w:val="20"/>
        </w:rPr>
        <w:t xml:space="preserve">drugi strani bi lahko najboljše </w:t>
      </w:r>
      <w:r w:rsidR="00DA5EFA" w:rsidRPr="00155028">
        <w:rPr>
          <w:rFonts w:eastAsia="Arial"/>
          <w:sz w:val="20"/>
        </w:rPr>
        <w:t xml:space="preserve">primere </w:t>
      </w:r>
      <w:r w:rsidRPr="00155028">
        <w:rPr>
          <w:rFonts w:eastAsia="Arial"/>
          <w:sz w:val="20"/>
        </w:rPr>
        <w:t xml:space="preserve">prakse, </w:t>
      </w:r>
      <w:r w:rsidR="00FD4726" w:rsidRPr="00155028">
        <w:rPr>
          <w:rFonts w:eastAsia="Arial"/>
          <w:sz w:val="20"/>
        </w:rPr>
        <w:t xml:space="preserve">z </w:t>
      </w:r>
      <w:r w:rsidR="00DA5EFA" w:rsidRPr="00155028">
        <w:rPr>
          <w:rFonts w:eastAsia="Arial"/>
          <w:sz w:val="20"/>
        </w:rPr>
        <w:t>najnižj</w:t>
      </w:r>
      <w:r w:rsidR="00FD4726" w:rsidRPr="00155028">
        <w:rPr>
          <w:rFonts w:eastAsia="Arial"/>
          <w:sz w:val="20"/>
        </w:rPr>
        <w:t>o</w:t>
      </w:r>
      <w:r w:rsidR="00DA5EFA" w:rsidRPr="00155028">
        <w:rPr>
          <w:rFonts w:eastAsia="Arial"/>
          <w:sz w:val="20"/>
        </w:rPr>
        <w:t xml:space="preserve"> porab</w:t>
      </w:r>
      <w:r w:rsidR="00FD4726" w:rsidRPr="00155028">
        <w:rPr>
          <w:rFonts w:eastAsia="Arial"/>
          <w:sz w:val="20"/>
        </w:rPr>
        <w:t>o</w:t>
      </w:r>
      <w:r w:rsidR="00DA5EFA" w:rsidRPr="00155028">
        <w:rPr>
          <w:rFonts w:eastAsia="Arial"/>
          <w:sz w:val="20"/>
        </w:rPr>
        <w:t xml:space="preserve"> antibiotikov</w:t>
      </w:r>
      <w:r w:rsidRPr="00155028">
        <w:rPr>
          <w:rFonts w:eastAsia="Arial"/>
          <w:sz w:val="20"/>
        </w:rPr>
        <w:t xml:space="preserve"> na gospodarstvih, primerno nagradili. </w:t>
      </w:r>
    </w:p>
    <w:p w14:paraId="0B906100" w14:textId="77777777" w:rsidR="007F41C6" w:rsidRPr="00155028" w:rsidRDefault="007F41C6" w:rsidP="007F41C6">
      <w:pPr>
        <w:spacing w:before="120" w:after="0" w:line="240" w:lineRule="auto"/>
        <w:jc w:val="both"/>
        <w:rPr>
          <w:rFonts w:eastAsia="Arial"/>
          <w:szCs w:val="24"/>
        </w:rPr>
      </w:pPr>
    </w:p>
    <w:p w14:paraId="40AAF329" w14:textId="77777777" w:rsidR="006A5242" w:rsidRPr="00155028" w:rsidRDefault="009B7104" w:rsidP="009B695E">
      <w:pPr>
        <w:pStyle w:val="Naslov1"/>
        <w:numPr>
          <w:ilvl w:val="0"/>
          <w:numId w:val="1"/>
        </w:numPr>
        <w:rPr>
          <w:rFonts w:ascii="Arial" w:eastAsia="Arial" w:hAnsi="Arial" w:cs="Arial"/>
          <w:b/>
          <w:bCs/>
          <w:lang w:eastAsia="en-GB"/>
        </w:rPr>
      </w:pPr>
      <w:bookmarkStart w:id="63" w:name="_Toc86826487"/>
      <w:r w:rsidRPr="00155028">
        <w:rPr>
          <w:rFonts w:ascii="Arial" w:eastAsia="Arial" w:hAnsi="Arial" w:cs="Arial"/>
          <w:b/>
          <w:bCs/>
          <w:lang w:eastAsia="en-GB"/>
        </w:rPr>
        <w:t>PESTICIDI</w:t>
      </w:r>
      <w:bookmarkEnd w:id="63"/>
    </w:p>
    <w:p w14:paraId="142C90D1" w14:textId="1C8BF7B7" w:rsidR="00C72AE6" w:rsidRPr="00155028" w:rsidRDefault="00C72AE6" w:rsidP="006A5242">
      <w:pPr>
        <w:pStyle w:val="1"/>
        <w:rPr>
          <w:rFonts w:eastAsia="Arial"/>
          <w:b/>
          <w:bCs/>
          <w:color w:val="365F91" w:themeColor="accent1" w:themeShade="BF"/>
          <w:szCs w:val="32"/>
        </w:rPr>
      </w:pPr>
      <w:r w:rsidRPr="00155028">
        <w:t xml:space="preserve">Pesticide po definiciji iz </w:t>
      </w:r>
      <w:r w:rsidR="009D53F4" w:rsidRPr="00155028">
        <w:t xml:space="preserve">Direktive 2009/128/ES Evropskega parlamenta in Sveta z dne 21. oktobra 2009 o določitvi okvira za ukrepe Skupnosti za doseganje trajnostne rabe pesticidov (v nadaljnjem besedilu: Direktiva) </w:t>
      </w:r>
      <w:r w:rsidRPr="00155028">
        <w:t xml:space="preserve">sestavljata dve skupini: </w:t>
      </w:r>
      <w:r w:rsidR="009D6D0D" w:rsidRPr="00155028">
        <w:t>FFS</w:t>
      </w:r>
      <w:r w:rsidRPr="00155028">
        <w:t xml:space="preserve"> in </w:t>
      </w:r>
      <w:proofErr w:type="spellStart"/>
      <w:r w:rsidRPr="00155028">
        <w:t>biocidi</w:t>
      </w:r>
      <w:proofErr w:type="spellEnd"/>
      <w:r w:rsidRPr="00155028">
        <w:t>.</w:t>
      </w:r>
      <w:r w:rsidRPr="00155028">
        <w:rPr>
          <w:szCs w:val="24"/>
          <w:lang w:eastAsia="sl-SI"/>
        </w:rPr>
        <w:t xml:space="preserve"> </w:t>
      </w:r>
      <w:proofErr w:type="spellStart"/>
      <w:r w:rsidR="00E94EE3" w:rsidRPr="00155028">
        <w:t>Biocidi</w:t>
      </w:r>
      <w:proofErr w:type="spellEnd"/>
      <w:r w:rsidR="00E94EE3" w:rsidRPr="00155028">
        <w:t xml:space="preserve"> se uporabljajo v javni higieni (zatiranje komarjev, </w:t>
      </w:r>
      <w:proofErr w:type="spellStart"/>
      <w:r w:rsidR="00E94EE3" w:rsidRPr="00155028">
        <w:t>glodalcev</w:t>
      </w:r>
      <w:proofErr w:type="spellEnd"/>
      <w:r w:rsidR="00E94EE3" w:rsidRPr="00155028">
        <w:t>, muh, bolh, mravelj…).</w:t>
      </w:r>
      <w:r w:rsidR="00E94EE3" w:rsidRPr="00155028">
        <w:rPr>
          <w:szCs w:val="24"/>
          <w:lang w:eastAsia="sl-SI"/>
        </w:rPr>
        <w:t xml:space="preserve"> </w:t>
      </w:r>
      <w:r w:rsidRPr="00155028">
        <w:t>F</w:t>
      </w:r>
      <w:r w:rsidR="009D6D0D" w:rsidRPr="00155028">
        <w:t xml:space="preserve">FS </w:t>
      </w:r>
      <w:r w:rsidR="00E94EE3" w:rsidRPr="00155028">
        <w:t xml:space="preserve">pa </w:t>
      </w:r>
      <w:r w:rsidRPr="00155028">
        <w:t xml:space="preserve">so pripravki, ki se v kmetijstvu uporabljajo za varstvo </w:t>
      </w:r>
      <w:r w:rsidRPr="00155028">
        <w:lastRenderedPageBreak/>
        <w:t>rastlin in pridelkov pred škodljivci, povzročitelji bolezni in plevelom. Z nadzorom prometa in uporabe FFS se trudimo čim bolj zmanjšati tveganja za zdravje ljudi in okolje. Slovenija in države članice EU spodbujamo in podpiramo alternativne metode varstva rastlin pred kemičnimi FFS, čeprav so kemična FFS pri današnjem načinu kmetovanja še vedno potrebna.</w:t>
      </w:r>
    </w:p>
    <w:p w14:paraId="04E1465C" w14:textId="12584D01" w:rsidR="009D6D0D" w:rsidRPr="00155028" w:rsidRDefault="006A5242" w:rsidP="006A5242">
      <w:pPr>
        <w:pStyle w:val="Naslov2"/>
        <w:rPr>
          <w:rFonts w:ascii="Arial" w:hAnsi="Arial" w:cs="Arial"/>
        </w:rPr>
      </w:pPr>
      <w:bookmarkStart w:id="64" w:name="_Toc86826488"/>
      <w:r w:rsidRPr="00155028">
        <w:rPr>
          <w:rFonts w:ascii="Arial" w:hAnsi="Arial" w:cs="Arial"/>
        </w:rPr>
        <w:t>3</w:t>
      </w:r>
      <w:r w:rsidR="00C87C51" w:rsidRPr="00155028">
        <w:rPr>
          <w:rFonts w:ascii="Arial" w:hAnsi="Arial" w:cs="Arial"/>
        </w:rPr>
        <w:t xml:space="preserve">.1 </w:t>
      </w:r>
      <w:r w:rsidR="007F41C6" w:rsidRPr="00155028">
        <w:rPr>
          <w:rFonts w:ascii="Arial" w:hAnsi="Arial" w:cs="Arial"/>
        </w:rPr>
        <w:t xml:space="preserve">Podatki </w:t>
      </w:r>
      <w:r w:rsidR="00176D96" w:rsidRPr="00155028">
        <w:rPr>
          <w:rFonts w:ascii="Arial" w:hAnsi="Arial" w:cs="Arial"/>
        </w:rPr>
        <w:t xml:space="preserve">o </w:t>
      </w:r>
      <w:r w:rsidR="00E94EE3" w:rsidRPr="00155028">
        <w:rPr>
          <w:rFonts w:ascii="Arial" w:hAnsi="Arial" w:cs="Arial"/>
        </w:rPr>
        <w:t>prodaji</w:t>
      </w:r>
      <w:r w:rsidR="007F41C6" w:rsidRPr="00155028">
        <w:rPr>
          <w:rFonts w:ascii="Arial" w:hAnsi="Arial" w:cs="Arial"/>
        </w:rPr>
        <w:t xml:space="preserve"> FFS </w:t>
      </w:r>
      <w:r w:rsidR="00731546" w:rsidRPr="00155028">
        <w:rPr>
          <w:rFonts w:ascii="Arial" w:hAnsi="Arial" w:cs="Arial"/>
        </w:rPr>
        <w:t>(C. 48)</w:t>
      </w:r>
      <w:bookmarkEnd w:id="64"/>
    </w:p>
    <w:p w14:paraId="08A126CD" w14:textId="77777777" w:rsidR="0050113A" w:rsidRPr="00155028" w:rsidRDefault="0050113A" w:rsidP="0050113A"/>
    <w:p w14:paraId="465F87F0" w14:textId="2155522B" w:rsidR="00E94EE3" w:rsidRPr="00155028" w:rsidRDefault="00E94EE3" w:rsidP="007B2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lang w:eastAsia="en-GB"/>
        </w:rPr>
      </w:pPr>
      <w:r w:rsidRPr="00155028">
        <w:rPr>
          <w:rFonts w:eastAsia="Times New Roman"/>
          <w:sz w:val="20"/>
          <w:lang w:eastAsia="en-GB"/>
        </w:rPr>
        <w:t xml:space="preserve">Statistični podatki o prodaji </w:t>
      </w:r>
      <w:r w:rsidR="00A0744A" w:rsidRPr="00155028">
        <w:rPr>
          <w:rFonts w:eastAsia="Times New Roman"/>
          <w:sz w:val="20"/>
          <w:lang w:eastAsia="en-GB"/>
        </w:rPr>
        <w:t>FFS</w:t>
      </w:r>
      <w:r w:rsidRPr="00155028">
        <w:rPr>
          <w:rFonts w:eastAsia="Times New Roman"/>
          <w:sz w:val="20"/>
          <w:lang w:eastAsia="en-GB"/>
        </w:rPr>
        <w:t xml:space="preserve"> se uporabljajo kot indikator porabe pesticidov v kmetijstvu. V obdobju 2011–2018 je prodaja </w:t>
      </w:r>
      <w:r w:rsidR="00A0744A" w:rsidRPr="00155028">
        <w:rPr>
          <w:rFonts w:eastAsia="Times New Roman"/>
          <w:sz w:val="20"/>
          <w:lang w:eastAsia="en-GB"/>
        </w:rPr>
        <w:t>FFS</w:t>
      </w:r>
      <w:r w:rsidRPr="00155028">
        <w:rPr>
          <w:rFonts w:eastAsia="Times New Roman"/>
          <w:sz w:val="20"/>
          <w:lang w:eastAsia="en-GB"/>
        </w:rPr>
        <w:t xml:space="preserve"> v EU ostala stabilna in znaša približno 360 milijonov kilogramov na leto. Štiri države (Francija, Španija, Italija in Nemčija) so predstavljale več kot dve tretjini prodaje </w:t>
      </w:r>
      <w:r w:rsidR="00A0744A" w:rsidRPr="00155028">
        <w:rPr>
          <w:rFonts w:eastAsia="Times New Roman"/>
          <w:sz w:val="20"/>
          <w:lang w:eastAsia="en-GB"/>
        </w:rPr>
        <w:t>FFS</w:t>
      </w:r>
      <w:r w:rsidRPr="00155028">
        <w:rPr>
          <w:rFonts w:eastAsia="Times New Roman"/>
          <w:sz w:val="20"/>
          <w:lang w:eastAsia="en-GB"/>
        </w:rPr>
        <w:t xml:space="preserve"> v EU. Te države so tudi glavne kmetijske proizvajalke v EU, saj skupaj predstavljajo 51% vseh kmetijskih zemljišč v uporabi EU in 49% vseh obdelovalnih površin EU.</w:t>
      </w:r>
      <w:r w:rsidR="00A0744A" w:rsidRPr="00155028">
        <w:rPr>
          <w:rFonts w:eastAsia="Times New Roman"/>
          <w:sz w:val="20"/>
          <w:lang w:eastAsia="en-GB"/>
        </w:rPr>
        <w:t xml:space="preserve"> Na sliki </w:t>
      </w:r>
      <w:r w:rsidR="006A5242" w:rsidRPr="00155028">
        <w:rPr>
          <w:rFonts w:eastAsia="Times New Roman"/>
          <w:sz w:val="20"/>
          <w:lang w:eastAsia="en-GB"/>
        </w:rPr>
        <w:t>5</w:t>
      </w:r>
      <w:r w:rsidR="00A0744A" w:rsidRPr="00155028">
        <w:rPr>
          <w:rFonts w:eastAsia="Times New Roman"/>
          <w:sz w:val="20"/>
          <w:lang w:eastAsia="en-GB"/>
        </w:rPr>
        <w:t xml:space="preserve"> vidimo, da je Slovenija prodala najmanj FFS v letih 2017 oziroma 2018</w:t>
      </w:r>
      <w:r w:rsidR="00961970" w:rsidRPr="00155028">
        <w:rPr>
          <w:rFonts w:eastAsia="Times New Roman"/>
          <w:sz w:val="20"/>
          <w:lang w:eastAsia="en-GB"/>
        </w:rPr>
        <w:t>,</w:t>
      </w:r>
      <w:r w:rsidR="00A0744A" w:rsidRPr="00155028">
        <w:rPr>
          <w:rFonts w:eastAsia="Times New Roman"/>
          <w:sz w:val="20"/>
          <w:lang w:eastAsia="en-GB"/>
        </w:rPr>
        <w:t xml:space="preserve"> v pri</w:t>
      </w:r>
      <w:r w:rsidR="00961970" w:rsidRPr="00155028">
        <w:rPr>
          <w:rFonts w:eastAsia="Times New Roman"/>
          <w:sz w:val="20"/>
          <w:lang w:eastAsia="en-GB"/>
        </w:rPr>
        <w:t>merjavi z državami članicami EU</w:t>
      </w:r>
      <w:r w:rsidR="00A0744A" w:rsidRPr="00155028">
        <w:rPr>
          <w:rFonts w:eastAsia="Times New Roman"/>
          <w:sz w:val="20"/>
          <w:lang w:eastAsia="en-GB"/>
        </w:rPr>
        <w:t xml:space="preserve"> za katere so bili na voljo popolni podatki o prodaji FFS.</w:t>
      </w:r>
    </w:p>
    <w:p w14:paraId="1D93D468" w14:textId="4B486CA7" w:rsidR="009D6D0D" w:rsidRPr="00155028" w:rsidRDefault="009D6D0D" w:rsidP="007B2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lang w:eastAsia="en-GB"/>
        </w:rPr>
      </w:pPr>
    </w:p>
    <w:p w14:paraId="3E203FE2" w14:textId="78663A48" w:rsidR="009D6D0D" w:rsidRPr="00155028" w:rsidRDefault="000A1A7D" w:rsidP="000A1A7D">
      <w:pPr>
        <w:pStyle w:val="Napis"/>
        <w:jc w:val="both"/>
        <w:rPr>
          <w:szCs w:val="20"/>
        </w:rPr>
      </w:pPr>
      <w:bookmarkStart w:id="65" w:name="_Toc86826510"/>
      <w:r w:rsidRPr="00155028">
        <w:rPr>
          <w:szCs w:val="20"/>
        </w:rPr>
        <w:t xml:space="preserve">Slika </w:t>
      </w:r>
      <w:r w:rsidR="004270C0" w:rsidRPr="00155028">
        <w:rPr>
          <w:szCs w:val="20"/>
        </w:rPr>
        <w:fldChar w:fldCharType="begin"/>
      </w:r>
      <w:r w:rsidR="004270C0" w:rsidRPr="00155028">
        <w:rPr>
          <w:szCs w:val="20"/>
        </w:rPr>
        <w:instrText xml:space="preserve"> SEQ Slika \* ARABIC </w:instrText>
      </w:r>
      <w:r w:rsidR="004270C0" w:rsidRPr="00155028">
        <w:rPr>
          <w:szCs w:val="20"/>
        </w:rPr>
        <w:fldChar w:fldCharType="separate"/>
      </w:r>
      <w:r w:rsidR="00F25B09">
        <w:rPr>
          <w:noProof/>
          <w:szCs w:val="20"/>
        </w:rPr>
        <w:t>5</w:t>
      </w:r>
      <w:r w:rsidR="004270C0" w:rsidRPr="00155028">
        <w:rPr>
          <w:noProof/>
          <w:szCs w:val="20"/>
        </w:rPr>
        <w:fldChar w:fldCharType="end"/>
      </w:r>
      <w:r w:rsidRPr="00155028">
        <w:rPr>
          <w:szCs w:val="20"/>
        </w:rPr>
        <w:t>:Prodaja fitofarmacevtskih sredstev (v milijonih kilogramov) v letu 2018 v EU</w:t>
      </w:r>
      <w:bookmarkEnd w:id="65"/>
      <w:r w:rsidRPr="00155028">
        <w:rPr>
          <w:szCs w:val="20"/>
        </w:rPr>
        <w:t xml:space="preserve"> </w:t>
      </w:r>
    </w:p>
    <w:p w14:paraId="527C6570" w14:textId="5E332BE8" w:rsidR="00E94EE3" w:rsidRPr="00155028" w:rsidRDefault="00A0744A" w:rsidP="007F41C6">
      <w:pPr>
        <w:spacing w:beforeLines="60" w:before="144" w:afterLines="60" w:after="144" w:line="240" w:lineRule="auto"/>
        <w:jc w:val="both"/>
        <w:rPr>
          <w:rFonts w:eastAsia="Times New Roman"/>
          <w:sz w:val="20"/>
          <w:lang w:eastAsia="en-GB"/>
        </w:rPr>
      </w:pPr>
      <w:r w:rsidRPr="00155028">
        <w:rPr>
          <w:rFonts w:eastAsia="Times New Roman"/>
          <w:noProof/>
          <w:sz w:val="20"/>
          <w:lang w:eastAsia="sl-SI"/>
        </w:rPr>
        <w:drawing>
          <wp:inline distT="0" distB="0" distL="0" distR="0" wp14:anchorId="6C283985" wp14:editId="7D0078FB">
            <wp:extent cx="5160218" cy="3898035"/>
            <wp:effectExtent l="0" t="0" r="2540" b="7620"/>
            <wp:docPr id="14" name="Slika 14" descr="V Sloveniji prevladujejo fluorokinol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4" descr="V Sloveniji prevladujejo fluorokinoloni."/>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60947" cy="3898586"/>
                    </a:xfrm>
                    <a:prstGeom prst="rect">
                      <a:avLst/>
                    </a:prstGeom>
                  </pic:spPr>
                </pic:pic>
              </a:graphicData>
            </a:graphic>
          </wp:inline>
        </w:drawing>
      </w:r>
    </w:p>
    <w:p w14:paraId="4AFD8C38" w14:textId="27E7CA7E" w:rsidR="007B2CC8" w:rsidRPr="00155028" w:rsidRDefault="00837C52" w:rsidP="007B2CC8">
      <w:pPr>
        <w:spacing w:before="80" w:after="80" w:line="240" w:lineRule="auto"/>
        <w:rPr>
          <w:rFonts w:eastAsia="Times New Roman"/>
          <w:sz w:val="16"/>
          <w:szCs w:val="16"/>
          <w:lang w:eastAsia="en-GB"/>
        </w:rPr>
      </w:pPr>
      <w:r w:rsidRPr="00155028">
        <w:rPr>
          <w:sz w:val="16"/>
          <w:szCs w:val="16"/>
        </w:rPr>
        <w:t>VIR: EUROSTAT</w:t>
      </w:r>
      <w:r w:rsidR="00731546" w:rsidRPr="00155028">
        <w:rPr>
          <w:sz w:val="16"/>
          <w:szCs w:val="16"/>
        </w:rPr>
        <w:t xml:space="preserve"> (aei_fm_salpest09)</w:t>
      </w:r>
    </w:p>
    <w:p w14:paraId="2A109269" w14:textId="77777777" w:rsidR="00837C52" w:rsidRPr="00155028" w:rsidRDefault="00837C52" w:rsidP="007B2CC8">
      <w:pPr>
        <w:rPr>
          <w:rFonts w:eastAsia="Times New Roman"/>
          <w:sz w:val="20"/>
          <w:lang w:eastAsia="en-GB"/>
        </w:rPr>
      </w:pPr>
    </w:p>
    <w:p w14:paraId="5A56EA48" w14:textId="644C7EEA" w:rsidR="00674A22" w:rsidRPr="00155028" w:rsidRDefault="00674A22" w:rsidP="007B2CC8">
      <w:pPr>
        <w:rPr>
          <w:rFonts w:eastAsia="Times New Roman"/>
          <w:sz w:val="20"/>
          <w:lang w:eastAsia="en-GB"/>
        </w:rPr>
      </w:pPr>
      <w:r w:rsidRPr="00155028">
        <w:rPr>
          <w:rFonts w:eastAsia="Times New Roman"/>
          <w:sz w:val="20"/>
          <w:lang w:eastAsia="en-GB"/>
        </w:rPr>
        <w:t xml:space="preserve">Konec leta 2019 je bilo v Sloveniji odobrenih </w:t>
      </w:r>
      <w:r w:rsidR="002C3369" w:rsidRPr="00155028">
        <w:rPr>
          <w:rFonts w:eastAsia="Times New Roman"/>
          <w:sz w:val="20"/>
          <w:lang w:eastAsia="en-GB"/>
        </w:rPr>
        <w:t>216</w:t>
      </w:r>
      <w:r w:rsidRPr="00155028">
        <w:rPr>
          <w:rFonts w:eastAsia="Times New Roman"/>
          <w:sz w:val="20"/>
          <w:lang w:eastAsia="en-GB"/>
        </w:rPr>
        <w:t xml:space="preserve"> aktivnih snovi v </w:t>
      </w:r>
      <w:r w:rsidR="009B7104" w:rsidRPr="00155028">
        <w:rPr>
          <w:rFonts w:eastAsia="Times New Roman"/>
          <w:sz w:val="20"/>
          <w:lang w:eastAsia="en-GB"/>
        </w:rPr>
        <w:t>FFS</w:t>
      </w:r>
      <w:r w:rsidRPr="00155028">
        <w:rPr>
          <w:rFonts w:eastAsia="Times New Roman"/>
          <w:sz w:val="20"/>
          <w:lang w:eastAsia="en-GB"/>
        </w:rPr>
        <w:t xml:space="preserve">. Število odobrenih </w:t>
      </w:r>
      <w:r w:rsidR="009B7104" w:rsidRPr="00155028">
        <w:rPr>
          <w:rFonts w:eastAsia="Times New Roman"/>
          <w:sz w:val="20"/>
          <w:lang w:eastAsia="en-GB"/>
        </w:rPr>
        <w:t>FFS</w:t>
      </w:r>
      <w:r w:rsidRPr="00155028">
        <w:rPr>
          <w:rFonts w:eastAsia="Times New Roman"/>
          <w:sz w:val="20"/>
          <w:lang w:eastAsia="en-GB"/>
        </w:rPr>
        <w:t xml:space="preserve"> je bilo </w:t>
      </w:r>
      <w:r w:rsidR="002C3369" w:rsidRPr="00155028">
        <w:rPr>
          <w:rFonts w:eastAsia="Times New Roman"/>
          <w:sz w:val="20"/>
          <w:lang w:eastAsia="en-GB"/>
        </w:rPr>
        <w:t>540</w:t>
      </w:r>
      <w:r w:rsidRPr="00155028">
        <w:rPr>
          <w:rFonts w:eastAsia="Times New Roman"/>
          <w:sz w:val="20"/>
          <w:lang w:eastAsia="en-GB"/>
        </w:rPr>
        <w:t>.</w:t>
      </w:r>
    </w:p>
    <w:p w14:paraId="64E9152C" w14:textId="4F917CB5" w:rsidR="00F661AA" w:rsidRPr="00155028" w:rsidRDefault="00961970" w:rsidP="00A43BBE">
      <w:pPr>
        <w:spacing w:beforeLines="60" w:before="144" w:afterLines="60" w:after="144" w:line="240" w:lineRule="auto"/>
        <w:jc w:val="both"/>
        <w:rPr>
          <w:rFonts w:eastAsia="Times New Roman"/>
          <w:sz w:val="20"/>
          <w:lang w:eastAsia="en-GB"/>
        </w:rPr>
      </w:pPr>
      <w:r w:rsidRPr="00155028">
        <w:rPr>
          <w:rFonts w:eastAsia="Times New Roman"/>
          <w:sz w:val="20"/>
          <w:lang w:eastAsia="en-GB"/>
        </w:rPr>
        <w:t xml:space="preserve">Na sliki </w:t>
      </w:r>
      <w:r w:rsidR="006A5242" w:rsidRPr="00155028">
        <w:rPr>
          <w:rFonts w:eastAsia="Times New Roman"/>
          <w:sz w:val="20"/>
          <w:lang w:eastAsia="en-GB"/>
        </w:rPr>
        <w:t>6</w:t>
      </w:r>
      <w:r w:rsidRPr="00155028">
        <w:rPr>
          <w:rFonts w:eastAsia="Times New Roman"/>
          <w:sz w:val="20"/>
          <w:lang w:eastAsia="en-GB"/>
        </w:rPr>
        <w:t xml:space="preserve"> je prikazana prodaja aktivnih snovi v FFS.</w:t>
      </w:r>
      <w:r w:rsidR="007F41C6" w:rsidRPr="00155028">
        <w:rPr>
          <w:rFonts w:eastAsia="Times New Roman"/>
          <w:sz w:val="20"/>
          <w:lang w:eastAsia="en-GB"/>
        </w:rPr>
        <w:t xml:space="preserve"> </w:t>
      </w:r>
      <w:r w:rsidRPr="00155028">
        <w:rPr>
          <w:rFonts w:eastAsia="Times New Roman"/>
          <w:sz w:val="20"/>
          <w:lang w:eastAsia="en-GB"/>
        </w:rPr>
        <w:t>P</w:t>
      </w:r>
      <w:r w:rsidR="007F41C6" w:rsidRPr="00155028">
        <w:rPr>
          <w:rFonts w:eastAsia="Times New Roman"/>
          <w:sz w:val="20"/>
          <w:lang w:eastAsia="en-GB"/>
        </w:rPr>
        <w:t xml:space="preserve">odatki </w:t>
      </w:r>
      <w:r w:rsidRPr="00155028">
        <w:rPr>
          <w:rFonts w:eastAsia="Times New Roman"/>
          <w:sz w:val="20"/>
          <w:lang w:eastAsia="en-GB"/>
        </w:rPr>
        <w:t xml:space="preserve">prodaje so </w:t>
      </w:r>
      <w:r w:rsidR="007F41C6" w:rsidRPr="00155028">
        <w:rPr>
          <w:rFonts w:eastAsia="Times New Roman"/>
          <w:sz w:val="20"/>
          <w:lang w:eastAsia="en-GB"/>
        </w:rPr>
        <w:t xml:space="preserve">informativne narave, saj zajemajo prodajo </w:t>
      </w:r>
      <w:r w:rsidRPr="00155028">
        <w:rPr>
          <w:rFonts w:eastAsia="Times New Roman"/>
          <w:sz w:val="20"/>
          <w:lang w:eastAsia="en-GB"/>
        </w:rPr>
        <w:t xml:space="preserve">FFS </w:t>
      </w:r>
      <w:r w:rsidR="007F41C6" w:rsidRPr="00155028">
        <w:rPr>
          <w:rFonts w:eastAsia="Times New Roman"/>
          <w:sz w:val="20"/>
          <w:lang w:eastAsia="en-GB"/>
        </w:rPr>
        <w:t xml:space="preserve">in ne njihove dejanske uporabe. Prav tako zajemajo prodajo vseh </w:t>
      </w:r>
      <w:r w:rsidRPr="00155028">
        <w:rPr>
          <w:rFonts w:eastAsia="Times New Roman"/>
          <w:sz w:val="20"/>
          <w:lang w:eastAsia="en-GB"/>
        </w:rPr>
        <w:t>FFS</w:t>
      </w:r>
      <w:r w:rsidR="007F41C6" w:rsidRPr="00155028">
        <w:rPr>
          <w:rFonts w:eastAsia="Times New Roman"/>
          <w:sz w:val="20"/>
          <w:lang w:eastAsia="en-GB"/>
        </w:rPr>
        <w:t xml:space="preserve">, ne samo tistih, ki se uporabljajo v kmetijstvu, pač pa tudi na drugih površinah (dvorišča, parki, ceste, proge, športna igrišča, pokopališča in podobno). V teh podatkih so zajeti podatki tudi o prodaji bakrovih in žveplovih pripravkov ter podobnih pripravkov, ki se zaradi njihovih manj tveganih lastnosti lahko uporabljajo tudi v ekološki pridelavi. </w:t>
      </w:r>
    </w:p>
    <w:p w14:paraId="4257A34A" w14:textId="2531790C" w:rsidR="00F661AA" w:rsidRPr="00155028" w:rsidRDefault="00F661AA" w:rsidP="00F661AA">
      <w:pPr>
        <w:pStyle w:val="Navadensplet"/>
        <w:rPr>
          <w:rFonts w:ascii="Arial" w:hAnsi="Arial"/>
          <w:sz w:val="20"/>
          <w:szCs w:val="20"/>
          <w:lang w:eastAsia="en-GB"/>
        </w:rPr>
      </w:pPr>
      <w:r w:rsidRPr="00155028">
        <w:rPr>
          <w:rFonts w:ascii="Arial" w:hAnsi="Arial"/>
          <w:sz w:val="20"/>
          <w:szCs w:val="20"/>
          <w:lang w:eastAsia="en-GB"/>
        </w:rPr>
        <w:lastRenderedPageBreak/>
        <w:t>F</w:t>
      </w:r>
      <w:r w:rsidR="009B7104" w:rsidRPr="00155028">
        <w:rPr>
          <w:rFonts w:ascii="Arial" w:hAnsi="Arial"/>
          <w:sz w:val="20"/>
          <w:szCs w:val="20"/>
          <w:lang w:eastAsia="en-GB"/>
        </w:rPr>
        <w:t>FS</w:t>
      </w:r>
      <w:r w:rsidRPr="00155028">
        <w:rPr>
          <w:rFonts w:ascii="Arial" w:hAnsi="Arial"/>
          <w:sz w:val="20"/>
          <w:szCs w:val="20"/>
          <w:lang w:eastAsia="en-GB"/>
        </w:rPr>
        <w:t>, prodana v 2019 na območju Slovenije, so vsebovala približno 1.000 ton aktivnih snovi, kar je za približno 15 % manj kot v letu pred tem in hkrati za približno 5 % manj od desetletnega povprečja (1.058 ton). V zadnjih desetih letih je bila to, če izvzamemo leto 2013, najmanjša količina aktivnih snovi v proda</w:t>
      </w:r>
      <w:r w:rsidR="00A8570B" w:rsidRPr="00155028">
        <w:rPr>
          <w:rFonts w:ascii="Arial" w:hAnsi="Arial"/>
          <w:sz w:val="20"/>
          <w:szCs w:val="20"/>
          <w:lang w:eastAsia="en-GB"/>
        </w:rPr>
        <w:t xml:space="preserve">nih </w:t>
      </w:r>
      <w:r w:rsidR="009B7104" w:rsidRPr="00155028">
        <w:rPr>
          <w:rFonts w:ascii="Arial" w:hAnsi="Arial"/>
          <w:sz w:val="20"/>
          <w:szCs w:val="20"/>
          <w:lang w:eastAsia="en-GB"/>
        </w:rPr>
        <w:t>FFS</w:t>
      </w:r>
      <w:r w:rsidR="00A8570B" w:rsidRPr="00155028">
        <w:rPr>
          <w:rFonts w:ascii="Arial" w:hAnsi="Arial"/>
          <w:sz w:val="20"/>
          <w:szCs w:val="20"/>
          <w:lang w:eastAsia="en-GB"/>
        </w:rPr>
        <w:t>.</w:t>
      </w:r>
    </w:p>
    <w:p w14:paraId="6DC8DCB1" w14:textId="0741716B" w:rsidR="007F41C6" w:rsidRPr="00155028" w:rsidRDefault="00F661AA" w:rsidP="009B7104">
      <w:pPr>
        <w:pStyle w:val="Navadensplet"/>
        <w:rPr>
          <w:rFonts w:ascii="Arial" w:hAnsi="Arial"/>
          <w:sz w:val="20"/>
          <w:szCs w:val="20"/>
          <w:lang w:eastAsia="en-GB"/>
        </w:rPr>
      </w:pPr>
      <w:r w:rsidRPr="00155028">
        <w:rPr>
          <w:rFonts w:ascii="Arial" w:hAnsi="Arial"/>
          <w:sz w:val="20"/>
          <w:szCs w:val="20"/>
          <w:lang w:eastAsia="en-GB"/>
        </w:rPr>
        <w:t xml:space="preserve">Količina aktivnih snovi se je v letu 2019 glede na leto 2018 zmanjšala v treh glavnih skupinah </w:t>
      </w:r>
      <w:r w:rsidR="009B7104" w:rsidRPr="00155028">
        <w:rPr>
          <w:rFonts w:ascii="Arial" w:hAnsi="Arial"/>
          <w:sz w:val="20"/>
          <w:szCs w:val="20"/>
          <w:lang w:eastAsia="en-GB"/>
        </w:rPr>
        <w:t>FFS</w:t>
      </w:r>
      <w:r w:rsidRPr="00155028">
        <w:rPr>
          <w:rFonts w:ascii="Arial" w:hAnsi="Arial"/>
          <w:sz w:val="20"/>
          <w:szCs w:val="20"/>
          <w:lang w:eastAsia="en-GB"/>
        </w:rPr>
        <w:t>,</w:t>
      </w:r>
      <w:r w:rsidR="00DC72BE" w:rsidRPr="00155028">
        <w:rPr>
          <w:rFonts w:ascii="Arial" w:hAnsi="Arial"/>
          <w:sz w:val="20"/>
          <w:szCs w:val="20"/>
          <w:lang w:eastAsia="en-GB"/>
        </w:rPr>
        <w:t xml:space="preserve"> in sicer v skupini fungicidov </w:t>
      </w:r>
      <w:r w:rsidRPr="00155028">
        <w:rPr>
          <w:rFonts w:ascii="Arial" w:hAnsi="Arial"/>
          <w:sz w:val="20"/>
          <w:szCs w:val="20"/>
          <w:lang w:eastAsia="en-GB"/>
        </w:rPr>
        <w:t>in baktericidov za okoli 1</w:t>
      </w:r>
      <w:r w:rsidR="00731546" w:rsidRPr="00155028">
        <w:rPr>
          <w:rFonts w:ascii="Arial" w:hAnsi="Arial"/>
          <w:sz w:val="20"/>
          <w:szCs w:val="20"/>
          <w:lang w:eastAsia="en-GB"/>
        </w:rPr>
        <w:t>1</w:t>
      </w:r>
      <w:r w:rsidRPr="00155028">
        <w:rPr>
          <w:rFonts w:ascii="Arial" w:hAnsi="Arial"/>
          <w:sz w:val="20"/>
          <w:szCs w:val="20"/>
          <w:lang w:eastAsia="en-GB"/>
        </w:rPr>
        <w:t xml:space="preserve"> %, v skupini herbicidov za okoli </w:t>
      </w:r>
      <w:r w:rsidR="00731546" w:rsidRPr="00155028">
        <w:rPr>
          <w:rFonts w:ascii="Arial" w:hAnsi="Arial"/>
          <w:sz w:val="20"/>
          <w:szCs w:val="20"/>
          <w:lang w:eastAsia="en-GB"/>
        </w:rPr>
        <w:t>33</w:t>
      </w:r>
      <w:r w:rsidRPr="00155028">
        <w:rPr>
          <w:rFonts w:ascii="Arial" w:hAnsi="Arial"/>
          <w:sz w:val="20"/>
          <w:szCs w:val="20"/>
          <w:lang w:eastAsia="en-GB"/>
        </w:rPr>
        <w:t xml:space="preserve"> % in v skupini insekticidov za okoli </w:t>
      </w:r>
      <w:r w:rsidR="00731546" w:rsidRPr="00155028">
        <w:rPr>
          <w:rFonts w:ascii="Arial" w:hAnsi="Arial"/>
          <w:sz w:val="20"/>
          <w:szCs w:val="20"/>
          <w:lang w:eastAsia="en-GB"/>
        </w:rPr>
        <w:t>34</w:t>
      </w:r>
      <w:r w:rsidRPr="00155028">
        <w:rPr>
          <w:rFonts w:ascii="Arial" w:hAnsi="Arial"/>
          <w:sz w:val="20"/>
          <w:szCs w:val="20"/>
          <w:lang w:eastAsia="en-GB"/>
        </w:rPr>
        <w:t xml:space="preserve"> %. Za  1</w:t>
      </w:r>
      <w:r w:rsidR="00731546" w:rsidRPr="00155028">
        <w:rPr>
          <w:rFonts w:ascii="Arial" w:hAnsi="Arial"/>
          <w:sz w:val="20"/>
          <w:szCs w:val="20"/>
          <w:lang w:eastAsia="en-GB"/>
        </w:rPr>
        <w:t>5</w:t>
      </w:r>
      <w:r w:rsidRPr="00155028">
        <w:rPr>
          <w:rFonts w:ascii="Arial" w:hAnsi="Arial"/>
          <w:sz w:val="20"/>
          <w:szCs w:val="20"/>
          <w:lang w:eastAsia="en-GB"/>
        </w:rPr>
        <w:t xml:space="preserve"> % se je zmanjšala še v skupini drugih </w:t>
      </w:r>
      <w:r w:rsidR="009B7104" w:rsidRPr="00155028">
        <w:rPr>
          <w:rFonts w:ascii="Arial" w:hAnsi="Arial"/>
          <w:sz w:val="20"/>
          <w:szCs w:val="20"/>
          <w:lang w:eastAsia="en-GB"/>
        </w:rPr>
        <w:t>FFS</w:t>
      </w:r>
      <w:r w:rsidRPr="00155028">
        <w:rPr>
          <w:rFonts w:ascii="Arial" w:hAnsi="Arial"/>
          <w:sz w:val="20"/>
          <w:szCs w:val="20"/>
          <w:lang w:eastAsia="en-GB"/>
        </w:rPr>
        <w:t xml:space="preserve">. S prodajo dveh skupin teh sredstev se je prodaja aktivnih snovi povečala, in sicer s prodajo </w:t>
      </w:r>
      <w:proofErr w:type="spellStart"/>
      <w:r w:rsidRPr="00155028">
        <w:rPr>
          <w:rFonts w:ascii="Arial" w:hAnsi="Arial"/>
          <w:sz w:val="20"/>
          <w:szCs w:val="20"/>
          <w:lang w:eastAsia="en-GB"/>
        </w:rPr>
        <w:t>moluskicidov</w:t>
      </w:r>
      <w:proofErr w:type="spellEnd"/>
      <w:r w:rsidRPr="00155028">
        <w:rPr>
          <w:rFonts w:ascii="Arial" w:hAnsi="Arial"/>
          <w:sz w:val="20"/>
          <w:szCs w:val="20"/>
          <w:lang w:eastAsia="en-GB"/>
        </w:rPr>
        <w:t xml:space="preserve"> in regulatorjev rasti rastlin, prvih za o</w:t>
      </w:r>
      <w:r w:rsidR="00A8570B" w:rsidRPr="00155028">
        <w:rPr>
          <w:rFonts w:ascii="Arial" w:hAnsi="Arial"/>
          <w:sz w:val="20"/>
          <w:szCs w:val="20"/>
          <w:lang w:eastAsia="en-GB"/>
        </w:rPr>
        <w:t>koli 43 %, drugih za okoli 5</w:t>
      </w:r>
      <w:r w:rsidR="00731546" w:rsidRPr="00155028">
        <w:rPr>
          <w:rFonts w:ascii="Arial" w:hAnsi="Arial"/>
          <w:sz w:val="20"/>
          <w:szCs w:val="20"/>
          <w:lang w:eastAsia="en-GB"/>
        </w:rPr>
        <w:t>1</w:t>
      </w:r>
      <w:r w:rsidR="00A8570B" w:rsidRPr="00155028">
        <w:rPr>
          <w:rFonts w:ascii="Arial" w:hAnsi="Arial"/>
          <w:sz w:val="20"/>
          <w:szCs w:val="20"/>
          <w:lang w:eastAsia="en-GB"/>
        </w:rPr>
        <w:t xml:space="preserve"> % (</w:t>
      </w:r>
      <w:r w:rsidR="000A1A7D" w:rsidRPr="00155028">
        <w:rPr>
          <w:rFonts w:ascii="Arial" w:hAnsi="Arial"/>
          <w:sz w:val="20"/>
          <w:szCs w:val="20"/>
          <w:lang w:eastAsia="en-GB"/>
        </w:rPr>
        <w:t>Tabela</w:t>
      </w:r>
      <w:r w:rsidR="00A8570B" w:rsidRPr="00155028">
        <w:rPr>
          <w:rFonts w:ascii="Arial" w:hAnsi="Arial"/>
          <w:sz w:val="20"/>
          <w:szCs w:val="20"/>
          <w:lang w:eastAsia="en-GB"/>
        </w:rPr>
        <w:t xml:space="preserve"> </w:t>
      </w:r>
      <w:r w:rsidR="006A5242" w:rsidRPr="00155028">
        <w:rPr>
          <w:rFonts w:ascii="Arial" w:hAnsi="Arial"/>
          <w:sz w:val="20"/>
          <w:szCs w:val="20"/>
          <w:lang w:eastAsia="en-GB"/>
        </w:rPr>
        <w:t>3</w:t>
      </w:r>
      <w:r w:rsidR="00A8570B" w:rsidRPr="00155028">
        <w:rPr>
          <w:rFonts w:ascii="Arial" w:hAnsi="Arial"/>
          <w:sz w:val="20"/>
          <w:szCs w:val="20"/>
          <w:lang w:eastAsia="en-GB"/>
        </w:rPr>
        <w:t>).</w:t>
      </w:r>
    </w:p>
    <w:p w14:paraId="32D3BE91" w14:textId="77777777" w:rsidR="007B2CC8" w:rsidRPr="00155028" w:rsidRDefault="001C490C" w:rsidP="007B2CC8">
      <w:pPr>
        <w:spacing w:beforeLines="60" w:before="144" w:afterLines="60" w:after="144" w:line="240" w:lineRule="auto"/>
        <w:jc w:val="both"/>
        <w:rPr>
          <w:rFonts w:eastAsia="Times New Roman"/>
          <w:sz w:val="20"/>
          <w:lang w:eastAsia="en-GB"/>
        </w:rPr>
      </w:pPr>
      <w:r w:rsidRPr="00155028">
        <w:rPr>
          <w:rFonts w:eastAsia="Times New Roman"/>
          <w:sz w:val="20"/>
          <w:lang w:eastAsia="en-GB"/>
        </w:rPr>
        <w:t>Raba</w:t>
      </w:r>
      <w:r w:rsidR="007F41C6" w:rsidRPr="00155028">
        <w:rPr>
          <w:rFonts w:eastAsia="Times New Roman"/>
          <w:sz w:val="20"/>
          <w:lang w:eastAsia="en-GB"/>
        </w:rPr>
        <w:t xml:space="preserve"> pesticidov niha zaradi različnih vzrokov, najpomembnejši je vpliv vremena na posevke in nasade, saj je v manj primernih vremenskih pogojih za razvoj škodljivih organizmov potreba po njihovem zatiranju manjša. Manjša raba se z določenim zamikom odraža tudi v manjši prodaji pesticidov. Drugi razlogi so lahko ekonomske narave, na prodajo lahko vpliva cena pripravkov. Na skupno količino prodanih aktivnih snovi pa ima vpliv tudi vrsta formulacije oziroma odstotki aktivnih snovi, ki jih pripravki vsebujejo.</w:t>
      </w:r>
    </w:p>
    <w:p w14:paraId="76BEF701" w14:textId="343F5680" w:rsidR="000A1A7D" w:rsidRPr="00155028" w:rsidRDefault="009D6D0D" w:rsidP="006A5242">
      <w:pPr>
        <w:pStyle w:val="SCslika"/>
      </w:pPr>
      <w:r w:rsidRPr="00155028">
        <w:rPr>
          <w:lang w:eastAsia="en-GB"/>
        </w:rPr>
        <w:tab/>
      </w:r>
      <w:r w:rsidRPr="00155028">
        <w:t xml:space="preserve"> </w:t>
      </w:r>
    </w:p>
    <w:p w14:paraId="4DC76B29" w14:textId="6FBCF074" w:rsidR="007F41C6" w:rsidRPr="00155028" w:rsidRDefault="000A1A7D" w:rsidP="000A1A7D">
      <w:pPr>
        <w:pStyle w:val="Napis"/>
        <w:jc w:val="both"/>
        <w:rPr>
          <w:szCs w:val="20"/>
        </w:rPr>
      </w:pPr>
      <w:bookmarkStart w:id="66" w:name="_Toc86826511"/>
      <w:r w:rsidRPr="00155028">
        <w:rPr>
          <w:szCs w:val="20"/>
        </w:rPr>
        <w:t xml:space="preserve">Slika </w:t>
      </w:r>
      <w:r w:rsidR="004270C0" w:rsidRPr="00155028">
        <w:rPr>
          <w:szCs w:val="20"/>
        </w:rPr>
        <w:fldChar w:fldCharType="begin"/>
      </w:r>
      <w:r w:rsidR="004270C0" w:rsidRPr="00155028">
        <w:rPr>
          <w:szCs w:val="20"/>
        </w:rPr>
        <w:instrText xml:space="preserve"> SEQ Slika \* ARABIC </w:instrText>
      </w:r>
      <w:r w:rsidR="004270C0" w:rsidRPr="00155028">
        <w:rPr>
          <w:szCs w:val="20"/>
        </w:rPr>
        <w:fldChar w:fldCharType="separate"/>
      </w:r>
      <w:r w:rsidR="00F25B09">
        <w:rPr>
          <w:noProof/>
          <w:szCs w:val="20"/>
        </w:rPr>
        <w:t>6</w:t>
      </w:r>
      <w:r w:rsidR="004270C0" w:rsidRPr="00155028">
        <w:rPr>
          <w:noProof/>
          <w:szCs w:val="20"/>
        </w:rPr>
        <w:fldChar w:fldCharType="end"/>
      </w:r>
      <w:r w:rsidRPr="00155028">
        <w:rPr>
          <w:szCs w:val="20"/>
        </w:rPr>
        <w:t xml:space="preserve">: Prodaja fitofarmacevtskih sredstev (v milijonih kilogramov) v </w:t>
      </w:r>
      <w:r w:rsidR="00731546" w:rsidRPr="00155028">
        <w:rPr>
          <w:szCs w:val="20"/>
        </w:rPr>
        <w:t>obdobju 2001-2019</w:t>
      </w:r>
      <w:r w:rsidRPr="00155028">
        <w:rPr>
          <w:szCs w:val="20"/>
        </w:rPr>
        <w:t xml:space="preserve"> v EU</w:t>
      </w:r>
      <w:bookmarkEnd w:id="66"/>
      <w:r w:rsidRPr="00155028">
        <w:rPr>
          <w:szCs w:val="20"/>
        </w:rPr>
        <w:t xml:space="preserve"> </w:t>
      </w:r>
    </w:p>
    <w:p w14:paraId="7EBB0D62" w14:textId="0E1E08EB" w:rsidR="00F661AA" w:rsidRPr="00155028" w:rsidRDefault="00F661AA" w:rsidP="007F41C6">
      <w:pPr>
        <w:spacing w:beforeLines="60" w:before="144" w:afterLines="60" w:after="144" w:line="240" w:lineRule="auto"/>
        <w:jc w:val="both"/>
        <w:rPr>
          <w:rFonts w:eastAsia="Times New Roman"/>
          <w:sz w:val="20"/>
          <w:lang w:eastAsia="en-GB"/>
        </w:rPr>
      </w:pPr>
      <w:r w:rsidRPr="00155028">
        <w:rPr>
          <w:rFonts w:eastAsia="Times New Roman"/>
          <w:noProof/>
          <w:sz w:val="20"/>
          <w:lang w:eastAsia="sl-SI"/>
        </w:rPr>
        <w:drawing>
          <wp:inline distT="0" distB="0" distL="0" distR="0" wp14:anchorId="3148E668" wp14:editId="07DF5067">
            <wp:extent cx="5649113" cy="2857899"/>
            <wp:effectExtent l="0" t="0" r="0" b="0"/>
            <wp:docPr id="13" name="Slika 13" descr="Največ je bilo prodanih fungicido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descr="Največ je bilo prodanih fungicidov. "/>
                    <pic:cNvPicPr/>
                  </pic:nvPicPr>
                  <pic:blipFill>
                    <a:blip r:embed="rId20">
                      <a:extLst>
                        <a:ext uri="{28A0092B-C50C-407E-A947-70E740481C1C}">
                          <a14:useLocalDpi xmlns:a14="http://schemas.microsoft.com/office/drawing/2010/main" val="0"/>
                        </a:ext>
                      </a:extLst>
                    </a:blip>
                    <a:stretch>
                      <a:fillRect/>
                    </a:stretch>
                  </pic:blipFill>
                  <pic:spPr>
                    <a:xfrm>
                      <a:off x="0" y="0"/>
                      <a:ext cx="5649113" cy="2857899"/>
                    </a:xfrm>
                    <a:prstGeom prst="rect">
                      <a:avLst/>
                    </a:prstGeom>
                  </pic:spPr>
                </pic:pic>
              </a:graphicData>
            </a:graphic>
          </wp:inline>
        </w:drawing>
      </w:r>
    </w:p>
    <w:p w14:paraId="75F6ADAD" w14:textId="341778BF" w:rsidR="00837C52" w:rsidRPr="00155028" w:rsidRDefault="00837C52" w:rsidP="007F41C6">
      <w:pPr>
        <w:spacing w:beforeLines="60" w:before="144" w:afterLines="60" w:after="144" w:line="240" w:lineRule="auto"/>
        <w:jc w:val="both"/>
        <w:rPr>
          <w:rFonts w:eastAsia="Times New Roman"/>
          <w:sz w:val="16"/>
          <w:szCs w:val="16"/>
          <w:lang w:eastAsia="en-GB"/>
        </w:rPr>
      </w:pPr>
      <w:r w:rsidRPr="00155028">
        <w:rPr>
          <w:sz w:val="16"/>
          <w:szCs w:val="16"/>
        </w:rPr>
        <w:t>VIR: EUROSTAT</w:t>
      </w:r>
      <w:r w:rsidRPr="00155028">
        <w:rPr>
          <w:sz w:val="16"/>
          <w:szCs w:val="16"/>
        </w:rPr>
        <w:tab/>
      </w:r>
    </w:p>
    <w:p w14:paraId="6ABBC77F" w14:textId="086207BB" w:rsidR="00F661AA" w:rsidRPr="00155028" w:rsidRDefault="000A1A7D" w:rsidP="000A1A7D">
      <w:pPr>
        <w:pStyle w:val="Napis"/>
        <w:jc w:val="both"/>
        <w:rPr>
          <w:szCs w:val="20"/>
        </w:rPr>
      </w:pPr>
      <w:bookmarkStart w:id="67" w:name="_Toc86826522"/>
      <w:r w:rsidRPr="00155028">
        <w:rPr>
          <w:szCs w:val="20"/>
        </w:rPr>
        <w:t xml:space="preserve">Tabela </w:t>
      </w:r>
      <w:r w:rsidR="004270C0" w:rsidRPr="00155028">
        <w:rPr>
          <w:szCs w:val="20"/>
        </w:rPr>
        <w:fldChar w:fldCharType="begin"/>
      </w:r>
      <w:r w:rsidR="004270C0" w:rsidRPr="00155028">
        <w:rPr>
          <w:szCs w:val="20"/>
        </w:rPr>
        <w:instrText xml:space="preserve"> SEQ Tabela \* ARABIC </w:instrText>
      </w:r>
      <w:r w:rsidR="004270C0" w:rsidRPr="00155028">
        <w:rPr>
          <w:szCs w:val="20"/>
        </w:rPr>
        <w:fldChar w:fldCharType="separate"/>
      </w:r>
      <w:r w:rsidR="00F25B09">
        <w:rPr>
          <w:noProof/>
          <w:szCs w:val="20"/>
        </w:rPr>
        <w:t>3</w:t>
      </w:r>
      <w:r w:rsidR="004270C0" w:rsidRPr="00155028">
        <w:rPr>
          <w:noProof/>
          <w:szCs w:val="20"/>
        </w:rPr>
        <w:fldChar w:fldCharType="end"/>
      </w:r>
      <w:r w:rsidRPr="00155028">
        <w:rPr>
          <w:szCs w:val="20"/>
        </w:rPr>
        <w:t xml:space="preserve">: Prodaja FFS (kg aktivnih snovi) po glavnih skupinah, Slovenija, letno </w:t>
      </w:r>
      <w:r w:rsidR="00731546" w:rsidRPr="00155028">
        <w:rPr>
          <w:szCs w:val="20"/>
        </w:rPr>
        <w:t>(kazalnik stanja C. 48)</w:t>
      </w:r>
      <w:bookmarkEnd w:id="67"/>
    </w:p>
    <w:p w14:paraId="2F700461" w14:textId="0DE5D9F0" w:rsidR="00731546" w:rsidRPr="00155028" w:rsidRDefault="0020125C" w:rsidP="00C35754">
      <w:r w:rsidRPr="00155028">
        <w:rPr>
          <w:noProof/>
          <w:lang w:eastAsia="sl-SI"/>
        </w:rPr>
        <w:drawing>
          <wp:inline distT="0" distB="0" distL="0" distR="0" wp14:anchorId="570BDEF1" wp14:editId="2D616BD6">
            <wp:extent cx="5760720" cy="2266450"/>
            <wp:effectExtent l="0" t="0" r="0" b="635"/>
            <wp:docPr id="6" name="Slika 6" descr="V primerjavi s prejšnjimi leti se je leta 2019 prodaja FFS znižala. Največ je bilo prodanih FFS herbicidov, uničevalcev stebel in sredstva za uničevanje ma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V primerjavi s prejšnjimi leti se je leta 2019 prodaja FFS znižala. Največ je bilo prodanih FFS herbicidov, uničevalcev stebel in sredstva za uničevanje mahu."/>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2266450"/>
                    </a:xfrm>
                    <a:prstGeom prst="rect">
                      <a:avLst/>
                    </a:prstGeom>
                    <a:noFill/>
                  </pic:spPr>
                </pic:pic>
              </a:graphicData>
            </a:graphic>
          </wp:inline>
        </w:drawing>
      </w:r>
    </w:p>
    <w:p w14:paraId="72D22CD7" w14:textId="5CA34B69" w:rsidR="007F41C6" w:rsidRPr="00155028" w:rsidRDefault="00837C52" w:rsidP="009D6D0D">
      <w:pPr>
        <w:spacing w:before="80" w:after="80" w:line="240" w:lineRule="auto"/>
        <w:rPr>
          <w:rFonts w:eastAsia="Times New Roman"/>
          <w:i/>
          <w:noProof/>
          <w:sz w:val="16"/>
          <w:szCs w:val="16"/>
          <w:lang w:eastAsia="sl-SI"/>
        </w:rPr>
      </w:pPr>
      <w:r w:rsidRPr="00155028">
        <w:rPr>
          <w:sz w:val="16"/>
          <w:szCs w:val="16"/>
        </w:rPr>
        <w:lastRenderedPageBreak/>
        <w:t xml:space="preserve">VIR: </w:t>
      </w:r>
      <w:r w:rsidR="0020125C" w:rsidRPr="00155028">
        <w:rPr>
          <w:sz w:val="16"/>
          <w:szCs w:val="16"/>
        </w:rPr>
        <w:t xml:space="preserve">EUROSTAT: https://ec.europa.eu/eurostat/databrowser/view/tai02/default/table?lang=en </w:t>
      </w:r>
    </w:p>
    <w:p w14:paraId="55A45477" w14:textId="390B0FF0" w:rsidR="007F41C6" w:rsidRPr="00155028" w:rsidRDefault="006A5242" w:rsidP="006A5242">
      <w:pPr>
        <w:pStyle w:val="Naslov2"/>
        <w:rPr>
          <w:rFonts w:ascii="Arial" w:hAnsi="Arial" w:cs="Arial"/>
        </w:rPr>
      </w:pPr>
      <w:bookmarkStart w:id="68" w:name="_Toc86826489"/>
      <w:r w:rsidRPr="00155028">
        <w:rPr>
          <w:rFonts w:ascii="Arial" w:hAnsi="Arial" w:cs="Arial"/>
        </w:rPr>
        <w:t>3</w:t>
      </w:r>
      <w:r w:rsidR="00C87C51" w:rsidRPr="00155028">
        <w:rPr>
          <w:rFonts w:ascii="Arial" w:hAnsi="Arial" w:cs="Arial"/>
        </w:rPr>
        <w:t xml:space="preserve">.2 </w:t>
      </w:r>
      <w:r w:rsidR="007F41C6" w:rsidRPr="00155028">
        <w:rPr>
          <w:rFonts w:ascii="Arial" w:hAnsi="Arial" w:cs="Arial"/>
        </w:rPr>
        <w:t>Podatki o rabi FFS pri uporabnikih</w:t>
      </w:r>
      <w:bookmarkEnd w:id="68"/>
      <w:r w:rsidR="007F41C6" w:rsidRPr="00155028">
        <w:rPr>
          <w:rFonts w:ascii="Arial" w:hAnsi="Arial" w:cs="Arial"/>
        </w:rPr>
        <w:t xml:space="preserve"> </w:t>
      </w:r>
    </w:p>
    <w:p w14:paraId="1C492C8E" w14:textId="77777777" w:rsidR="007F41C6" w:rsidRPr="00155028" w:rsidRDefault="007F41C6" w:rsidP="007F41C6">
      <w:pPr>
        <w:spacing w:beforeLines="60" w:before="144" w:afterLines="60" w:after="144" w:line="240" w:lineRule="auto"/>
        <w:jc w:val="both"/>
        <w:rPr>
          <w:rFonts w:eastAsia="Times New Roman"/>
          <w:sz w:val="20"/>
          <w:lang w:eastAsia="en-GB"/>
        </w:rPr>
      </w:pPr>
      <w:r w:rsidRPr="00155028">
        <w:rPr>
          <w:rFonts w:eastAsia="Times New Roman"/>
          <w:sz w:val="20"/>
          <w:lang w:eastAsia="en-GB"/>
        </w:rPr>
        <w:t xml:space="preserve">Poraba pesticidov v kmetijstvu se izraža s porabo aktivnih snovi v kg/ha. </w:t>
      </w:r>
    </w:p>
    <w:p w14:paraId="3E3EF676" w14:textId="77777777" w:rsidR="007F41C6" w:rsidRPr="00155028" w:rsidRDefault="007F41C6" w:rsidP="007F41C6">
      <w:pPr>
        <w:spacing w:beforeLines="60" w:before="144" w:afterLines="60" w:after="144" w:line="240" w:lineRule="auto"/>
        <w:jc w:val="both"/>
        <w:rPr>
          <w:rFonts w:eastAsia="Times New Roman"/>
          <w:sz w:val="20"/>
          <w:lang w:eastAsia="en-GB"/>
        </w:rPr>
      </w:pPr>
      <w:r w:rsidRPr="00155028">
        <w:rPr>
          <w:rFonts w:eastAsia="Times New Roman"/>
          <w:sz w:val="20"/>
          <w:lang w:eastAsia="en-GB"/>
        </w:rPr>
        <w:t>Porabe FFS v kmetijstvu ne moremo enačiti s prodajo FFS v Sloveniji iz naslednjih razlogov:</w:t>
      </w:r>
    </w:p>
    <w:p w14:paraId="1081F386" w14:textId="77777777" w:rsidR="007F41C6" w:rsidRPr="00155028" w:rsidRDefault="007F41C6" w:rsidP="009B695E">
      <w:pPr>
        <w:numPr>
          <w:ilvl w:val="0"/>
          <w:numId w:val="5"/>
        </w:numPr>
        <w:spacing w:beforeLines="60" w:before="144" w:afterLines="60" w:after="144" w:line="240" w:lineRule="auto"/>
        <w:contextualSpacing/>
        <w:jc w:val="both"/>
        <w:rPr>
          <w:rFonts w:eastAsia="Times New Roman"/>
          <w:sz w:val="20"/>
          <w:lang w:eastAsia="en-GB"/>
        </w:rPr>
      </w:pPr>
      <w:r w:rsidRPr="00155028">
        <w:rPr>
          <w:rFonts w:eastAsia="Times New Roman"/>
          <w:sz w:val="20"/>
          <w:lang w:eastAsia="en-GB"/>
        </w:rPr>
        <w:t>določene aktivne snovi se lahko uporabljajo tudi na drugih površinah, kot na primer za vzdrževanje javnih površin, med njimi cest in železnic in</w:t>
      </w:r>
    </w:p>
    <w:p w14:paraId="6468094F" w14:textId="52346F8E" w:rsidR="007F41C6" w:rsidRPr="00155028" w:rsidRDefault="007F41C6" w:rsidP="009B695E">
      <w:pPr>
        <w:numPr>
          <w:ilvl w:val="0"/>
          <w:numId w:val="5"/>
        </w:numPr>
        <w:spacing w:beforeLines="60" w:before="144" w:afterLines="60" w:after="144" w:line="240" w:lineRule="auto"/>
        <w:contextualSpacing/>
        <w:jc w:val="both"/>
        <w:rPr>
          <w:rFonts w:eastAsia="Times New Roman"/>
          <w:sz w:val="20"/>
          <w:lang w:eastAsia="en-GB"/>
        </w:rPr>
      </w:pPr>
      <w:r w:rsidRPr="00155028">
        <w:rPr>
          <w:rFonts w:eastAsia="Times New Roman"/>
          <w:sz w:val="20"/>
          <w:lang w:eastAsia="en-GB"/>
        </w:rPr>
        <w:t xml:space="preserve">ker je potreba po uporabi FFS močno odvisna od vremenskih razmer, vse nabavljene količine </w:t>
      </w:r>
      <w:r w:rsidR="009B7104" w:rsidRPr="00155028">
        <w:rPr>
          <w:rFonts w:eastAsia="Times New Roman"/>
          <w:sz w:val="20"/>
          <w:lang w:eastAsia="en-GB"/>
        </w:rPr>
        <w:t xml:space="preserve">se </w:t>
      </w:r>
      <w:r w:rsidRPr="00155028">
        <w:rPr>
          <w:rFonts w:eastAsia="Times New Roman"/>
          <w:sz w:val="20"/>
          <w:lang w:eastAsia="en-GB"/>
        </w:rPr>
        <w:t xml:space="preserve">lahko ne uporabijo v tekočem letu, ampak ostanejo na zalogi pri pridelovalcu za uporabo v naslednjem letu. </w:t>
      </w:r>
    </w:p>
    <w:p w14:paraId="40A875A0" w14:textId="77777777" w:rsidR="00750B72" w:rsidRPr="00155028" w:rsidRDefault="00750B72" w:rsidP="00750B72">
      <w:pPr>
        <w:spacing w:beforeLines="60" w:before="144" w:afterLines="60" w:after="144" w:line="240" w:lineRule="auto"/>
        <w:ind w:left="360"/>
        <w:contextualSpacing/>
        <w:jc w:val="both"/>
        <w:rPr>
          <w:rFonts w:eastAsia="Times New Roman"/>
          <w:sz w:val="20"/>
          <w:lang w:eastAsia="en-GB"/>
        </w:rPr>
      </w:pPr>
    </w:p>
    <w:p w14:paraId="063A0D4B" w14:textId="12EAEC64" w:rsidR="007F41C6" w:rsidRPr="00155028" w:rsidRDefault="007F41C6" w:rsidP="007F41C6">
      <w:pPr>
        <w:spacing w:beforeLines="60" w:before="144" w:afterLines="60" w:after="144" w:line="240" w:lineRule="auto"/>
        <w:jc w:val="both"/>
        <w:rPr>
          <w:rFonts w:eastAsia="Times New Roman"/>
          <w:sz w:val="20"/>
          <w:lang w:eastAsia="en-GB"/>
        </w:rPr>
      </w:pPr>
      <w:r w:rsidRPr="00155028">
        <w:rPr>
          <w:rFonts w:eastAsia="Times New Roman"/>
          <w:sz w:val="20"/>
          <w:lang w:eastAsia="en-GB"/>
        </w:rPr>
        <w:t xml:space="preserve">Po </w:t>
      </w:r>
      <w:r w:rsidR="009342D7" w:rsidRPr="00155028">
        <w:rPr>
          <w:rFonts w:eastAsia="Times New Roman"/>
          <w:sz w:val="20"/>
          <w:lang w:eastAsia="en-GB"/>
        </w:rPr>
        <w:t>Zakonu o fitofarmacevtskih sredstvih (Uradni list RS št. 83/12; v nadaljnjem besedilu: ZFfS-1)</w:t>
      </w:r>
      <w:r w:rsidRPr="00155028">
        <w:rPr>
          <w:rFonts w:eastAsia="Times New Roman"/>
          <w:sz w:val="20"/>
          <w:lang w:eastAsia="en-GB"/>
        </w:rPr>
        <w:t xml:space="preserve"> morajo uporabniki FFS za poklicno rabo pri sebi za dobo 3 let hraniti evidenco uporabe FFS za primer inšpekcijskega nadzora. Isti člen določa, da morajo na zahtevo evidenco dostaviti </w:t>
      </w:r>
      <w:r w:rsidR="00750B72" w:rsidRPr="00155028">
        <w:rPr>
          <w:rFonts w:eastAsia="Times New Roman"/>
          <w:sz w:val="20"/>
          <w:lang w:eastAsia="en-GB"/>
        </w:rPr>
        <w:t>UVHVVR</w:t>
      </w:r>
      <w:r w:rsidRPr="00155028">
        <w:rPr>
          <w:rFonts w:eastAsia="Times New Roman"/>
          <w:sz w:val="20"/>
          <w:lang w:eastAsia="en-GB"/>
        </w:rPr>
        <w:t xml:space="preserve"> ter, da jo ta lahko posreduje </w:t>
      </w:r>
      <w:r w:rsidR="009342D7" w:rsidRPr="00155028">
        <w:rPr>
          <w:rFonts w:eastAsia="Times New Roman"/>
          <w:sz w:val="20"/>
          <w:lang w:eastAsia="en-GB"/>
        </w:rPr>
        <w:t xml:space="preserve">Statističnemu uradu Republike Slovenije (v nadaljnjem besedilu: </w:t>
      </w:r>
      <w:r w:rsidRPr="00155028">
        <w:rPr>
          <w:rFonts w:eastAsia="Times New Roman"/>
          <w:sz w:val="20"/>
          <w:lang w:eastAsia="en-GB"/>
        </w:rPr>
        <w:t>SURS</w:t>
      </w:r>
      <w:r w:rsidR="009342D7" w:rsidRPr="00155028">
        <w:rPr>
          <w:rFonts w:eastAsia="Times New Roman"/>
          <w:sz w:val="20"/>
          <w:lang w:eastAsia="en-GB"/>
        </w:rPr>
        <w:t>)</w:t>
      </w:r>
      <w:r w:rsidRPr="00155028">
        <w:rPr>
          <w:rFonts w:eastAsia="Times New Roman"/>
          <w:sz w:val="20"/>
          <w:lang w:eastAsia="en-GB"/>
        </w:rPr>
        <w:t xml:space="preserve"> za statistične namene.</w:t>
      </w:r>
    </w:p>
    <w:p w14:paraId="74C45790" w14:textId="24C939AD" w:rsidR="007F41C6" w:rsidRPr="00155028" w:rsidRDefault="007F41C6" w:rsidP="007F41C6">
      <w:pPr>
        <w:spacing w:beforeLines="60" w:before="144" w:afterLines="60" w:after="144" w:line="240" w:lineRule="auto"/>
        <w:jc w:val="both"/>
        <w:rPr>
          <w:rFonts w:eastAsia="Times New Roman"/>
          <w:sz w:val="20"/>
          <w:lang w:eastAsia="en-GB"/>
        </w:rPr>
      </w:pPr>
      <w:r w:rsidRPr="00155028">
        <w:rPr>
          <w:rFonts w:eastAsia="Times New Roman"/>
          <w:sz w:val="20"/>
          <w:lang w:eastAsia="en-GB"/>
        </w:rPr>
        <w:t xml:space="preserve">Tako je </w:t>
      </w:r>
      <w:r w:rsidR="00537686" w:rsidRPr="00155028">
        <w:rPr>
          <w:rFonts w:eastAsia="Times New Roman"/>
          <w:sz w:val="20"/>
          <w:lang w:eastAsia="en-GB"/>
        </w:rPr>
        <w:t xml:space="preserve">UVHVVR </w:t>
      </w:r>
      <w:r w:rsidRPr="00155028">
        <w:rPr>
          <w:rFonts w:eastAsia="Times New Roman"/>
          <w:sz w:val="20"/>
          <w:lang w:eastAsia="en-GB"/>
        </w:rPr>
        <w:t>nazadnje zbrala te podatke na ustreznem vzorcu za leto 2017 in jih posredovala SURS-u za obdelavo v skladu s predpisanimi statističnimi metodami iz EU Uredbe (EC) 1185/2009. SURS je rezultate objavil na svojih spletnih straneh:</w:t>
      </w:r>
      <w:r w:rsidR="007B2CC8" w:rsidRPr="00155028">
        <w:rPr>
          <w:rFonts w:eastAsia="Times New Roman"/>
          <w:sz w:val="20"/>
          <w:lang w:eastAsia="en-GB"/>
        </w:rPr>
        <w:t xml:space="preserve"> </w:t>
      </w:r>
      <w:hyperlink r:id="rId22" w:history="1">
        <w:r w:rsidR="007B2CC8" w:rsidRPr="00155028">
          <w:rPr>
            <w:rStyle w:val="Hiperpovezava"/>
            <w:rFonts w:eastAsia="Times New Roman"/>
            <w:sz w:val="20"/>
            <w:lang w:eastAsia="en-GB"/>
          </w:rPr>
          <w:t>https://www.stat.si/StatWeb/News/Index/8014</w:t>
        </w:r>
      </w:hyperlink>
    </w:p>
    <w:p w14:paraId="2B6027B9" w14:textId="77777777" w:rsidR="007F41C6" w:rsidRPr="00155028" w:rsidRDefault="007F41C6" w:rsidP="007F41C6">
      <w:pPr>
        <w:spacing w:beforeLines="60" w:before="144" w:afterLines="60" w:after="144" w:line="240" w:lineRule="auto"/>
        <w:jc w:val="both"/>
        <w:rPr>
          <w:rFonts w:eastAsia="Times New Roman"/>
          <w:sz w:val="20"/>
          <w:lang w:eastAsia="en-GB"/>
        </w:rPr>
      </w:pPr>
      <w:r w:rsidRPr="00155028">
        <w:rPr>
          <w:rFonts w:eastAsia="Times New Roman"/>
          <w:sz w:val="20"/>
          <w:lang w:eastAsia="en-GB"/>
        </w:rPr>
        <w:t xml:space="preserve">Po podatkih SURS je bila uporaba pesticidov v kmetijstvu za približno polovico manjša od prodaje FFS. </w:t>
      </w:r>
    </w:p>
    <w:p w14:paraId="22522AC2" w14:textId="1C655ED2" w:rsidR="007F41C6" w:rsidRPr="00155028" w:rsidRDefault="007F41C6" w:rsidP="00D92E6F">
      <w:pPr>
        <w:spacing w:beforeLines="60" w:before="144" w:afterLines="60" w:after="144" w:line="240" w:lineRule="auto"/>
        <w:jc w:val="both"/>
        <w:rPr>
          <w:rFonts w:eastAsia="Times New Roman"/>
          <w:sz w:val="20"/>
          <w:lang w:eastAsia="en-GB"/>
        </w:rPr>
      </w:pPr>
      <w:r w:rsidRPr="00155028">
        <w:rPr>
          <w:rFonts w:eastAsia="Times New Roman"/>
          <w:sz w:val="20"/>
          <w:lang w:eastAsia="en-GB"/>
        </w:rPr>
        <w:t xml:space="preserve">Povprečno največ FFS na hektar celotne osnovne površine s posamezno kmetijsko kulturo je bilo porabljenih v vinogradih (21 kg/ha) in v sadovnjakih (19,3 kg/ha). Na omenjenih kmetijskih zemljiščih so se večinoma uporabljali fungicidi, in sicer v vinogradih 20,5 kg/ha, v sadovnjakih pa 14,4 kg/ha. Na površinah, posejanih s pšenico in piro, je bilo porabljenih povprečno 0,6 kg fitofarmacevtskih sredstev na hektar, od tega fungicidov 0,3 kg/ha in herbicidov 0,3 kg/ha. Na površinah, posejanih s koruzo (za zrnje in za silažo), je bilo porabljenih povprečno 0,8 kg fitofarmacevtskih sredstev na hektar (v glavnem so bili to herbicidi). Kar 80 odstotkov vseh FFS porabljenih v kmetijstvu v letu 2017, je bilo porabljenih v trajnih nasadih. (Vir: SURS).  </w:t>
      </w:r>
    </w:p>
    <w:p w14:paraId="216E074B" w14:textId="32F20527" w:rsidR="007F41C6" w:rsidRPr="00155028" w:rsidRDefault="006A5242" w:rsidP="006A5242">
      <w:pPr>
        <w:pStyle w:val="Naslov2"/>
        <w:rPr>
          <w:rFonts w:ascii="Arial" w:hAnsi="Arial" w:cs="Arial"/>
        </w:rPr>
      </w:pPr>
      <w:bookmarkStart w:id="69" w:name="_Toc86826490"/>
      <w:r w:rsidRPr="00155028">
        <w:rPr>
          <w:rFonts w:ascii="Arial" w:hAnsi="Arial" w:cs="Arial"/>
        </w:rPr>
        <w:t>3</w:t>
      </w:r>
      <w:r w:rsidR="00C87C51" w:rsidRPr="00155028">
        <w:rPr>
          <w:rFonts w:ascii="Arial" w:hAnsi="Arial" w:cs="Arial"/>
        </w:rPr>
        <w:t>.</w:t>
      </w:r>
      <w:r w:rsidR="00DD0AC6" w:rsidRPr="00155028">
        <w:rPr>
          <w:rFonts w:ascii="Arial" w:hAnsi="Arial" w:cs="Arial"/>
        </w:rPr>
        <w:t>3</w:t>
      </w:r>
      <w:r w:rsidR="007F41C6" w:rsidRPr="00155028">
        <w:rPr>
          <w:rFonts w:ascii="Arial" w:hAnsi="Arial" w:cs="Arial"/>
        </w:rPr>
        <w:t xml:space="preserve"> Izvajanje </w:t>
      </w:r>
      <w:r w:rsidR="00155E54" w:rsidRPr="00155028">
        <w:rPr>
          <w:rFonts w:ascii="Arial" w:hAnsi="Arial" w:cs="Arial"/>
        </w:rPr>
        <w:t>Nacionalnega akcijskega programa</w:t>
      </w:r>
      <w:r w:rsidR="007F41C6" w:rsidRPr="00155028">
        <w:rPr>
          <w:rFonts w:ascii="Arial" w:hAnsi="Arial" w:cs="Arial"/>
        </w:rPr>
        <w:t xml:space="preserve"> za doseganje trajnostne rabe FFS</w:t>
      </w:r>
      <w:bookmarkEnd w:id="69"/>
      <w:r w:rsidR="007F41C6" w:rsidRPr="00155028">
        <w:rPr>
          <w:rFonts w:ascii="Arial" w:hAnsi="Arial" w:cs="Arial"/>
        </w:rPr>
        <w:t xml:space="preserve"> </w:t>
      </w:r>
    </w:p>
    <w:p w14:paraId="1109BC7D" w14:textId="52EF6BA8" w:rsidR="007F41C6" w:rsidRPr="00155028" w:rsidRDefault="000E431C" w:rsidP="007B2CC8">
      <w:pPr>
        <w:spacing w:before="120" w:after="0" w:line="240" w:lineRule="auto"/>
        <w:jc w:val="both"/>
        <w:rPr>
          <w:rFonts w:eastAsia="Times New Roman"/>
          <w:i/>
          <w:sz w:val="20"/>
          <w:u w:val="single"/>
          <w:lang w:eastAsia="en-GB"/>
        </w:rPr>
      </w:pPr>
      <w:r w:rsidRPr="00155028">
        <w:rPr>
          <w:rFonts w:eastAsia="Times New Roman"/>
          <w:sz w:val="20"/>
          <w:lang w:eastAsia="en-GB"/>
        </w:rPr>
        <w:t xml:space="preserve">Akcijski programi za zmanjševanje tveganj zaradi uporabe pesticidov za zdravje ljudi in okolje v državah članicah temeljijo na Tematski strategiji o trajnostni rabi pesticidov, ki jo je leta 2002 sprejel Evropski parlament. Evropska komisija je te usmeritve upoštevala s sprejetjem svežnja zakonodaje, s katero je predpisala stroga merila za registracijo FFS, zbiranje podatkov o prodaji in uporabi FFS ter ukrepe v okviru zakonodaje o trajnostni rabi FFS. Vse ukrepe zajema </w:t>
      </w:r>
      <w:r w:rsidR="00155E54" w:rsidRPr="00155028">
        <w:rPr>
          <w:rFonts w:eastAsia="Times New Roman"/>
          <w:sz w:val="20"/>
          <w:lang w:eastAsia="en-GB"/>
        </w:rPr>
        <w:t xml:space="preserve">Nacionalni akcijski program za doseganje trajnostne rabe FFS (v nadaljnjem besedilu: </w:t>
      </w:r>
      <w:r w:rsidRPr="00155028">
        <w:rPr>
          <w:rFonts w:eastAsia="Times New Roman"/>
          <w:sz w:val="20"/>
          <w:lang w:eastAsia="en-GB"/>
        </w:rPr>
        <w:t>NAP</w:t>
      </w:r>
      <w:r w:rsidR="00155E54" w:rsidRPr="00155028">
        <w:rPr>
          <w:rFonts w:eastAsia="Times New Roman"/>
          <w:sz w:val="20"/>
          <w:lang w:eastAsia="en-GB"/>
        </w:rPr>
        <w:t>)</w:t>
      </w:r>
      <w:r w:rsidRPr="00155028">
        <w:rPr>
          <w:rFonts w:eastAsia="Times New Roman"/>
          <w:sz w:val="20"/>
          <w:lang w:eastAsia="en-GB"/>
        </w:rPr>
        <w:t xml:space="preserve"> s ciljem zmanjšati tveganja na področju možnega vpliva FFS na zdravje ljudi, živali, pitno vodo, površinske in podzemne vode ter drugo okolje.</w:t>
      </w:r>
      <w:r w:rsidRPr="00155028" w:rsidDel="000E431C">
        <w:rPr>
          <w:rFonts w:eastAsia="Times New Roman"/>
          <w:sz w:val="20"/>
          <w:lang w:eastAsia="en-GB"/>
        </w:rPr>
        <w:t xml:space="preserve"> </w:t>
      </w:r>
      <w:r w:rsidR="007F41C6" w:rsidRPr="00155028">
        <w:rPr>
          <w:rFonts w:eastAsia="Times New Roman"/>
          <w:sz w:val="20"/>
          <w:lang w:eastAsia="en-GB"/>
        </w:rPr>
        <w:t xml:space="preserve">NAP tako obravnava vse ukrepe za zmanjšanje tveganja zaradi uporabe FFS, od izobraževanja in informiranja, tehničnih pogojev za trgovanje s FFS in njihovo uporabo, spremljanja in uradnega nadzora nad uporabo FFS, pridelano hrano in pitno vodo do zmanjšanja uporabe FFS na javnih površinah. Ukrepi so namenjeni ozaveščanju uporabnikov o pravilni rabi FFS s poudarkom na varovanju podzemnih in površinskih voda ter čebel, varnemu odstranjevanju odpadkov in odpadne embalaže FFS, spodbujanju integrirane in ekološke pridelave ter uporabe </w:t>
      </w:r>
      <w:proofErr w:type="spellStart"/>
      <w:r w:rsidR="007F41C6" w:rsidRPr="00155028">
        <w:rPr>
          <w:rFonts w:eastAsia="Times New Roman"/>
          <w:sz w:val="20"/>
          <w:lang w:eastAsia="en-GB"/>
        </w:rPr>
        <w:t>nekemičnih</w:t>
      </w:r>
      <w:proofErr w:type="spellEnd"/>
      <w:r w:rsidR="007F41C6" w:rsidRPr="00155028">
        <w:rPr>
          <w:rFonts w:eastAsia="Times New Roman"/>
          <w:sz w:val="20"/>
          <w:lang w:eastAsia="en-GB"/>
        </w:rPr>
        <w:t xml:space="preserve"> metod varstva rastlin in metod varstva rastlin z majhnim tveganjem (Vir: </w:t>
      </w:r>
      <w:hyperlink r:id="rId23" w:history="1">
        <w:r w:rsidR="007F41C6" w:rsidRPr="00155028">
          <w:rPr>
            <w:rFonts w:eastAsia="Times New Roman"/>
            <w:color w:val="0000FF" w:themeColor="hyperlink"/>
            <w:sz w:val="20"/>
            <w:u w:val="single"/>
            <w:lang w:eastAsia="en-GB"/>
          </w:rPr>
          <w:t>https://www.gov.si/assets/organi-v-sestavi/UVHVVR/FFS/NAP2VladaCistopis.doc</w:t>
        </w:r>
      </w:hyperlink>
      <w:r w:rsidR="007F41C6" w:rsidRPr="00155028">
        <w:rPr>
          <w:rFonts w:eastAsia="Times New Roman"/>
          <w:sz w:val="20"/>
          <w:lang w:eastAsia="en-GB"/>
        </w:rPr>
        <w:t>).</w:t>
      </w:r>
    </w:p>
    <w:p w14:paraId="73E88D70" w14:textId="7AA39F14" w:rsidR="007F41C6" w:rsidRPr="00155028" w:rsidRDefault="007F41C6" w:rsidP="007F41C6">
      <w:pPr>
        <w:spacing w:before="120" w:after="100" w:afterAutospacing="1" w:line="240" w:lineRule="auto"/>
        <w:jc w:val="both"/>
        <w:rPr>
          <w:rFonts w:eastAsia="Times New Roman"/>
          <w:sz w:val="20"/>
          <w:lang w:eastAsia="en-GB"/>
        </w:rPr>
      </w:pPr>
      <w:r w:rsidRPr="00155028">
        <w:rPr>
          <w:rFonts w:eastAsia="Times New Roman"/>
          <w:sz w:val="20"/>
          <w:lang w:eastAsia="en-GB"/>
        </w:rPr>
        <w:t xml:space="preserve">V Sloveniji je bil sistem usposabljanja uporabnikov, distributerjev FFS in predavateljev predpisan že leta 1994 na podlagi zakona, ki je urejal FFS. Sistem osnovnega in obnovitvenega usposabljanja za svetovalce, prodajalce in uporabnike FFS, ki so namenjena za poklicno rabo, je bil vzpostavljen že pred 14. decembrom 2014. </w:t>
      </w:r>
      <w:r w:rsidR="00D92E6F" w:rsidRPr="00155028">
        <w:rPr>
          <w:rFonts w:eastAsia="Times New Roman"/>
          <w:sz w:val="20"/>
          <w:lang w:eastAsia="en-GB"/>
        </w:rPr>
        <w:t>I</w:t>
      </w:r>
      <w:r w:rsidRPr="00155028">
        <w:rPr>
          <w:rFonts w:eastAsia="Times New Roman"/>
          <w:sz w:val="20"/>
          <w:lang w:eastAsia="en-GB"/>
        </w:rPr>
        <w:t>zvajalci, ki izdajajo izkaznice</w:t>
      </w:r>
      <w:r w:rsidR="00D92E6F" w:rsidRPr="00155028">
        <w:rPr>
          <w:rFonts w:eastAsia="Times New Roman"/>
          <w:sz w:val="20"/>
          <w:lang w:eastAsia="en-GB"/>
        </w:rPr>
        <w:t>, so pooblaščeni</w:t>
      </w:r>
      <w:r w:rsidRPr="00155028">
        <w:rPr>
          <w:rFonts w:eastAsia="Times New Roman"/>
          <w:sz w:val="20"/>
          <w:lang w:eastAsia="en-GB"/>
        </w:rPr>
        <w:t xml:space="preserve">. Ocenjujemo, da so se do sedaj v usposabljanje </w:t>
      </w:r>
      <w:r w:rsidR="00D92E6F" w:rsidRPr="00155028">
        <w:rPr>
          <w:rFonts w:eastAsia="Times New Roman"/>
          <w:sz w:val="20"/>
          <w:lang w:eastAsia="en-GB"/>
        </w:rPr>
        <w:t xml:space="preserve">vključili </w:t>
      </w:r>
      <w:r w:rsidRPr="00155028">
        <w:rPr>
          <w:rFonts w:eastAsia="Times New Roman"/>
          <w:sz w:val="20"/>
          <w:lang w:eastAsia="en-GB"/>
        </w:rPr>
        <w:t>vsi potencialni uporabniki FFS, ki so dovoljena za poklicno rabo</w:t>
      </w:r>
      <w:r w:rsidR="00D92E6F" w:rsidRPr="00155028">
        <w:rPr>
          <w:rFonts w:eastAsia="Times New Roman"/>
          <w:sz w:val="20"/>
          <w:lang w:eastAsia="en-GB"/>
        </w:rPr>
        <w:t>,</w:t>
      </w:r>
      <w:r w:rsidRPr="00155028">
        <w:rPr>
          <w:rFonts w:eastAsia="Times New Roman"/>
          <w:sz w:val="20"/>
          <w:lang w:eastAsia="en-GB"/>
        </w:rPr>
        <w:t xml:space="preserve"> in prodajalci FFS. </w:t>
      </w:r>
    </w:p>
    <w:p w14:paraId="3B86EA96" w14:textId="45241D09" w:rsidR="007F41C6" w:rsidRPr="00155028" w:rsidRDefault="007F41C6" w:rsidP="007F41C6">
      <w:pPr>
        <w:spacing w:beforeLines="60" w:before="144" w:afterLines="60" w:after="144" w:line="240" w:lineRule="auto"/>
        <w:jc w:val="both"/>
        <w:rPr>
          <w:rFonts w:eastAsia="Times New Roman"/>
          <w:sz w:val="20"/>
          <w:lang w:eastAsia="en-GB"/>
        </w:rPr>
      </w:pPr>
      <w:r w:rsidRPr="00155028">
        <w:rPr>
          <w:rFonts w:eastAsia="Times New Roman"/>
          <w:sz w:val="20"/>
          <w:lang w:eastAsia="en-GB"/>
        </w:rPr>
        <w:lastRenderedPageBreak/>
        <w:t>V informiranje uporabnikov o varni rabi FFS se vključuje tudi Gospodarsko interesno združenje proizvajalcev, distributerjev in zastopnikov FFS (</w:t>
      </w:r>
      <w:r w:rsidR="00E91D83" w:rsidRPr="00155028">
        <w:rPr>
          <w:rFonts w:eastAsia="Times New Roman"/>
          <w:sz w:val="20"/>
          <w:lang w:eastAsia="en-GB"/>
        </w:rPr>
        <w:t xml:space="preserve">v </w:t>
      </w:r>
      <w:r w:rsidR="00E92DA3" w:rsidRPr="00155028">
        <w:rPr>
          <w:rFonts w:eastAsia="Times New Roman"/>
          <w:sz w:val="20"/>
          <w:lang w:eastAsia="en-GB"/>
        </w:rPr>
        <w:t>nadaljnjem besedilu</w:t>
      </w:r>
      <w:r w:rsidR="00E91D83" w:rsidRPr="00155028">
        <w:rPr>
          <w:rFonts w:eastAsia="Times New Roman"/>
          <w:sz w:val="20"/>
          <w:lang w:eastAsia="en-GB"/>
        </w:rPr>
        <w:t xml:space="preserve">: </w:t>
      </w:r>
      <w:r w:rsidRPr="00155028">
        <w:rPr>
          <w:rFonts w:eastAsia="Times New Roman"/>
          <w:sz w:val="20"/>
          <w:lang w:eastAsia="en-GB"/>
        </w:rPr>
        <w:t xml:space="preserve">GIZ </w:t>
      </w:r>
      <w:proofErr w:type="spellStart"/>
      <w:r w:rsidRPr="00155028">
        <w:rPr>
          <w:rFonts w:eastAsia="Times New Roman"/>
          <w:sz w:val="20"/>
          <w:lang w:eastAsia="en-GB"/>
        </w:rPr>
        <w:t>fitofarmacije</w:t>
      </w:r>
      <w:proofErr w:type="spellEnd"/>
      <w:r w:rsidRPr="00155028">
        <w:rPr>
          <w:rFonts w:eastAsia="Times New Roman"/>
          <w:sz w:val="20"/>
          <w:lang w:eastAsia="en-GB"/>
        </w:rPr>
        <w:t>), ki med drugim sofinancira izdajo brošur. V letih 2013, 2014 in 2015 so bile izdane naslednje brošure: Preprečevanje točkovnega onesnaženja s FFS, Preprečevanje zanašanja, Ravnanje z odpadno embalažo FFS in odpadnimi FFS iz kmetijstva, 12 osnovnih korakov varne rabe FFS, Varna uporaba FFS</w:t>
      </w:r>
      <w:r w:rsidR="00231869">
        <w:rPr>
          <w:rFonts w:eastAsia="Times New Roman"/>
          <w:sz w:val="20"/>
          <w:lang w:eastAsia="en-GB"/>
        </w:rPr>
        <w:t xml:space="preserve"> </w:t>
      </w:r>
      <w:r w:rsidRPr="00155028">
        <w:rPr>
          <w:rFonts w:eastAsia="Times New Roman"/>
          <w:sz w:val="20"/>
          <w:lang w:eastAsia="en-GB"/>
        </w:rPr>
        <w:t xml:space="preserve">- nasveti za male uporabnike, Opozorila pred ponarejenimi in nelegalnimi FFS s filmom, Priporočila za osebno varovalno opremo s kompleti osebne varovalne opreme za svetovalce in izvajalce usposabljanja ter filmom. Izdana sta bila tudi priročnika: Dobra kmetijska praksa za varovanje voda in </w:t>
      </w:r>
      <w:proofErr w:type="spellStart"/>
      <w:r w:rsidRPr="00155028">
        <w:rPr>
          <w:rFonts w:eastAsia="Times New Roman"/>
          <w:sz w:val="20"/>
          <w:lang w:eastAsia="en-GB"/>
        </w:rPr>
        <w:t>Biopurifikacija</w:t>
      </w:r>
      <w:proofErr w:type="spellEnd"/>
      <w:r w:rsidRPr="00155028">
        <w:rPr>
          <w:rFonts w:eastAsia="Times New Roman"/>
          <w:sz w:val="20"/>
          <w:lang w:eastAsia="en-GB"/>
        </w:rPr>
        <w:t xml:space="preserve"> in ponatis priročnika: Temeljnih načel dobre prakse varstva rastlin in varne uporabe FFS.</w:t>
      </w:r>
    </w:p>
    <w:p w14:paraId="41E261B8" w14:textId="29C3434E" w:rsidR="007F41C6" w:rsidRPr="00155028" w:rsidRDefault="007F41C6" w:rsidP="007F41C6">
      <w:pPr>
        <w:spacing w:beforeLines="60" w:before="144" w:afterLines="60" w:after="144" w:line="240" w:lineRule="auto"/>
        <w:jc w:val="both"/>
        <w:rPr>
          <w:rFonts w:eastAsia="Times New Roman"/>
          <w:sz w:val="20"/>
          <w:lang w:eastAsia="en-GB"/>
        </w:rPr>
      </w:pPr>
      <w:r w:rsidRPr="00155028">
        <w:rPr>
          <w:rFonts w:eastAsia="Times New Roman"/>
          <w:sz w:val="20"/>
          <w:lang w:eastAsia="en-GB"/>
        </w:rPr>
        <w:t xml:space="preserve">Vsako leto GIZ </w:t>
      </w:r>
      <w:proofErr w:type="spellStart"/>
      <w:r w:rsidRPr="00155028">
        <w:rPr>
          <w:rFonts w:eastAsia="Times New Roman"/>
          <w:sz w:val="20"/>
          <w:lang w:eastAsia="en-GB"/>
        </w:rPr>
        <w:t>fitofarmacije</w:t>
      </w:r>
      <w:proofErr w:type="spellEnd"/>
      <w:r w:rsidRPr="00155028">
        <w:rPr>
          <w:rFonts w:eastAsia="Times New Roman"/>
          <w:sz w:val="20"/>
          <w:lang w:eastAsia="en-GB"/>
        </w:rPr>
        <w:t xml:space="preserve"> organizira enodnevno delavnico varne rabe FFS za svetovalce </w:t>
      </w:r>
      <w:r w:rsidR="00231869">
        <w:rPr>
          <w:rFonts w:eastAsia="Times New Roman"/>
          <w:sz w:val="20"/>
          <w:lang w:eastAsia="en-GB"/>
        </w:rPr>
        <w:t xml:space="preserve">in prodajalce </w:t>
      </w:r>
      <w:r w:rsidRPr="00155028">
        <w:rPr>
          <w:rFonts w:eastAsia="Times New Roman"/>
          <w:sz w:val="20"/>
          <w:lang w:eastAsia="en-GB"/>
        </w:rPr>
        <w:t>FFS. Na delavnicah so podrobno prikazani glavni postopki rokovanja in uporabe FFS.</w:t>
      </w:r>
    </w:p>
    <w:p w14:paraId="24CBB8E5" w14:textId="057D0154" w:rsidR="007F41C6" w:rsidRPr="00155028" w:rsidRDefault="007F41C6" w:rsidP="007F41C6">
      <w:pPr>
        <w:spacing w:before="80" w:after="100" w:afterAutospacing="1" w:line="240" w:lineRule="auto"/>
        <w:jc w:val="both"/>
        <w:rPr>
          <w:rFonts w:eastAsia="Times New Roman"/>
          <w:sz w:val="20"/>
          <w:lang w:eastAsia="en-GB"/>
        </w:rPr>
      </w:pPr>
      <w:r w:rsidRPr="00155028">
        <w:rPr>
          <w:rFonts w:eastAsia="Times New Roman"/>
          <w:sz w:val="20"/>
          <w:lang w:eastAsia="en-GB"/>
        </w:rPr>
        <w:t xml:space="preserve">V Sloveniji je pregled naprav za nanašanje FFS obvezen že od leta 1994. S takratno zakonodajo je bil predpisan tudi 2 letni interval rednega pregledovanja naprav. Po uveljavitvi </w:t>
      </w:r>
      <w:r w:rsidR="003C2BB4" w:rsidRPr="00155028">
        <w:rPr>
          <w:rFonts w:eastAsia="Times New Roman"/>
          <w:sz w:val="20"/>
          <w:lang w:eastAsia="en-GB"/>
        </w:rPr>
        <w:t xml:space="preserve">Direktive </w:t>
      </w:r>
      <w:r w:rsidRPr="00155028">
        <w:rPr>
          <w:rFonts w:eastAsia="Times New Roman"/>
          <w:sz w:val="20"/>
          <w:lang w:eastAsia="en-GB"/>
        </w:rPr>
        <w:t xml:space="preserve">in implementacije njenih določb v slovenski pravni red z ZFfS-1 leta 2012, je bil ta interval na zahtevo </w:t>
      </w:r>
      <w:r w:rsidR="003C2BB4" w:rsidRPr="00155028">
        <w:rPr>
          <w:rFonts w:eastAsia="Times New Roman"/>
          <w:sz w:val="20"/>
          <w:lang w:eastAsia="en-GB"/>
        </w:rPr>
        <w:t xml:space="preserve">Kmetijsko gospodarske zbornice Slovenije </w:t>
      </w:r>
      <w:r w:rsidRPr="00155028">
        <w:rPr>
          <w:rFonts w:eastAsia="Times New Roman"/>
          <w:sz w:val="20"/>
          <w:lang w:eastAsia="en-GB"/>
        </w:rPr>
        <w:t xml:space="preserve"> podaljšan na 3 leta. Ministrstvo </w:t>
      </w:r>
      <w:r w:rsidR="003C2BB4" w:rsidRPr="00155028">
        <w:rPr>
          <w:rFonts w:eastAsia="Times New Roman"/>
          <w:sz w:val="20"/>
          <w:lang w:eastAsia="en-GB"/>
        </w:rPr>
        <w:t>za kmetijstvo, gozdarstvo in prehrano (v nadaljnjem besedilu: Ministrstvo)</w:t>
      </w:r>
      <w:r w:rsidRPr="00155028">
        <w:rPr>
          <w:rFonts w:eastAsia="Times New Roman"/>
          <w:sz w:val="20"/>
          <w:lang w:eastAsia="en-GB"/>
        </w:rPr>
        <w:t xml:space="preserve">je v letu 2018/2019 sprejelo spremembe Pravilnika, ki </w:t>
      </w:r>
      <w:r w:rsidR="00231869">
        <w:rPr>
          <w:rFonts w:eastAsia="Times New Roman"/>
          <w:sz w:val="20"/>
          <w:lang w:eastAsia="en-GB"/>
        </w:rPr>
        <w:t xml:space="preserve">določa zahteve glede pravilnega delovanja </w:t>
      </w:r>
      <w:r w:rsidRPr="00155028">
        <w:rPr>
          <w:rFonts w:eastAsia="Times New Roman"/>
          <w:sz w:val="20"/>
          <w:lang w:eastAsia="en-GB"/>
        </w:rPr>
        <w:t>naprav za nanašanje FFS</w:t>
      </w:r>
      <w:r w:rsidR="00384EB4" w:rsidRPr="00155028">
        <w:rPr>
          <w:rFonts w:eastAsia="Times New Roman"/>
          <w:sz w:val="20"/>
          <w:lang w:eastAsia="en-GB"/>
        </w:rPr>
        <w:t xml:space="preserve"> (Uradni list RS, št. 36/2019)</w:t>
      </w:r>
      <w:r w:rsidRPr="00155028">
        <w:rPr>
          <w:rFonts w:eastAsia="Times New Roman"/>
          <w:sz w:val="20"/>
          <w:lang w:eastAsia="en-GB"/>
        </w:rPr>
        <w:t xml:space="preserve"> na način, da se je implementiral nov standard SIST ISO EN 16122-1- 4:2015. V okviru </w:t>
      </w:r>
      <w:r w:rsidR="003C2BB4" w:rsidRPr="00155028">
        <w:rPr>
          <w:rFonts w:eastAsia="Times New Roman"/>
          <w:sz w:val="20"/>
          <w:lang w:eastAsia="en-GB"/>
        </w:rPr>
        <w:t>ukrepov Programa razvoja podeželja 2014-2020</w:t>
      </w:r>
      <w:r w:rsidR="003C2BB4" w:rsidRPr="00155028">
        <w:t xml:space="preserve"> </w:t>
      </w:r>
      <w:r w:rsidRPr="00155028">
        <w:rPr>
          <w:rFonts w:eastAsia="Times New Roman"/>
          <w:sz w:val="20"/>
          <w:lang w:eastAsia="en-GB"/>
        </w:rPr>
        <w:t xml:space="preserve">Ministrstvo </w:t>
      </w:r>
      <w:r w:rsidR="00505BA5" w:rsidRPr="00155028">
        <w:rPr>
          <w:rFonts w:eastAsia="Times New Roman"/>
          <w:sz w:val="20"/>
          <w:lang w:eastAsia="en-GB"/>
        </w:rPr>
        <w:t>s</w:t>
      </w:r>
      <w:r w:rsidRPr="00155028">
        <w:rPr>
          <w:rFonts w:eastAsia="Times New Roman"/>
          <w:sz w:val="20"/>
          <w:lang w:eastAsia="en-GB"/>
        </w:rPr>
        <w:t xml:space="preserve">podbuja nakup novih naprav, ki so tehnično bolj ustrezne. </w:t>
      </w:r>
    </w:p>
    <w:p w14:paraId="3680F5FE" w14:textId="03CCD4C4" w:rsidR="007F41C6" w:rsidRPr="00155028" w:rsidRDefault="007F41C6" w:rsidP="00DD0AC6">
      <w:pPr>
        <w:autoSpaceDE w:val="0"/>
        <w:autoSpaceDN w:val="0"/>
        <w:adjustRightInd w:val="0"/>
        <w:spacing w:after="0" w:line="240" w:lineRule="auto"/>
        <w:jc w:val="both"/>
        <w:rPr>
          <w:rFonts w:eastAsia="Times New Roman"/>
          <w:sz w:val="20"/>
          <w:lang w:eastAsia="en-GB"/>
        </w:rPr>
      </w:pPr>
      <w:r w:rsidRPr="00155028">
        <w:rPr>
          <w:rFonts w:eastAsia="Times New Roman"/>
          <w:sz w:val="20"/>
          <w:lang w:eastAsia="en-GB"/>
        </w:rPr>
        <w:t>Leta 201</w:t>
      </w:r>
      <w:r w:rsidR="005D586F" w:rsidRPr="00155028">
        <w:rPr>
          <w:rFonts w:eastAsia="Times New Roman"/>
          <w:sz w:val="20"/>
          <w:lang w:eastAsia="en-GB"/>
        </w:rPr>
        <w:t>8</w:t>
      </w:r>
      <w:r w:rsidRPr="00155028">
        <w:rPr>
          <w:rFonts w:eastAsia="Times New Roman"/>
          <w:sz w:val="20"/>
          <w:lang w:eastAsia="en-GB"/>
        </w:rPr>
        <w:t xml:space="preserve"> je Ministrstvo izdalo spremenjen Pravilnik</w:t>
      </w:r>
      <w:r w:rsidR="005D586F" w:rsidRPr="00155028">
        <w:rPr>
          <w:rFonts w:eastAsia="Times New Roman"/>
          <w:sz w:val="20"/>
          <w:lang w:eastAsia="en-GB"/>
        </w:rPr>
        <w:t xml:space="preserve"> (Uradni list RS, št. 71/14 in 28/18</w:t>
      </w:r>
      <w:r w:rsidR="005D586F" w:rsidRPr="00155028">
        <w:rPr>
          <w:rFonts w:ascii="Times New Roman" w:hAnsi="Times New Roman" w:cs="Times New Roman"/>
        </w:rPr>
        <w:t>)</w:t>
      </w:r>
      <w:r w:rsidR="00D92E6F" w:rsidRPr="00155028">
        <w:rPr>
          <w:rStyle w:val="Sprotnaopomba-sklic"/>
          <w:rFonts w:ascii="Times New Roman" w:hAnsi="Times New Roman" w:cs="Times New Roman"/>
        </w:rPr>
        <w:footnoteReference w:id="5"/>
      </w:r>
      <w:r w:rsidRPr="00155028">
        <w:rPr>
          <w:rFonts w:eastAsia="Times New Roman"/>
          <w:sz w:val="20"/>
          <w:lang w:eastAsia="en-GB"/>
        </w:rPr>
        <w:t xml:space="preserve"> glede uporabe FFS v katerem je omejilo oziroma prepovedalo uporabo herbicidov na javnih površinah. Obenem je Ministrstvo pripravilo nove kriterije glede rabe FFS, ki so dovoljena za nepoklicno rabo</w:t>
      </w:r>
      <w:r w:rsidR="004516B6" w:rsidRPr="00155028">
        <w:rPr>
          <w:rFonts w:eastAsia="Times New Roman"/>
          <w:sz w:val="20"/>
          <w:lang w:eastAsia="en-GB"/>
        </w:rPr>
        <w:t xml:space="preserve"> (Uradni list RS, št. 107/13 in 30/18</w:t>
      </w:r>
      <w:r w:rsidR="004516B6" w:rsidRPr="00155028">
        <w:rPr>
          <w:rFonts w:ascii="Times New Roman" w:hAnsi="Times New Roman" w:cs="Times New Roman"/>
        </w:rPr>
        <w:t>)</w:t>
      </w:r>
      <w:r w:rsidRPr="00155028">
        <w:rPr>
          <w:rFonts w:eastAsia="Times New Roman"/>
          <w:sz w:val="20"/>
          <w:lang w:eastAsia="en-GB"/>
        </w:rPr>
        <w:t xml:space="preserve">. Zaradi teh zakonodajnih sprememb se </w:t>
      </w:r>
      <w:r w:rsidR="00D92E6F" w:rsidRPr="00155028">
        <w:rPr>
          <w:rFonts w:eastAsia="Times New Roman"/>
          <w:sz w:val="20"/>
          <w:lang w:eastAsia="en-GB"/>
        </w:rPr>
        <w:t xml:space="preserve">do leta 2022 </w:t>
      </w:r>
      <w:r w:rsidRPr="00155028">
        <w:rPr>
          <w:rFonts w:eastAsia="Times New Roman"/>
          <w:sz w:val="20"/>
          <w:lang w:eastAsia="en-GB"/>
        </w:rPr>
        <w:t>predvideva 10</w:t>
      </w:r>
      <w:r w:rsidR="00D92E6F" w:rsidRPr="00155028">
        <w:rPr>
          <w:rFonts w:eastAsia="Times New Roman"/>
          <w:sz w:val="20"/>
          <w:lang w:eastAsia="en-GB"/>
        </w:rPr>
        <w:t xml:space="preserve"> </w:t>
      </w:r>
      <w:r w:rsidRPr="00155028">
        <w:rPr>
          <w:rFonts w:eastAsia="Times New Roman"/>
          <w:sz w:val="20"/>
          <w:lang w:eastAsia="en-GB"/>
        </w:rPr>
        <w:t>% delež zmanjšanja prodaje FFS, ki so namenjena za poklicno rabo. V</w:t>
      </w:r>
      <w:r w:rsidR="00D92E6F" w:rsidRPr="00155028">
        <w:rPr>
          <w:rFonts w:eastAsia="Times New Roman"/>
          <w:sz w:val="20"/>
          <w:lang w:eastAsia="en-GB"/>
        </w:rPr>
        <w:t xml:space="preserve"> letu 2018 se je v</w:t>
      </w:r>
      <w:r w:rsidRPr="00155028">
        <w:rPr>
          <w:rFonts w:eastAsia="Times New Roman"/>
          <w:sz w:val="20"/>
          <w:lang w:eastAsia="en-GB"/>
        </w:rPr>
        <w:t xml:space="preserve"> podporo prepovedi uporabe </w:t>
      </w:r>
      <w:proofErr w:type="spellStart"/>
      <w:r w:rsidRPr="00155028">
        <w:rPr>
          <w:rFonts w:eastAsia="Times New Roman"/>
          <w:sz w:val="20"/>
          <w:lang w:eastAsia="en-GB"/>
        </w:rPr>
        <w:t>glifosata</w:t>
      </w:r>
      <w:proofErr w:type="spellEnd"/>
      <w:r w:rsidRPr="00155028">
        <w:rPr>
          <w:rFonts w:eastAsia="Times New Roman"/>
          <w:sz w:val="20"/>
          <w:lang w:eastAsia="en-GB"/>
        </w:rPr>
        <w:t xml:space="preserve"> in širjenju uporabe </w:t>
      </w:r>
      <w:proofErr w:type="spellStart"/>
      <w:r w:rsidRPr="00155028">
        <w:rPr>
          <w:rFonts w:eastAsia="Times New Roman"/>
          <w:sz w:val="20"/>
          <w:lang w:eastAsia="en-GB"/>
        </w:rPr>
        <w:t>nekemičnih</w:t>
      </w:r>
      <w:proofErr w:type="spellEnd"/>
      <w:r w:rsidRPr="00155028">
        <w:rPr>
          <w:rFonts w:eastAsia="Times New Roman"/>
          <w:sz w:val="20"/>
          <w:lang w:eastAsia="en-GB"/>
        </w:rPr>
        <w:t xml:space="preserve"> metod zatiranja plevelov začel izvajati triletni </w:t>
      </w:r>
      <w:r w:rsidR="00D10DCC" w:rsidRPr="00155028">
        <w:rPr>
          <w:rFonts w:eastAsia="Times New Roman"/>
          <w:sz w:val="20"/>
          <w:lang w:eastAsia="en-GB"/>
        </w:rPr>
        <w:t xml:space="preserve">Ciljni raziskovalni projekt </w:t>
      </w:r>
      <w:r w:rsidR="002E1E23" w:rsidRPr="00155028">
        <w:rPr>
          <w:rFonts w:eastAsia="Times New Roman"/>
          <w:sz w:val="20"/>
          <w:lang w:eastAsia="en-GB"/>
        </w:rPr>
        <w:t xml:space="preserve">(Leskovšek in sod. (2018): Preučitev in predlog izbora najprimernejših </w:t>
      </w:r>
      <w:proofErr w:type="spellStart"/>
      <w:r w:rsidR="002E1E23" w:rsidRPr="00155028">
        <w:rPr>
          <w:rFonts w:eastAsia="Times New Roman"/>
          <w:sz w:val="20"/>
          <w:lang w:eastAsia="en-GB"/>
        </w:rPr>
        <w:t>nekemičnih</w:t>
      </w:r>
      <w:proofErr w:type="spellEnd"/>
      <w:r w:rsidR="002E1E23" w:rsidRPr="00155028">
        <w:rPr>
          <w:rFonts w:eastAsia="Times New Roman"/>
          <w:sz w:val="20"/>
          <w:lang w:eastAsia="en-GB"/>
        </w:rPr>
        <w:t xml:space="preserve"> metod zatiranja plevela kot nadomestilo za uporabo </w:t>
      </w:r>
      <w:proofErr w:type="spellStart"/>
      <w:r w:rsidR="002E1E23" w:rsidRPr="00155028">
        <w:rPr>
          <w:rFonts w:eastAsia="Times New Roman"/>
          <w:sz w:val="20"/>
          <w:lang w:eastAsia="en-GB"/>
        </w:rPr>
        <w:t>glifosata</w:t>
      </w:r>
      <w:proofErr w:type="spellEnd"/>
      <w:r w:rsidR="002E1E23" w:rsidRPr="00155028">
        <w:rPr>
          <w:rFonts w:eastAsia="Times New Roman"/>
          <w:sz w:val="20"/>
          <w:lang w:eastAsia="en-GB"/>
        </w:rPr>
        <w:t xml:space="preserve"> in drugih herbicidov za slovenske razmere. CRP V4-1801).</w:t>
      </w:r>
      <w:r w:rsidR="002E1E23" w:rsidRPr="00155028">
        <w:rPr>
          <w:rFonts w:ascii="Verdana" w:hAnsi="Verdana" w:cs="Verdana"/>
          <w:sz w:val="18"/>
          <w:szCs w:val="18"/>
        </w:rPr>
        <w:t xml:space="preserve"> </w:t>
      </w:r>
    </w:p>
    <w:p w14:paraId="0C69F216" w14:textId="77777777" w:rsidR="007F41C6" w:rsidRPr="00155028" w:rsidRDefault="007F41C6" w:rsidP="007F41C6">
      <w:pPr>
        <w:spacing w:before="60" w:after="100" w:afterAutospacing="1" w:line="240" w:lineRule="auto"/>
        <w:jc w:val="both"/>
        <w:rPr>
          <w:rFonts w:eastAsia="Times New Roman"/>
          <w:sz w:val="20"/>
          <w:lang w:eastAsia="en-GB"/>
        </w:rPr>
      </w:pPr>
      <w:r w:rsidRPr="00155028">
        <w:rPr>
          <w:rFonts w:eastAsia="Times New Roman"/>
          <w:sz w:val="20"/>
          <w:lang w:eastAsia="en-GB"/>
        </w:rPr>
        <w:t xml:space="preserve">Za spodbujanje registracije FFS z manjšim tveganjem je bil v letu 2015 sprejet predpis, s katerim so se znižale pristojbine pri vzajemnem priznavanju conskih registracij FFS, ki vsebujejo aktivne snovi z manjšim tveganjem. V l. 2019 pa smo na Upravi spremenili predpis, ki določa stroške in tako se za vloge za FFS z majhnim tveganjem, kot so določena s 47. členom Uredbe 1107/2009/ES in FFS, ki so dovoljena v ekološki pridelavi, pristojbina ne plača. S tem spodbujamo podjetja k dajanju v promet tovrstnih FFS v večjem obsegu, da imajo uporabniki na izbiro čim večje število FFS z majhnim tveganjem. Poleg tega smo v tem predpisu prepovedali promet s FFS, ki jim je potekel rok uporabnosti, ter promet in uporabo FFS, ki vsebujejo aktivne snovi, varovala, </w:t>
      </w:r>
      <w:proofErr w:type="spellStart"/>
      <w:r w:rsidRPr="00155028">
        <w:rPr>
          <w:rFonts w:eastAsia="Times New Roman"/>
          <w:sz w:val="20"/>
          <w:lang w:eastAsia="en-GB"/>
        </w:rPr>
        <w:t>sinergiste</w:t>
      </w:r>
      <w:proofErr w:type="spellEnd"/>
      <w:r w:rsidRPr="00155028">
        <w:rPr>
          <w:rFonts w:eastAsia="Times New Roman"/>
          <w:sz w:val="20"/>
          <w:lang w:eastAsia="en-GB"/>
        </w:rPr>
        <w:t xml:space="preserve"> ali dodatke, ki niso odobreni oziroma so prepovedani v skladu z Uredbo 1107/2009/ES.</w:t>
      </w:r>
    </w:p>
    <w:p w14:paraId="5778DD2E" w14:textId="65CEC214" w:rsidR="007F41C6" w:rsidRPr="00155028" w:rsidRDefault="007234E8" w:rsidP="007F41C6">
      <w:pPr>
        <w:spacing w:beforeLines="60" w:before="144" w:afterLines="60" w:after="144" w:line="240" w:lineRule="auto"/>
        <w:jc w:val="both"/>
        <w:rPr>
          <w:rFonts w:eastAsia="Times New Roman"/>
          <w:bCs/>
          <w:sz w:val="20"/>
          <w:lang w:eastAsia="sl-SI"/>
        </w:rPr>
      </w:pPr>
      <w:r w:rsidRPr="00155028">
        <w:rPr>
          <w:rFonts w:eastAsia="Times New Roman"/>
          <w:bCs/>
          <w:sz w:val="20"/>
          <w:lang w:eastAsia="sl-SI"/>
        </w:rPr>
        <w:t xml:space="preserve">UVHVVR </w:t>
      </w:r>
      <w:r w:rsidR="007F41C6" w:rsidRPr="00155028">
        <w:rPr>
          <w:rFonts w:eastAsia="Times New Roman"/>
          <w:bCs/>
          <w:sz w:val="20"/>
          <w:lang w:eastAsia="sl-SI"/>
        </w:rPr>
        <w:t>redno izvaja letni nadzorni program nad ostanki pesticidov v hrani in krmi. Podatki se redno pošiljajo na Evropsko Agencijo za varno hrano, ki zbira podatke iz vseh držav članic in na podlagi njihovih poročil izdela letno poročilo o nadzoru nad ostankih pesticidov v EU. Uprava pa izdela letno poročilo o stanju v Republiki Sloveniji in ga objavi na svojih spletnih straneh:</w:t>
      </w:r>
    </w:p>
    <w:p w14:paraId="52CA0779" w14:textId="77777777" w:rsidR="007F41C6" w:rsidRPr="00155028" w:rsidRDefault="00783478" w:rsidP="007F41C6">
      <w:pPr>
        <w:spacing w:before="120" w:after="100" w:afterAutospacing="1" w:line="240" w:lineRule="auto"/>
        <w:jc w:val="both"/>
        <w:rPr>
          <w:rFonts w:eastAsia="Times New Roman"/>
          <w:color w:val="0000FF" w:themeColor="hyperlink"/>
          <w:sz w:val="20"/>
          <w:u w:val="single"/>
          <w:lang w:eastAsia="en-GB"/>
        </w:rPr>
      </w:pPr>
      <w:hyperlink r:id="rId24" w:history="1">
        <w:r w:rsidR="007F41C6" w:rsidRPr="00155028">
          <w:rPr>
            <w:rFonts w:eastAsia="Times New Roman"/>
            <w:color w:val="0000FF" w:themeColor="hyperlink"/>
            <w:sz w:val="20"/>
            <w:u w:val="single"/>
            <w:lang w:eastAsia="en-GB"/>
          </w:rPr>
          <w:t>https://www.gov.si/teme/ostanki-fitofarmacevtskih-sredstev/</w:t>
        </w:r>
      </w:hyperlink>
    </w:p>
    <w:p w14:paraId="2B8D9E07" w14:textId="0727BB79" w:rsidR="007F41C6" w:rsidRPr="00155028" w:rsidRDefault="007F41C6" w:rsidP="007F41C6">
      <w:pPr>
        <w:autoSpaceDE w:val="0"/>
        <w:autoSpaceDN w:val="0"/>
        <w:adjustRightInd w:val="0"/>
        <w:spacing w:before="120" w:after="0" w:line="240" w:lineRule="auto"/>
        <w:jc w:val="both"/>
        <w:rPr>
          <w:rFonts w:eastAsia="Times New Roman"/>
          <w:sz w:val="20"/>
          <w:lang w:eastAsia="en-GB"/>
        </w:rPr>
      </w:pPr>
      <w:r w:rsidRPr="00155028">
        <w:rPr>
          <w:rFonts w:eastAsia="Times New Roman"/>
          <w:sz w:val="20"/>
          <w:lang w:eastAsia="en-GB"/>
        </w:rPr>
        <w:t xml:space="preserve">Na </w:t>
      </w:r>
      <w:r w:rsidR="00E00373" w:rsidRPr="00155028">
        <w:rPr>
          <w:rFonts w:eastAsia="Times New Roman"/>
          <w:sz w:val="20"/>
          <w:lang w:eastAsia="en-GB"/>
        </w:rPr>
        <w:t>Agenciji Republike Slovenije za okolje (v</w:t>
      </w:r>
      <w:r w:rsidR="00D96A4E" w:rsidRPr="00155028">
        <w:rPr>
          <w:rFonts w:eastAsia="Times New Roman"/>
          <w:sz w:val="20"/>
          <w:lang w:eastAsia="en-GB"/>
        </w:rPr>
        <w:t xml:space="preserve"> n</w:t>
      </w:r>
      <w:r w:rsidR="00E00373" w:rsidRPr="00155028">
        <w:rPr>
          <w:rFonts w:eastAsia="Times New Roman"/>
          <w:sz w:val="20"/>
          <w:lang w:eastAsia="en-GB"/>
        </w:rPr>
        <w:t xml:space="preserve">adaljnjem besedilu: </w:t>
      </w:r>
      <w:r w:rsidRPr="00155028">
        <w:rPr>
          <w:rFonts w:eastAsia="Times New Roman"/>
          <w:sz w:val="20"/>
          <w:lang w:eastAsia="en-GB"/>
        </w:rPr>
        <w:t>ARSO</w:t>
      </w:r>
      <w:r w:rsidR="00E00373" w:rsidRPr="00155028">
        <w:rPr>
          <w:rFonts w:eastAsia="Times New Roman"/>
          <w:sz w:val="20"/>
          <w:lang w:eastAsia="en-GB"/>
        </w:rPr>
        <w:t>)</w:t>
      </w:r>
      <w:r w:rsidRPr="00155028">
        <w:rPr>
          <w:rFonts w:eastAsia="Times New Roman"/>
          <w:sz w:val="20"/>
          <w:lang w:eastAsia="en-GB"/>
        </w:rPr>
        <w:t xml:space="preserve"> letno izdelajo poročilo o kemijskem stanju podzemne vode v Sloveniji. Vsebnost pesticidov in njihovih razpadlih produktov so v letu 2018 spremljali na 75 merilnih mestih od skupno 176 merilnih mest, kar pomeni 4</w:t>
      </w:r>
      <w:r w:rsidR="00417EDE" w:rsidRPr="00155028">
        <w:rPr>
          <w:rFonts w:eastAsia="Times New Roman"/>
          <w:sz w:val="20"/>
          <w:lang w:eastAsia="en-GB"/>
        </w:rPr>
        <w:t>3</w:t>
      </w:r>
      <w:r w:rsidR="00D92E6F" w:rsidRPr="00155028">
        <w:rPr>
          <w:rFonts w:eastAsia="Times New Roman"/>
          <w:sz w:val="20"/>
          <w:lang w:eastAsia="en-GB"/>
        </w:rPr>
        <w:t xml:space="preserve"> </w:t>
      </w:r>
      <w:r w:rsidRPr="00155028">
        <w:rPr>
          <w:rFonts w:eastAsia="Times New Roman"/>
          <w:sz w:val="20"/>
          <w:lang w:eastAsia="en-GB"/>
        </w:rPr>
        <w:t xml:space="preserve">% merilnih mestih in sicer v spomladanskem in jesenskem zajemu. Pesticide spremljajo na merilnih mestih, kjer presegajo standard kakovosti in tam kjer so standard kakovosti presegali v preteklih letih. V letu 2018 je na merilnih mestih največkrat mejno vrednost presegla vsebnost </w:t>
      </w:r>
      <w:proofErr w:type="spellStart"/>
      <w:r w:rsidRPr="00155028">
        <w:rPr>
          <w:rFonts w:eastAsia="Times New Roman"/>
          <w:sz w:val="20"/>
          <w:lang w:eastAsia="en-GB"/>
        </w:rPr>
        <w:t>metolaklora</w:t>
      </w:r>
      <w:proofErr w:type="spellEnd"/>
      <w:r w:rsidRPr="00155028">
        <w:rPr>
          <w:rFonts w:eastAsia="Times New Roman"/>
          <w:sz w:val="20"/>
          <w:lang w:eastAsia="en-GB"/>
        </w:rPr>
        <w:t xml:space="preserve">, nato atrazina, </w:t>
      </w:r>
      <w:proofErr w:type="spellStart"/>
      <w:r w:rsidRPr="00155028">
        <w:rPr>
          <w:rFonts w:eastAsia="Times New Roman"/>
          <w:sz w:val="20"/>
          <w:lang w:eastAsia="en-GB"/>
        </w:rPr>
        <w:t>desetil</w:t>
      </w:r>
      <w:proofErr w:type="spellEnd"/>
      <w:r w:rsidRPr="00155028">
        <w:rPr>
          <w:rFonts w:eastAsia="Times New Roman"/>
          <w:sz w:val="20"/>
          <w:lang w:eastAsia="en-GB"/>
        </w:rPr>
        <w:t xml:space="preserve"> atrazina in </w:t>
      </w:r>
      <w:proofErr w:type="spellStart"/>
      <w:r w:rsidRPr="00155028">
        <w:rPr>
          <w:rFonts w:eastAsia="Times New Roman"/>
          <w:sz w:val="20"/>
          <w:lang w:eastAsia="en-GB"/>
        </w:rPr>
        <w:t>prometrina</w:t>
      </w:r>
      <w:proofErr w:type="spellEnd"/>
      <w:r w:rsidRPr="00155028">
        <w:rPr>
          <w:rFonts w:eastAsia="Times New Roman"/>
          <w:sz w:val="20"/>
          <w:lang w:eastAsia="en-GB"/>
        </w:rPr>
        <w:t xml:space="preserve">. Večina merilnih mest je na vodonosnikih z </w:t>
      </w:r>
      <w:proofErr w:type="spellStart"/>
      <w:r w:rsidRPr="00155028">
        <w:rPr>
          <w:rFonts w:eastAsia="Times New Roman"/>
          <w:sz w:val="20"/>
          <w:lang w:eastAsia="en-GB"/>
        </w:rPr>
        <w:t>medzrnsko</w:t>
      </w:r>
      <w:proofErr w:type="spellEnd"/>
      <w:r w:rsidRPr="00155028">
        <w:rPr>
          <w:rFonts w:eastAsia="Times New Roman"/>
          <w:sz w:val="20"/>
          <w:lang w:eastAsia="en-GB"/>
        </w:rPr>
        <w:t xml:space="preserve"> poroznostjo, občasno pa mejno vrednost pesticidi presegajo tudi na kraških izvirih.</w:t>
      </w:r>
      <w:r w:rsidR="00505BA5" w:rsidRPr="00155028">
        <w:rPr>
          <w:rFonts w:eastAsia="Times New Roman"/>
          <w:sz w:val="20"/>
          <w:lang w:eastAsia="en-GB"/>
        </w:rPr>
        <w:t xml:space="preserve"> </w:t>
      </w:r>
      <w:r w:rsidRPr="00155028">
        <w:rPr>
          <w:rFonts w:eastAsia="Times New Roman"/>
          <w:sz w:val="20"/>
          <w:lang w:eastAsia="en-GB"/>
        </w:rPr>
        <w:t xml:space="preserve">V preteklosti so bila z atrazinom obremenjena praktično vsa merilna mesta </w:t>
      </w:r>
      <w:r w:rsidR="00053ED6" w:rsidRPr="00155028">
        <w:rPr>
          <w:rFonts w:eastAsia="Times New Roman"/>
          <w:sz w:val="20"/>
          <w:lang w:eastAsia="en-GB"/>
        </w:rPr>
        <w:t>v</w:t>
      </w:r>
      <w:r w:rsidRPr="00155028">
        <w:rPr>
          <w:rFonts w:eastAsia="Times New Roman"/>
          <w:sz w:val="20"/>
          <w:lang w:eastAsia="en-GB"/>
        </w:rPr>
        <w:t xml:space="preserve"> Dravski kotlini, po prepovedi uporabe v letu 2003 pa je začelo upadati </w:t>
      </w:r>
      <w:r w:rsidRPr="00155028">
        <w:rPr>
          <w:rFonts w:eastAsia="Times New Roman"/>
          <w:sz w:val="20"/>
          <w:lang w:eastAsia="en-GB"/>
        </w:rPr>
        <w:lastRenderedPageBreak/>
        <w:t xml:space="preserve">število obremenjenih merilnih mest. Še vedno predstavlja problem prisotnost atrazina na nekaterih črpališčih pitne vode (Skorba in Šikole), čeprav vsebnosti tudi tam upadajo. </w:t>
      </w:r>
    </w:p>
    <w:p w14:paraId="1BF03927" w14:textId="68022848" w:rsidR="007F41C6" w:rsidRPr="00155028" w:rsidRDefault="007F41C6" w:rsidP="007F41C6">
      <w:pPr>
        <w:autoSpaceDE w:val="0"/>
        <w:autoSpaceDN w:val="0"/>
        <w:adjustRightInd w:val="0"/>
        <w:spacing w:before="120" w:after="0" w:line="240" w:lineRule="auto"/>
        <w:jc w:val="both"/>
        <w:rPr>
          <w:rFonts w:eastAsia="Times New Roman"/>
          <w:sz w:val="20"/>
          <w:lang w:eastAsia="en-GB"/>
        </w:rPr>
      </w:pPr>
      <w:r w:rsidRPr="00155028">
        <w:rPr>
          <w:rFonts w:eastAsia="Times New Roman"/>
          <w:sz w:val="20"/>
          <w:lang w:eastAsia="en-GB"/>
        </w:rPr>
        <w:t xml:space="preserve">Vsako leto na ARSO objavijo tudi poročilo o kemijskem stanju površinskih voda. V letu 2018 so bila posebna onesnaževala (sem sodijo tudi pesticidi) ocenjena na 163 merilnih mestih površinskih voda. Zelo dobro stanje je bilo določeno za 46 merilnih mest (28,2 %), dobro za 96 (58,9%), zmerno pa za 21 merilnih mest (12,9 %) površinskih voda. Specifična onesnaževala, ki so bila razlog za zmerno stanje površinskih voda v Sloveniji v letu 2018, so: kobalt, </w:t>
      </w:r>
      <w:proofErr w:type="spellStart"/>
      <w:r w:rsidRPr="00155028">
        <w:rPr>
          <w:rFonts w:eastAsia="Times New Roman"/>
          <w:sz w:val="20"/>
          <w:lang w:eastAsia="en-GB"/>
        </w:rPr>
        <w:t>metolaklor</w:t>
      </w:r>
      <w:proofErr w:type="spellEnd"/>
      <w:r w:rsidRPr="00155028">
        <w:rPr>
          <w:rFonts w:eastAsia="Times New Roman"/>
          <w:sz w:val="20"/>
          <w:lang w:eastAsia="en-GB"/>
        </w:rPr>
        <w:t xml:space="preserve">, poliklorirani bifenili - PCB, molibden, sulfat in cink (Vir: </w:t>
      </w:r>
      <w:hyperlink r:id="rId25" w:history="1">
        <w:r w:rsidR="00CC2082" w:rsidRPr="00155028">
          <w:rPr>
            <w:rFonts w:eastAsia="Times New Roman"/>
            <w:color w:val="0000FF" w:themeColor="hyperlink"/>
            <w:sz w:val="20"/>
            <w:u w:val="single"/>
            <w:lang w:eastAsia="en-GB"/>
          </w:rPr>
          <w:t>ARSO</w:t>
        </w:r>
      </w:hyperlink>
      <w:r w:rsidRPr="00155028">
        <w:rPr>
          <w:rFonts w:eastAsia="Times New Roman"/>
          <w:sz w:val="20"/>
          <w:lang w:eastAsia="en-GB"/>
        </w:rPr>
        <w:t>). Od naštetih se S-</w:t>
      </w:r>
      <w:proofErr w:type="spellStart"/>
      <w:r w:rsidRPr="00155028">
        <w:rPr>
          <w:rFonts w:eastAsia="Times New Roman"/>
          <w:sz w:val="20"/>
          <w:lang w:eastAsia="en-GB"/>
        </w:rPr>
        <w:t>metolaklor</w:t>
      </w:r>
      <w:proofErr w:type="spellEnd"/>
      <w:r w:rsidRPr="00155028">
        <w:rPr>
          <w:rFonts w:eastAsia="Times New Roman"/>
          <w:sz w:val="20"/>
          <w:lang w:eastAsia="en-GB"/>
        </w:rPr>
        <w:t xml:space="preserve"> uporablja kot aktivna snov v FFS. </w:t>
      </w:r>
    </w:p>
    <w:p w14:paraId="69CD5C84" w14:textId="20E38AED" w:rsidR="007F41C6" w:rsidRPr="00155028" w:rsidRDefault="006A5242" w:rsidP="006A5242">
      <w:pPr>
        <w:pStyle w:val="Naslov2"/>
        <w:rPr>
          <w:rFonts w:ascii="Arial" w:hAnsi="Arial" w:cs="Arial"/>
        </w:rPr>
      </w:pPr>
      <w:bookmarkStart w:id="70" w:name="_Toc86826491"/>
      <w:r w:rsidRPr="00155028">
        <w:rPr>
          <w:rFonts w:ascii="Arial" w:hAnsi="Arial" w:cs="Arial"/>
        </w:rPr>
        <w:t>3</w:t>
      </w:r>
      <w:r w:rsidR="00C87C51" w:rsidRPr="00155028">
        <w:rPr>
          <w:rFonts w:ascii="Arial" w:hAnsi="Arial" w:cs="Arial"/>
        </w:rPr>
        <w:t>.</w:t>
      </w:r>
      <w:r w:rsidR="001E4D25" w:rsidRPr="00155028">
        <w:rPr>
          <w:rFonts w:ascii="Arial" w:hAnsi="Arial" w:cs="Arial"/>
        </w:rPr>
        <w:t>4 Kazalniki tveganja za spremljanje napredka pri zmanjšanju tveganja in škodljivih vplivov fitofarmacevtskih sredstev</w:t>
      </w:r>
      <w:bookmarkEnd w:id="70"/>
    </w:p>
    <w:p w14:paraId="12A0029A" w14:textId="41AE3E61" w:rsidR="00417EDE" w:rsidRPr="00155028" w:rsidRDefault="007F41C6" w:rsidP="007F41C6">
      <w:pPr>
        <w:spacing w:before="120" w:after="0" w:line="240" w:lineRule="auto"/>
        <w:jc w:val="both"/>
        <w:rPr>
          <w:rFonts w:eastAsia="Times New Roman"/>
          <w:sz w:val="20"/>
          <w:lang w:eastAsia="en-GB"/>
        </w:rPr>
      </w:pPr>
      <w:r w:rsidRPr="00155028">
        <w:rPr>
          <w:rFonts w:eastAsia="Times New Roman"/>
          <w:sz w:val="20"/>
          <w:lang w:eastAsia="en-GB"/>
        </w:rPr>
        <w:t>Za spremljanje napredka pri zmanjševanju tveganja in škodljivih vplivov FFS za zdravje ljudi in okolje je Evropska komisija določila dva usklajena kazalnika tveganja za območje Evropske unije. Kazalnik 1 temelji na količini prodanih aktivnih snovi v FFS v državah članicah</w:t>
      </w:r>
      <w:r w:rsidR="0020125C" w:rsidRPr="00155028">
        <w:rPr>
          <w:rFonts w:eastAsia="Times New Roman"/>
          <w:sz w:val="20"/>
          <w:lang w:eastAsia="en-GB"/>
        </w:rPr>
        <w:t xml:space="preserve"> (kazalnik stanja C. 48)</w:t>
      </w:r>
      <w:r w:rsidRPr="00155028">
        <w:rPr>
          <w:rFonts w:eastAsia="Times New Roman"/>
          <w:sz w:val="20"/>
          <w:lang w:eastAsia="en-GB"/>
        </w:rPr>
        <w:t>, kazalnik 2 pa na številu izdanih dovoljenj za nujne primere uporabe FFS. V prihodnjih letih Evropska komisija načrtuje uvedbo dodatnih kazalnikov tveganja.</w:t>
      </w:r>
    </w:p>
    <w:p w14:paraId="5F55664E" w14:textId="77777777" w:rsidR="00CF43DE" w:rsidRPr="00155028" w:rsidRDefault="00CF43DE" w:rsidP="007F41C6">
      <w:pPr>
        <w:spacing w:before="120" w:after="0" w:line="240" w:lineRule="auto"/>
        <w:jc w:val="both"/>
        <w:rPr>
          <w:rFonts w:eastAsia="Times New Roman"/>
          <w:sz w:val="20"/>
          <w:lang w:eastAsia="en-GB"/>
        </w:rPr>
      </w:pPr>
    </w:p>
    <w:p w14:paraId="2322FEC1" w14:textId="3FB258A1" w:rsidR="007F41C6" w:rsidRPr="00155028" w:rsidRDefault="00A41FAF" w:rsidP="00A41FAF">
      <w:pPr>
        <w:pStyle w:val="Naslov3"/>
        <w:numPr>
          <w:ilvl w:val="0"/>
          <w:numId w:val="0"/>
        </w:numPr>
        <w:ind w:left="720"/>
        <w:rPr>
          <w:color w:val="0070C0"/>
        </w:rPr>
      </w:pPr>
      <w:bookmarkStart w:id="71" w:name="_Toc86826492"/>
      <w:r w:rsidRPr="00155028">
        <w:rPr>
          <w:color w:val="0070C0"/>
        </w:rPr>
        <w:t>3</w:t>
      </w:r>
      <w:r w:rsidR="00E96095" w:rsidRPr="00155028">
        <w:rPr>
          <w:color w:val="0070C0"/>
        </w:rPr>
        <w:t xml:space="preserve">.4.1 </w:t>
      </w:r>
      <w:r w:rsidR="007F41C6" w:rsidRPr="00155028">
        <w:rPr>
          <w:color w:val="0070C0"/>
        </w:rPr>
        <w:t xml:space="preserve">Kazalnik tveganja 1 </w:t>
      </w:r>
      <w:r w:rsidR="0020125C" w:rsidRPr="00155028">
        <w:rPr>
          <w:color w:val="0070C0"/>
        </w:rPr>
        <w:t>(kazalnik stanja C.48)</w:t>
      </w:r>
      <w:bookmarkEnd w:id="71"/>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527"/>
        <w:gridCol w:w="983"/>
        <w:gridCol w:w="855"/>
        <w:gridCol w:w="832"/>
        <w:gridCol w:w="819"/>
        <w:gridCol w:w="802"/>
        <w:gridCol w:w="774"/>
        <w:gridCol w:w="729"/>
        <w:gridCol w:w="651"/>
        <w:gridCol w:w="533"/>
        <w:gridCol w:w="567"/>
      </w:tblGrid>
      <w:tr w:rsidR="0013618E" w:rsidRPr="00155028" w14:paraId="16C16DAD" w14:textId="258B7062" w:rsidTr="003C239F">
        <w:trPr>
          <w:trHeight w:val="722"/>
          <w:tblHeader/>
          <w:tblCellSpacing w:w="15" w:type="dxa"/>
        </w:trPr>
        <w:tc>
          <w:tcPr>
            <w:tcW w:w="9012" w:type="dxa"/>
            <w:gridSpan w:val="11"/>
            <w:tcBorders>
              <w:top w:val="nil"/>
              <w:left w:val="nil"/>
              <w:bottom w:val="nil"/>
              <w:right w:val="nil"/>
            </w:tcBorders>
            <w:vAlign w:val="center"/>
            <w:hideMark/>
          </w:tcPr>
          <w:p w14:paraId="71633145" w14:textId="33091AB9" w:rsidR="0013618E" w:rsidRPr="00155028" w:rsidRDefault="0013618E" w:rsidP="000A1A7D">
            <w:pPr>
              <w:pStyle w:val="Napis"/>
              <w:rPr>
                <w:szCs w:val="20"/>
              </w:rPr>
            </w:pPr>
            <w:bookmarkStart w:id="72" w:name="_Toc86826523"/>
            <w:r w:rsidRPr="00155028">
              <w:rPr>
                <w:szCs w:val="20"/>
              </w:rPr>
              <w:t xml:space="preserve">Tabela </w:t>
            </w:r>
            <w:r w:rsidRPr="00155028">
              <w:fldChar w:fldCharType="begin"/>
            </w:r>
            <w:r w:rsidRPr="00155028">
              <w:rPr>
                <w:szCs w:val="20"/>
              </w:rPr>
              <w:instrText xml:space="preserve"> SEQ Tabela \* ARABIC </w:instrText>
            </w:r>
            <w:r w:rsidRPr="00155028">
              <w:fldChar w:fldCharType="separate"/>
            </w:r>
            <w:r w:rsidR="00F25B09">
              <w:rPr>
                <w:noProof/>
                <w:szCs w:val="20"/>
              </w:rPr>
              <w:t>4</w:t>
            </w:r>
            <w:r w:rsidRPr="00155028">
              <w:rPr>
                <w:noProof/>
              </w:rPr>
              <w:fldChar w:fldCharType="end"/>
            </w:r>
            <w:r w:rsidRPr="00155028">
              <w:rPr>
                <w:szCs w:val="20"/>
              </w:rPr>
              <w:t>: Gibanje celotnega utežnega indeksa z izhodiščno vrednostjo 100. Izhodiščna vrednost za kazalnik tveganja 1 je enaka povprečnemu rezultatu izračuna za obdobje od leta 2011 do 2013</w:t>
            </w:r>
            <w:bookmarkEnd w:id="72"/>
          </w:p>
        </w:tc>
      </w:tr>
      <w:tr w:rsidR="00A614AA" w:rsidRPr="00155028" w14:paraId="77062F95" w14:textId="4EA55C93" w:rsidTr="003C239F">
        <w:trPr>
          <w:tblHeader/>
          <w:tblCellSpacing w:w="15" w:type="dxa"/>
        </w:trPr>
        <w:tc>
          <w:tcPr>
            <w:tcW w:w="1482"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159932F5" w14:textId="77777777" w:rsidR="00A614AA" w:rsidRPr="00155028" w:rsidRDefault="00A614AA" w:rsidP="007F41C6">
            <w:pPr>
              <w:spacing w:before="120" w:after="0" w:line="240" w:lineRule="auto"/>
              <w:jc w:val="center"/>
              <w:rPr>
                <w:rFonts w:eastAsia="Times New Roman"/>
                <w:sz w:val="20"/>
                <w:lang w:eastAsia="en-GB"/>
              </w:rPr>
            </w:pPr>
          </w:p>
        </w:tc>
        <w:tc>
          <w:tcPr>
            <w:tcW w:w="953"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3144A1D1" w14:textId="77777777" w:rsidR="00A614AA" w:rsidRPr="00155028" w:rsidRDefault="00A614AA" w:rsidP="007F41C6">
            <w:pPr>
              <w:spacing w:before="120" w:after="0" w:line="240" w:lineRule="auto"/>
              <w:jc w:val="center"/>
              <w:rPr>
                <w:rFonts w:eastAsia="Times New Roman"/>
                <w:b/>
                <w:bCs/>
                <w:sz w:val="20"/>
                <w:lang w:eastAsia="en-GB"/>
              </w:rPr>
            </w:pPr>
            <w:r w:rsidRPr="00155028">
              <w:rPr>
                <w:rFonts w:eastAsia="Times New Roman"/>
                <w:b/>
                <w:bCs/>
                <w:sz w:val="20"/>
                <w:lang w:eastAsia="en-GB"/>
              </w:rPr>
              <w:t>2011-2013</w:t>
            </w:r>
          </w:p>
        </w:tc>
        <w:tc>
          <w:tcPr>
            <w:tcW w:w="825"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3100AD56" w14:textId="77777777" w:rsidR="00A614AA" w:rsidRPr="00155028" w:rsidRDefault="00A614AA" w:rsidP="007F41C6">
            <w:pPr>
              <w:spacing w:before="120" w:after="0" w:line="240" w:lineRule="auto"/>
              <w:jc w:val="center"/>
              <w:rPr>
                <w:rFonts w:eastAsia="Times New Roman"/>
                <w:b/>
                <w:bCs/>
                <w:sz w:val="20"/>
                <w:lang w:eastAsia="en-GB"/>
              </w:rPr>
            </w:pPr>
            <w:r w:rsidRPr="00155028">
              <w:rPr>
                <w:rFonts w:eastAsia="Times New Roman"/>
                <w:b/>
                <w:bCs/>
                <w:sz w:val="20"/>
                <w:lang w:eastAsia="en-GB"/>
              </w:rPr>
              <w:t>2011</w:t>
            </w:r>
          </w:p>
        </w:tc>
        <w:tc>
          <w:tcPr>
            <w:tcW w:w="802"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020690FD" w14:textId="77777777" w:rsidR="00A614AA" w:rsidRPr="00155028" w:rsidRDefault="00A614AA" w:rsidP="007F41C6">
            <w:pPr>
              <w:spacing w:before="120" w:after="0" w:line="240" w:lineRule="auto"/>
              <w:jc w:val="center"/>
              <w:rPr>
                <w:rFonts w:eastAsia="Times New Roman"/>
                <w:b/>
                <w:bCs/>
                <w:sz w:val="20"/>
                <w:lang w:eastAsia="en-GB"/>
              </w:rPr>
            </w:pPr>
            <w:r w:rsidRPr="00155028">
              <w:rPr>
                <w:rFonts w:eastAsia="Times New Roman"/>
                <w:b/>
                <w:bCs/>
                <w:sz w:val="20"/>
                <w:lang w:eastAsia="en-GB"/>
              </w:rPr>
              <w:t>2012</w:t>
            </w:r>
          </w:p>
        </w:tc>
        <w:tc>
          <w:tcPr>
            <w:tcW w:w="789"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50F4FE18" w14:textId="77777777" w:rsidR="00A614AA" w:rsidRPr="00155028" w:rsidRDefault="00A614AA" w:rsidP="007F41C6">
            <w:pPr>
              <w:spacing w:before="120" w:after="0" w:line="240" w:lineRule="auto"/>
              <w:jc w:val="center"/>
              <w:rPr>
                <w:rFonts w:eastAsia="Times New Roman"/>
                <w:b/>
                <w:bCs/>
                <w:sz w:val="20"/>
                <w:lang w:eastAsia="en-GB"/>
              </w:rPr>
            </w:pPr>
            <w:r w:rsidRPr="00155028">
              <w:rPr>
                <w:rFonts w:eastAsia="Times New Roman"/>
                <w:b/>
                <w:bCs/>
                <w:sz w:val="20"/>
                <w:lang w:eastAsia="en-GB"/>
              </w:rPr>
              <w:t>2013</w:t>
            </w:r>
          </w:p>
        </w:tc>
        <w:tc>
          <w:tcPr>
            <w:tcW w:w="772"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61C4C3CC" w14:textId="77777777" w:rsidR="00A614AA" w:rsidRPr="00155028" w:rsidRDefault="00A614AA" w:rsidP="007F41C6">
            <w:pPr>
              <w:spacing w:before="120" w:after="0" w:line="240" w:lineRule="auto"/>
              <w:jc w:val="center"/>
              <w:rPr>
                <w:rFonts w:eastAsia="Times New Roman"/>
                <w:b/>
                <w:bCs/>
                <w:sz w:val="20"/>
                <w:lang w:eastAsia="en-GB"/>
              </w:rPr>
            </w:pPr>
            <w:r w:rsidRPr="00155028">
              <w:rPr>
                <w:rFonts w:eastAsia="Times New Roman"/>
                <w:b/>
                <w:bCs/>
                <w:sz w:val="20"/>
                <w:lang w:eastAsia="en-GB"/>
              </w:rPr>
              <w:t>2014</w:t>
            </w:r>
          </w:p>
        </w:tc>
        <w:tc>
          <w:tcPr>
            <w:tcW w:w="744"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54985B39" w14:textId="77777777" w:rsidR="00A614AA" w:rsidRPr="00155028" w:rsidRDefault="00A614AA" w:rsidP="007F41C6">
            <w:pPr>
              <w:spacing w:before="120" w:after="0" w:line="240" w:lineRule="auto"/>
              <w:jc w:val="center"/>
              <w:rPr>
                <w:rFonts w:eastAsia="Times New Roman"/>
                <w:b/>
                <w:bCs/>
                <w:sz w:val="20"/>
                <w:lang w:eastAsia="en-GB"/>
              </w:rPr>
            </w:pPr>
            <w:r w:rsidRPr="00155028">
              <w:rPr>
                <w:rFonts w:eastAsia="Times New Roman"/>
                <w:b/>
                <w:bCs/>
                <w:sz w:val="20"/>
                <w:lang w:eastAsia="en-GB"/>
              </w:rPr>
              <w:t>2015</w:t>
            </w:r>
          </w:p>
        </w:tc>
        <w:tc>
          <w:tcPr>
            <w:tcW w:w="699"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73F08C0B" w14:textId="77777777" w:rsidR="00A614AA" w:rsidRPr="00155028" w:rsidRDefault="00A614AA" w:rsidP="007F41C6">
            <w:pPr>
              <w:spacing w:before="120" w:after="0" w:line="240" w:lineRule="auto"/>
              <w:jc w:val="center"/>
              <w:rPr>
                <w:rFonts w:eastAsia="Times New Roman"/>
                <w:b/>
                <w:bCs/>
                <w:sz w:val="20"/>
                <w:lang w:eastAsia="en-GB"/>
              </w:rPr>
            </w:pPr>
            <w:r w:rsidRPr="00155028">
              <w:rPr>
                <w:rFonts w:eastAsia="Times New Roman"/>
                <w:b/>
                <w:bCs/>
                <w:sz w:val="20"/>
                <w:lang w:eastAsia="en-GB"/>
              </w:rPr>
              <w:t>2016</w:t>
            </w:r>
          </w:p>
        </w:tc>
        <w:tc>
          <w:tcPr>
            <w:tcW w:w="621"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6E39893D" w14:textId="77777777" w:rsidR="00A614AA" w:rsidRPr="00155028" w:rsidRDefault="00A614AA" w:rsidP="007F41C6">
            <w:pPr>
              <w:spacing w:before="120" w:after="0" w:line="240" w:lineRule="auto"/>
              <w:jc w:val="center"/>
              <w:rPr>
                <w:rFonts w:eastAsia="Times New Roman"/>
                <w:b/>
                <w:bCs/>
                <w:sz w:val="20"/>
                <w:lang w:eastAsia="en-GB"/>
              </w:rPr>
            </w:pPr>
            <w:r w:rsidRPr="00155028">
              <w:rPr>
                <w:rFonts w:eastAsia="Times New Roman"/>
                <w:b/>
                <w:bCs/>
                <w:sz w:val="20"/>
                <w:lang w:eastAsia="en-GB"/>
              </w:rPr>
              <w:t>2017</w:t>
            </w:r>
          </w:p>
        </w:tc>
        <w:tc>
          <w:tcPr>
            <w:tcW w:w="503"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3052E41E" w14:textId="77777777" w:rsidR="00A614AA" w:rsidRPr="00155028" w:rsidRDefault="00A614AA" w:rsidP="007F41C6">
            <w:pPr>
              <w:spacing w:before="120" w:after="0" w:line="240" w:lineRule="auto"/>
              <w:jc w:val="center"/>
              <w:rPr>
                <w:rFonts w:eastAsia="Times New Roman"/>
                <w:b/>
                <w:bCs/>
                <w:sz w:val="20"/>
                <w:lang w:eastAsia="en-GB"/>
              </w:rPr>
            </w:pPr>
            <w:r w:rsidRPr="00155028">
              <w:rPr>
                <w:rFonts w:eastAsia="Times New Roman"/>
                <w:b/>
                <w:bCs/>
                <w:sz w:val="20"/>
                <w:lang w:eastAsia="en-GB"/>
              </w:rPr>
              <w:t>2018</w:t>
            </w:r>
          </w:p>
        </w:tc>
        <w:tc>
          <w:tcPr>
            <w:tcW w:w="522" w:type="dxa"/>
            <w:tcBorders>
              <w:top w:val="single" w:sz="4" w:space="0" w:color="auto"/>
              <w:left w:val="single" w:sz="4" w:space="0" w:color="auto"/>
              <w:bottom w:val="single" w:sz="4" w:space="0" w:color="auto"/>
              <w:right w:val="single" w:sz="4" w:space="0" w:color="auto"/>
            </w:tcBorders>
            <w:shd w:val="clear" w:color="auto" w:fill="D9EEF3"/>
            <w:vAlign w:val="center"/>
          </w:tcPr>
          <w:p w14:paraId="38DD619F" w14:textId="25365670" w:rsidR="00A614AA" w:rsidRPr="00155028" w:rsidRDefault="00A614AA" w:rsidP="003C239F">
            <w:pPr>
              <w:spacing w:before="120" w:after="0" w:line="240" w:lineRule="auto"/>
              <w:jc w:val="right"/>
              <w:rPr>
                <w:rFonts w:eastAsia="Times New Roman"/>
                <w:b/>
                <w:bCs/>
                <w:sz w:val="20"/>
                <w:lang w:eastAsia="en-GB"/>
              </w:rPr>
            </w:pPr>
            <w:r w:rsidRPr="00155028">
              <w:rPr>
                <w:rFonts w:eastAsia="Times New Roman"/>
                <w:b/>
                <w:bCs/>
                <w:sz w:val="20"/>
                <w:lang w:eastAsia="en-GB"/>
              </w:rPr>
              <w:t>2019</w:t>
            </w:r>
          </w:p>
        </w:tc>
      </w:tr>
      <w:tr w:rsidR="00A614AA" w:rsidRPr="00155028" w14:paraId="7ECBB420" w14:textId="6A0764F6" w:rsidTr="003C239F">
        <w:trPr>
          <w:tblCellSpacing w:w="15" w:type="dxa"/>
        </w:trPr>
        <w:tc>
          <w:tcPr>
            <w:tcW w:w="1482" w:type="dxa"/>
            <w:tcBorders>
              <w:top w:val="single" w:sz="4" w:space="0" w:color="auto"/>
              <w:left w:val="single" w:sz="4" w:space="0" w:color="auto"/>
              <w:bottom w:val="single" w:sz="4" w:space="0" w:color="auto"/>
              <w:right w:val="single" w:sz="4" w:space="0" w:color="auto"/>
            </w:tcBorders>
            <w:vAlign w:val="center"/>
            <w:hideMark/>
          </w:tcPr>
          <w:p w14:paraId="435C5B6B"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Usklajeni kazalnik tveganja 1</w:t>
            </w:r>
          </w:p>
        </w:tc>
        <w:tc>
          <w:tcPr>
            <w:tcW w:w="953" w:type="dxa"/>
            <w:tcBorders>
              <w:top w:val="single" w:sz="4" w:space="0" w:color="auto"/>
              <w:left w:val="single" w:sz="4" w:space="0" w:color="auto"/>
              <w:bottom w:val="single" w:sz="4" w:space="0" w:color="auto"/>
              <w:right w:val="single" w:sz="4" w:space="0" w:color="auto"/>
            </w:tcBorders>
            <w:vAlign w:val="center"/>
            <w:hideMark/>
          </w:tcPr>
          <w:p w14:paraId="492BEE1D"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100</w:t>
            </w:r>
          </w:p>
        </w:tc>
        <w:tc>
          <w:tcPr>
            <w:tcW w:w="825" w:type="dxa"/>
            <w:tcBorders>
              <w:top w:val="single" w:sz="4" w:space="0" w:color="auto"/>
              <w:left w:val="single" w:sz="4" w:space="0" w:color="auto"/>
              <w:bottom w:val="single" w:sz="4" w:space="0" w:color="auto"/>
              <w:right w:val="single" w:sz="4" w:space="0" w:color="auto"/>
            </w:tcBorders>
            <w:vAlign w:val="center"/>
            <w:hideMark/>
          </w:tcPr>
          <w:p w14:paraId="355AAAFF"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111</w:t>
            </w:r>
          </w:p>
        </w:tc>
        <w:tc>
          <w:tcPr>
            <w:tcW w:w="802" w:type="dxa"/>
            <w:tcBorders>
              <w:top w:val="single" w:sz="4" w:space="0" w:color="auto"/>
              <w:left w:val="single" w:sz="4" w:space="0" w:color="auto"/>
              <w:bottom w:val="single" w:sz="4" w:space="0" w:color="auto"/>
              <w:right w:val="single" w:sz="4" w:space="0" w:color="auto"/>
            </w:tcBorders>
            <w:vAlign w:val="center"/>
            <w:hideMark/>
          </w:tcPr>
          <w:p w14:paraId="725ED805"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99</w:t>
            </w:r>
          </w:p>
        </w:tc>
        <w:tc>
          <w:tcPr>
            <w:tcW w:w="789" w:type="dxa"/>
            <w:tcBorders>
              <w:top w:val="single" w:sz="4" w:space="0" w:color="auto"/>
              <w:left w:val="single" w:sz="4" w:space="0" w:color="auto"/>
              <w:bottom w:val="single" w:sz="4" w:space="0" w:color="auto"/>
              <w:right w:val="single" w:sz="4" w:space="0" w:color="auto"/>
            </w:tcBorders>
            <w:vAlign w:val="center"/>
            <w:hideMark/>
          </w:tcPr>
          <w:p w14:paraId="3B921A6C"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90</w:t>
            </w:r>
          </w:p>
        </w:tc>
        <w:tc>
          <w:tcPr>
            <w:tcW w:w="772" w:type="dxa"/>
            <w:tcBorders>
              <w:top w:val="single" w:sz="4" w:space="0" w:color="auto"/>
              <w:left w:val="single" w:sz="4" w:space="0" w:color="auto"/>
              <w:bottom w:val="single" w:sz="4" w:space="0" w:color="auto"/>
              <w:right w:val="single" w:sz="4" w:space="0" w:color="auto"/>
            </w:tcBorders>
            <w:vAlign w:val="center"/>
            <w:hideMark/>
          </w:tcPr>
          <w:p w14:paraId="6F0C7C92"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99</w:t>
            </w:r>
          </w:p>
        </w:tc>
        <w:tc>
          <w:tcPr>
            <w:tcW w:w="744" w:type="dxa"/>
            <w:tcBorders>
              <w:top w:val="single" w:sz="4" w:space="0" w:color="auto"/>
              <w:left w:val="single" w:sz="4" w:space="0" w:color="auto"/>
              <w:bottom w:val="single" w:sz="4" w:space="0" w:color="auto"/>
              <w:right w:val="single" w:sz="4" w:space="0" w:color="auto"/>
            </w:tcBorders>
            <w:vAlign w:val="center"/>
            <w:hideMark/>
          </w:tcPr>
          <w:p w14:paraId="4D13D6FD"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103</w:t>
            </w:r>
          </w:p>
        </w:tc>
        <w:tc>
          <w:tcPr>
            <w:tcW w:w="699" w:type="dxa"/>
            <w:tcBorders>
              <w:top w:val="single" w:sz="4" w:space="0" w:color="auto"/>
              <w:left w:val="single" w:sz="4" w:space="0" w:color="auto"/>
              <w:bottom w:val="single" w:sz="4" w:space="0" w:color="auto"/>
              <w:right w:val="single" w:sz="4" w:space="0" w:color="auto"/>
            </w:tcBorders>
            <w:vAlign w:val="center"/>
            <w:hideMark/>
          </w:tcPr>
          <w:p w14:paraId="0D2B7BC2"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113</w:t>
            </w:r>
          </w:p>
        </w:tc>
        <w:tc>
          <w:tcPr>
            <w:tcW w:w="621" w:type="dxa"/>
            <w:tcBorders>
              <w:top w:val="single" w:sz="4" w:space="0" w:color="auto"/>
              <w:left w:val="single" w:sz="4" w:space="0" w:color="auto"/>
              <w:bottom w:val="single" w:sz="4" w:space="0" w:color="auto"/>
              <w:right w:val="single" w:sz="4" w:space="0" w:color="auto"/>
            </w:tcBorders>
            <w:vAlign w:val="center"/>
            <w:hideMark/>
          </w:tcPr>
          <w:p w14:paraId="58377EC4"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103</w:t>
            </w:r>
          </w:p>
        </w:tc>
        <w:tc>
          <w:tcPr>
            <w:tcW w:w="503" w:type="dxa"/>
            <w:tcBorders>
              <w:top w:val="single" w:sz="4" w:space="0" w:color="auto"/>
              <w:left w:val="single" w:sz="4" w:space="0" w:color="auto"/>
              <w:bottom w:val="single" w:sz="4" w:space="0" w:color="auto"/>
              <w:right w:val="single" w:sz="4" w:space="0" w:color="auto"/>
            </w:tcBorders>
            <w:vAlign w:val="center"/>
            <w:hideMark/>
          </w:tcPr>
          <w:p w14:paraId="6407155E"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109</w:t>
            </w:r>
          </w:p>
        </w:tc>
        <w:tc>
          <w:tcPr>
            <w:tcW w:w="522" w:type="dxa"/>
            <w:tcBorders>
              <w:top w:val="single" w:sz="4" w:space="0" w:color="auto"/>
              <w:left w:val="single" w:sz="4" w:space="0" w:color="auto"/>
              <w:bottom w:val="single" w:sz="4" w:space="0" w:color="auto"/>
              <w:right w:val="single" w:sz="4" w:space="0" w:color="auto"/>
            </w:tcBorders>
            <w:vAlign w:val="center"/>
          </w:tcPr>
          <w:p w14:paraId="38B924AF" w14:textId="2846CA56"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81</w:t>
            </w:r>
          </w:p>
        </w:tc>
      </w:tr>
    </w:tbl>
    <w:p w14:paraId="52772B50" w14:textId="3948E8BF" w:rsidR="007F41C6" w:rsidRPr="00155028" w:rsidRDefault="007F41C6" w:rsidP="007F41C6">
      <w:pPr>
        <w:spacing w:before="100" w:beforeAutospacing="1" w:after="100" w:afterAutospacing="1" w:line="240" w:lineRule="auto"/>
        <w:jc w:val="both"/>
        <w:rPr>
          <w:bCs/>
          <w:i/>
          <w:sz w:val="20"/>
        </w:rPr>
      </w:pPr>
      <w:r w:rsidRPr="00155028">
        <w:rPr>
          <w:rFonts w:eastAsia="Times New Roman"/>
          <w:sz w:val="20"/>
        </w:rPr>
        <w:t xml:space="preserve">Iz </w:t>
      </w:r>
      <w:r w:rsidR="000A1A7D" w:rsidRPr="00155028">
        <w:rPr>
          <w:rFonts w:eastAsia="Times New Roman"/>
          <w:sz w:val="20"/>
        </w:rPr>
        <w:t>Tabele</w:t>
      </w:r>
      <w:r w:rsidRPr="00155028">
        <w:rPr>
          <w:rFonts w:eastAsia="Times New Roman"/>
          <w:sz w:val="20"/>
        </w:rPr>
        <w:t xml:space="preserve"> </w:t>
      </w:r>
      <w:r w:rsidR="00A41FAF" w:rsidRPr="00155028">
        <w:rPr>
          <w:rFonts w:eastAsia="Times New Roman"/>
          <w:sz w:val="20"/>
        </w:rPr>
        <w:t>4</w:t>
      </w:r>
      <w:r w:rsidR="00F30CF9" w:rsidRPr="00155028">
        <w:rPr>
          <w:rFonts w:eastAsia="Times New Roman"/>
          <w:sz w:val="20"/>
        </w:rPr>
        <w:t xml:space="preserve"> </w:t>
      </w:r>
      <w:r w:rsidRPr="00155028">
        <w:rPr>
          <w:rFonts w:eastAsia="Times New Roman"/>
          <w:sz w:val="20"/>
        </w:rPr>
        <w:t xml:space="preserve">izhaja, </w:t>
      </w:r>
      <w:r w:rsidR="00A614AA" w:rsidRPr="00155028">
        <w:rPr>
          <w:rFonts w:eastAsia="Times New Roman"/>
          <w:sz w:val="20"/>
        </w:rPr>
        <w:t>da se prodaja fitofarmacevtskih sredstev giblje nekoliko nad ali pod povprečjem obdobja od leta 2011 do 2013, v letu 2019 pa smo zabeležili najnižjo prodajo doslej, kar lahko pripišemo izredno suhemu letu in temu primerni manjši porabi fungicidov v trajnih nasadih</w:t>
      </w:r>
      <w:r w:rsidR="00061CCD" w:rsidRPr="00155028">
        <w:rPr>
          <w:rFonts w:eastAsia="Times New Roman"/>
          <w:sz w:val="20"/>
        </w:rPr>
        <w:t>.</w:t>
      </w:r>
      <w:r w:rsidR="00A614AA" w:rsidRPr="00155028">
        <w:rPr>
          <w:rFonts w:eastAsia="Times New Roman"/>
          <w:sz w:val="20"/>
        </w:rPr>
        <w:t xml:space="preserve"> Trajni nasadi (sadovnjaki in vinogradi) sicer predstavljajo nad 90 % vse porabe fungicidov v Sloveniji, zato je nihanje prodaje odvisno od vremenskih razmer v posamezni ras</w:t>
      </w:r>
      <w:r w:rsidR="00C22C2B">
        <w:rPr>
          <w:rFonts w:eastAsia="Times New Roman"/>
          <w:sz w:val="20"/>
        </w:rPr>
        <w:t>t</w:t>
      </w:r>
      <w:r w:rsidR="00A614AA" w:rsidRPr="00155028">
        <w:rPr>
          <w:rFonts w:eastAsia="Times New Roman"/>
          <w:sz w:val="20"/>
        </w:rPr>
        <w:t xml:space="preserve">ni sezoni.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380"/>
        <w:gridCol w:w="739"/>
        <w:gridCol w:w="850"/>
        <w:gridCol w:w="709"/>
        <w:gridCol w:w="709"/>
        <w:gridCol w:w="850"/>
        <w:gridCol w:w="709"/>
        <w:gridCol w:w="709"/>
        <w:gridCol w:w="850"/>
        <w:gridCol w:w="567"/>
      </w:tblGrid>
      <w:tr w:rsidR="0013618E" w:rsidRPr="00155028" w14:paraId="74EC7232" w14:textId="25155B2D" w:rsidTr="0013618E">
        <w:trPr>
          <w:tblCellSpacing w:w="15" w:type="dxa"/>
        </w:trPr>
        <w:tc>
          <w:tcPr>
            <w:tcW w:w="9012" w:type="dxa"/>
            <w:gridSpan w:val="10"/>
            <w:tcBorders>
              <w:top w:val="nil"/>
              <w:left w:val="nil"/>
              <w:bottom w:val="nil"/>
              <w:right w:val="nil"/>
            </w:tcBorders>
            <w:vAlign w:val="center"/>
            <w:hideMark/>
          </w:tcPr>
          <w:p w14:paraId="3F5785FE" w14:textId="2CB6299D" w:rsidR="0013618E" w:rsidRPr="00155028" w:rsidRDefault="0013618E" w:rsidP="000A1A7D">
            <w:pPr>
              <w:pStyle w:val="Napis"/>
              <w:rPr>
                <w:szCs w:val="20"/>
              </w:rPr>
            </w:pPr>
            <w:bookmarkStart w:id="73" w:name="_Toc86826524"/>
            <w:r w:rsidRPr="00155028">
              <w:rPr>
                <w:szCs w:val="20"/>
              </w:rPr>
              <w:t xml:space="preserve">Tabela </w:t>
            </w:r>
            <w:r w:rsidRPr="00155028">
              <w:rPr>
                <w:szCs w:val="20"/>
              </w:rPr>
              <w:fldChar w:fldCharType="begin"/>
            </w:r>
            <w:r w:rsidRPr="00155028">
              <w:rPr>
                <w:szCs w:val="20"/>
              </w:rPr>
              <w:instrText xml:space="preserve"> SEQ Tabela \* ARABIC </w:instrText>
            </w:r>
            <w:r w:rsidRPr="00155028">
              <w:rPr>
                <w:szCs w:val="20"/>
              </w:rPr>
              <w:fldChar w:fldCharType="separate"/>
            </w:r>
            <w:r w:rsidR="00F25B09">
              <w:rPr>
                <w:noProof/>
                <w:szCs w:val="20"/>
              </w:rPr>
              <w:t>5</w:t>
            </w:r>
            <w:r w:rsidRPr="00155028">
              <w:rPr>
                <w:noProof/>
                <w:szCs w:val="20"/>
              </w:rPr>
              <w:fldChar w:fldCharType="end"/>
            </w:r>
            <w:r w:rsidRPr="00155028">
              <w:rPr>
                <w:szCs w:val="20"/>
              </w:rPr>
              <w:t>: Gibanje celotnega utežnega indeksa v vsaki izmed sedmih razredov aktivnih snovi (</w:t>
            </w:r>
            <w:proofErr w:type="spellStart"/>
            <w:r w:rsidRPr="00155028">
              <w:rPr>
                <w:szCs w:val="20"/>
              </w:rPr>
              <w:t>a.s</w:t>
            </w:r>
            <w:proofErr w:type="spellEnd"/>
            <w:r w:rsidRPr="00155028">
              <w:rPr>
                <w:szCs w:val="20"/>
              </w:rPr>
              <w:t>.) z izhodiščno vrednostjo 100. Izhodiščna vrednost za kazalnik tveganja 1 je enaka povprečnemu rezultatu izračuna za obdobje 2011–2013</w:t>
            </w:r>
            <w:bookmarkEnd w:id="73"/>
            <w:r w:rsidRPr="00155028">
              <w:rPr>
                <w:szCs w:val="20"/>
              </w:rPr>
              <w:t xml:space="preserve"> </w:t>
            </w:r>
          </w:p>
        </w:tc>
      </w:tr>
      <w:tr w:rsidR="00A614AA" w:rsidRPr="00155028" w14:paraId="4CF5CC14" w14:textId="650235B6" w:rsidTr="003C239F">
        <w:trPr>
          <w:tblCellSpacing w:w="15" w:type="dxa"/>
        </w:trPr>
        <w:tc>
          <w:tcPr>
            <w:tcW w:w="2335"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2DE5DE8D" w14:textId="77777777" w:rsidR="00A614AA" w:rsidRPr="00155028" w:rsidRDefault="00A614AA" w:rsidP="007F41C6">
            <w:pPr>
              <w:spacing w:before="120" w:after="0" w:line="240" w:lineRule="auto"/>
              <w:jc w:val="both"/>
              <w:rPr>
                <w:rFonts w:eastAsia="Times New Roman"/>
                <w:b/>
                <w:sz w:val="20"/>
                <w:lang w:eastAsia="en-GB"/>
              </w:rPr>
            </w:pPr>
            <w:r w:rsidRPr="00155028">
              <w:rPr>
                <w:rFonts w:eastAsia="Times New Roman"/>
                <w:b/>
                <w:sz w:val="20"/>
                <w:lang w:eastAsia="en-GB"/>
              </w:rPr>
              <w:t>Skupina/Razred</w:t>
            </w:r>
          </w:p>
        </w:tc>
        <w:tc>
          <w:tcPr>
            <w:tcW w:w="709"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6697A0C3" w14:textId="77777777" w:rsidR="00A614AA" w:rsidRPr="00155028" w:rsidRDefault="00A614AA" w:rsidP="003C239F">
            <w:pPr>
              <w:spacing w:before="120" w:after="0" w:line="240" w:lineRule="auto"/>
              <w:jc w:val="right"/>
              <w:rPr>
                <w:rFonts w:eastAsia="Times New Roman"/>
                <w:b/>
                <w:sz w:val="20"/>
                <w:lang w:eastAsia="en-GB"/>
              </w:rPr>
            </w:pPr>
            <w:r w:rsidRPr="00155028">
              <w:rPr>
                <w:rFonts w:eastAsia="Times New Roman"/>
                <w:b/>
                <w:sz w:val="20"/>
                <w:lang w:eastAsia="en-GB"/>
              </w:rPr>
              <w:t>2011</w:t>
            </w:r>
          </w:p>
        </w:tc>
        <w:tc>
          <w:tcPr>
            <w:tcW w:w="820"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61FF3500" w14:textId="77777777" w:rsidR="00A614AA" w:rsidRPr="00155028" w:rsidRDefault="00A614AA" w:rsidP="003C239F">
            <w:pPr>
              <w:spacing w:before="120" w:after="0" w:line="240" w:lineRule="auto"/>
              <w:jc w:val="right"/>
              <w:rPr>
                <w:rFonts w:eastAsia="Times New Roman"/>
                <w:b/>
                <w:sz w:val="20"/>
                <w:lang w:eastAsia="en-GB"/>
              </w:rPr>
            </w:pPr>
            <w:r w:rsidRPr="00155028">
              <w:rPr>
                <w:rFonts w:eastAsia="Times New Roman"/>
                <w:b/>
                <w:sz w:val="20"/>
                <w:lang w:eastAsia="en-GB"/>
              </w:rPr>
              <w:t>2012</w:t>
            </w:r>
          </w:p>
        </w:tc>
        <w:tc>
          <w:tcPr>
            <w:tcW w:w="679"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16A12AE0" w14:textId="77777777" w:rsidR="00A614AA" w:rsidRPr="00155028" w:rsidRDefault="00A614AA" w:rsidP="003C239F">
            <w:pPr>
              <w:spacing w:before="120" w:after="0" w:line="240" w:lineRule="auto"/>
              <w:jc w:val="right"/>
              <w:rPr>
                <w:rFonts w:eastAsia="Times New Roman"/>
                <w:b/>
                <w:sz w:val="20"/>
                <w:lang w:eastAsia="en-GB"/>
              </w:rPr>
            </w:pPr>
            <w:r w:rsidRPr="00155028">
              <w:rPr>
                <w:rFonts w:eastAsia="Times New Roman"/>
                <w:b/>
                <w:sz w:val="20"/>
                <w:lang w:eastAsia="en-GB"/>
              </w:rPr>
              <w:t>2013</w:t>
            </w:r>
          </w:p>
        </w:tc>
        <w:tc>
          <w:tcPr>
            <w:tcW w:w="679"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3FF6A01A" w14:textId="77777777" w:rsidR="00A614AA" w:rsidRPr="00155028" w:rsidRDefault="00A614AA" w:rsidP="003C239F">
            <w:pPr>
              <w:spacing w:before="120" w:after="0" w:line="240" w:lineRule="auto"/>
              <w:jc w:val="right"/>
              <w:rPr>
                <w:rFonts w:eastAsia="Times New Roman"/>
                <w:b/>
                <w:sz w:val="20"/>
                <w:lang w:eastAsia="en-GB"/>
              </w:rPr>
            </w:pPr>
            <w:r w:rsidRPr="00155028">
              <w:rPr>
                <w:rFonts w:eastAsia="Times New Roman"/>
                <w:b/>
                <w:sz w:val="20"/>
                <w:lang w:eastAsia="en-GB"/>
              </w:rPr>
              <w:t>2014</w:t>
            </w:r>
          </w:p>
        </w:tc>
        <w:tc>
          <w:tcPr>
            <w:tcW w:w="820"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7368DF48" w14:textId="77777777" w:rsidR="00A614AA" w:rsidRPr="00155028" w:rsidRDefault="00A614AA" w:rsidP="003C239F">
            <w:pPr>
              <w:spacing w:before="120" w:after="0" w:line="240" w:lineRule="auto"/>
              <w:jc w:val="right"/>
              <w:rPr>
                <w:rFonts w:eastAsia="Times New Roman"/>
                <w:b/>
                <w:sz w:val="20"/>
                <w:lang w:eastAsia="en-GB"/>
              </w:rPr>
            </w:pPr>
            <w:r w:rsidRPr="00155028">
              <w:rPr>
                <w:rFonts w:eastAsia="Times New Roman"/>
                <w:b/>
                <w:sz w:val="20"/>
                <w:lang w:eastAsia="en-GB"/>
              </w:rPr>
              <w:t>2015</w:t>
            </w:r>
          </w:p>
        </w:tc>
        <w:tc>
          <w:tcPr>
            <w:tcW w:w="679"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194AC532" w14:textId="77777777" w:rsidR="00A614AA" w:rsidRPr="00155028" w:rsidRDefault="00A614AA" w:rsidP="003C239F">
            <w:pPr>
              <w:spacing w:before="120" w:after="0" w:line="240" w:lineRule="auto"/>
              <w:jc w:val="right"/>
              <w:rPr>
                <w:rFonts w:eastAsia="Times New Roman"/>
                <w:b/>
                <w:sz w:val="20"/>
                <w:lang w:eastAsia="en-GB"/>
              </w:rPr>
            </w:pPr>
            <w:r w:rsidRPr="00155028">
              <w:rPr>
                <w:rFonts w:eastAsia="Times New Roman"/>
                <w:b/>
                <w:sz w:val="20"/>
                <w:lang w:eastAsia="en-GB"/>
              </w:rPr>
              <w:t>2016</w:t>
            </w:r>
          </w:p>
        </w:tc>
        <w:tc>
          <w:tcPr>
            <w:tcW w:w="679"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647BC257" w14:textId="77777777" w:rsidR="00A614AA" w:rsidRPr="00155028" w:rsidRDefault="00A614AA" w:rsidP="003C239F">
            <w:pPr>
              <w:spacing w:before="120" w:after="0" w:line="240" w:lineRule="auto"/>
              <w:jc w:val="right"/>
              <w:rPr>
                <w:rFonts w:eastAsia="Times New Roman"/>
                <w:b/>
                <w:sz w:val="20"/>
                <w:lang w:eastAsia="en-GB"/>
              </w:rPr>
            </w:pPr>
            <w:r w:rsidRPr="00155028">
              <w:rPr>
                <w:rFonts w:eastAsia="Times New Roman"/>
                <w:b/>
                <w:sz w:val="20"/>
                <w:lang w:eastAsia="en-GB"/>
              </w:rPr>
              <w:t>2017</w:t>
            </w:r>
          </w:p>
        </w:tc>
        <w:tc>
          <w:tcPr>
            <w:tcW w:w="820"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7ADB5FC4" w14:textId="77777777" w:rsidR="00A614AA" w:rsidRPr="00155028" w:rsidRDefault="00A614AA" w:rsidP="003C239F">
            <w:pPr>
              <w:spacing w:before="120" w:after="0" w:line="240" w:lineRule="auto"/>
              <w:jc w:val="right"/>
              <w:rPr>
                <w:rFonts w:eastAsia="Times New Roman"/>
                <w:b/>
                <w:sz w:val="20"/>
                <w:lang w:eastAsia="en-GB"/>
              </w:rPr>
            </w:pPr>
            <w:r w:rsidRPr="00155028">
              <w:rPr>
                <w:rFonts w:eastAsia="Times New Roman"/>
                <w:b/>
                <w:sz w:val="20"/>
                <w:lang w:eastAsia="en-GB"/>
              </w:rPr>
              <w:t>2018</w:t>
            </w:r>
          </w:p>
        </w:tc>
        <w:tc>
          <w:tcPr>
            <w:tcW w:w="522" w:type="dxa"/>
            <w:tcBorders>
              <w:top w:val="single" w:sz="4" w:space="0" w:color="auto"/>
              <w:left w:val="single" w:sz="4" w:space="0" w:color="auto"/>
              <w:bottom w:val="single" w:sz="4" w:space="0" w:color="auto"/>
              <w:right w:val="single" w:sz="4" w:space="0" w:color="auto"/>
            </w:tcBorders>
            <w:shd w:val="clear" w:color="auto" w:fill="D9EEF3"/>
            <w:vAlign w:val="center"/>
          </w:tcPr>
          <w:p w14:paraId="20D36C6C" w14:textId="18210489" w:rsidR="00A614AA" w:rsidRPr="00155028" w:rsidRDefault="00A614AA" w:rsidP="003C239F">
            <w:pPr>
              <w:spacing w:before="120" w:after="0" w:line="240" w:lineRule="auto"/>
              <w:jc w:val="right"/>
              <w:rPr>
                <w:rFonts w:eastAsia="Times New Roman"/>
                <w:b/>
                <w:sz w:val="20"/>
                <w:lang w:eastAsia="en-GB"/>
              </w:rPr>
            </w:pPr>
            <w:r w:rsidRPr="00155028">
              <w:rPr>
                <w:rFonts w:eastAsia="Times New Roman"/>
                <w:b/>
                <w:sz w:val="20"/>
                <w:lang w:eastAsia="en-GB"/>
              </w:rPr>
              <w:t>2019</w:t>
            </w:r>
          </w:p>
        </w:tc>
      </w:tr>
      <w:tr w:rsidR="00A614AA" w:rsidRPr="00155028" w14:paraId="6AAB2A33" w14:textId="7C987768" w:rsidTr="003C239F">
        <w:trPr>
          <w:tblCellSpacing w:w="15" w:type="dxa"/>
        </w:trPr>
        <w:tc>
          <w:tcPr>
            <w:tcW w:w="2335" w:type="dxa"/>
            <w:tcBorders>
              <w:top w:val="single" w:sz="4" w:space="0" w:color="auto"/>
              <w:left w:val="single" w:sz="4" w:space="0" w:color="auto"/>
              <w:bottom w:val="single" w:sz="4" w:space="0" w:color="auto"/>
              <w:right w:val="single" w:sz="4" w:space="0" w:color="auto"/>
            </w:tcBorders>
            <w:vAlign w:val="center"/>
            <w:hideMark/>
          </w:tcPr>
          <w:p w14:paraId="0CA2E812"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1/A: mikroorganizmi</w:t>
            </w:r>
          </w:p>
        </w:tc>
        <w:tc>
          <w:tcPr>
            <w:tcW w:w="709" w:type="dxa"/>
            <w:tcBorders>
              <w:top w:val="single" w:sz="4" w:space="0" w:color="auto"/>
              <w:left w:val="single" w:sz="4" w:space="0" w:color="auto"/>
              <w:bottom w:val="single" w:sz="4" w:space="0" w:color="auto"/>
              <w:right w:val="single" w:sz="4" w:space="0" w:color="auto"/>
            </w:tcBorders>
            <w:vAlign w:val="center"/>
            <w:hideMark/>
          </w:tcPr>
          <w:p w14:paraId="60ADB4FB" w14:textId="77777777" w:rsidR="00A614AA" w:rsidRPr="00155028" w:rsidRDefault="00A614AA" w:rsidP="003C239F">
            <w:pPr>
              <w:spacing w:before="120" w:after="0" w:line="240" w:lineRule="auto"/>
              <w:jc w:val="right"/>
              <w:rPr>
                <w:rFonts w:eastAsia="Times New Roman"/>
                <w:sz w:val="20"/>
                <w:lang w:eastAsia="en-GB"/>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0304F51A" w14:textId="77777777" w:rsidR="00A614AA" w:rsidRPr="00155028" w:rsidRDefault="00A614AA" w:rsidP="003C239F">
            <w:pPr>
              <w:spacing w:before="120" w:after="0" w:line="240" w:lineRule="auto"/>
              <w:jc w:val="right"/>
              <w:rPr>
                <w:rFonts w:eastAsia="Times New Roman"/>
                <w:sz w:val="20"/>
                <w:lang w:eastAsia="en-GB"/>
              </w:rPr>
            </w:pPr>
          </w:p>
        </w:tc>
        <w:tc>
          <w:tcPr>
            <w:tcW w:w="679" w:type="dxa"/>
            <w:tcBorders>
              <w:top w:val="single" w:sz="4" w:space="0" w:color="auto"/>
              <w:left w:val="single" w:sz="4" w:space="0" w:color="auto"/>
              <w:bottom w:val="single" w:sz="4" w:space="0" w:color="auto"/>
              <w:right w:val="single" w:sz="4" w:space="0" w:color="auto"/>
            </w:tcBorders>
            <w:vAlign w:val="center"/>
            <w:hideMark/>
          </w:tcPr>
          <w:p w14:paraId="703B99D8" w14:textId="77777777" w:rsidR="00A614AA" w:rsidRPr="00155028" w:rsidRDefault="00A614AA" w:rsidP="003C239F">
            <w:pPr>
              <w:spacing w:before="120" w:after="0" w:line="240" w:lineRule="auto"/>
              <w:jc w:val="right"/>
              <w:rPr>
                <w:rFonts w:eastAsia="Times New Roman"/>
                <w:sz w:val="20"/>
                <w:lang w:eastAsia="en-GB"/>
              </w:rPr>
            </w:pPr>
          </w:p>
        </w:tc>
        <w:tc>
          <w:tcPr>
            <w:tcW w:w="679" w:type="dxa"/>
            <w:tcBorders>
              <w:top w:val="single" w:sz="4" w:space="0" w:color="auto"/>
              <w:left w:val="single" w:sz="4" w:space="0" w:color="auto"/>
              <w:bottom w:val="single" w:sz="4" w:space="0" w:color="auto"/>
              <w:right w:val="single" w:sz="4" w:space="0" w:color="auto"/>
            </w:tcBorders>
            <w:vAlign w:val="center"/>
            <w:hideMark/>
          </w:tcPr>
          <w:p w14:paraId="3989E48A" w14:textId="77777777" w:rsidR="00A614AA" w:rsidRPr="00155028" w:rsidRDefault="00A614AA" w:rsidP="003C239F">
            <w:pPr>
              <w:spacing w:before="120" w:after="0" w:line="240" w:lineRule="auto"/>
              <w:jc w:val="right"/>
              <w:rPr>
                <w:rFonts w:eastAsia="Times New Roman"/>
                <w:sz w:val="20"/>
                <w:lang w:eastAsia="en-GB"/>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7A115048" w14:textId="77777777" w:rsidR="00A614AA" w:rsidRPr="00155028" w:rsidRDefault="00A614AA" w:rsidP="003C239F">
            <w:pPr>
              <w:spacing w:before="120" w:after="0" w:line="240" w:lineRule="auto"/>
              <w:jc w:val="right"/>
              <w:rPr>
                <w:rFonts w:eastAsia="Times New Roman"/>
                <w:sz w:val="20"/>
                <w:lang w:eastAsia="en-GB"/>
              </w:rPr>
            </w:pPr>
          </w:p>
        </w:tc>
        <w:tc>
          <w:tcPr>
            <w:tcW w:w="679" w:type="dxa"/>
            <w:tcBorders>
              <w:top w:val="single" w:sz="4" w:space="0" w:color="auto"/>
              <w:left w:val="single" w:sz="4" w:space="0" w:color="auto"/>
              <w:bottom w:val="single" w:sz="4" w:space="0" w:color="auto"/>
              <w:right w:val="single" w:sz="4" w:space="0" w:color="auto"/>
            </w:tcBorders>
            <w:vAlign w:val="center"/>
            <w:hideMark/>
          </w:tcPr>
          <w:p w14:paraId="0541C54F" w14:textId="77777777" w:rsidR="00A614AA" w:rsidRPr="00155028" w:rsidRDefault="00A614AA" w:rsidP="003C239F">
            <w:pPr>
              <w:spacing w:before="120" w:after="0" w:line="240" w:lineRule="auto"/>
              <w:jc w:val="right"/>
              <w:rPr>
                <w:rFonts w:eastAsia="Times New Roman"/>
                <w:sz w:val="20"/>
                <w:lang w:eastAsia="en-GB"/>
              </w:rPr>
            </w:pPr>
          </w:p>
        </w:tc>
        <w:tc>
          <w:tcPr>
            <w:tcW w:w="679" w:type="dxa"/>
            <w:tcBorders>
              <w:top w:val="single" w:sz="4" w:space="0" w:color="auto"/>
              <w:left w:val="single" w:sz="4" w:space="0" w:color="auto"/>
              <w:bottom w:val="single" w:sz="4" w:space="0" w:color="auto"/>
              <w:right w:val="single" w:sz="4" w:space="0" w:color="auto"/>
            </w:tcBorders>
            <w:vAlign w:val="center"/>
            <w:hideMark/>
          </w:tcPr>
          <w:p w14:paraId="473B1196" w14:textId="77777777" w:rsidR="00A614AA" w:rsidRPr="00155028" w:rsidRDefault="00A614AA" w:rsidP="003C239F">
            <w:pPr>
              <w:spacing w:before="120" w:after="0" w:line="240" w:lineRule="auto"/>
              <w:jc w:val="right"/>
              <w:rPr>
                <w:rFonts w:eastAsia="Times New Roman"/>
                <w:sz w:val="20"/>
                <w:lang w:eastAsia="en-GB"/>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401E6F93" w14:textId="77777777" w:rsidR="00A614AA" w:rsidRPr="00155028" w:rsidRDefault="00A614AA" w:rsidP="003C239F">
            <w:pPr>
              <w:spacing w:before="120" w:after="0" w:line="240" w:lineRule="auto"/>
              <w:jc w:val="right"/>
              <w:rPr>
                <w:rFonts w:eastAsia="Times New Roman"/>
                <w:sz w:val="20"/>
                <w:lang w:eastAsia="en-GB"/>
              </w:rPr>
            </w:pPr>
          </w:p>
        </w:tc>
        <w:tc>
          <w:tcPr>
            <w:tcW w:w="522" w:type="dxa"/>
            <w:tcBorders>
              <w:top w:val="single" w:sz="4" w:space="0" w:color="auto"/>
              <w:left w:val="single" w:sz="4" w:space="0" w:color="auto"/>
              <w:bottom w:val="single" w:sz="4" w:space="0" w:color="auto"/>
              <w:right w:val="single" w:sz="4" w:space="0" w:color="auto"/>
            </w:tcBorders>
            <w:vAlign w:val="center"/>
          </w:tcPr>
          <w:p w14:paraId="0029C12E" w14:textId="77777777" w:rsidR="00A614AA" w:rsidRPr="00155028" w:rsidRDefault="00A614AA" w:rsidP="003C239F">
            <w:pPr>
              <w:spacing w:before="120" w:after="0" w:line="240" w:lineRule="auto"/>
              <w:jc w:val="right"/>
              <w:rPr>
                <w:rFonts w:eastAsia="Times New Roman"/>
                <w:sz w:val="20"/>
                <w:lang w:eastAsia="en-GB"/>
              </w:rPr>
            </w:pPr>
          </w:p>
        </w:tc>
      </w:tr>
      <w:tr w:rsidR="00A614AA" w:rsidRPr="00155028" w14:paraId="678B7BE6" w14:textId="5A112420" w:rsidTr="003C239F">
        <w:trPr>
          <w:tblCellSpacing w:w="15" w:type="dxa"/>
        </w:trPr>
        <w:tc>
          <w:tcPr>
            <w:tcW w:w="2335" w:type="dxa"/>
            <w:tcBorders>
              <w:top w:val="single" w:sz="4" w:space="0" w:color="auto"/>
              <w:left w:val="single" w:sz="4" w:space="0" w:color="auto"/>
              <w:bottom w:val="single" w:sz="4" w:space="0" w:color="auto"/>
              <w:right w:val="single" w:sz="4" w:space="0" w:color="auto"/>
            </w:tcBorders>
            <w:vAlign w:val="center"/>
            <w:hideMark/>
          </w:tcPr>
          <w:p w14:paraId="437ED186"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 xml:space="preserve">1/B: kemične </w:t>
            </w:r>
            <w:proofErr w:type="spellStart"/>
            <w:r w:rsidRPr="00155028">
              <w:rPr>
                <w:rFonts w:eastAsia="Times New Roman"/>
                <w:sz w:val="20"/>
                <w:lang w:eastAsia="en-GB"/>
              </w:rPr>
              <w:t>a.s</w:t>
            </w:r>
            <w:proofErr w:type="spellEnd"/>
            <w:r w:rsidRPr="00155028">
              <w:rPr>
                <w:rFonts w:eastAsia="Times New Roman"/>
                <w:sz w:val="20"/>
                <w:lang w:eastAsia="en-GB"/>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38EA34"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129</w:t>
            </w:r>
          </w:p>
        </w:tc>
        <w:tc>
          <w:tcPr>
            <w:tcW w:w="820" w:type="dxa"/>
            <w:tcBorders>
              <w:top w:val="single" w:sz="4" w:space="0" w:color="auto"/>
              <w:left w:val="single" w:sz="4" w:space="0" w:color="auto"/>
              <w:bottom w:val="single" w:sz="4" w:space="0" w:color="auto"/>
              <w:right w:val="single" w:sz="4" w:space="0" w:color="auto"/>
            </w:tcBorders>
            <w:vAlign w:val="center"/>
            <w:hideMark/>
          </w:tcPr>
          <w:p w14:paraId="697DB5A3"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57</w:t>
            </w:r>
          </w:p>
        </w:tc>
        <w:tc>
          <w:tcPr>
            <w:tcW w:w="679" w:type="dxa"/>
            <w:tcBorders>
              <w:top w:val="single" w:sz="4" w:space="0" w:color="auto"/>
              <w:left w:val="single" w:sz="4" w:space="0" w:color="auto"/>
              <w:bottom w:val="single" w:sz="4" w:space="0" w:color="auto"/>
              <w:right w:val="single" w:sz="4" w:space="0" w:color="auto"/>
            </w:tcBorders>
            <w:vAlign w:val="center"/>
            <w:hideMark/>
          </w:tcPr>
          <w:p w14:paraId="16AE2C06"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114</w:t>
            </w:r>
          </w:p>
        </w:tc>
        <w:tc>
          <w:tcPr>
            <w:tcW w:w="679" w:type="dxa"/>
            <w:tcBorders>
              <w:top w:val="single" w:sz="4" w:space="0" w:color="auto"/>
              <w:left w:val="single" w:sz="4" w:space="0" w:color="auto"/>
              <w:bottom w:val="single" w:sz="4" w:space="0" w:color="auto"/>
              <w:right w:val="single" w:sz="4" w:space="0" w:color="auto"/>
            </w:tcBorders>
            <w:vAlign w:val="center"/>
            <w:hideMark/>
          </w:tcPr>
          <w:p w14:paraId="32DB94AF"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272</w:t>
            </w:r>
          </w:p>
        </w:tc>
        <w:tc>
          <w:tcPr>
            <w:tcW w:w="820" w:type="dxa"/>
            <w:tcBorders>
              <w:top w:val="single" w:sz="4" w:space="0" w:color="auto"/>
              <w:left w:val="single" w:sz="4" w:space="0" w:color="auto"/>
              <w:bottom w:val="single" w:sz="4" w:space="0" w:color="auto"/>
              <w:right w:val="single" w:sz="4" w:space="0" w:color="auto"/>
            </w:tcBorders>
            <w:vAlign w:val="center"/>
            <w:hideMark/>
          </w:tcPr>
          <w:p w14:paraId="2CE3C163"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344</w:t>
            </w:r>
          </w:p>
        </w:tc>
        <w:tc>
          <w:tcPr>
            <w:tcW w:w="679" w:type="dxa"/>
            <w:tcBorders>
              <w:top w:val="single" w:sz="4" w:space="0" w:color="auto"/>
              <w:left w:val="single" w:sz="4" w:space="0" w:color="auto"/>
              <w:bottom w:val="single" w:sz="4" w:space="0" w:color="auto"/>
              <w:right w:val="single" w:sz="4" w:space="0" w:color="auto"/>
            </w:tcBorders>
            <w:vAlign w:val="center"/>
            <w:hideMark/>
          </w:tcPr>
          <w:p w14:paraId="387EB534"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292</w:t>
            </w:r>
          </w:p>
        </w:tc>
        <w:tc>
          <w:tcPr>
            <w:tcW w:w="679" w:type="dxa"/>
            <w:tcBorders>
              <w:top w:val="single" w:sz="4" w:space="0" w:color="auto"/>
              <w:left w:val="single" w:sz="4" w:space="0" w:color="auto"/>
              <w:bottom w:val="single" w:sz="4" w:space="0" w:color="auto"/>
              <w:right w:val="single" w:sz="4" w:space="0" w:color="auto"/>
            </w:tcBorders>
            <w:vAlign w:val="center"/>
            <w:hideMark/>
          </w:tcPr>
          <w:p w14:paraId="6FFA553E"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116</w:t>
            </w:r>
          </w:p>
        </w:tc>
        <w:tc>
          <w:tcPr>
            <w:tcW w:w="820" w:type="dxa"/>
            <w:tcBorders>
              <w:top w:val="single" w:sz="4" w:space="0" w:color="auto"/>
              <w:left w:val="single" w:sz="4" w:space="0" w:color="auto"/>
              <w:bottom w:val="single" w:sz="4" w:space="0" w:color="auto"/>
              <w:right w:val="single" w:sz="4" w:space="0" w:color="auto"/>
            </w:tcBorders>
            <w:vAlign w:val="center"/>
            <w:hideMark/>
          </w:tcPr>
          <w:p w14:paraId="71A5250E"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160</w:t>
            </w:r>
          </w:p>
        </w:tc>
        <w:tc>
          <w:tcPr>
            <w:tcW w:w="522" w:type="dxa"/>
            <w:tcBorders>
              <w:top w:val="single" w:sz="4" w:space="0" w:color="auto"/>
              <w:left w:val="single" w:sz="4" w:space="0" w:color="auto"/>
              <w:bottom w:val="single" w:sz="4" w:space="0" w:color="auto"/>
              <w:right w:val="single" w:sz="4" w:space="0" w:color="auto"/>
            </w:tcBorders>
            <w:vAlign w:val="center"/>
          </w:tcPr>
          <w:p w14:paraId="5EA3B4BE" w14:textId="45D67730" w:rsidR="00A614AA" w:rsidRPr="00155028" w:rsidRDefault="00A2245D" w:rsidP="003C239F">
            <w:pPr>
              <w:spacing w:before="120" w:after="0" w:line="240" w:lineRule="auto"/>
              <w:jc w:val="right"/>
              <w:rPr>
                <w:rFonts w:eastAsia="Times New Roman"/>
                <w:sz w:val="20"/>
                <w:lang w:eastAsia="en-GB"/>
              </w:rPr>
            </w:pPr>
            <w:r w:rsidRPr="00155028">
              <w:rPr>
                <w:rFonts w:eastAsia="Times New Roman"/>
                <w:sz w:val="20"/>
                <w:lang w:eastAsia="en-GB"/>
              </w:rPr>
              <w:t>328</w:t>
            </w:r>
          </w:p>
        </w:tc>
      </w:tr>
      <w:tr w:rsidR="00A614AA" w:rsidRPr="00155028" w14:paraId="0CD2103A" w14:textId="39921627" w:rsidTr="003C239F">
        <w:trPr>
          <w:tblCellSpacing w:w="15" w:type="dxa"/>
        </w:trPr>
        <w:tc>
          <w:tcPr>
            <w:tcW w:w="2335" w:type="dxa"/>
            <w:tcBorders>
              <w:top w:val="single" w:sz="4" w:space="0" w:color="auto"/>
              <w:left w:val="single" w:sz="4" w:space="0" w:color="auto"/>
              <w:bottom w:val="single" w:sz="4" w:space="0" w:color="auto"/>
              <w:right w:val="single" w:sz="4" w:space="0" w:color="auto"/>
            </w:tcBorders>
            <w:vAlign w:val="center"/>
            <w:hideMark/>
          </w:tcPr>
          <w:p w14:paraId="6D1D2375"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2/C: mikroorganizmi</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E637D8"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123</w:t>
            </w:r>
          </w:p>
        </w:tc>
        <w:tc>
          <w:tcPr>
            <w:tcW w:w="820" w:type="dxa"/>
            <w:tcBorders>
              <w:top w:val="single" w:sz="4" w:space="0" w:color="auto"/>
              <w:left w:val="single" w:sz="4" w:space="0" w:color="auto"/>
              <w:bottom w:val="single" w:sz="4" w:space="0" w:color="auto"/>
              <w:right w:val="single" w:sz="4" w:space="0" w:color="auto"/>
            </w:tcBorders>
            <w:vAlign w:val="center"/>
            <w:hideMark/>
          </w:tcPr>
          <w:p w14:paraId="47F90228"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82</w:t>
            </w:r>
          </w:p>
        </w:tc>
        <w:tc>
          <w:tcPr>
            <w:tcW w:w="679" w:type="dxa"/>
            <w:tcBorders>
              <w:top w:val="single" w:sz="4" w:space="0" w:color="auto"/>
              <w:left w:val="single" w:sz="4" w:space="0" w:color="auto"/>
              <w:bottom w:val="single" w:sz="4" w:space="0" w:color="auto"/>
              <w:right w:val="single" w:sz="4" w:space="0" w:color="auto"/>
            </w:tcBorders>
            <w:vAlign w:val="center"/>
            <w:hideMark/>
          </w:tcPr>
          <w:p w14:paraId="36D48436"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95</w:t>
            </w:r>
          </w:p>
        </w:tc>
        <w:tc>
          <w:tcPr>
            <w:tcW w:w="679" w:type="dxa"/>
            <w:tcBorders>
              <w:top w:val="single" w:sz="4" w:space="0" w:color="auto"/>
              <w:left w:val="single" w:sz="4" w:space="0" w:color="auto"/>
              <w:bottom w:val="single" w:sz="4" w:space="0" w:color="auto"/>
              <w:right w:val="single" w:sz="4" w:space="0" w:color="auto"/>
            </w:tcBorders>
            <w:vAlign w:val="center"/>
            <w:hideMark/>
          </w:tcPr>
          <w:p w14:paraId="11E0D0A1"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1044</w:t>
            </w:r>
          </w:p>
        </w:tc>
        <w:tc>
          <w:tcPr>
            <w:tcW w:w="820" w:type="dxa"/>
            <w:tcBorders>
              <w:top w:val="single" w:sz="4" w:space="0" w:color="auto"/>
              <w:left w:val="single" w:sz="4" w:space="0" w:color="auto"/>
              <w:bottom w:val="single" w:sz="4" w:space="0" w:color="auto"/>
              <w:right w:val="single" w:sz="4" w:space="0" w:color="auto"/>
            </w:tcBorders>
            <w:vAlign w:val="center"/>
            <w:hideMark/>
          </w:tcPr>
          <w:p w14:paraId="78B06F20"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207</w:t>
            </w:r>
          </w:p>
        </w:tc>
        <w:tc>
          <w:tcPr>
            <w:tcW w:w="679" w:type="dxa"/>
            <w:tcBorders>
              <w:top w:val="single" w:sz="4" w:space="0" w:color="auto"/>
              <w:left w:val="single" w:sz="4" w:space="0" w:color="auto"/>
              <w:bottom w:val="single" w:sz="4" w:space="0" w:color="auto"/>
              <w:right w:val="single" w:sz="4" w:space="0" w:color="auto"/>
            </w:tcBorders>
            <w:vAlign w:val="center"/>
            <w:hideMark/>
          </w:tcPr>
          <w:p w14:paraId="23A41923"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244</w:t>
            </w:r>
          </w:p>
        </w:tc>
        <w:tc>
          <w:tcPr>
            <w:tcW w:w="679" w:type="dxa"/>
            <w:tcBorders>
              <w:top w:val="single" w:sz="4" w:space="0" w:color="auto"/>
              <w:left w:val="single" w:sz="4" w:space="0" w:color="auto"/>
              <w:bottom w:val="single" w:sz="4" w:space="0" w:color="auto"/>
              <w:right w:val="single" w:sz="4" w:space="0" w:color="auto"/>
            </w:tcBorders>
            <w:vAlign w:val="center"/>
            <w:hideMark/>
          </w:tcPr>
          <w:p w14:paraId="69650697"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274</w:t>
            </w:r>
          </w:p>
        </w:tc>
        <w:tc>
          <w:tcPr>
            <w:tcW w:w="820" w:type="dxa"/>
            <w:tcBorders>
              <w:top w:val="single" w:sz="4" w:space="0" w:color="auto"/>
              <w:left w:val="single" w:sz="4" w:space="0" w:color="auto"/>
              <w:bottom w:val="single" w:sz="4" w:space="0" w:color="auto"/>
              <w:right w:val="single" w:sz="4" w:space="0" w:color="auto"/>
            </w:tcBorders>
            <w:vAlign w:val="center"/>
            <w:hideMark/>
          </w:tcPr>
          <w:p w14:paraId="63BAB581"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543</w:t>
            </w:r>
          </w:p>
        </w:tc>
        <w:tc>
          <w:tcPr>
            <w:tcW w:w="522" w:type="dxa"/>
            <w:tcBorders>
              <w:top w:val="single" w:sz="4" w:space="0" w:color="auto"/>
              <w:left w:val="single" w:sz="4" w:space="0" w:color="auto"/>
              <w:bottom w:val="single" w:sz="4" w:space="0" w:color="auto"/>
              <w:right w:val="single" w:sz="4" w:space="0" w:color="auto"/>
            </w:tcBorders>
            <w:vAlign w:val="center"/>
          </w:tcPr>
          <w:p w14:paraId="3468999B" w14:textId="31FCF845" w:rsidR="00A614AA" w:rsidRPr="00155028" w:rsidRDefault="00A2245D" w:rsidP="003C239F">
            <w:pPr>
              <w:spacing w:before="120" w:after="0" w:line="240" w:lineRule="auto"/>
              <w:jc w:val="right"/>
              <w:rPr>
                <w:rFonts w:eastAsia="Times New Roman"/>
                <w:sz w:val="20"/>
                <w:lang w:eastAsia="en-GB"/>
              </w:rPr>
            </w:pPr>
            <w:r w:rsidRPr="00155028">
              <w:rPr>
                <w:rFonts w:eastAsia="Times New Roman"/>
                <w:sz w:val="20"/>
                <w:lang w:eastAsia="en-GB"/>
              </w:rPr>
              <w:t>699</w:t>
            </w:r>
          </w:p>
        </w:tc>
      </w:tr>
      <w:tr w:rsidR="00A614AA" w:rsidRPr="00155028" w14:paraId="2AE3E0A0" w14:textId="567F699F" w:rsidTr="003C239F">
        <w:trPr>
          <w:tblCellSpacing w:w="15" w:type="dxa"/>
        </w:trPr>
        <w:tc>
          <w:tcPr>
            <w:tcW w:w="2335" w:type="dxa"/>
            <w:tcBorders>
              <w:top w:val="single" w:sz="4" w:space="0" w:color="auto"/>
              <w:left w:val="single" w:sz="4" w:space="0" w:color="auto"/>
              <w:bottom w:val="single" w:sz="4" w:space="0" w:color="auto"/>
              <w:right w:val="single" w:sz="4" w:space="0" w:color="auto"/>
            </w:tcBorders>
            <w:vAlign w:val="center"/>
            <w:hideMark/>
          </w:tcPr>
          <w:p w14:paraId="71C525EF"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 xml:space="preserve">2/D kemične </w:t>
            </w:r>
            <w:proofErr w:type="spellStart"/>
            <w:r w:rsidRPr="00155028">
              <w:rPr>
                <w:rFonts w:eastAsia="Times New Roman"/>
                <w:sz w:val="20"/>
                <w:lang w:eastAsia="en-GB"/>
              </w:rPr>
              <w:t>a.s</w:t>
            </w:r>
            <w:proofErr w:type="spellEnd"/>
            <w:r w:rsidRPr="00155028">
              <w:rPr>
                <w:rFonts w:eastAsia="Times New Roman"/>
                <w:sz w:val="20"/>
                <w:lang w:eastAsia="en-GB"/>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4D29C0"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110</w:t>
            </w:r>
          </w:p>
        </w:tc>
        <w:tc>
          <w:tcPr>
            <w:tcW w:w="820" w:type="dxa"/>
            <w:tcBorders>
              <w:top w:val="single" w:sz="4" w:space="0" w:color="auto"/>
              <w:left w:val="single" w:sz="4" w:space="0" w:color="auto"/>
              <w:bottom w:val="single" w:sz="4" w:space="0" w:color="auto"/>
              <w:right w:val="single" w:sz="4" w:space="0" w:color="auto"/>
            </w:tcBorders>
            <w:vAlign w:val="center"/>
            <w:hideMark/>
          </w:tcPr>
          <w:p w14:paraId="32478231"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101</w:t>
            </w:r>
          </w:p>
        </w:tc>
        <w:tc>
          <w:tcPr>
            <w:tcW w:w="679" w:type="dxa"/>
            <w:tcBorders>
              <w:top w:val="single" w:sz="4" w:space="0" w:color="auto"/>
              <w:left w:val="single" w:sz="4" w:space="0" w:color="auto"/>
              <w:bottom w:val="single" w:sz="4" w:space="0" w:color="auto"/>
              <w:right w:val="single" w:sz="4" w:space="0" w:color="auto"/>
            </w:tcBorders>
            <w:vAlign w:val="center"/>
            <w:hideMark/>
          </w:tcPr>
          <w:p w14:paraId="7C5A6AAA"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89</w:t>
            </w:r>
          </w:p>
        </w:tc>
        <w:tc>
          <w:tcPr>
            <w:tcW w:w="679" w:type="dxa"/>
            <w:tcBorders>
              <w:top w:val="single" w:sz="4" w:space="0" w:color="auto"/>
              <w:left w:val="single" w:sz="4" w:space="0" w:color="auto"/>
              <w:bottom w:val="single" w:sz="4" w:space="0" w:color="auto"/>
              <w:right w:val="single" w:sz="4" w:space="0" w:color="auto"/>
            </w:tcBorders>
            <w:vAlign w:val="center"/>
            <w:hideMark/>
          </w:tcPr>
          <w:p w14:paraId="33BAE5EF"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99</w:t>
            </w:r>
          </w:p>
        </w:tc>
        <w:tc>
          <w:tcPr>
            <w:tcW w:w="820" w:type="dxa"/>
            <w:tcBorders>
              <w:top w:val="single" w:sz="4" w:space="0" w:color="auto"/>
              <w:left w:val="single" w:sz="4" w:space="0" w:color="auto"/>
              <w:bottom w:val="single" w:sz="4" w:space="0" w:color="auto"/>
              <w:right w:val="single" w:sz="4" w:space="0" w:color="auto"/>
            </w:tcBorders>
            <w:vAlign w:val="center"/>
            <w:hideMark/>
          </w:tcPr>
          <w:p w14:paraId="2413C423"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101</w:t>
            </w:r>
          </w:p>
        </w:tc>
        <w:tc>
          <w:tcPr>
            <w:tcW w:w="679" w:type="dxa"/>
            <w:tcBorders>
              <w:top w:val="single" w:sz="4" w:space="0" w:color="auto"/>
              <w:left w:val="single" w:sz="4" w:space="0" w:color="auto"/>
              <w:bottom w:val="single" w:sz="4" w:space="0" w:color="auto"/>
              <w:right w:val="single" w:sz="4" w:space="0" w:color="auto"/>
            </w:tcBorders>
            <w:vAlign w:val="center"/>
            <w:hideMark/>
          </w:tcPr>
          <w:p w14:paraId="2558430A"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111</w:t>
            </w:r>
          </w:p>
        </w:tc>
        <w:tc>
          <w:tcPr>
            <w:tcW w:w="679" w:type="dxa"/>
            <w:tcBorders>
              <w:top w:val="single" w:sz="4" w:space="0" w:color="auto"/>
              <w:left w:val="single" w:sz="4" w:space="0" w:color="auto"/>
              <w:bottom w:val="single" w:sz="4" w:space="0" w:color="auto"/>
              <w:right w:val="single" w:sz="4" w:space="0" w:color="auto"/>
            </w:tcBorders>
            <w:vAlign w:val="center"/>
            <w:hideMark/>
          </w:tcPr>
          <w:p w14:paraId="4610A5AF"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106</w:t>
            </w:r>
          </w:p>
        </w:tc>
        <w:tc>
          <w:tcPr>
            <w:tcW w:w="820" w:type="dxa"/>
            <w:tcBorders>
              <w:top w:val="single" w:sz="4" w:space="0" w:color="auto"/>
              <w:left w:val="single" w:sz="4" w:space="0" w:color="auto"/>
              <w:bottom w:val="single" w:sz="4" w:space="0" w:color="auto"/>
              <w:right w:val="single" w:sz="4" w:space="0" w:color="auto"/>
            </w:tcBorders>
            <w:vAlign w:val="center"/>
            <w:hideMark/>
          </w:tcPr>
          <w:p w14:paraId="07B0F641"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113</w:t>
            </w:r>
          </w:p>
        </w:tc>
        <w:tc>
          <w:tcPr>
            <w:tcW w:w="522" w:type="dxa"/>
            <w:tcBorders>
              <w:top w:val="single" w:sz="4" w:space="0" w:color="auto"/>
              <w:left w:val="single" w:sz="4" w:space="0" w:color="auto"/>
              <w:bottom w:val="single" w:sz="4" w:space="0" w:color="auto"/>
              <w:right w:val="single" w:sz="4" w:space="0" w:color="auto"/>
            </w:tcBorders>
            <w:vAlign w:val="center"/>
          </w:tcPr>
          <w:p w14:paraId="7103EACD" w14:textId="553D8008" w:rsidR="00A614AA" w:rsidRPr="00155028" w:rsidRDefault="00A2245D" w:rsidP="003C239F">
            <w:pPr>
              <w:spacing w:before="120" w:after="0" w:line="240" w:lineRule="auto"/>
              <w:jc w:val="right"/>
              <w:rPr>
                <w:rFonts w:eastAsia="Times New Roman"/>
                <w:sz w:val="20"/>
                <w:lang w:eastAsia="en-GB"/>
              </w:rPr>
            </w:pPr>
            <w:r w:rsidRPr="00155028">
              <w:rPr>
                <w:rFonts w:eastAsia="Times New Roman"/>
                <w:sz w:val="20"/>
                <w:lang w:eastAsia="en-GB"/>
              </w:rPr>
              <w:t>97</w:t>
            </w:r>
          </w:p>
        </w:tc>
      </w:tr>
      <w:tr w:rsidR="00A614AA" w:rsidRPr="00155028" w14:paraId="513BB58E" w14:textId="7E02B9F8" w:rsidTr="003C239F">
        <w:trPr>
          <w:tblCellSpacing w:w="15" w:type="dxa"/>
        </w:trPr>
        <w:tc>
          <w:tcPr>
            <w:tcW w:w="2335" w:type="dxa"/>
            <w:tcBorders>
              <w:top w:val="single" w:sz="4" w:space="0" w:color="auto"/>
              <w:left w:val="single" w:sz="4" w:space="0" w:color="auto"/>
              <w:bottom w:val="single" w:sz="4" w:space="0" w:color="auto"/>
              <w:right w:val="single" w:sz="4" w:space="0" w:color="auto"/>
            </w:tcBorders>
            <w:vAlign w:val="center"/>
            <w:hideMark/>
          </w:tcPr>
          <w:p w14:paraId="032D18C5"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 xml:space="preserve">3/E: nerazvrščene </w:t>
            </w:r>
            <w:proofErr w:type="spellStart"/>
            <w:r w:rsidRPr="00155028">
              <w:rPr>
                <w:rFonts w:eastAsia="Times New Roman"/>
                <w:sz w:val="20"/>
                <w:lang w:eastAsia="en-GB"/>
              </w:rPr>
              <w:t>a.s</w:t>
            </w:r>
            <w:proofErr w:type="spellEnd"/>
            <w:r w:rsidRPr="00155028">
              <w:rPr>
                <w:rFonts w:eastAsia="Times New Roman"/>
                <w:sz w:val="20"/>
                <w:lang w:eastAsia="en-GB"/>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1BEB58"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109</w:t>
            </w:r>
          </w:p>
        </w:tc>
        <w:tc>
          <w:tcPr>
            <w:tcW w:w="820" w:type="dxa"/>
            <w:tcBorders>
              <w:top w:val="single" w:sz="4" w:space="0" w:color="auto"/>
              <w:left w:val="single" w:sz="4" w:space="0" w:color="auto"/>
              <w:bottom w:val="single" w:sz="4" w:space="0" w:color="auto"/>
              <w:right w:val="single" w:sz="4" w:space="0" w:color="auto"/>
            </w:tcBorders>
            <w:vAlign w:val="center"/>
            <w:hideMark/>
          </w:tcPr>
          <w:p w14:paraId="6E208E7F"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91</w:t>
            </w:r>
          </w:p>
        </w:tc>
        <w:tc>
          <w:tcPr>
            <w:tcW w:w="679" w:type="dxa"/>
            <w:tcBorders>
              <w:top w:val="single" w:sz="4" w:space="0" w:color="auto"/>
              <w:left w:val="single" w:sz="4" w:space="0" w:color="auto"/>
              <w:bottom w:val="single" w:sz="4" w:space="0" w:color="auto"/>
              <w:right w:val="single" w:sz="4" w:space="0" w:color="auto"/>
            </w:tcBorders>
            <w:vAlign w:val="center"/>
            <w:hideMark/>
          </w:tcPr>
          <w:p w14:paraId="720794E5"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100</w:t>
            </w:r>
          </w:p>
        </w:tc>
        <w:tc>
          <w:tcPr>
            <w:tcW w:w="679" w:type="dxa"/>
            <w:tcBorders>
              <w:top w:val="single" w:sz="4" w:space="0" w:color="auto"/>
              <w:left w:val="single" w:sz="4" w:space="0" w:color="auto"/>
              <w:bottom w:val="single" w:sz="4" w:space="0" w:color="auto"/>
              <w:right w:val="single" w:sz="4" w:space="0" w:color="auto"/>
            </w:tcBorders>
            <w:vAlign w:val="center"/>
            <w:hideMark/>
          </w:tcPr>
          <w:p w14:paraId="27E811A6"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108</w:t>
            </w:r>
          </w:p>
        </w:tc>
        <w:tc>
          <w:tcPr>
            <w:tcW w:w="820" w:type="dxa"/>
            <w:tcBorders>
              <w:top w:val="single" w:sz="4" w:space="0" w:color="auto"/>
              <w:left w:val="single" w:sz="4" w:space="0" w:color="auto"/>
              <w:bottom w:val="single" w:sz="4" w:space="0" w:color="auto"/>
              <w:right w:val="single" w:sz="4" w:space="0" w:color="auto"/>
            </w:tcBorders>
            <w:vAlign w:val="center"/>
            <w:hideMark/>
          </w:tcPr>
          <w:p w14:paraId="0CF9DBE8"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125</w:t>
            </w:r>
          </w:p>
        </w:tc>
        <w:tc>
          <w:tcPr>
            <w:tcW w:w="679" w:type="dxa"/>
            <w:tcBorders>
              <w:top w:val="single" w:sz="4" w:space="0" w:color="auto"/>
              <w:left w:val="single" w:sz="4" w:space="0" w:color="auto"/>
              <w:bottom w:val="single" w:sz="4" w:space="0" w:color="auto"/>
              <w:right w:val="single" w:sz="4" w:space="0" w:color="auto"/>
            </w:tcBorders>
            <w:vAlign w:val="center"/>
            <w:hideMark/>
          </w:tcPr>
          <w:p w14:paraId="68761B83"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153</w:t>
            </w:r>
          </w:p>
        </w:tc>
        <w:tc>
          <w:tcPr>
            <w:tcW w:w="679" w:type="dxa"/>
            <w:tcBorders>
              <w:top w:val="single" w:sz="4" w:space="0" w:color="auto"/>
              <w:left w:val="single" w:sz="4" w:space="0" w:color="auto"/>
              <w:bottom w:val="single" w:sz="4" w:space="0" w:color="auto"/>
              <w:right w:val="single" w:sz="4" w:space="0" w:color="auto"/>
            </w:tcBorders>
            <w:vAlign w:val="center"/>
            <w:hideMark/>
          </w:tcPr>
          <w:p w14:paraId="160A4E54"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130</w:t>
            </w:r>
          </w:p>
        </w:tc>
        <w:tc>
          <w:tcPr>
            <w:tcW w:w="820" w:type="dxa"/>
            <w:tcBorders>
              <w:top w:val="single" w:sz="4" w:space="0" w:color="auto"/>
              <w:left w:val="single" w:sz="4" w:space="0" w:color="auto"/>
              <w:bottom w:val="single" w:sz="4" w:space="0" w:color="auto"/>
              <w:right w:val="single" w:sz="4" w:space="0" w:color="auto"/>
            </w:tcBorders>
            <w:vAlign w:val="center"/>
            <w:hideMark/>
          </w:tcPr>
          <w:p w14:paraId="246BA8E9"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149</w:t>
            </w:r>
          </w:p>
        </w:tc>
        <w:tc>
          <w:tcPr>
            <w:tcW w:w="522" w:type="dxa"/>
            <w:tcBorders>
              <w:top w:val="single" w:sz="4" w:space="0" w:color="auto"/>
              <w:left w:val="single" w:sz="4" w:space="0" w:color="auto"/>
              <w:bottom w:val="single" w:sz="4" w:space="0" w:color="auto"/>
              <w:right w:val="single" w:sz="4" w:space="0" w:color="auto"/>
            </w:tcBorders>
            <w:vAlign w:val="center"/>
          </w:tcPr>
          <w:p w14:paraId="49A55A80" w14:textId="427EC3F1" w:rsidR="00A614AA" w:rsidRPr="00155028" w:rsidRDefault="00A2245D" w:rsidP="003C239F">
            <w:pPr>
              <w:spacing w:before="120" w:after="0" w:line="240" w:lineRule="auto"/>
              <w:jc w:val="right"/>
              <w:rPr>
                <w:rFonts w:eastAsia="Times New Roman"/>
                <w:sz w:val="20"/>
                <w:lang w:eastAsia="en-GB"/>
              </w:rPr>
            </w:pPr>
            <w:r w:rsidRPr="00155028">
              <w:rPr>
                <w:rFonts w:eastAsia="Times New Roman"/>
                <w:sz w:val="20"/>
                <w:lang w:eastAsia="en-GB"/>
              </w:rPr>
              <w:t>112</w:t>
            </w:r>
          </w:p>
        </w:tc>
      </w:tr>
      <w:tr w:rsidR="00A614AA" w:rsidRPr="00155028" w14:paraId="5E2C1524" w14:textId="2FB1D500" w:rsidTr="003C239F">
        <w:trPr>
          <w:tblCellSpacing w:w="15" w:type="dxa"/>
        </w:trPr>
        <w:tc>
          <w:tcPr>
            <w:tcW w:w="2335" w:type="dxa"/>
            <w:tcBorders>
              <w:top w:val="single" w:sz="4" w:space="0" w:color="auto"/>
              <w:left w:val="single" w:sz="4" w:space="0" w:color="auto"/>
              <w:bottom w:val="single" w:sz="4" w:space="0" w:color="auto"/>
              <w:right w:val="single" w:sz="4" w:space="0" w:color="auto"/>
            </w:tcBorders>
            <w:vAlign w:val="center"/>
            <w:hideMark/>
          </w:tcPr>
          <w:p w14:paraId="7AB0EA4A"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 xml:space="preserve">3/F: razvrščene </w:t>
            </w:r>
            <w:proofErr w:type="spellStart"/>
            <w:r w:rsidRPr="00155028">
              <w:rPr>
                <w:rFonts w:eastAsia="Times New Roman"/>
                <w:sz w:val="20"/>
                <w:lang w:eastAsia="en-GB"/>
              </w:rPr>
              <w:t>a.s</w:t>
            </w:r>
            <w:proofErr w:type="spellEnd"/>
            <w:r w:rsidRPr="00155028">
              <w:rPr>
                <w:rFonts w:eastAsia="Times New Roman"/>
                <w:sz w:val="20"/>
                <w:lang w:eastAsia="en-GB"/>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1913B0"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124</w:t>
            </w:r>
          </w:p>
        </w:tc>
        <w:tc>
          <w:tcPr>
            <w:tcW w:w="820" w:type="dxa"/>
            <w:tcBorders>
              <w:top w:val="single" w:sz="4" w:space="0" w:color="auto"/>
              <w:left w:val="single" w:sz="4" w:space="0" w:color="auto"/>
              <w:bottom w:val="single" w:sz="4" w:space="0" w:color="auto"/>
              <w:right w:val="single" w:sz="4" w:space="0" w:color="auto"/>
            </w:tcBorders>
            <w:vAlign w:val="center"/>
            <w:hideMark/>
          </w:tcPr>
          <w:p w14:paraId="0D153C0E"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99</w:t>
            </w:r>
          </w:p>
        </w:tc>
        <w:tc>
          <w:tcPr>
            <w:tcW w:w="679" w:type="dxa"/>
            <w:tcBorders>
              <w:top w:val="single" w:sz="4" w:space="0" w:color="auto"/>
              <w:left w:val="single" w:sz="4" w:space="0" w:color="auto"/>
              <w:bottom w:val="single" w:sz="4" w:space="0" w:color="auto"/>
              <w:right w:val="single" w:sz="4" w:space="0" w:color="auto"/>
            </w:tcBorders>
            <w:vAlign w:val="center"/>
            <w:hideMark/>
          </w:tcPr>
          <w:p w14:paraId="02AD94F8"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77</w:t>
            </w:r>
          </w:p>
        </w:tc>
        <w:tc>
          <w:tcPr>
            <w:tcW w:w="679" w:type="dxa"/>
            <w:tcBorders>
              <w:top w:val="single" w:sz="4" w:space="0" w:color="auto"/>
              <w:left w:val="single" w:sz="4" w:space="0" w:color="auto"/>
              <w:bottom w:val="single" w:sz="4" w:space="0" w:color="auto"/>
              <w:right w:val="single" w:sz="4" w:space="0" w:color="auto"/>
            </w:tcBorders>
            <w:vAlign w:val="center"/>
            <w:hideMark/>
          </w:tcPr>
          <w:p w14:paraId="5838A431"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75</w:t>
            </w:r>
          </w:p>
        </w:tc>
        <w:tc>
          <w:tcPr>
            <w:tcW w:w="820" w:type="dxa"/>
            <w:tcBorders>
              <w:top w:val="single" w:sz="4" w:space="0" w:color="auto"/>
              <w:left w:val="single" w:sz="4" w:space="0" w:color="auto"/>
              <w:bottom w:val="single" w:sz="4" w:space="0" w:color="auto"/>
              <w:right w:val="single" w:sz="4" w:space="0" w:color="auto"/>
            </w:tcBorders>
            <w:vAlign w:val="center"/>
            <w:hideMark/>
          </w:tcPr>
          <w:p w14:paraId="0FFFCB31"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87</w:t>
            </w:r>
          </w:p>
        </w:tc>
        <w:tc>
          <w:tcPr>
            <w:tcW w:w="679" w:type="dxa"/>
            <w:tcBorders>
              <w:top w:val="single" w:sz="4" w:space="0" w:color="auto"/>
              <w:left w:val="single" w:sz="4" w:space="0" w:color="auto"/>
              <w:bottom w:val="single" w:sz="4" w:space="0" w:color="auto"/>
              <w:right w:val="single" w:sz="4" w:space="0" w:color="auto"/>
            </w:tcBorders>
            <w:vAlign w:val="center"/>
            <w:hideMark/>
          </w:tcPr>
          <w:p w14:paraId="6322C3AE"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91</w:t>
            </w:r>
          </w:p>
        </w:tc>
        <w:tc>
          <w:tcPr>
            <w:tcW w:w="679" w:type="dxa"/>
            <w:tcBorders>
              <w:top w:val="single" w:sz="4" w:space="0" w:color="auto"/>
              <w:left w:val="single" w:sz="4" w:space="0" w:color="auto"/>
              <w:bottom w:val="single" w:sz="4" w:space="0" w:color="auto"/>
              <w:right w:val="single" w:sz="4" w:space="0" w:color="auto"/>
            </w:tcBorders>
            <w:vAlign w:val="center"/>
            <w:hideMark/>
          </w:tcPr>
          <w:p w14:paraId="47B9E2D8"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138</w:t>
            </w:r>
          </w:p>
        </w:tc>
        <w:tc>
          <w:tcPr>
            <w:tcW w:w="820" w:type="dxa"/>
            <w:tcBorders>
              <w:top w:val="single" w:sz="4" w:space="0" w:color="auto"/>
              <w:left w:val="single" w:sz="4" w:space="0" w:color="auto"/>
              <w:bottom w:val="single" w:sz="4" w:space="0" w:color="auto"/>
              <w:right w:val="single" w:sz="4" w:space="0" w:color="auto"/>
            </w:tcBorders>
            <w:vAlign w:val="center"/>
            <w:hideMark/>
          </w:tcPr>
          <w:p w14:paraId="4140633E"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416</w:t>
            </w:r>
          </w:p>
        </w:tc>
        <w:tc>
          <w:tcPr>
            <w:tcW w:w="522" w:type="dxa"/>
            <w:tcBorders>
              <w:top w:val="single" w:sz="4" w:space="0" w:color="auto"/>
              <w:left w:val="single" w:sz="4" w:space="0" w:color="auto"/>
              <w:bottom w:val="single" w:sz="4" w:space="0" w:color="auto"/>
              <w:right w:val="single" w:sz="4" w:space="0" w:color="auto"/>
            </w:tcBorders>
            <w:vAlign w:val="center"/>
          </w:tcPr>
          <w:p w14:paraId="54452855" w14:textId="71BC549D" w:rsidR="00A614AA" w:rsidRPr="00155028" w:rsidRDefault="00DA73EF" w:rsidP="003C239F">
            <w:pPr>
              <w:spacing w:before="120" w:after="0" w:line="240" w:lineRule="auto"/>
              <w:jc w:val="right"/>
              <w:rPr>
                <w:rFonts w:eastAsia="Times New Roman"/>
                <w:sz w:val="20"/>
                <w:lang w:eastAsia="en-GB"/>
              </w:rPr>
            </w:pPr>
            <w:r w:rsidRPr="00155028">
              <w:rPr>
                <w:rFonts w:eastAsia="Times New Roman"/>
                <w:sz w:val="20"/>
                <w:lang w:eastAsia="en-GB"/>
              </w:rPr>
              <w:t>172</w:t>
            </w:r>
          </w:p>
        </w:tc>
      </w:tr>
      <w:tr w:rsidR="00A614AA" w:rsidRPr="00155028" w14:paraId="65E9A6B6" w14:textId="7612F7DD" w:rsidTr="003C239F">
        <w:trPr>
          <w:tblCellSpacing w:w="15" w:type="dxa"/>
        </w:trPr>
        <w:tc>
          <w:tcPr>
            <w:tcW w:w="2335" w:type="dxa"/>
            <w:tcBorders>
              <w:top w:val="single" w:sz="4" w:space="0" w:color="auto"/>
              <w:left w:val="single" w:sz="4" w:space="0" w:color="auto"/>
              <w:bottom w:val="single" w:sz="4" w:space="0" w:color="auto"/>
              <w:right w:val="single" w:sz="4" w:space="0" w:color="auto"/>
            </w:tcBorders>
            <w:vAlign w:val="center"/>
            <w:hideMark/>
          </w:tcPr>
          <w:p w14:paraId="5C33FB31" w14:textId="77777777" w:rsidR="00A614AA" w:rsidRPr="00155028" w:rsidRDefault="00A614AA" w:rsidP="007F41C6">
            <w:pPr>
              <w:spacing w:before="120" w:after="0" w:line="240" w:lineRule="auto"/>
              <w:jc w:val="both"/>
              <w:rPr>
                <w:rFonts w:eastAsia="Times New Roman"/>
                <w:sz w:val="20"/>
                <w:lang w:eastAsia="en-GB"/>
              </w:rPr>
            </w:pPr>
            <w:r w:rsidRPr="00155028">
              <w:rPr>
                <w:rFonts w:eastAsia="Times New Roman"/>
                <w:sz w:val="20"/>
                <w:lang w:eastAsia="en-GB"/>
              </w:rPr>
              <w:t xml:space="preserve">4/G: neodobrene </w:t>
            </w:r>
            <w:proofErr w:type="spellStart"/>
            <w:r w:rsidRPr="00155028">
              <w:rPr>
                <w:rFonts w:eastAsia="Times New Roman"/>
                <w:sz w:val="20"/>
                <w:lang w:eastAsia="en-GB"/>
              </w:rPr>
              <w:t>a.s</w:t>
            </w:r>
            <w:proofErr w:type="spellEnd"/>
            <w:r w:rsidRPr="00155028">
              <w:rPr>
                <w:rFonts w:eastAsia="Times New Roman"/>
                <w:sz w:val="20"/>
                <w:lang w:eastAsia="en-GB"/>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385CF8"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114</w:t>
            </w:r>
          </w:p>
        </w:tc>
        <w:tc>
          <w:tcPr>
            <w:tcW w:w="820" w:type="dxa"/>
            <w:tcBorders>
              <w:top w:val="single" w:sz="4" w:space="0" w:color="auto"/>
              <w:left w:val="single" w:sz="4" w:space="0" w:color="auto"/>
              <w:bottom w:val="single" w:sz="4" w:space="0" w:color="auto"/>
              <w:right w:val="single" w:sz="4" w:space="0" w:color="auto"/>
            </w:tcBorders>
            <w:vAlign w:val="center"/>
            <w:hideMark/>
          </w:tcPr>
          <w:p w14:paraId="7A536B95"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97</w:t>
            </w:r>
          </w:p>
        </w:tc>
        <w:tc>
          <w:tcPr>
            <w:tcW w:w="679" w:type="dxa"/>
            <w:tcBorders>
              <w:top w:val="single" w:sz="4" w:space="0" w:color="auto"/>
              <w:left w:val="single" w:sz="4" w:space="0" w:color="auto"/>
              <w:bottom w:val="single" w:sz="4" w:space="0" w:color="auto"/>
              <w:right w:val="single" w:sz="4" w:space="0" w:color="auto"/>
            </w:tcBorders>
            <w:vAlign w:val="center"/>
            <w:hideMark/>
          </w:tcPr>
          <w:p w14:paraId="6D533CFF"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88</w:t>
            </w:r>
          </w:p>
        </w:tc>
        <w:tc>
          <w:tcPr>
            <w:tcW w:w="679" w:type="dxa"/>
            <w:tcBorders>
              <w:top w:val="single" w:sz="4" w:space="0" w:color="auto"/>
              <w:left w:val="single" w:sz="4" w:space="0" w:color="auto"/>
              <w:bottom w:val="single" w:sz="4" w:space="0" w:color="auto"/>
              <w:right w:val="single" w:sz="4" w:space="0" w:color="auto"/>
            </w:tcBorders>
            <w:vAlign w:val="center"/>
            <w:hideMark/>
          </w:tcPr>
          <w:p w14:paraId="2D57E4DF"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99</w:t>
            </w:r>
          </w:p>
        </w:tc>
        <w:tc>
          <w:tcPr>
            <w:tcW w:w="820" w:type="dxa"/>
            <w:tcBorders>
              <w:top w:val="single" w:sz="4" w:space="0" w:color="auto"/>
              <w:left w:val="single" w:sz="4" w:space="0" w:color="auto"/>
              <w:bottom w:val="single" w:sz="4" w:space="0" w:color="auto"/>
              <w:right w:val="single" w:sz="4" w:space="0" w:color="auto"/>
            </w:tcBorders>
            <w:vAlign w:val="center"/>
            <w:hideMark/>
          </w:tcPr>
          <w:p w14:paraId="1FF3F796"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99</w:t>
            </w:r>
          </w:p>
        </w:tc>
        <w:tc>
          <w:tcPr>
            <w:tcW w:w="679" w:type="dxa"/>
            <w:tcBorders>
              <w:top w:val="single" w:sz="4" w:space="0" w:color="auto"/>
              <w:left w:val="single" w:sz="4" w:space="0" w:color="auto"/>
              <w:bottom w:val="single" w:sz="4" w:space="0" w:color="auto"/>
              <w:right w:val="single" w:sz="4" w:space="0" w:color="auto"/>
            </w:tcBorders>
            <w:vAlign w:val="center"/>
            <w:hideMark/>
          </w:tcPr>
          <w:p w14:paraId="6D6DEE49"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97</w:t>
            </w:r>
          </w:p>
        </w:tc>
        <w:tc>
          <w:tcPr>
            <w:tcW w:w="679" w:type="dxa"/>
            <w:tcBorders>
              <w:top w:val="single" w:sz="4" w:space="0" w:color="auto"/>
              <w:left w:val="single" w:sz="4" w:space="0" w:color="auto"/>
              <w:bottom w:val="single" w:sz="4" w:space="0" w:color="auto"/>
              <w:right w:val="single" w:sz="4" w:space="0" w:color="auto"/>
            </w:tcBorders>
            <w:vAlign w:val="center"/>
            <w:hideMark/>
          </w:tcPr>
          <w:p w14:paraId="2D5B5A96"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76</w:t>
            </w:r>
          </w:p>
        </w:tc>
        <w:tc>
          <w:tcPr>
            <w:tcW w:w="820" w:type="dxa"/>
            <w:tcBorders>
              <w:top w:val="single" w:sz="4" w:space="0" w:color="auto"/>
              <w:left w:val="single" w:sz="4" w:space="0" w:color="auto"/>
              <w:bottom w:val="single" w:sz="4" w:space="0" w:color="auto"/>
              <w:right w:val="single" w:sz="4" w:space="0" w:color="auto"/>
            </w:tcBorders>
            <w:vAlign w:val="center"/>
            <w:hideMark/>
          </w:tcPr>
          <w:p w14:paraId="24AEEDE8" w14:textId="77777777" w:rsidR="00A614AA" w:rsidRPr="00155028" w:rsidRDefault="00A614AA" w:rsidP="003C239F">
            <w:pPr>
              <w:spacing w:before="120" w:after="0" w:line="240" w:lineRule="auto"/>
              <w:jc w:val="right"/>
              <w:rPr>
                <w:rFonts w:eastAsia="Times New Roman"/>
                <w:sz w:val="20"/>
                <w:lang w:eastAsia="en-GB"/>
              </w:rPr>
            </w:pPr>
            <w:r w:rsidRPr="00155028">
              <w:rPr>
                <w:rFonts w:eastAsia="Times New Roman"/>
                <w:sz w:val="20"/>
                <w:lang w:eastAsia="en-GB"/>
              </w:rPr>
              <w:t>60</w:t>
            </w:r>
          </w:p>
        </w:tc>
        <w:tc>
          <w:tcPr>
            <w:tcW w:w="522" w:type="dxa"/>
            <w:tcBorders>
              <w:top w:val="single" w:sz="4" w:space="0" w:color="auto"/>
              <w:left w:val="single" w:sz="4" w:space="0" w:color="auto"/>
              <w:bottom w:val="single" w:sz="4" w:space="0" w:color="auto"/>
              <w:right w:val="single" w:sz="4" w:space="0" w:color="auto"/>
            </w:tcBorders>
            <w:vAlign w:val="center"/>
          </w:tcPr>
          <w:p w14:paraId="50BBCCD3" w14:textId="5D8C847C" w:rsidR="00A614AA" w:rsidRPr="00155028" w:rsidRDefault="00DA73EF" w:rsidP="003C239F">
            <w:pPr>
              <w:spacing w:before="120" w:after="0" w:line="240" w:lineRule="auto"/>
              <w:jc w:val="right"/>
              <w:rPr>
                <w:rFonts w:eastAsia="Times New Roman"/>
                <w:sz w:val="20"/>
                <w:lang w:eastAsia="en-GB"/>
              </w:rPr>
            </w:pPr>
            <w:r w:rsidRPr="00155028">
              <w:rPr>
                <w:rFonts w:eastAsia="Times New Roman"/>
                <w:sz w:val="20"/>
                <w:lang w:eastAsia="en-GB"/>
              </w:rPr>
              <w:t>0</w:t>
            </w:r>
          </w:p>
        </w:tc>
      </w:tr>
    </w:tbl>
    <w:p w14:paraId="234748B2" w14:textId="1E772458" w:rsidR="0013618E" w:rsidRPr="00155028" w:rsidRDefault="007F41C6" w:rsidP="003C239F">
      <w:pPr>
        <w:pStyle w:val="Odstavekseznama"/>
        <w:spacing w:before="100" w:beforeAutospacing="1" w:after="100" w:afterAutospacing="1" w:line="240" w:lineRule="auto"/>
        <w:rPr>
          <w:sz w:val="20"/>
        </w:rPr>
      </w:pPr>
      <w:r w:rsidRPr="00155028">
        <w:rPr>
          <w:i/>
          <w:sz w:val="20"/>
        </w:rPr>
        <w:lastRenderedPageBreak/>
        <w:t xml:space="preserve">V razredu A so vse aktivne snovi, ki so narejene na podlagi mikroorganizmov in s kemijskega stališča pomenijo majhno tveganje za zdravje ljudi in okolje. </w:t>
      </w:r>
      <w:r w:rsidRPr="00155028">
        <w:rPr>
          <w:i/>
          <w:sz w:val="20"/>
        </w:rPr>
        <w:br/>
        <w:t xml:space="preserve">B. V razredu B so vse kemične aktivne snovi, ki pomenijo majhno tveganje za zdravje ljudi in okolje. </w:t>
      </w:r>
      <w:r w:rsidRPr="00155028">
        <w:rPr>
          <w:i/>
          <w:sz w:val="20"/>
        </w:rPr>
        <w:br/>
        <w:t>C. V razredu C so aktivne snovi, ki so narejene na podlagi mikroorganizmov in niso opredeljene kot snovi z majhnim tveganjem ali kot snovi, ki so na seznamu za zamenjavo.</w:t>
      </w:r>
      <w:r w:rsidRPr="00155028">
        <w:rPr>
          <w:i/>
          <w:sz w:val="20"/>
        </w:rPr>
        <w:br/>
        <w:t xml:space="preserve">D. V razredu D so vse kemične aktivne snovi, ki so odobrene v EU in niso opredeljene kot snovi z majhnim tveganjem ali kot snovi, ki so na seznamu za zamenjavo. </w:t>
      </w:r>
      <w:r w:rsidRPr="00155028">
        <w:rPr>
          <w:i/>
          <w:sz w:val="20"/>
        </w:rPr>
        <w:br/>
        <w:t xml:space="preserve">E. V razredu E so aktivne snovi, ki so odobrene v EU in so s kemijskega stališča problematične ter hkrati niso opredeljene kot rakotvorne snovi razreda 1A ali 1B in/ali strupene za razmnoževanje razreda 1A ali 1B; in/ali kot endokrini motilci. </w:t>
      </w:r>
      <w:r w:rsidRPr="00155028">
        <w:rPr>
          <w:i/>
          <w:sz w:val="20"/>
        </w:rPr>
        <w:br/>
        <w:t>F. V razredu F so aktivne snovi, ki so odobrene v EU in so s kemijskega stališča problematične ter so hkrati opredeljene kot rakotvorne snovi razreda 1A ali 1B in/ali strupene za razmnoževanje razreda 1A ali 1B; in/ali kot endokrini motilci, pri katerih je izpostavljenost ljudi zanemarljiva.</w:t>
      </w:r>
      <w:r w:rsidRPr="00155028">
        <w:rPr>
          <w:i/>
          <w:sz w:val="20"/>
        </w:rPr>
        <w:br/>
        <w:t>G. V kategoriji G so vse aktivne snovi, ki se v EU ne smejo več uporabljati v FFS. To so snovi, ki niso odobrene v EU, vendar se v prehodnem času do izteka roka za odprodajo zalog FFS še smejo prodajati v državah članicah.</w:t>
      </w:r>
      <w:r w:rsidRPr="00155028">
        <w:rPr>
          <w:rFonts w:eastAsia="Times New Roman"/>
          <w:sz w:val="16"/>
          <w:lang w:eastAsia="sl-SI"/>
        </w:rPr>
        <w:t xml:space="preserve"> </w:t>
      </w:r>
      <w:r w:rsidRPr="00155028">
        <w:rPr>
          <w:rFonts w:eastAsia="Times New Roman"/>
          <w:sz w:val="20"/>
          <w:lang w:eastAsia="sl-SI"/>
        </w:rPr>
        <w:br/>
      </w:r>
      <w:r w:rsidRPr="00155028">
        <w:rPr>
          <w:rFonts w:eastAsia="Times New Roman"/>
          <w:sz w:val="20"/>
          <w:lang w:eastAsia="sl-SI"/>
        </w:rPr>
        <w:br/>
      </w:r>
    </w:p>
    <w:p w14:paraId="4FAD6E41" w14:textId="317D8654" w:rsidR="007F41C6" w:rsidRPr="00155028" w:rsidRDefault="007F41C6" w:rsidP="003C239F">
      <w:pPr>
        <w:pStyle w:val="Odstavekseznama"/>
        <w:spacing w:before="100" w:beforeAutospacing="1" w:after="100" w:afterAutospacing="1" w:line="240" w:lineRule="auto"/>
        <w:jc w:val="both"/>
        <w:rPr>
          <w:sz w:val="20"/>
        </w:rPr>
      </w:pPr>
      <w:r w:rsidRPr="00155028">
        <w:rPr>
          <w:sz w:val="20"/>
        </w:rPr>
        <w:t xml:space="preserve">Iz </w:t>
      </w:r>
      <w:r w:rsidR="000A1A7D" w:rsidRPr="00155028">
        <w:rPr>
          <w:sz w:val="20"/>
        </w:rPr>
        <w:t>Tabele</w:t>
      </w:r>
      <w:r w:rsidRPr="00155028">
        <w:rPr>
          <w:sz w:val="20"/>
        </w:rPr>
        <w:t xml:space="preserve"> </w:t>
      </w:r>
      <w:r w:rsidR="00A41FAF" w:rsidRPr="00155028">
        <w:rPr>
          <w:sz w:val="20"/>
        </w:rPr>
        <w:t>5</w:t>
      </w:r>
      <w:r w:rsidRPr="00155028">
        <w:rPr>
          <w:sz w:val="20"/>
        </w:rPr>
        <w:t xml:space="preserve"> izhaja, da se je prodaja kemičnih aktivnih snovi, izdelanih na podlagi mikroorganizmov, izrazito povečala leta 2014, leta 2015 pa je bila večja tudi prodaja kemičnih aktivnih snovi, ki pomenijo majhno tveganje za zdravje ljudi in okolje, prodaja drugih aktivnih snovi pa je v obdobju 2011-2017 ostala približno enaka. V letu </w:t>
      </w:r>
      <w:r w:rsidR="00DA73EF" w:rsidRPr="00155028">
        <w:rPr>
          <w:sz w:val="20"/>
        </w:rPr>
        <w:t xml:space="preserve">2019 </w:t>
      </w:r>
      <w:r w:rsidRPr="00155028">
        <w:rPr>
          <w:sz w:val="20"/>
        </w:rPr>
        <w:t xml:space="preserve">je ponovno narasla prodaja kemičnih aktivnih snovi, izdelanih na podlagi mikroorganizmov, </w:t>
      </w:r>
      <w:r w:rsidR="00DA73EF" w:rsidRPr="00155028">
        <w:rPr>
          <w:sz w:val="20"/>
        </w:rPr>
        <w:t>ter kemičnih aktivnih snovi, ki pomenijo majhno tveganje za zdravje ljudi in okolje. Izrazito se je zmanjšala tudi prodaja razvrščenih aktivnih snovi, prvič pa ni bilo prodanih aktivnih snovi, ki bi bile neodobrene na EU nivoju.</w:t>
      </w:r>
    </w:p>
    <w:p w14:paraId="4142CD72" w14:textId="7B0B58E3" w:rsidR="00DA73EF" w:rsidRPr="00155028" w:rsidRDefault="00DA73EF" w:rsidP="003C239F">
      <w:pPr>
        <w:pStyle w:val="Odstavekseznama"/>
        <w:spacing w:before="100" w:beforeAutospacing="1" w:after="100" w:afterAutospacing="1" w:line="240" w:lineRule="auto"/>
        <w:rPr>
          <w:i/>
          <w:sz w:val="20"/>
        </w:rPr>
      </w:pPr>
    </w:p>
    <w:p w14:paraId="0E910522" w14:textId="77777777" w:rsidR="00DA73EF" w:rsidRPr="00155028" w:rsidRDefault="00DA73EF" w:rsidP="003C239F">
      <w:pPr>
        <w:spacing w:before="100" w:beforeAutospacing="1" w:after="100" w:afterAutospacing="1" w:line="240" w:lineRule="auto"/>
        <w:ind w:left="709"/>
        <w:jc w:val="both"/>
        <w:rPr>
          <w:bCs/>
          <w:sz w:val="20"/>
          <w:lang w:eastAsia="sl-SI"/>
        </w:rPr>
      </w:pPr>
      <w:r w:rsidRPr="00155028">
        <w:rPr>
          <w:bCs/>
          <w:sz w:val="20"/>
          <w:lang w:eastAsia="sl-SI"/>
        </w:rPr>
        <w:t>Največji delež k vrednosti usklajenega kazalnika tveganja 1 pa vsa leta doprinese </w:t>
      </w:r>
      <w:r w:rsidRPr="00155028">
        <w:rPr>
          <w:sz w:val="20"/>
          <w:lang w:eastAsia="sl-SI"/>
        </w:rPr>
        <w:t>žveplo</w:t>
      </w:r>
      <w:r w:rsidRPr="00155028">
        <w:rPr>
          <w:bCs/>
          <w:sz w:val="20"/>
          <w:lang w:eastAsia="sl-SI"/>
        </w:rPr>
        <w:t>, in sicer predstavlja 36 % vseh prodanih kemičnih pesticidov v l. 2018 oz. 35 % vseh prodanih kemičnih pesticidov v l. 2019. Večina žvepla se porabi v trajnih nasadih. V letih 2018 in 2019 doprinesejo </w:t>
      </w:r>
      <w:r w:rsidRPr="00155028">
        <w:rPr>
          <w:sz w:val="20"/>
          <w:lang w:eastAsia="sl-SI"/>
        </w:rPr>
        <w:t>baker</w:t>
      </w:r>
      <w:r w:rsidRPr="00155028">
        <w:rPr>
          <w:bCs/>
          <w:sz w:val="20"/>
          <w:lang w:eastAsia="sl-SI"/>
        </w:rPr>
        <w:t>, parafinsko olje in kalijev hidrogen karbonat skupno približno 8 % k vrednosti kazalnika tveganja. Žveplo in ostale naštete substance, ki skupno prispevajo več kot 40 % vseh prodanih kemičnih pesticidov, so snovi, ki se uporabljajo tudi in predvsem v ekološkem kmetijstvu in hkrati predstavljajo temeljno varstvo rastlin v primerih, ko nimamo na voljo ustreznih drugih substanc. Poleg tega je v primeru žvepla količinska poraba na površino bistveno večja v primerjavi z drugimi kemičnimi pesticidi, zato tudi največ doprinese k vrednosti kazalnika tveganja. Podobno velja za baker, pri čemer gre za substanco, ki je obenem kandidatka za zamenjavo in moramo zato njegovo rabo v skladu z zahtevami iz strategije od »vil do vilic« občutno zmanjšati. Smiselno bi bilo, da bi substance, kot sta žveplo in baker drugače ovrednotili (drugačen utežni faktor), sicer so cilji večanja površin pod ekološkim kmetijstvom v nasprotju s cilji zmanjševanja kemičnih pesticidov ter še posebej kandidatk za zamenjavo.</w:t>
      </w:r>
    </w:p>
    <w:p w14:paraId="7D5E091A" w14:textId="77777777" w:rsidR="00DA73EF" w:rsidRPr="00155028" w:rsidRDefault="00DA73EF" w:rsidP="003C239F">
      <w:pPr>
        <w:pStyle w:val="Odstavekseznama"/>
        <w:spacing w:before="100" w:beforeAutospacing="1" w:after="100" w:afterAutospacing="1" w:line="240" w:lineRule="auto"/>
        <w:rPr>
          <w:bCs/>
          <w:sz w:val="20"/>
          <w:lang w:eastAsia="sl-SI"/>
        </w:rPr>
      </w:pPr>
    </w:p>
    <w:p w14:paraId="4B6BA128" w14:textId="5ADA95BD" w:rsidR="007F41C6" w:rsidRPr="00155028" w:rsidRDefault="00A41FAF" w:rsidP="00A41FAF">
      <w:pPr>
        <w:pStyle w:val="Naslov3"/>
        <w:numPr>
          <w:ilvl w:val="0"/>
          <w:numId w:val="0"/>
        </w:numPr>
        <w:ind w:left="720"/>
        <w:rPr>
          <w:color w:val="0070C0"/>
        </w:rPr>
      </w:pPr>
      <w:bookmarkStart w:id="74" w:name="_Toc86826493"/>
      <w:r w:rsidRPr="00155028">
        <w:rPr>
          <w:color w:val="0070C0"/>
        </w:rPr>
        <w:lastRenderedPageBreak/>
        <w:t>3</w:t>
      </w:r>
      <w:r w:rsidR="00E96095" w:rsidRPr="00155028">
        <w:rPr>
          <w:color w:val="0070C0"/>
        </w:rPr>
        <w:t xml:space="preserve">.4.2. </w:t>
      </w:r>
      <w:r w:rsidR="007F41C6" w:rsidRPr="00155028">
        <w:rPr>
          <w:color w:val="0070C0"/>
        </w:rPr>
        <w:t>Kazalnik tveganja 2</w:t>
      </w:r>
      <w:bookmarkEnd w:id="74"/>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499"/>
        <w:gridCol w:w="960"/>
        <w:gridCol w:w="660"/>
        <w:gridCol w:w="709"/>
        <w:gridCol w:w="708"/>
        <w:gridCol w:w="709"/>
        <w:gridCol w:w="709"/>
        <w:gridCol w:w="567"/>
        <w:gridCol w:w="709"/>
        <w:gridCol w:w="708"/>
        <w:gridCol w:w="851"/>
      </w:tblGrid>
      <w:tr w:rsidR="0013618E" w:rsidRPr="00155028" w14:paraId="0C980A33" w14:textId="513BA01D" w:rsidTr="003C239F">
        <w:trPr>
          <w:tblHeader/>
          <w:tblCellSpacing w:w="15" w:type="dxa"/>
        </w:trPr>
        <w:tc>
          <w:tcPr>
            <w:tcW w:w="8729" w:type="dxa"/>
            <w:gridSpan w:val="11"/>
            <w:tcBorders>
              <w:top w:val="nil"/>
              <w:left w:val="nil"/>
              <w:bottom w:val="nil"/>
              <w:right w:val="nil"/>
            </w:tcBorders>
            <w:vAlign w:val="center"/>
            <w:hideMark/>
          </w:tcPr>
          <w:p w14:paraId="777A58F7" w14:textId="246868F0" w:rsidR="0013618E" w:rsidRPr="00155028" w:rsidRDefault="0013618E" w:rsidP="000A1A7D">
            <w:pPr>
              <w:pStyle w:val="Napis"/>
              <w:jc w:val="both"/>
              <w:rPr>
                <w:szCs w:val="20"/>
              </w:rPr>
            </w:pPr>
            <w:bookmarkStart w:id="75" w:name="_Toc86826525"/>
            <w:r w:rsidRPr="00155028">
              <w:rPr>
                <w:szCs w:val="20"/>
              </w:rPr>
              <w:t xml:space="preserve">Tabela </w:t>
            </w:r>
            <w:r w:rsidRPr="00155028">
              <w:rPr>
                <w:szCs w:val="20"/>
              </w:rPr>
              <w:fldChar w:fldCharType="begin"/>
            </w:r>
            <w:r w:rsidRPr="00155028">
              <w:rPr>
                <w:szCs w:val="20"/>
              </w:rPr>
              <w:instrText xml:space="preserve"> SEQ Tabela \* ARABIC </w:instrText>
            </w:r>
            <w:r w:rsidRPr="00155028">
              <w:rPr>
                <w:szCs w:val="20"/>
              </w:rPr>
              <w:fldChar w:fldCharType="separate"/>
            </w:r>
            <w:r w:rsidR="00F25B09">
              <w:rPr>
                <w:noProof/>
                <w:szCs w:val="20"/>
              </w:rPr>
              <w:t>6</w:t>
            </w:r>
            <w:r w:rsidRPr="00155028">
              <w:rPr>
                <w:noProof/>
                <w:szCs w:val="20"/>
              </w:rPr>
              <w:fldChar w:fldCharType="end"/>
            </w:r>
            <w:r w:rsidRPr="00155028">
              <w:rPr>
                <w:szCs w:val="20"/>
              </w:rPr>
              <w:t>: Gibanje celotnega utežnega indeksa z izhodiščno vrednostjo 100. Izhodiščna vrednost za usklajeni kazalnik tveganja 2 je enaka povprečnemu rezultatu izračuna iz števila izdanih dovoljenj za obdobje 2011–2013</w:t>
            </w:r>
            <w:bookmarkEnd w:id="75"/>
          </w:p>
        </w:tc>
      </w:tr>
      <w:tr w:rsidR="002E262B" w:rsidRPr="00155028" w14:paraId="207B1116" w14:textId="434D290F" w:rsidTr="003C239F">
        <w:trPr>
          <w:tblHeader/>
          <w:tblCellSpacing w:w="15" w:type="dxa"/>
        </w:trPr>
        <w:tc>
          <w:tcPr>
            <w:tcW w:w="1454"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3FCC0432" w14:textId="77777777" w:rsidR="002E262B" w:rsidRPr="00155028" w:rsidRDefault="002E262B" w:rsidP="007F41C6">
            <w:pPr>
              <w:spacing w:before="120" w:after="0" w:line="240" w:lineRule="auto"/>
              <w:jc w:val="center"/>
              <w:rPr>
                <w:rFonts w:eastAsia="Times New Roman"/>
                <w:sz w:val="20"/>
                <w:lang w:eastAsia="sl-SI"/>
              </w:rPr>
            </w:pPr>
          </w:p>
        </w:tc>
        <w:tc>
          <w:tcPr>
            <w:tcW w:w="930"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10C9B873" w14:textId="77777777" w:rsidR="002E262B" w:rsidRPr="00155028" w:rsidRDefault="002E262B" w:rsidP="007F41C6">
            <w:pPr>
              <w:spacing w:before="120" w:after="0" w:line="240" w:lineRule="auto"/>
              <w:jc w:val="center"/>
              <w:rPr>
                <w:rFonts w:eastAsia="Times New Roman"/>
                <w:b/>
                <w:bCs/>
                <w:sz w:val="20"/>
                <w:lang w:eastAsia="sl-SI"/>
              </w:rPr>
            </w:pPr>
            <w:r w:rsidRPr="00155028">
              <w:rPr>
                <w:rFonts w:eastAsia="Times New Roman"/>
                <w:b/>
                <w:bCs/>
                <w:sz w:val="20"/>
                <w:lang w:eastAsia="sl-SI"/>
              </w:rPr>
              <w:t>2011-2013</w:t>
            </w:r>
          </w:p>
        </w:tc>
        <w:tc>
          <w:tcPr>
            <w:tcW w:w="630"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25B5D5CB" w14:textId="77777777" w:rsidR="002E262B" w:rsidRPr="00155028" w:rsidRDefault="002E262B" w:rsidP="007F41C6">
            <w:pPr>
              <w:spacing w:before="120" w:after="0" w:line="240" w:lineRule="auto"/>
              <w:jc w:val="center"/>
              <w:rPr>
                <w:rFonts w:eastAsia="Times New Roman"/>
                <w:b/>
                <w:bCs/>
                <w:sz w:val="20"/>
                <w:lang w:eastAsia="sl-SI"/>
              </w:rPr>
            </w:pPr>
            <w:r w:rsidRPr="00155028">
              <w:rPr>
                <w:rFonts w:eastAsia="Times New Roman"/>
                <w:b/>
                <w:bCs/>
                <w:sz w:val="20"/>
                <w:lang w:eastAsia="sl-SI"/>
              </w:rPr>
              <w:t>2011</w:t>
            </w:r>
          </w:p>
        </w:tc>
        <w:tc>
          <w:tcPr>
            <w:tcW w:w="679"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4BD78132" w14:textId="77777777" w:rsidR="002E262B" w:rsidRPr="00155028" w:rsidRDefault="002E262B" w:rsidP="007F41C6">
            <w:pPr>
              <w:spacing w:before="120" w:after="0" w:line="240" w:lineRule="auto"/>
              <w:jc w:val="center"/>
              <w:rPr>
                <w:rFonts w:eastAsia="Times New Roman"/>
                <w:b/>
                <w:bCs/>
                <w:sz w:val="20"/>
                <w:lang w:eastAsia="sl-SI"/>
              </w:rPr>
            </w:pPr>
            <w:r w:rsidRPr="00155028">
              <w:rPr>
                <w:rFonts w:eastAsia="Times New Roman"/>
                <w:b/>
                <w:bCs/>
                <w:sz w:val="20"/>
                <w:lang w:eastAsia="sl-SI"/>
              </w:rPr>
              <w:t>2012</w:t>
            </w:r>
          </w:p>
        </w:tc>
        <w:tc>
          <w:tcPr>
            <w:tcW w:w="678"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25843AB3" w14:textId="77777777" w:rsidR="002E262B" w:rsidRPr="00155028" w:rsidRDefault="002E262B" w:rsidP="007F41C6">
            <w:pPr>
              <w:spacing w:before="120" w:after="0" w:line="240" w:lineRule="auto"/>
              <w:jc w:val="center"/>
              <w:rPr>
                <w:rFonts w:eastAsia="Times New Roman"/>
                <w:b/>
                <w:bCs/>
                <w:sz w:val="20"/>
                <w:lang w:eastAsia="sl-SI"/>
              </w:rPr>
            </w:pPr>
            <w:r w:rsidRPr="00155028">
              <w:rPr>
                <w:rFonts w:eastAsia="Times New Roman"/>
                <w:b/>
                <w:bCs/>
                <w:sz w:val="20"/>
                <w:lang w:eastAsia="sl-SI"/>
              </w:rPr>
              <w:t>2013</w:t>
            </w:r>
          </w:p>
        </w:tc>
        <w:tc>
          <w:tcPr>
            <w:tcW w:w="679"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5CCCAF34" w14:textId="77777777" w:rsidR="002E262B" w:rsidRPr="00155028" w:rsidRDefault="002E262B" w:rsidP="007F41C6">
            <w:pPr>
              <w:spacing w:before="120" w:after="0" w:line="240" w:lineRule="auto"/>
              <w:jc w:val="center"/>
              <w:rPr>
                <w:rFonts w:eastAsia="Times New Roman"/>
                <w:b/>
                <w:bCs/>
                <w:sz w:val="20"/>
                <w:lang w:eastAsia="sl-SI"/>
              </w:rPr>
            </w:pPr>
            <w:r w:rsidRPr="00155028">
              <w:rPr>
                <w:rFonts w:eastAsia="Times New Roman"/>
                <w:b/>
                <w:bCs/>
                <w:sz w:val="20"/>
                <w:lang w:eastAsia="sl-SI"/>
              </w:rPr>
              <w:t>2014</w:t>
            </w:r>
          </w:p>
        </w:tc>
        <w:tc>
          <w:tcPr>
            <w:tcW w:w="679"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336A575A" w14:textId="77777777" w:rsidR="002E262B" w:rsidRPr="00155028" w:rsidRDefault="002E262B" w:rsidP="007F41C6">
            <w:pPr>
              <w:spacing w:before="120" w:after="0" w:line="240" w:lineRule="auto"/>
              <w:jc w:val="center"/>
              <w:rPr>
                <w:rFonts w:eastAsia="Times New Roman"/>
                <w:b/>
                <w:bCs/>
                <w:sz w:val="20"/>
                <w:lang w:eastAsia="sl-SI"/>
              </w:rPr>
            </w:pPr>
            <w:r w:rsidRPr="00155028">
              <w:rPr>
                <w:rFonts w:eastAsia="Times New Roman"/>
                <w:b/>
                <w:bCs/>
                <w:sz w:val="20"/>
                <w:lang w:eastAsia="sl-SI"/>
              </w:rPr>
              <w:t>2015</w:t>
            </w:r>
          </w:p>
        </w:tc>
        <w:tc>
          <w:tcPr>
            <w:tcW w:w="537"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11A5DC08" w14:textId="77777777" w:rsidR="002E262B" w:rsidRPr="00155028" w:rsidRDefault="002E262B" w:rsidP="007F41C6">
            <w:pPr>
              <w:spacing w:before="120" w:after="0" w:line="240" w:lineRule="auto"/>
              <w:jc w:val="center"/>
              <w:rPr>
                <w:rFonts w:eastAsia="Times New Roman"/>
                <w:b/>
                <w:bCs/>
                <w:sz w:val="20"/>
                <w:lang w:eastAsia="sl-SI"/>
              </w:rPr>
            </w:pPr>
            <w:r w:rsidRPr="00155028">
              <w:rPr>
                <w:rFonts w:eastAsia="Times New Roman"/>
                <w:b/>
                <w:bCs/>
                <w:sz w:val="20"/>
                <w:lang w:eastAsia="sl-SI"/>
              </w:rPr>
              <w:t>2016</w:t>
            </w:r>
          </w:p>
        </w:tc>
        <w:tc>
          <w:tcPr>
            <w:tcW w:w="679"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22F6EB8F" w14:textId="77777777" w:rsidR="002E262B" w:rsidRPr="00155028" w:rsidRDefault="002E262B" w:rsidP="007F41C6">
            <w:pPr>
              <w:spacing w:before="120" w:after="0" w:line="240" w:lineRule="auto"/>
              <w:jc w:val="center"/>
              <w:rPr>
                <w:rFonts w:eastAsia="Times New Roman"/>
                <w:b/>
                <w:bCs/>
                <w:sz w:val="20"/>
                <w:lang w:eastAsia="sl-SI"/>
              </w:rPr>
            </w:pPr>
            <w:r w:rsidRPr="00155028">
              <w:rPr>
                <w:rFonts w:eastAsia="Times New Roman"/>
                <w:b/>
                <w:bCs/>
                <w:sz w:val="20"/>
                <w:lang w:eastAsia="sl-SI"/>
              </w:rPr>
              <w:t>2017</w:t>
            </w:r>
          </w:p>
        </w:tc>
        <w:tc>
          <w:tcPr>
            <w:tcW w:w="678" w:type="dxa"/>
            <w:tcBorders>
              <w:top w:val="single" w:sz="4" w:space="0" w:color="auto"/>
              <w:left w:val="single" w:sz="4" w:space="0" w:color="auto"/>
              <w:bottom w:val="single" w:sz="4" w:space="0" w:color="auto"/>
              <w:right w:val="single" w:sz="4" w:space="0" w:color="auto"/>
            </w:tcBorders>
            <w:shd w:val="clear" w:color="auto" w:fill="D9EEF3"/>
            <w:vAlign w:val="center"/>
            <w:hideMark/>
          </w:tcPr>
          <w:p w14:paraId="75B79FD1" w14:textId="77777777" w:rsidR="002E262B" w:rsidRPr="00155028" w:rsidRDefault="002E262B" w:rsidP="007F41C6">
            <w:pPr>
              <w:spacing w:before="120" w:after="0" w:line="240" w:lineRule="auto"/>
              <w:jc w:val="center"/>
              <w:rPr>
                <w:rFonts w:eastAsia="Times New Roman"/>
                <w:b/>
                <w:bCs/>
                <w:sz w:val="20"/>
                <w:lang w:eastAsia="sl-SI"/>
              </w:rPr>
            </w:pPr>
            <w:r w:rsidRPr="00155028">
              <w:rPr>
                <w:rFonts w:eastAsia="Times New Roman"/>
                <w:b/>
                <w:bCs/>
                <w:sz w:val="20"/>
                <w:lang w:eastAsia="sl-SI"/>
              </w:rPr>
              <w:t>2018</w:t>
            </w:r>
          </w:p>
        </w:tc>
        <w:tc>
          <w:tcPr>
            <w:tcW w:w="806" w:type="dxa"/>
            <w:tcBorders>
              <w:top w:val="single" w:sz="4" w:space="0" w:color="auto"/>
              <w:left w:val="single" w:sz="4" w:space="0" w:color="auto"/>
              <w:bottom w:val="single" w:sz="4" w:space="0" w:color="auto"/>
              <w:right w:val="single" w:sz="4" w:space="0" w:color="auto"/>
            </w:tcBorders>
            <w:shd w:val="clear" w:color="auto" w:fill="D9EEF3"/>
            <w:vAlign w:val="center"/>
          </w:tcPr>
          <w:p w14:paraId="022D0B54" w14:textId="7C2FDF6A" w:rsidR="002E262B" w:rsidRPr="00155028" w:rsidRDefault="002E262B" w:rsidP="003C239F">
            <w:pPr>
              <w:spacing w:before="120" w:after="0" w:line="240" w:lineRule="auto"/>
              <w:jc w:val="right"/>
              <w:rPr>
                <w:rFonts w:eastAsia="Times New Roman"/>
                <w:b/>
                <w:bCs/>
                <w:sz w:val="20"/>
                <w:lang w:eastAsia="sl-SI"/>
              </w:rPr>
            </w:pPr>
            <w:r w:rsidRPr="00155028">
              <w:rPr>
                <w:rFonts w:eastAsia="Times New Roman"/>
                <w:b/>
                <w:bCs/>
                <w:sz w:val="20"/>
                <w:lang w:eastAsia="sl-SI"/>
              </w:rPr>
              <w:t>2019</w:t>
            </w:r>
          </w:p>
        </w:tc>
      </w:tr>
      <w:tr w:rsidR="002E262B" w:rsidRPr="00155028" w14:paraId="7B7FB016" w14:textId="54949D54" w:rsidTr="003C239F">
        <w:trPr>
          <w:tblCellSpacing w:w="15" w:type="dxa"/>
        </w:trPr>
        <w:tc>
          <w:tcPr>
            <w:tcW w:w="1454" w:type="dxa"/>
            <w:tcBorders>
              <w:top w:val="single" w:sz="4" w:space="0" w:color="auto"/>
              <w:left w:val="single" w:sz="4" w:space="0" w:color="auto"/>
              <w:bottom w:val="single" w:sz="4" w:space="0" w:color="auto"/>
              <w:right w:val="single" w:sz="4" w:space="0" w:color="auto"/>
            </w:tcBorders>
            <w:vAlign w:val="center"/>
            <w:hideMark/>
          </w:tcPr>
          <w:p w14:paraId="2C4B2BB8" w14:textId="77777777" w:rsidR="002E262B" w:rsidRPr="00155028" w:rsidRDefault="002E262B" w:rsidP="002E262B">
            <w:pPr>
              <w:spacing w:before="120" w:after="0" w:line="240" w:lineRule="auto"/>
              <w:jc w:val="both"/>
              <w:rPr>
                <w:rFonts w:eastAsia="Times New Roman"/>
                <w:sz w:val="20"/>
                <w:lang w:eastAsia="sl-SI"/>
              </w:rPr>
            </w:pPr>
            <w:r w:rsidRPr="00155028">
              <w:rPr>
                <w:rFonts w:eastAsia="Times New Roman"/>
                <w:sz w:val="20"/>
                <w:lang w:eastAsia="sl-SI"/>
              </w:rPr>
              <w:t>Usklajeni kazalnik tveganja 2</w:t>
            </w:r>
          </w:p>
        </w:tc>
        <w:tc>
          <w:tcPr>
            <w:tcW w:w="930" w:type="dxa"/>
            <w:tcBorders>
              <w:top w:val="single" w:sz="4" w:space="0" w:color="auto"/>
              <w:left w:val="single" w:sz="4" w:space="0" w:color="auto"/>
              <w:bottom w:val="single" w:sz="4" w:space="0" w:color="auto"/>
              <w:right w:val="single" w:sz="4" w:space="0" w:color="auto"/>
            </w:tcBorders>
            <w:vAlign w:val="center"/>
            <w:hideMark/>
          </w:tcPr>
          <w:p w14:paraId="5AD90A8F" w14:textId="77777777" w:rsidR="002E262B" w:rsidRPr="00155028" w:rsidRDefault="002E262B" w:rsidP="002E262B">
            <w:pPr>
              <w:spacing w:before="120" w:after="0" w:line="240" w:lineRule="auto"/>
              <w:jc w:val="both"/>
              <w:rPr>
                <w:rFonts w:eastAsia="Times New Roman"/>
                <w:sz w:val="20"/>
                <w:lang w:eastAsia="sl-SI"/>
              </w:rPr>
            </w:pPr>
            <w:r w:rsidRPr="00155028">
              <w:rPr>
                <w:rFonts w:eastAsia="Times New Roman"/>
                <w:sz w:val="20"/>
                <w:lang w:eastAsia="sl-SI"/>
              </w:rPr>
              <w:t>100</w:t>
            </w:r>
          </w:p>
        </w:tc>
        <w:tc>
          <w:tcPr>
            <w:tcW w:w="630" w:type="dxa"/>
            <w:tcBorders>
              <w:top w:val="single" w:sz="4" w:space="0" w:color="auto"/>
              <w:left w:val="single" w:sz="4" w:space="0" w:color="auto"/>
              <w:bottom w:val="single" w:sz="4" w:space="0" w:color="auto"/>
              <w:right w:val="single" w:sz="4" w:space="0" w:color="auto"/>
            </w:tcBorders>
            <w:vAlign w:val="center"/>
            <w:hideMark/>
          </w:tcPr>
          <w:p w14:paraId="5376EC2F" w14:textId="71530010" w:rsidR="002E262B" w:rsidRPr="00155028" w:rsidRDefault="002E262B" w:rsidP="003C239F">
            <w:pPr>
              <w:spacing w:before="120" w:after="0" w:line="240" w:lineRule="auto"/>
              <w:jc w:val="right"/>
              <w:rPr>
                <w:rFonts w:eastAsia="Times New Roman"/>
                <w:sz w:val="20"/>
                <w:lang w:eastAsia="sl-SI"/>
              </w:rPr>
            </w:pPr>
            <w:r w:rsidRPr="00155028">
              <w:rPr>
                <w:sz w:val="20"/>
              </w:rPr>
              <w:t>35</w:t>
            </w:r>
          </w:p>
        </w:tc>
        <w:tc>
          <w:tcPr>
            <w:tcW w:w="679" w:type="dxa"/>
            <w:tcBorders>
              <w:top w:val="single" w:sz="4" w:space="0" w:color="auto"/>
              <w:left w:val="single" w:sz="4" w:space="0" w:color="auto"/>
              <w:bottom w:val="single" w:sz="4" w:space="0" w:color="auto"/>
              <w:right w:val="single" w:sz="4" w:space="0" w:color="auto"/>
            </w:tcBorders>
            <w:vAlign w:val="center"/>
            <w:hideMark/>
          </w:tcPr>
          <w:p w14:paraId="144FB7EB" w14:textId="18366797" w:rsidR="002E262B" w:rsidRPr="00155028" w:rsidRDefault="002E262B" w:rsidP="003C239F">
            <w:pPr>
              <w:spacing w:before="120" w:after="0" w:line="240" w:lineRule="auto"/>
              <w:jc w:val="right"/>
              <w:rPr>
                <w:rFonts w:eastAsia="Times New Roman"/>
                <w:sz w:val="20"/>
                <w:lang w:eastAsia="sl-SI"/>
              </w:rPr>
            </w:pPr>
            <w:r w:rsidRPr="00155028">
              <w:rPr>
                <w:sz w:val="20"/>
              </w:rPr>
              <w:t>88</w:t>
            </w:r>
          </w:p>
        </w:tc>
        <w:tc>
          <w:tcPr>
            <w:tcW w:w="678" w:type="dxa"/>
            <w:tcBorders>
              <w:top w:val="single" w:sz="4" w:space="0" w:color="auto"/>
              <w:left w:val="single" w:sz="4" w:space="0" w:color="auto"/>
              <w:bottom w:val="single" w:sz="4" w:space="0" w:color="auto"/>
              <w:right w:val="single" w:sz="4" w:space="0" w:color="auto"/>
            </w:tcBorders>
            <w:vAlign w:val="center"/>
            <w:hideMark/>
          </w:tcPr>
          <w:p w14:paraId="514F7AFA" w14:textId="7A30D668" w:rsidR="002E262B" w:rsidRPr="00155028" w:rsidRDefault="002E262B" w:rsidP="003C239F">
            <w:pPr>
              <w:spacing w:before="120" w:after="0" w:line="240" w:lineRule="auto"/>
              <w:jc w:val="right"/>
              <w:rPr>
                <w:rFonts w:eastAsia="Times New Roman"/>
                <w:sz w:val="20"/>
                <w:lang w:eastAsia="sl-SI"/>
              </w:rPr>
            </w:pPr>
            <w:r w:rsidRPr="00155028">
              <w:rPr>
                <w:sz w:val="20"/>
              </w:rPr>
              <w:t>176</w:t>
            </w:r>
          </w:p>
        </w:tc>
        <w:tc>
          <w:tcPr>
            <w:tcW w:w="679" w:type="dxa"/>
            <w:tcBorders>
              <w:top w:val="single" w:sz="4" w:space="0" w:color="auto"/>
              <w:left w:val="single" w:sz="4" w:space="0" w:color="auto"/>
              <w:bottom w:val="single" w:sz="4" w:space="0" w:color="auto"/>
              <w:right w:val="single" w:sz="4" w:space="0" w:color="auto"/>
            </w:tcBorders>
            <w:vAlign w:val="center"/>
            <w:hideMark/>
          </w:tcPr>
          <w:p w14:paraId="712DA308" w14:textId="3E9E49B8" w:rsidR="002E262B" w:rsidRPr="00155028" w:rsidRDefault="002E262B" w:rsidP="003C239F">
            <w:pPr>
              <w:spacing w:before="120" w:after="0" w:line="240" w:lineRule="auto"/>
              <w:jc w:val="right"/>
              <w:rPr>
                <w:rFonts w:eastAsia="Times New Roman"/>
                <w:sz w:val="20"/>
                <w:lang w:eastAsia="sl-SI"/>
              </w:rPr>
            </w:pPr>
            <w:r w:rsidRPr="00155028">
              <w:rPr>
                <w:sz w:val="20"/>
              </w:rPr>
              <w:t>176</w:t>
            </w:r>
          </w:p>
        </w:tc>
        <w:tc>
          <w:tcPr>
            <w:tcW w:w="679" w:type="dxa"/>
            <w:tcBorders>
              <w:top w:val="single" w:sz="4" w:space="0" w:color="auto"/>
              <w:left w:val="single" w:sz="4" w:space="0" w:color="auto"/>
              <w:bottom w:val="single" w:sz="4" w:space="0" w:color="auto"/>
              <w:right w:val="single" w:sz="4" w:space="0" w:color="auto"/>
            </w:tcBorders>
            <w:vAlign w:val="center"/>
            <w:hideMark/>
          </w:tcPr>
          <w:p w14:paraId="7ED45E6B" w14:textId="597EEE16" w:rsidR="002E262B" w:rsidRPr="00155028" w:rsidRDefault="002E262B" w:rsidP="003C239F">
            <w:pPr>
              <w:spacing w:before="120" w:after="0" w:line="240" w:lineRule="auto"/>
              <w:jc w:val="right"/>
              <w:rPr>
                <w:rFonts w:eastAsia="Times New Roman"/>
                <w:sz w:val="20"/>
                <w:lang w:eastAsia="sl-SI"/>
              </w:rPr>
            </w:pPr>
            <w:r w:rsidRPr="00155028">
              <w:rPr>
                <w:sz w:val="20"/>
              </w:rPr>
              <w:t>88</w:t>
            </w:r>
          </w:p>
        </w:tc>
        <w:tc>
          <w:tcPr>
            <w:tcW w:w="537" w:type="dxa"/>
            <w:tcBorders>
              <w:top w:val="single" w:sz="4" w:space="0" w:color="auto"/>
              <w:left w:val="single" w:sz="4" w:space="0" w:color="auto"/>
              <w:bottom w:val="single" w:sz="4" w:space="0" w:color="auto"/>
              <w:right w:val="single" w:sz="4" w:space="0" w:color="auto"/>
            </w:tcBorders>
            <w:vAlign w:val="center"/>
            <w:hideMark/>
          </w:tcPr>
          <w:p w14:paraId="34371A18" w14:textId="75809E73" w:rsidR="002E262B" w:rsidRPr="00155028" w:rsidRDefault="002E262B" w:rsidP="003C239F">
            <w:pPr>
              <w:spacing w:before="120" w:after="0" w:line="240" w:lineRule="auto"/>
              <w:jc w:val="right"/>
              <w:rPr>
                <w:rFonts w:eastAsia="Times New Roman"/>
                <w:sz w:val="20"/>
                <w:lang w:eastAsia="sl-SI"/>
              </w:rPr>
            </w:pPr>
            <w:r w:rsidRPr="00155028">
              <w:rPr>
                <w:sz w:val="20"/>
              </w:rPr>
              <w:t>212</w:t>
            </w:r>
          </w:p>
        </w:tc>
        <w:tc>
          <w:tcPr>
            <w:tcW w:w="679" w:type="dxa"/>
            <w:tcBorders>
              <w:top w:val="single" w:sz="4" w:space="0" w:color="auto"/>
              <w:left w:val="single" w:sz="4" w:space="0" w:color="auto"/>
              <w:bottom w:val="single" w:sz="4" w:space="0" w:color="auto"/>
              <w:right w:val="single" w:sz="4" w:space="0" w:color="auto"/>
            </w:tcBorders>
            <w:vAlign w:val="center"/>
            <w:hideMark/>
          </w:tcPr>
          <w:p w14:paraId="40F0E1DC" w14:textId="624BA786" w:rsidR="002E262B" w:rsidRPr="00155028" w:rsidRDefault="002E262B" w:rsidP="003C239F">
            <w:pPr>
              <w:spacing w:before="120" w:after="0" w:line="240" w:lineRule="auto"/>
              <w:jc w:val="right"/>
              <w:rPr>
                <w:rFonts w:eastAsia="Times New Roman"/>
                <w:sz w:val="20"/>
                <w:lang w:eastAsia="sl-SI"/>
              </w:rPr>
            </w:pPr>
            <w:r w:rsidRPr="00155028">
              <w:rPr>
                <w:sz w:val="20"/>
              </w:rPr>
              <w:t>212</w:t>
            </w:r>
          </w:p>
        </w:tc>
        <w:tc>
          <w:tcPr>
            <w:tcW w:w="678" w:type="dxa"/>
            <w:tcBorders>
              <w:top w:val="single" w:sz="4" w:space="0" w:color="auto"/>
              <w:left w:val="single" w:sz="4" w:space="0" w:color="auto"/>
              <w:bottom w:val="single" w:sz="4" w:space="0" w:color="auto"/>
              <w:right w:val="single" w:sz="4" w:space="0" w:color="auto"/>
            </w:tcBorders>
            <w:vAlign w:val="center"/>
            <w:hideMark/>
          </w:tcPr>
          <w:p w14:paraId="74159846" w14:textId="0B66A25D" w:rsidR="002E262B" w:rsidRPr="00155028" w:rsidRDefault="002E262B" w:rsidP="003C239F">
            <w:pPr>
              <w:spacing w:before="120" w:after="0" w:line="240" w:lineRule="auto"/>
              <w:jc w:val="right"/>
              <w:rPr>
                <w:rFonts w:eastAsia="Times New Roman"/>
                <w:sz w:val="20"/>
                <w:lang w:eastAsia="sl-SI"/>
              </w:rPr>
            </w:pPr>
            <w:r w:rsidRPr="00155028">
              <w:rPr>
                <w:sz w:val="20"/>
              </w:rPr>
              <w:t>141</w:t>
            </w:r>
          </w:p>
        </w:tc>
        <w:tc>
          <w:tcPr>
            <w:tcW w:w="806" w:type="dxa"/>
            <w:tcBorders>
              <w:top w:val="single" w:sz="4" w:space="0" w:color="auto"/>
              <w:left w:val="single" w:sz="4" w:space="0" w:color="auto"/>
              <w:bottom w:val="single" w:sz="4" w:space="0" w:color="auto"/>
              <w:right w:val="single" w:sz="4" w:space="0" w:color="auto"/>
            </w:tcBorders>
            <w:vAlign w:val="center"/>
          </w:tcPr>
          <w:p w14:paraId="6464899D" w14:textId="04E77BBC" w:rsidR="002E262B" w:rsidRPr="00155028" w:rsidRDefault="002E262B" w:rsidP="003C239F">
            <w:pPr>
              <w:spacing w:before="120" w:after="0" w:line="240" w:lineRule="auto"/>
              <w:jc w:val="right"/>
              <w:rPr>
                <w:rFonts w:eastAsia="Times New Roman"/>
                <w:sz w:val="20"/>
                <w:lang w:eastAsia="sl-SI"/>
              </w:rPr>
            </w:pPr>
            <w:r w:rsidRPr="00155028">
              <w:rPr>
                <w:rFonts w:eastAsia="Times New Roman"/>
                <w:sz w:val="20"/>
                <w:lang w:eastAsia="sl-SI"/>
              </w:rPr>
              <w:t>229</w:t>
            </w:r>
          </w:p>
        </w:tc>
      </w:tr>
    </w:tbl>
    <w:p w14:paraId="3C9B1034" w14:textId="77777777" w:rsidR="002E262B" w:rsidRPr="00155028" w:rsidRDefault="007F41C6" w:rsidP="002E262B">
      <w:pPr>
        <w:spacing w:before="100" w:beforeAutospacing="1" w:after="100" w:afterAutospacing="1" w:line="240" w:lineRule="auto"/>
        <w:jc w:val="both"/>
        <w:rPr>
          <w:rFonts w:eastAsia="Times New Roman"/>
          <w:sz w:val="20"/>
        </w:rPr>
      </w:pPr>
      <w:r w:rsidRPr="00155028">
        <w:rPr>
          <w:rFonts w:eastAsia="Times New Roman"/>
          <w:sz w:val="20"/>
        </w:rPr>
        <w:t xml:space="preserve">Iz </w:t>
      </w:r>
      <w:r w:rsidR="000A1A7D" w:rsidRPr="00155028">
        <w:rPr>
          <w:rFonts w:eastAsia="Times New Roman"/>
          <w:sz w:val="20"/>
        </w:rPr>
        <w:t>Tabel</w:t>
      </w:r>
      <w:r w:rsidRPr="00155028">
        <w:rPr>
          <w:rFonts w:eastAsia="Times New Roman"/>
          <w:sz w:val="20"/>
        </w:rPr>
        <w:t xml:space="preserve">e </w:t>
      </w:r>
      <w:r w:rsidR="00A41FAF" w:rsidRPr="00155028">
        <w:rPr>
          <w:rFonts w:eastAsia="Times New Roman"/>
          <w:sz w:val="20"/>
        </w:rPr>
        <w:t>6</w:t>
      </w:r>
      <w:r w:rsidRPr="00155028">
        <w:rPr>
          <w:rFonts w:eastAsia="Times New Roman"/>
          <w:sz w:val="20"/>
        </w:rPr>
        <w:t xml:space="preserve"> izhaja, </w:t>
      </w:r>
      <w:r w:rsidR="002E262B" w:rsidRPr="00155028">
        <w:rPr>
          <w:rFonts w:eastAsia="Times New Roman"/>
          <w:sz w:val="20"/>
        </w:rPr>
        <w:t>da se je skupno število nujnih dovoljenj v zadnjih letih povečalo. Za to je po eni strani odločilno dejstvo, da Slovenija predstavlja majhen trg, kar se kaže v vrzelih v rednih odobritvah zaradi premajhnega zanimanja vlagateljev. Po drugi strani na povečanje kazalnika vpliva tudi majhno število novo odobrenih aktivnih snovi ter pritisk škodljivih organizmov in pojav novih vrst škodljivih organizmov, predvsem zaradi lege Slovenije (bližina morja in držav južne cone).</w:t>
      </w:r>
    </w:p>
    <w:p w14:paraId="23C96FB6" w14:textId="77777777" w:rsidR="002E262B" w:rsidRPr="00155028" w:rsidRDefault="002E262B" w:rsidP="002E262B">
      <w:pPr>
        <w:spacing w:before="100" w:beforeAutospacing="1" w:after="100" w:afterAutospacing="1" w:line="240" w:lineRule="auto"/>
        <w:jc w:val="both"/>
        <w:rPr>
          <w:rFonts w:eastAsia="Times New Roman"/>
          <w:sz w:val="20"/>
        </w:rPr>
      </w:pPr>
      <w:r w:rsidRPr="00155028">
        <w:rPr>
          <w:rFonts w:eastAsia="Times New Roman"/>
          <w:sz w:val="20"/>
        </w:rPr>
        <w:t>Nujne odobritve so imele pomembno vlogo tudi pri ekološkem kmetovanju v Sloveniji. Približno 30 % nujnih dovoljenj, izdanih leta 2019, se nanaša na uporabo v ekološkem kmetovanju. V letu 2019 smo skupno izdali 11 nujnih dovoljenj.</w:t>
      </w:r>
    </w:p>
    <w:p w14:paraId="6C93232B" w14:textId="006A1667" w:rsidR="007F41C6" w:rsidRPr="00155028" w:rsidRDefault="007F41C6" w:rsidP="007F41C6">
      <w:pPr>
        <w:spacing w:before="100" w:beforeAutospacing="1" w:after="100" w:afterAutospacing="1" w:line="240" w:lineRule="auto"/>
        <w:jc w:val="both"/>
        <w:rPr>
          <w:rFonts w:eastAsia="Times New Roman"/>
          <w:sz w:val="20"/>
        </w:rPr>
      </w:pPr>
    </w:p>
    <w:p w14:paraId="4C527298" w14:textId="3158058B" w:rsidR="00867750" w:rsidRPr="00155028" w:rsidRDefault="00A41FAF" w:rsidP="00A41FAF">
      <w:pPr>
        <w:pStyle w:val="Naslov2"/>
        <w:rPr>
          <w:rFonts w:ascii="Arial" w:hAnsi="Arial" w:cs="Arial"/>
        </w:rPr>
      </w:pPr>
      <w:bookmarkStart w:id="76" w:name="_Toc86826494"/>
      <w:r w:rsidRPr="00155028">
        <w:rPr>
          <w:rFonts w:ascii="Arial" w:hAnsi="Arial" w:cs="Arial"/>
        </w:rPr>
        <w:t>3</w:t>
      </w:r>
      <w:r w:rsidR="000136C1" w:rsidRPr="00155028">
        <w:rPr>
          <w:rFonts w:ascii="Arial" w:hAnsi="Arial" w:cs="Arial"/>
        </w:rPr>
        <w:t xml:space="preserve">.5 </w:t>
      </w:r>
      <w:r w:rsidR="0035746E" w:rsidRPr="00155028">
        <w:rPr>
          <w:rFonts w:ascii="Arial" w:hAnsi="Arial" w:cs="Arial"/>
        </w:rPr>
        <w:t>Ukrepi za zmanjšanje rabe FFS</w:t>
      </w:r>
      <w:bookmarkEnd w:id="76"/>
    </w:p>
    <w:p w14:paraId="4627CCE9" w14:textId="77777777" w:rsidR="00FA4BE0" w:rsidRPr="00155028" w:rsidRDefault="00FA4BE0" w:rsidP="00FA4BE0">
      <w:pPr>
        <w:spacing w:before="80" w:after="80" w:line="220" w:lineRule="atLeast"/>
        <w:jc w:val="both"/>
        <w:rPr>
          <w:rFonts w:eastAsia="Times New Roman"/>
          <w:sz w:val="20"/>
          <w:lang w:eastAsia="en-GB"/>
        </w:rPr>
      </w:pPr>
      <w:r w:rsidRPr="00155028">
        <w:rPr>
          <w:rFonts w:eastAsia="Times New Roman"/>
          <w:sz w:val="20"/>
          <w:lang w:eastAsia="en-GB"/>
        </w:rPr>
        <w:t xml:space="preserve">Integrirana pridelava se v RS izvaja že od leta 2003. Do konca leta 2014 se je izvajala v okviru kmetijsko </w:t>
      </w:r>
      <w:proofErr w:type="spellStart"/>
      <w:r w:rsidRPr="00155028">
        <w:rPr>
          <w:rFonts w:eastAsia="Times New Roman"/>
          <w:sz w:val="20"/>
          <w:lang w:eastAsia="en-GB"/>
        </w:rPr>
        <w:t>okoljskih</w:t>
      </w:r>
      <w:proofErr w:type="spellEnd"/>
      <w:r w:rsidRPr="00155028">
        <w:rPr>
          <w:rFonts w:eastAsia="Times New Roman"/>
          <w:sz w:val="20"/>
          <w:lang w:eastAsia="en-GB"/>
        </w:rPr>
        <w:t xml:space="preserve"> ukrepov Programa razvoja podeželja 2007–2013. Od leta 2015 integrirana pridelava sicer ni več del kmetijsko </w:t>
      </w:r>
      <w:proofErr w:type="spellStart"/>
      <w:r w:rsidRPr="00155028">
        <w:rPr>
          <w:rFonts w:eastAsia="Times New Roman"/>
          <w:sz w:val="20"/>
          <w:lang w:eastAsia="en-GB"/>
        </w:rPr>
        <w:t>okoljskih</w:t>
      </w:r>
      <w:proofErr w:type="spellEnd"/>
      <w:r w:rsidRPr="00155028">
        <w:rPr>
          <w:rFonts w:eastAsia="Times New Roman"/>
          <w:sz w:val="20"/>
          <w:lang w:eastAsia="en-GB"/>
        </w:rPr>
        <w:t xml:space="preserve"> ukrepov, ostaja pa </w:t>
      </w:r>
      <w:r w:rsidRPr="00155028">
        <w:rPr>
          <w:rFonts w:eastAsia="Times New Roman"/>
          <w:b/>
          <w:bCs/>
          <w:sz w:val="20"/>
          <w:lang w:eastAsia="en-GB"/>
        </w:rPr>
        <w:t>prostovoljna nacionalna, slovenska shema kakovosti</w:t>
      </w:r>
      <w:r w:rsidRPr="00155028">
        <w:rPr>
          <w:rFonts w:eastAsia="Times New Roman"/>
          <w:sz w:val="20"/>
          <w:lang w:eastAsia="en-GB"/>
        </w:rPr>
        <w:t xml:space="preserve">. Izvaja se integrirana pridelava poljščin, sadja, grozdja in zelenjave, ki spada med nacionalne sheme kakovosti. Tehnologija pridelave, postopki kontrole in način označevanja so določeni v pravilnikih o integrirani pridelavi in tehnoloških navodilih za integrirano pridelavo, ki jih vsako leto izda Ministrstvo. </w:t>
      </w:r>
    </w:p>
    <w:p w14:paraId="7FECE02E" w14:textId="77777777" w:rsidR="00FA4BE0" w:rsidRPr="00155028" w:rsidRDefault="00FA4BE0" w:rsidP="00FA4BE0">
      <w:pPr>
        <w:spacing w:before="80" w:after="80" w:line="220" w:lineRule="atLeast"/>
        <w:jc w:val="both"/>
        <w:rPr>
          <w:rFonts w:eastAsia="Times New Roman"/>
          <w:sz w:val="20"/>
          <w:lang w:eastAsia="en-GB"/>
        </w:rPr>
      </w:pPr>
      <w:r w:rsidRPr="00155028">
        <w:rPr>
          <w:rFonts w:eastAsia="Times New Roman"/>
          <w:sz w:val="20"/>
          <w:u w:val="single"/>
          <w:lang w:eastAsia="en-GB"/>
        </w:rPr>
        <w:t>Ukrepi za spodbujanje praks z manjšo uporabo FFS</w:t>
      </w:r>
      <w:r w:rsidRPr="00155028">
        <w:rPr>
          <w:rFonts w:eastAsia="Times New Roman"/>
          <w:sz w:val="20"/>
          <w:lang w:eastAsia="en-GB"/>
        </w:rPr>
        <w:t>: Ministrstvo v okviru Programa razvoja podeželja RS za obdobje 2014–2020 (PRP 2014–2020) z ukrepom M10 – Kmetijsko-</w:t>
      </w:r>
      <w:proofErr w:type="spellStart"/>
      <w:r w:rsidRPr="00155028">
        <w:rPr>
          <w:rFonts w:eastAsia="Times New Roman"/>
          <w:sz w:val="20"/>
          <w:lang w:eastAsia="en-GB"/>
        </w:rPr>
        <w:t>okoljska</w:t>
      </w:r>
      <w:proofErr w:type="spellEnd"/>
      <w:r w:rsidRPr="00155028">
        <w:rPr>
          <w:rFonts w:eastAsia="Times New Roman"/>
          <w:sz w:val="20"/>
          <w:lang w:eastAsia="en-GB"/>
        </w:rPr>
        <w:t>-podnebna plačila (ukrep KOPOP) (206.487.387 EUR) spodbuja izvajanje nadstandardnih sonaravnih kmetijskih praks, ki predstavljajo višje zahteve od običajne kmetijske prakse, in so usmerjene v ohranjanje biotske raznovrstnosti in krajine, ustrezno gospodarjenje z vodami in upravljanje s tlemi ter blaženje in prilagajanje kmetovanja podnebnim spremembam. Ukrep KOPOP vključuje 19 operacij z obveznimi in izbirnimi zahtevami. Vstop v ukrep KOPOP je prostovoljen, obveznost izvajanja ukrepa pa traja pet let. Upravičenec lahko na isti površini istočasno izvaja več operacij oz. zahtev, med katerimi so tudi operacije oz. zahteve, ki prispevajo k manjši in nadzorovani uporabi FFS oz. uporabo FFS prepovedujejo. Te operacije oz. zahteve so naslednje (tabela 7):</w:t>
      </w:r>
    </w:p>
    <w:p w14:paraId="231BFD8E" w14:textId="77777777" w:rsidR="00CF0FC8" w:rsidRPr="00155028" w:rsidRDefault="00CF0FC8" w:rsidP="00FA4BE0">
      <w:pPr>
        <w:spacing w:before="80" w:after="80" w:line="220" w:lineRule="atLeast"/>
        <w:jc w:val="both"/>
        <w:rPr>
          <w:rFonts w:eastAsia="Times New Roman"/>
          <w:sz w:val="20"/>
          <w:lang w:eastAsia="en-GB"/>
        </w:rPr>
      </w:pPr>
    </w:p>
    <w:p w14:paraId="57F6B2AB" w14:textId="7FACDA5A" w:rsidR="00FA4BE0" w:rsidRPr="00155028" w:rsidRDefault="00CF0FC8" w:rsidP="000E58FE">
      <w:pPr>
        <w:pStyle w:val="Napis"/>
      </w:pPr>
      <w:bookmarkStart w:id="77" w:name="_Toc86826526"/>
      <w:r w:rsidRPr="00155028">
        <w:rPr>
          <w:szCs w:val="20"/>
        </w:rPr>
        <w:t xml:space="preserve">Tabela </w:t>
      </w:r>
      <w:r w:rsidRPr="00155028">
        <w:rPr>
          <w:szCs w:val="20"/>
        </w:rPr>
        <w:fldChar w:fldCharType="begin"/>
      </w:r>
      <w:r w:rsidRPr="00155028">
        <w:rPr>
          <w:szCs w:val="20"/>
        </w:rPr>
        <w:instrText xml:space="preserve"> SEQ Tabela \* ARABIC </w:instrText>
      </w:r>
      <w:r w:rsidRPr="00155028">
        <w:rPr>
          <w:szCs w:val="20"/>
        </w:rPr>
        <w:fldChar w:fldCharType="separate"/>
      </w:r>
      <w:r w:rsidR="00F25B09">
        <w:rPr>
          <w:noProof/>
          <w:szCs w:val="20"/>
        </w:rPr>
        <w:t>7</w:t>
      </w:r>
      <w:r w:rsidRPr="00155028">
        <w:rPr>
          <w:szCs w:val="20"/>
        </w:rPr>
        <w:fldChar w:fldCharType="end"/>
      </w:r>
      <w:r w:rsidRPr="00155028">
        <w:rPr>
          <w:noProof/>
          <w:szCs w:val="20"/>
        </w:rPr>
        <w:t>: Operacije ukrepa KOPOP, ki zmanjšujejo uporabo FFS</w:t>
      </w:r>
      <w:bookmarkEnd w:id="77"/>
    </w:p>
    <w:tbl>
      <w:tblPr>
        <w:tblStyle w:val="Tabelamrea"/>
        <w:tblW w:w="9288" w:type="dxa"/>
        <w:tblLook w:val="04A0" w:firstRow="1" w:lastRow="0" w:firstColumn="1" w:lastColumn="0" w:noHBand="0" w:noVBand="1"/>
      </w:tblPr>
      <w:tblGrid>
        <w:gridCol w:w="2604"/>
        <w:gridCol w:w="739"/>
        <w:gridCol w:w="750"/>
        <w:gridCol w:w="661"/>
        <w:gridCol w:w="761"/>
        <w:gridCol w:w="1228"/>
        <w:gridCol w:w="772"/>
        <w:gridCol w:w="1773"/>
      </w:tblGrid>
      <w:tr w:rsidR="00FA4BE0" w:rsidRPr="00155028" w14:paraId="4E1A7401" w14:textId="77777777" w:rsidTr="00CF43DE">
        <w:trPr>
          <w:tblHeader/>
        </w:trPr>
        <w:tc>
          <w:tcPr>
            <w:tcW w:w="2604" w:type="dxa"/>
            <w:shd w:val="clear" w:color="auto" w:fill="D9EEF3"/>
            <w:vAlign w:val="center"/>
          </w:tcPr>
          <w:p w14:paraId="2E313D36" w14:textId="77777777" w:rsidR="00FA4BE0" w:rsidRPr="00155028" w:rsidRDefault="00FA4BE0" w:rsidP="004270C0">
            <w:pPr>
              <w:spacing w:before="80" w:after="80" w:line="220" w:lineRule="atLeast"/>
              <w:rPr>
                <w:rFonts w:eastAsia="Times New Roman"/>
                <w:b/>
                <w:sz w:val="20"/>
                <w:lang w:eastAsia="en-GB"/>
              </w:rPr>
            </w:pPr>
            <w:r w:rsidRPr="00155028">
              <w:rPr>
                <w:rFonts w:eastAsia="Times New Roman"/>
                <w:b/>
                <w:sz w:val="20"/>
                <w:lang w:eastAsia="en-GB"/>
              </w:rPr>
              <w:t>Zahteva</w:t>
            </w:r>
          </w:p>
        </w:tc>
        <w:tc>
          <w:tcPr>
            <w:tcW w:w="739" w:type="dxa"/>
            <w:shd w:val="clear" w:color="auto" w:fill="D9EEF3"/>
            <w:vAlign w:val="center"/>
          </w:tcPr>
          <w:p w14:paraId="32061A75" w14:textId="77777777" w:rsidR="00FA4BE0" w:rsidRPr="00155028" w:rsidRDefault="00FA4BE0" w:rsidP="004270C0">
            <w:pPr>
              <w:spacing w:before="80" w:after="80" w:line="220" w:lineRule="atLeast"/>
              <w:jc w:val="center"/>
              <w:rPr>
                <w:rFonts w:eastAsia="Times New Roman"/>
                <w:b/>
                <w:sz w:val="20"/>
                <w:lang w:eastAsia="en-GB"/>
              </w:rPr>
            </w:pPr>
            <w:r w:rsidRPr="00155028">
              <w:rPr>
                <w:rFonts w:eastAsia="Times New Roman"/>
                <w:b/>
                <w:sz w:val="20"/>
                <w:lang w:eastAsia="en-GB"/>
              </w:rPr>
              <w:t>POZ</w:t>
            </w:r>
          </w:p>
        </w:tc>
        <w:tc>
          <w:tcPr>
            <w:tcW w:w="750" w:type="dxa"/>
            <w:shd w:val="clear" w:color="auto" w:fill="D9EEF3"/>
            <w:vAlign w:val="center"/>
          </w:tcPr>
          <w:p w14:paraId="2F31CC2D" w14:textId="77777777" w:rsidR="00FA4BE0" w:rsidRPr="00155028" w:rsidRDefault="00FA4BE0" w:rsidP="004270C0">
            <w:pPr>
              <w:spacing w:before="80" w:after="80" w:line="220" w:lineRule="atLeast"/>
              <w:jc w:val="center"/>
              <w:rPr>
                <w:rFonts w:eastAsia="Times New Roman"/>
                <w:b/>
                <w:sz w:val="20"/>
                <w:lang w:eastAsia="en-GB"/>
              </w:rPr>
            </w:pPr>
            <w:r w:rsidRPr="00155028">
              <w:rPr>
                <w:rFonts w:eastAsia="Times New Roman"/>
                <w:b/>
                <w:sz w:val="20"/>
                <w:lang w:eastAsia="en-GB"/>
              </w:rPr>
              <w:t>SAD</w:t>
            </w:r>
          </w:p>
        </w:tc>
        <w:tc>
          <w:tcPr>
            <w:tcW w:w="661" w:type="dxa"/>
            <w:shd w:val="clear" w:color="auto" w:fill="D9EEF3"/>
            <w:vAlign w:val="center"/>
          </w:tcPr>
          <w:p w14:paraId="2472B3BD" w14:textId="77777777" w:rsidR="00FA4BE0" w:rsidRPr="00155028" w:rsidRDefault="00FA4BE0" w:rsidP="004270C0">
            <w:pPr>
              <w:spacing w:before="80" w:after="80" w:line="220" w:lineRule="atLeast"/>
              <w:jc w:val="center"/>
              <w:rPr>
                <w:rFonts w:eastAsia="Times New Roman"/>
                <w:b/>
                <w:sz w:val="20"/>
                <w:lang w:eastAsia="en-GB"/>
              </w:rPr>
            </w:pPr>
            <w:r w:rsidRPr="00155028">
              <w:rPr>
                <w:rFonts w:eastAsia="Times New Roman"/>
                <w:b/>
                <w:sz w:val="20"/>
                <w:lang w:eastAsia="en-GB"/>
              </w:rPr>
              <w:t>VIN</w:t>
            </w:r>
          </w:p>
        </w:tc>
        <w:tc>
          <w:tcPr>
            <w:tcW w:w="761" w:type="dxa"/>
            <w:shd w:val="clear" w:color="auto" w:fill="D9EEF3"/>
            <w:vAlign w:val="center"/>
          </w:tcPr>
          <w:p w14:paraId="5F6627E2" w14:textId="77777777" w:rsidR="00FA4BE0" w:rsidRPr="00155028" w:rsidRDefault="00FA4BE0" w:rsidP="004270C0">
            <w:pPr>
              <w:spacing w:before="80" w:after="80" w:line="220" w:lineRule="atLeast"/>
              <w:jc w:val="center"/>
              <w:rPr>
                <w:rFonts w:eastAsia="Times New Roman"/>
                <w:b/>
                <w:sz w:val="20"/>
                <w:lang w:eastAsia="en-GB"/>
              </w:rPr>
            </w:pPr>
            <w:r w:rsidRPr="00155028">
              <w:rPr>
                <w:rFonts w:eastAsia="Times New Roman"/>
                <w:b/>
                <w:sz w:val="20"/>
                <w:lang w:eastAsia="en-GB"/>
              </w:rPr>
              <w:t>VOD</w:t>
            </w:r>
          </w:p>
        </w:tc>
        <w:tc>
          <w:tcPr>
            <w:tcW w:w="1228" w:type="dxa"/>
            <w:shd w:val="clear" w:color="auto" w:fill="D9EEF3"/>
            <w:vAlign w:val="center"/>
          </w:tcPr>
          <w:p w14:paraId="6D14FB37" w14:textId="77777777" w:rsidR="00FA4BE0" w:rsidRPr="00155028" w:rsidRDefault="00FA4BE0" w:rsidP="004270C0">
            <w:pPr>
              <w:spacing w:before="80" w:after="80" w:line="220" w:lineRule="atLeast"/>
              <w:jc w:val="center"/>
              <w:rPr>
                <w:rFonts w:eastAsia="Times New Roman"/>
                <w:b/>
                <w:sz w:val="20"/>
                <w:lang w:eastAsia="en-GB"/>
              </w:rPr>
            </w:pPr>
            <w:r w:rsidRPr="00155028">
              <w:rPr>
                <w:rFonts w:eastAsia="Times New Roman"/>
                <w:b/>
                <w:sz w:val="20"/>
                <w:lang w:eastAsia="en-GB"/>
              </w:rPr>
              <w:t>KRA_S50</w:t>
            </w:r>
          </w:p>
        </w:tc>
        <w:tc>
          <w:tcPr>
            <w:tcW w:w="772" w:type="dxa"/>
            <w:shd w:val="clear" w:color="auto" w:fill="D9EEF3"/>
            <w:vAlign w:val="center"/>
          </w:tcPr>
          <w:p w14:paraId="58F65F52" w14:textId="77777777" w:rsidR="00FA4BE0" w:rsidRPr="00155028" w:rsidRDefault="00FA4BE0" w:rsidP="004270C0">
            <w:pPr>
              <w:spacing w:before="80" w:after="80" w:line="220" w:lineRule="atLeast"/>
              <w:jc w:val="center"/>
              <w:rPr>
                <w:rFonts w:eastAsia="Times New Roman"/>
                <w:b/>
                <w:sz w:val="20"/>
                <w:lang w:eastAsia="en-GB"/>
              </w:rPr>
            </w:pPr>
            <w:r w:rsidRPr="00155028">
              <w:rPr>
                <w:rFonts w:eastAsia="Times New Roman"/>
                <w:b/>
                <w:sz w:val="20"/>
                <w:lang w:eastAsia="en-GB"/>
              </w:rPr>
              <w:t>GRB</w:t>
            </w:r>
          </w:p>
        </w:tc>
        <w:tc>
          <w:tcPr>
            <w:tcW w:w="1773" w:type="dxa"/>
            <w:shd w:val="clear" w:color="auto" w:fill="D9EEF3"/>
            <w:vAlign w:val="center"/>
          </w:tcPr>
          <w:p w14:paraId="7EB3ADAB" w14:textId="77777777" w:rsidR="00FA4BE0" w:rsidRPr="00155028" w:rsidRDefault="00FA4BE0" w:rsidP="004270C0">
            <w:pPr>
              <w:spacing w:before="80" w:after="80" w:line="220" w:lineRule="atLeast"/>
              <w:jc w:val="center"/>
              <w:rPr>
                <w:rFonts w:eastAsia="Times New Roman"/>
                <w:b/>
                <w:sz w:val="20"/>
                <w:lang w:eastAsia="en-GB"/>
              </w:rPr>
            </w:pPr>
            <w:r w:rsidRPr="00155028">
              <w:rPr>
                <w:rFonts w:eastAsia="Times New Roman"/>
                <w:b/>
                <w:sz w:val="20"/>
                <w:lang w:eastAsia="en-GB"/>
              </w:rPr>
              <w:t>Planinska paša</w:t>
            </w:r>
          </w:p>
        </w:tc>
      </w:tr>
      <w:tr w:rsidR="00FA4BE0" w:rsidRPr="00155028" w14:paraId="46F02473" w14:textId="77777777" w:rsidTr="00CF43DE">
        <w:tc>
          <w:tcPr>
            <w:tcW w:w="2604" w:type="dxa"/>
            <w:vAlign w:val="center"/>
          </w:tcPr>
          <w:p w14:paraId="67E12001" w14:textId="77777777" w:rsidR="00FA4BE0" w:rsidRPr="00155028" w:rsidRDefault="00FA4BE0" w:rsidP="004270C0">
            <w:pPr>
              <w:spacing w:before="80" w:after="80" w:line="220" w:lineRule="atLeast"/>
              <w:rPr>
                <w:rFonts w:eastAsia="Times New Roman"/>
                <w:sz w:val="20"/>
                <w:lang w:eastAsia="en-GB"/>
              </w:rPr>
            </w:pPr>
            <w:r w:rsidRPr="00155028">
              <w:rPr>
                <w:rFonts w:eastAsia="Times New Roman"/>
                <w:sz w:val="20"/>
                <w:lang w:eastAsia="en-GB"/>
              </w:rPr>
              <w:t xml:space="preserve">Uporaba </w:t>
            </w:r>
            <w:proofErr w:type="spellStart"/>
            <w:r w:rsidRPr="00155028">
              <w:rPr>
                <w:rFonts w:eastAsia="Times New Roman"/>
                <w:sz w:val="20"/>
                <w:lang w:eastAsia="en-GB"/>
              </w:rPr>
              <w:t>protiinsektnih</w:t>
            </w:r>
            <w:proofErr w:type="spellEnd"/>
            <w:r w:rsidRPr="00155028">
              <w:rPr>
                <w:rFonts w:eastAsia="Times New Roman"/>
                <w:sz w:val="20"/>
                <w:lang w:eastAsia="en-GB"/>
              </w:rPr>
              <w:t xml:space="preserve"> mrež</w:t>
            </w:r>
          </w:p>
        </w:tc>
        <w:tc>
          <w:tcPr>
            <w:tcW w:w="739" w:type="dxa"/>
            <w:vAlign w:val="center"/>
          </w:tcPr>
          <w:p w14:paraId="4295B7CE"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p>
        </w:tc>
        <w:tc>
          <w:tcPr>
            <w:tcW w:w="750" w:type="dxa"/>
            <w:vAlign w:val="center"/>
          </w:tcPr>
          <w:p w14:paraId="04B933D4" w14:textId="77777777" w:rsidR="00FA4BE0" w:rsidRPr="00155028" w:rsidRDefault="00FA4BE0" w:rsidP="004270C0">
            <w:pPr>
              <w:spacing w:before="80" w:after="80" w:line="220" w:lineRule="atLeast"/>
              <w:jc w:val="center"/>
              <w:rPr>
                <w:rFonts w:eastAsia="Times New Roman"/>
                <w:sz w:val="20"/>
                <w:lang w:eastAsia="en-GB"/>
              </w:rPr>
            </w:pPr>
          </w:p>
        </w:tc>
        <w:tc>
          <w:tcPr>
            <w:tcW w:w="661" w:type="dxa"/>
            <w:vAlign w:val="center"/>
          </w:tcPr>
          <w:p w14:paraId="50060543" w14:textId="77777777" w:rsidR="00FA4BE0" w:rsidRPr="00155028" w:rsidRDefault="00FA4BE0" w:rsidP="004270C0">
            <w:pPr>
              <w:spacing w:before="80" w:after="80" w:line="220" w:lineRule="atLeast"/>
              <w:jc w:val="center"/>
              <w:rPr>
                <w:rFonts w:eastAsia="Times New Roman"/>
                <w:sz w:val="20"/>
                <w:lang w:eastAsia="en-GB"/>
              </w:rPr>
            </w:pPr>
          </w:p>
        </w:tc>
        <w:tc>
          <w:tcPr>
            <w:tcW w:w="761" w:type="dxa"/>
            <w:vAlign w:val="center"/>
          </w:tcPr>
          <w:p w14:paraId="1204AC7E" w14:textId="77777777" w:rsidR="00FA4BE0" w:rsidRPr="00155028" w:rsidRDefault="00FA4BE0" w:rsidP="004270C0">
            <w:pPr>
              <w:spacing w:before="80" w:after="80" w:line="220" w:lineRule="atLeast"/>
              <w:jc w:val="center"/>
              <w:rPr>
                <w:rFonts w:eastAsia="Times New Roman"/>
                <w:sz w:val="20"/>
                <w:lang w:eastAsia="en-GB"/>
              </w:rPr>
            </w:pPr>
          </w:p>
        </w:tc>
        <w:tc>
          <w:tcPr>
            <w:tcW w:w="1228" w:type="dxa"/>
            <w:vAlign w:val="center"/>
          </w:tcPr>
          <w:p w14:paraId="585A0662" w14:textId="77777777" w:rsidR="00FA4BE0" w:rsidRPr="00155028" w:rsidRDefault="00FA4BE0" w:rsidP="004270C0">
            <w:pPr>
              <w:spacing w:before="80" w:after="80" w:line="220" w:lineRule="atLeast"/>
              <w:jc w:val="center"/>
              <w:rPr>
                <w:rFonts w:eastAsia="Times New Roman"/>
                <w:sz w:val="20"/>
                <w:lang w:eastAsia="en-GB"/>
              </w:rPr>
            </w:pPr>
          </w:p>
        </w:tc>
        <w:tc>
          <w:tcPr>
            <w:tcW w:w="772" w:type="dxa"/>
            <w:vAlign w:val="center"/>
          </w:tcPr>
          <w:p w14:paraId="10B3C8AD" w14:textId="77777777" w:rsidR="00FA4BE0" w:rsidRPr="00155028" w:rsidRDefault="00FA4BE0" w:rsidP="004270C0">
            <w:pPr>
              <w:spacing w:before="80" w:after="80" w:line="220" w:lineRule="atLeast"/>
              <w:jc w:val="center"/>
              <w:rPr>
                <w:rFonts w:eastAsia="Times New Roman"/>
                <w:sz w:val="20"/>
                <w:lang w:eastAsia="en-GB"/>
              </w:rPr>
            </w:pPr>
          </w:p>
        </w:tc>
        <w:tc>
          <w:tcPr>
            <w:tcW w:w="1773" w:type="dxa"/>
            <w:vAlign w:val="center"/>
          </w:tcPr>
          <w:p w14:paraId="5C265DFA" w14:textId="77777777" w:rsidR="00FA4BE0" w:rsidRPr="00155028" w:rsidRDefault="00FA4BE0" w:rsidP="004270C0">
            <w:pPr>
              <w:spacing w:before="80" w:after="80" w:line="220" w:lineRule="atLeast"/>
              <w:jc w:val="center"/>
              <w:rPr>
                <w:rFonts w:eastAsia="Times New Roman"/>
                <w:sz w:val="20"/>
                <w:lang w:eastAsia="en-GB"/>
              </w:rPr>
            </w:pPr>
          </w:p>
        </w:tc>
      </w:tr>
      <w:tr w:rsidR="00FA4BE0" w:rsidRPr="00155028" w14:paraId="7483A28B" w14:textId="77777777" w:rsidTr="00CF43DE">
        <w:tc>
          <w:tcPr>
            <w:tcW w:w="2604" w:type="dxa"/>
            <w:vAlign w:val="center"/>
          </w:tcPr>
          <w:p w14:paraId="05B32773" w14:textId="77777777" w:rsidR="00FA4BE0" w:rsidRPr="00155028" w:rsidRDefault="00FA4BE0" w:rsidP="004270C0">
            <w:pPr>
              <w:spacing w:before="80" w:after="80" w:line="220" w:lineRule="atLeast"/>
              <w:rPr>
                <w:rFonts w:eastAsia="Times New Roman"/>
                <w:sz w:val="20"/>
                <w:lang w:eastAsia="en-GB"/>
              </w:rPr>
            </w:pPr>
            <w:r w:rsidRPr="00155028">
              <w:rPr>
                <w:rFonts w:eastAsia="Times New Roman"/>
                <w:sz w:val="20"/>
                <w:lang w:eastAsia="en-GB"/>
              </w:rPr>
              <w:t>Uporaba FFS z manjšim tveganjem</w:t>
            </w:r>
          </w:p>
        </w:tc>
        <w:tc>
          <w:tcPr>
            <w:tcW w:w="739" w:type="dxa"/>
            <w:vAlign w:val="center"/>
          </w:tcPr>
          <w:p w14:paraId="44FD07D2"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r w:rsidRPr="00155028">
              <w:rPr>
                <w:rFonts w:eastAsia="Times New Roman"/>
                <w:sz w:val="20"/>
                <w:lang w:eastAsia="en-GB"/>
              </w:rPr>
              <w:t>*</w:t>
            </w:r>
          </w:p>
        </w:tc>
        <w:tc>
          <w:tcPr>
            <w:tcW w:w="750" w:type="dxa"/>
            <w:vAlign w:val="center"/>
          </w:tcPr>
          <w:p w14:paraId="3A21E11A" w14:textId="77777777" w:rsidR="00FA4BE0" w:rsidRPr="00155028" w:rsidRDefault="00FA4BE0" w:rsidP="004270C0">
            <w:pPr>
              <w:spacing w:before="80" w:after="80" w:line="220" w:lineRule="atLeast"/>
              <w:jc w:val="center"/>
              <w:rPr>
                <w:rFonts w:eastAsia="Times New Roman"/>
                <w:sz w:val="20"/>
                <w:lang w:eastAsia="en-GB"/>
              </w:rPr>
            </w:pPr>
          </w:p>
        </w:tc>
        <w:tc>
          <w:tcPr>
            <w:tcW w:w="661" w:type="dxa"/>
            <w:vAlign w:val="center"/>
          </w:tcPr>
          <w:p w14:paraId="40C565CE" w14:textId="77777777" w:rsidR="00FA4BE0" w:rsidRPr="00155028" w:rsidRDefault="00FA4BE0" w:rsidP="004270C0">
            <w:pPr>
              <w:spacing w:before="80" w:after="80" w:line="220" w:lineRule="atLeast"/>
              <w:jc w:val="center"/>
              <w:rPr>
                <w:rFonts w:eastAsia="Times New Roman"/>
                <w:sz w:val="20"/>
                <w:lang w:eastAsia="en-GB"/>
              </w:rPr>
            </w:pPr>
          </w:p>
        </w:tc>
        <w:tc>
          <w:tcPr>
            <w:tcW w:w="761" w:type="dxa"/>
            <w:vAlign w:val="center"/>
          </w:tcPr>
          <w:p w14:paraId="6FDF74FD"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r w:rsidRPr="00155028">
              <w:rPr>
                <w:rFonts w:eastAsia="Times New Roman"/>
                <w:sz w:val="20"/>
                <w:lang w:eastAsia="en-GB"/>
              </w:rPr>
              <w:t>*</w:t>
            </w:r>
          </w:p>
        </w:tc>
        <w:tc>
          <w:tcPr>
            <w:tcW w:w="1228" w:type="dxa"/>
            <w:vAlign w:val="center"/>
          </w:tcPr>
          <w:p w14:paraId="6A97EFFD" w14:textId="77777777" w:rsidR="00FA4BE0" w:rsidRPr="00155028" w:rsidRDefault="00FA4BE0" w:rsidP="004270C0">
            <w:pPr>
              <w:spacing w:before="80" w:after="80" w:line="220" w:lineRule="atLeast"/>
              <w:jc w:val="center"/>
              <w:rPr>
                <w:rFonts w:eastAsia="Times New Roman"/>
                <w:sz w:val="20"/>
                <w:lang w:eastAsia="en-GB"/>
              </w:rPr>
            </w:pPr>
          </w:p>
        </w:tc>
        <w:tc>
          <w:tcPr>
            <w:tcW w:w="772" w:type="dxa"/>
            <w:vAlign w:val="center"/>
          </w:tcPr>
          <w:p w14:paraId="61DEB445" w14:textId="77777777" w:rsidR="00FA4BE0" w:rsidRPr="00155028" w:rsidRDefault="00FA4BE0" w:rsidP="004270C0">
            <w:pPr>
              <w:spacing w:before="80" w:after="80" w:line="220" w:lineRule="atLeast"/>
              <w:jc w:val="center"/>
              <w:rPr>
                <w:rFonts w:eastAsia="Times New Roman"/>
                <w:sz w:val="20"/>
                <w:lang w:eastAsia="en-GB"/>
              </w:rPr>
            </w:pPr>
          </w:p>
        </w:tc>
        <w:tc>
          <w:tcPr>
            <w:tcW w:w="1773" w:type="dxa"/>
            <w:vAlign w:val="center"/>
          </w:tcPr>
          <w:p w14:paraId="37B6A278"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r w:rsidRPr="00155028">
              <w:rPr>
                <w:rFonts w:eastAsia="Times New Roman"/>
                <w:sz w:val="20"/>
                <w:lang w:eastAsia="en-GB"/>
              </w:rPr>
              <w:t>**</w:t>
            </w:r>
          </w:p>
        </w:tc>
      </w:tr>
      <w:tr w:rsidR="00FA4BE0" w:rsidRPr="00155028" w14:paraId="351B6F5F" w14:textId="77777777" w:rsidTr="00CF43DE">
        <w:tc>
          <w:tcPr>
            <w:tcW w:w="2604" w:type="dxa"/>
            <w:vAlign w:val="center"/>
          </w:tcPr>
          <w:p w14:paraId="78FF9D3D" w14:textId="77777777" w:rsidR="00FA4BE0" w:rsidRPr="00155028" w:rsidRDefault="00FA4BE0" w:rsidP="004270C0">
            <w:pPr>
              <w:spacing w:before="80" w:after="80" w:line="220" w:lineRule="atLeast"/>
              <w:rPr>
                <w:rFonts w:eastAsia="Times New Roman"/>
                <w:sz w:val="20"/>
                <w:lang w:eastAsia="en-GB"/>
              </w:rPr>
            </w:pPr>
            <w:r w:rsidRPr="00155028">
              <w:rPr>
                <w:rFonts w:eastAsia="Times New Roman"/>
                <w:sz w:val="20"/>
                <w:lang w:eastAsia="en-GB"/>
              </w:rPr>
              <w:t>Uporaba zastirk</w:t>
            </w:r>
          </w:p>
        </w:tc>
        <w:tc>
          <w:tcPr>
            <w:tcW w:w="739" w:type="dxa"/>
            <w:vAlign w:val="center"/>
          </w:tcPr>
          <w:p w14:paraId="014018D6"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p>
        </w:tc>
        <w:tc>
          <w:tcPr>
            <w:tcW w:w="750" w:type="dxa"/>
            <w:vAlign w:val="center"/>
          </w:tcPr>
          <w:p w14:paraId="13057DF8" w14:textId="77777777" w:rsidR="00FA4BE0" w:rsidRPr="00155028" w:rsidRDefault="00FA4BE0" w:rsidP="004270C0">
            <w:pPr>
              <w:spacing w:before="80" w:after="80" w:line="220" w:lineRule="atLeast"/>
              <w:jc w:val="center"/>
              <w:rPr>
                <w:rFonts w:eastAsia="Times New Roman"/>
                <w:sz w:val="20"/>
                <w:lang w:eastAsia="en-GB"/>
              </w:rPr>
            </w:pPr>
          </w:p>
        </w:tc>
        <w:tc>
          <w:tcPr>
            <w:tcW w:w="661" w:type="dxa"/>
            <w:vAlign w:val="center"/>
          </w:tcPr>
          <w:p w14:paraId="54BE5DB9" w14:textId="77777777" w:rsidR="00FA4BE0" w:rsidRPr="00155028" w:rsidRDefault="00FA4BE0" w:rsidP="004270C0">
            <w:pPr>
              <w:spacing w:before="80" w:after="80" w:line="220" w:lineRule="atLeast"/>
              <w:jc w:val="center"/>
              <w:rPr>
                <w:rFonts w:eastAsia="Times New Roman"/>
                <w:sz w:val="20"/>
                <w:lang w:eastAsia="en-GB"/>
              </w:rPr>
            </w:pPr>
          </w:p>
        </w:tc>
        <w:tc>
          <w:tcPr>
            <w:tcW w:w="761" w:type="dxa"/>
            <w:vAlign w:val="center"/>
          </w:tcPr>
          <w:p w14:paraId="261E6441" w14:textId="77777777" w:rsidR="00FA4BE0" w:rsidRPr="00155028" w:rsidRDefault="00FA4BE0" w:rsidP="004270C0">
            <w:pPr>
              <w:spacing w:before="80" w:after="80" w:line="220" w:lineRule="atLeast"/>
              <w:jc w:val="center"/>
              <w:rPr>
                <w:rFonts w:eastAsia="Times New Roman"/>
                <w:sz w:val="20"/>
                <w:lang w:eastAsia="en-GB"/>
              </w:rPr>
            </w:pPr>
          </w:p>
        </w:tc>
        <w:tc>
          <w:tcPr>
            <w:tcW w:w="1228" w:type="dxa"/>
            <w:vAlign w:val="center"/>
          </w:tcPr>
          <w:p w14:paraId="76F8CBE8" w14:textId="77777777" w:rsidR="00FA4BE0" w:rsidRPr="00155028" w:rsidRDefault="00FA4BE0" w:rsidP="004270C0">
            <w:pPr>
              <w:spacing w:before="80" w:after="80" w:line="220" w:lineRule="atLeast"/>
              <w:jc w:val="center"/>
              <w:rPr>
                <w:rFonts w:eastAsia="Times New Roman"/>
                <w:sz w:val="20"/>
                <w:lang w:eastAsia="en-GB"/>
              </w:rPr>
            </w:pPr>
          </w:p>
        </w:tc>
        <w:tc>
          <w:tcPr>
            <w:tcW w:w="772" w:type="dxa"/>
            <w:vAlign w:val="center"/>
          </w:tcPr>
          <w:p w14:paraId="41B36942" w14:textId="77777777" w:rsidR="00FA4BE0" w:rsidRPr="00155028" w:rsidRDefault="00FA4BE0" w:rsidP="004270C0">
            <w:pPr>
              <w:spacing w:before="80" w:after="80" w:line="220" w:lineRule="atLeast"/>
              <w:jc w:val="center"/>
              <w:rPr>
                <w:rFonts w:eastAsia="Times New Roman"/>
                <w:sz w:val="20"/>
                <w:lang w:eastAsia="en-GB"/>
              </w:rPr>
            </w:pPr>
          </w:p>
        </w:tc>
        <w:tc>
          <w:tcPr>
            <w:tcW w:w="1773" w:type="dxa"/>
            <w:vAlign w:val="center"/>
          </w:tcPr>
          <w:p w14:paraId="1AD9EB0F" w14:textId="77777777" w:rsidR="00FA4BE0" w:rsidRPr="00155028" w:rsidRDefault="00FA4BE0" w:rsidP="004270C0">
            <w:pPr>
              <w:spacing w:before="80" w:after="80" w:line="220" w:lineRule="atLeast"/>
              <w:jc w:val="center"/>
              <w:rPr>
                <w:rFonts w:eastAsia="Times New Roman"/>
                <w:sz w:val="20"/>
                <w:lang w:eastAsia="en-GB"/>
              </w:rPr>
            </w:pPr>
          </w:p>
        </w:tc>
      </w:tr>
      <w:tr w:rsidR="00FA4BE0" w:rsidRPr="00155028" w14:paraId="1D78D41C" w14:textId="77777777" w:rsidTr="00CF43DE">
        <w:tc>
          <w:tcPr>
            <w:tcW w:w="2604" w:type="dxa"/>
            <w:vAlign w:val="center"/>
          </w:tcPr>
          <w:p w14:paraId="788C6FF1" w14:textId="77777777" w:rsidR="00FA4BE0" w:rsidRPr="00155028" w:rsidRDefault="00FA4BE0" w:rsidP="004270C0">
            <w:pPr>
              <w:spacing w:before="80" w:after="80" w:line="220" w:lineRule="atLeast"/>
              <w:rPr>
                <w:rFonts w:eastAsia="Times New Roman"/>
                <w:sz w:val="20"/>
                <w:lang w:eastAsia="en-GB"/>
              </w:rPr>
            </w:pPr>
            <w:r w:rsidRPr="00155028">
              <w:rPr>
                <w:rFonts w:eastAsia="Times New Roman"/>
                <w:sz w:val="20"/>
                <w:lang w:eastAsia="en-GB"/>
              </w:rPr>
              <w:t>Mehansko zatiranje plevelov</w:t>
            </w:r>
          </w:p>
        </w:tc>
        <w:tc>
          <w:tcPr>
            <w:tcW w:w="739" w:type="dxa"/>
            <w:vAlign w:val="center"/>
          </w:tcPr>
          <w:p w14:paraId="3EAF67FD"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p>
        </w:tc>
        <w:tc>
          <w:tcPr>
            <w:tcW w:w="750" w:type="dxa"/>
            <w:vAlign w:val="center"/>
          </w:tcPr>
          <w:p w14:paraId="6A351CEA"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p>
        </w:tc>
        <w:tc>
          <w:tcPr>
            <w:tcW w:w="661" w:type="dxa"/>
            <w:vAlign w:val="center"/>
          </w:tcPr>
          <w:p w14:paraId="12A32C34"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p>
        </w:tc>
        <w:tc>
          <w:tcPr>
            <w:tcW w:w="761" w:type="dxa"/>
            <w:vAlign w:val="center"/>
          </w:tcPr>
          <w:p w14:paraId="18E38FA6" w14:textId="77777777" w:rsidR="00FA4BE0" w:rsidRPr="00155028" w:rsidRDefault="00FA4BE0" w:rsidP="004270C0">
            <w:pPr>
              <w:spacing w:before="80" w:after="80" w:line="220" w:lineRule="atLeast"/>
              <w:jc w:val="center"/>
              <w:rPr>
                <w:rFonts w:eastAsia="Times New Roman"/>
                <w:sz w:val="20"/>
                <w:lang w:eastAsia="en-GB"/>
              </w:rPr>
            </w:pPr>
          </w:p>
        </w:tc>
        <w:tc>
          <w:tcPr>
            <w:tcW w:w="1228" w:type="dxa"/>
            <w:vAlign w:val="center"/>
          </w:tcPr>
          <w:p w14:paraId="6D0A9517" w14:textId="77777777" w:rsidR="00FA4BE0" w:rsidRPr="00155028" w:rsidRDefault="00FA4BE0" w:rsidP="004270C0">
            <w:pPr>
              <w:spacing w:before="80" w:after="80" w:line="220" w:lineRule="atLeast"/>
              <w:jc w:val="center"/>
              <w:rPr>
                <w:rFonts w:eastAsia="Times New Roman"/>
                <w:sz w:val="20"/>
                <w:lang w:eastAsia="en-GB"/>
              </w:rPr>
            </w:pPr>
          </w:p>
        </w:tc>
        <w:tc>
          <w:tcPr>
            <w:tcW w:w="772" w:type="dxa"/>
            <w:vAlign w:val="center"/>
          </w:tcPr>
          <w:p w14:paraId="4A067FA0" w14:textId="77777777" w:rsidR="00FA4BE0" w:rsidRPr="00155028" w:rsidRDefault="00FA4BE0" w:rsidP="004270C0">
            <w:pPr>
              <w:spacing w:before="80" w:after="80" w:line="220" w:lineRule="atLeast"/>
              <w:jc w:val="center"/>
              <w:rPr>
                <w:rFonts w:eastAsia="Times New Roman"/>
                <w:sz w:val="20"/>
                <w:lang w:eastAsia="en-GB"/>
              </w:rPr>
            </w:pPr>
          </w:p>
        </w:tc>
        <w:tc>
          <w:tcPr>
            <w:tcW w:w="1773" w:type="dxa"/>
            <w:vAlign w:val="center"/>
          </w:tcPr>
          <w:p w14:paraId="765B0918" w14:textId="77777777" w:rsidR="00FA4BE0" w:rsidRPr="00155028" w:rsidRDefault="00FA4BE0" w:rsidP="004270C0">
            <w:pPr>
              <w:spacing w:before="80" w:after="80" w:line="220" w:lineRule="atLeast"/>
              <w:jc w:val="center"/>
              <w:rPr>
                <w:rFonts w:eastAsia="Times New Roman"/>
                <w:sz w:val="20"/>
                <w:lang w:eastAsia="en-GB"/>
              </w:rPr>
            </w:pPr>
          </w:p>
        </w:tc>
      </w:tr>
      <w:tr w:rsidR="00FA4BE0" w:rsidRPr="00155028" w14:paraId="4AF7719D" w14:textId="77777777" w:rsidTr="00CF43DE">
        <w:tc>
          <w:tcPr>
            <w:tcW w:w="2604" w:type="dxa"/>
            <w:vAlign w:val="center"/>
          </w:tcPr>
          <w:p w14:paraId="3F6DE959" w14:textId="77777777" w:rsidR="00FA4BE0" w:rsidRPr="00155028" w:rsidRDefault="00FA4BE0" w:rsidP="004270C0">
            <w:pPr>
              <w:spacing w:before="80" w:after="80" w:line="220" w:lineRule="atLeast"/>
              <w:rPr>
                <w:rFonts w:eastAsia="Times New Roman"/>
                <w:sz w:val="20"/>
                <w:lang w:eastAsia="en-GB"/>
              </w:rPr>
            </w:pPr>
            <w:r w:rsidRPr="00155028">
              <w:rPr>
                <w:rFonts w:eastAsia="Times New Roman"/>
                <w:sz w:val="20"/>
                <w:lang w:eastAsia="en-GB"/>
              </w:rPr>
              <w:lastRenderedPageBreak/>
              <w:t>Prepoved uporabe herbicidov za uničenje prezimne zelene odeje</w:t>
            </w:r>
          </w:p>
        </w:tc>
        <w:tc>
          <w:tcPr>
            <w:tcW w:w="739" w:type="dxa"/>
            <w:vAlign w:val="center"/>
          </w:tcPr>
          <w:p w14:paraId="769DD77E"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p>
        </w:tc>
        <w:tc>
          <w:tcPr>
            <w:tcW w:w="750" w:type="dxa"/>
            <w:vAlign w:val="center"/>
          </w:tcPr>
          <w:p w14:paraId="2060E6A6" w14:textId="77777777" w:rsidR="00FA4BE0" w:rsidRPr="00155028" w:rsidRDefault="00FA4BE0" w:rsidP="004270C0">
            <w:pPr>
              <w:spacing w:before="80" w:after="80" w:line="220" w:lineRule="atLeast"/>
              <w:jc w:val="center"/>
              <w:rPr>
                <w:rFonts w:eastAsia="Times New Roman"/>
                <w:sz w:val="20"/>
                <w:lang w:eastAsia="en-GB"/>
              </w:rPr>
            </w:pPr>
          </w:p>
        </w:tc>
        <w:tc>
          <w:tcPr>
            <w:tcW w:w="661" w:type="dxa"/>
            <w:vAlign w:val="center"/>
          </w:tcPr>
          <w:p w14:paraId="407D3B1B" w14:textId="77777777" w:rsidR="00FA4BE0" w:rsidRPr="00155028" w:rsidRDefault="00FA4BE0" w:rsidP="004270C0">
            <w:pPr>
              <w:spacing w:before="80" w:after="80" w:line="220" w:lineRule="atLeast"/>
              <w:jc w:val="center"/>
              <w:rPr>
                <w:rFonts w:eastAsia="Times New Roman"/>
                <w:sz w:val="20"/>
                <w:lang w:eastAsia="en-GB"/>
              </w:rPr>
            </w:pPr>
          </w:p>
        </w:tc>
        <w:tc>
          <w:tcPr>
            <w:tcW w:w="761" w:type="dxa"/>
            <w:vAlign w:val="center"/>
          </w:tcPr>
          <w:p w14:paraId="1F515B9E"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p>
        </w:tc>
        <w:tc>
          <w:tcPr>
            <w:tcW w:w="1228" w:type="dxa"/>
            <w:vAlign w:val="center"/>
          </w:tcPr>
          <w:p w14:paraId="0F3489F4" w14:textId="77777777" w:rsidR="00FA4BE0" w:rsidRPr="00155028" w:rsidRDefault="00FA4BE0" w:rsidP="004270C0">
            <w:pPr>
              <w:spacing w:before="80" w:after="80" w:line="220" w:lineRule="atLeast"/>
              <w:jc w:val="center"/>
              <w:rPr>
                <w:rFonts w:eastAsia="Times New Roman"/>
                <w:sz w:val="20"/>
                <w:lang w:eastAsia="en-GB"/>
              </w:rPr>
            </w:pPr>
          </w:p>
        </w:tc>
        <w:tc>
          <w:tcPr>
            <w:tcW w:w="772" w:type="dxa"/>
            <w:vAlign w:val="center"/>
          </w:tcPr>
          <w:p w14:paraId="6D9D090A" w14:textId="77777777" w:rsidR="00FA4BE0" w:rsidRPr="00155028" w:rsidRDefault="00FA4BE0" w:rsidP="004270C0">
            <w:pPr>
              <w:spacing w:before="80" w:after="80" w:line="220" w:lineRule="atLeast"/>
              <w:jc w:val="center"/>
              <w:rPr>
                <w:rFonts w:eastAsia="Times New Roman"/>
                <w:sz w:val="20"/>
                <w:lang w:eastAsia="en-GB"/>
              </w:rPr>
            </w:pPr>
          </w:p>
        </w:tc>
        <w:tc>
          <w:tcPr>
            <w:tcW w:w="1773" w:type="dxa"/>
            <w:vAlign w:val="center"/>
          </w:tcPr>
          <w:p w14:paraId="3C70B5B3" w14:textId="77777777" w:rsidR="00FA4BE0" w:rsidRPr="00155028" w:rsidRDefault="00FA4BE0" w:rsidP="004270C0">
            <w:pPr>
              <w:spacing w:before="80" w:after="80" w:line="220" w:lineRule="atLeast"/>
              <w:jc w:val="center"/>
              <w:rPr>
                <w:rFonts w:eastAsia="Times New Roman"/>
                <w:sz w:val="20"/>
                <w:lang w:eastAsia="en-GB"/>
              </w:rPr>
            </w:pPr>
          </w:p>
        </w:tc>
      </w:tr>
      <w:tr w:rsidR="00FA4BE0" w:rsidRPr="00155028" w14:paraId="4022B9D9" w14:textId="77777777" w:rsidTr="00CF43DE">
        <w:tc>
          <w:tcPr>
            <w:tcW w:w="2604" w:type="dxa"/>
            <w:vAlign w:val="center"/>
          </w:tcPr>
          <w:p w14:paraId="11CE68DB" w14:textId="77777777" w:rsidR="00FA4BE0" w:rsidRPr="00155028" w:rsidRDefault="00FA4BE0" w:rsidP="004270C0">
            <w:pPr>
              <w:spacing w:before="80" w:after="80" w:line="220" w:lineRule="atLeast"/>
              <w:rPr>
                <w:rFonts w:eastAsia="Times New Roman"/>
                <w:sz w:val="20"/>
                <w:lang w:eastAsia="en-GB"/>
              </w:rPr>
            </w:pPr>
            <w:r w:rsidRPr="00155028">
              <w:rPr>
                <w:rFonts w:eastAsia="Times New Roman"/>
                <w:sz w:val="20"/>
                <w:lang w:eastAsia="en-GB"/>
              </w:rPr>
              <w:t xml:space="preserve">Prepoved uporabe herbicidov v </w:t>
            </w:r>
            <w:proofErr w:type="spellStart"/>
            <w:r w:rsidRPr="00155028">
              <w:rPr>
                <w:rFonts w:eastAsia="Times New Roman"/>
                <w:sz w:val="20"/>
                <w:lang w:eastAsia="en-GB"/>
              </w:rPr>
              <w:t>neprezimnih</w:t>
            </w:r>
            <w:proofErr w:type="spellEnd"/>
            <w:r w:rsidRPr="00155028">
              <w:rPr>
                <w:rFonts w:eastAsia="Times New Roman"/>
                <w:sz w:val="20"/>
                <w:lang w:eastAsia="en-GB"/>
              </w:rPr>
              <w:t xml:space="preserve"> posevkih</w:t>
            </w:r>
          </w:p>
        </w:tc>
        <w:tc>
          <w:tcPr>
            <w:tcW w:w="739" w:type="dxa"/>
            <w:vAlign w:val="center"/>
          </w:tcPr>
          <w:p w14:paraId="369964B6"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p>
        </w:tc>
        <w:tc>
          <w:tcPr>
            <w:tcW w:w="750" w:type="dxa"/>
            <w:vAlign w:val="center"/>
          </w:tcPr>
          <w:p w14:paraId="35B97B13" w14:textId="77777777" w:rsidR="00FA4BE0" w:rsidRPr="00155028" w:rsidRDefault="00FA4BE0" w:rsidP="004270C0">
            <w:pPr>
              <w:spacing w:before="80" w:after="80" w:line="220" w:lineRule="atLeast"/>
              <w:jc w:val="center"/>
              <w:rPr>
                <w:rFonts w:eastAsia="Times New Roman"/>
                <w:sz w:val="20"/>
                <w:lang w:eastAsia="en-GB"/>
              </w:rPr>
            </w:pPr>
          </w:p>
        </w:tc>
        <w:tc>
          <w:tcPr>
            <w:tcW w:w="661" w:type="dxa"/>
            <w:vAlign w:val="center"/>
          </w:tcPr>
          <w:p w14:paraId="27B36364" w14:textId="77777777" w:rsidR="00FA4BE0" w:rsidRPr="00155028" w:rsidRDefault="00FA4BE0" w:rsidP="004270C0">
            <w:pPr>
              <w:spacing w:before="80" w:after="80" w:line="220" w:lineRule="atLeast"/>
              <w:jc w:val="center"/>
              <w:rPr>
                <w:rFonts w:eastAsia="Times New Roman"/>
                <w:sz w:val="20"/>
                <w:lang w:eastAsia="en-GB"/>
              </w:rPr>
            </w:pPr>
          </w:p>
        </w:tc>
        <w:tc>
          <w:tcPr>
            <w:tcW w:w="761" w:type="dxa"/>
            <w:vAlign w:val="center"/>
          </w:tcPr>
          <w:p w14:paraId="27F8C4DA"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p>
        </w:tc>
        <w:tc>
          <w:tcPr>
            <w:tcW w:w="1228" w:type="dxa"/>
            <w:vAlign w:val="center"/>
          </w:tcPr>
          <w:p w14:paraId="0DA4AAA7" w14:textId="77777777" w:rsidR="00FA4BE0" w:rsidRPr="00155028" w:rsidRDefault="00FA4BE0" w:rsidP="004270C0">
            <w:pPr>
              <w:spacing w:before="80" w:after="80" w:line="220" w:lineRule="atLeast"/>
              <w:jc w:val="center"/>
              <w:rPr>
                <w:rFonts w:eastAsia="Times New Roman"/>
                <w:sz w:val="20"/>
                <w:lang w:eastAsia="en-GB"/>
              </w:rPr>
            </w:pPr>
          </w:p>
        </w:tc>
        <w:tc>
          <w:tcPr>
            <w:tcW w:w="772" w:type="dxa"/>
            <w:vAlign w:val="center"/>
          </w:tcPr>
          <w:p w14:paraId="013378C7" w14:textId="77777777" w:rsidR="00FA4BE0" w:rsidRPr="00155028" w:rsidRDefault="00FA4BE0" w:rsidP="004270C0">
            <w:pPr>
              <w:spacing w:before="80" w:after="80" w:line="220" w:lineRule="atLeast"/>
              <w:jc w:val="center"/>
              <w:rPr>
                <w:rFonts w:eastAsia="Times New Roman"/>
                <w:sz w:val="20"/>
                <w:lang w:eastAsia="en-GB"/>
              </w:rPr>
            </w:pPr>
          </w:p>
        </w:tc>
        <w:tc>
          <w:tcPr>
            <w:tcW w:w="1773" w:type="dxa"/>
            <w:vAlign w:val="center"/>
          </w:tcPr>
          <w:p w14:paraId="2EAD0EEF" w14:textId="77777777" w:rsidR="00FA4BE0" w:rsidRPr="00155028" w:rsidRDefault="00FA4BE0" w:rsidP="004270C0">
            <w:pPr>
              <w:spacing w:before="80" w:after="80" w:line="220" w:lineRule="atLeast"/>
              <w:jc w:val="center"/>
              <w:rPr>
                <w:rFonts w:eastAsia="Times New Roman"/>
                <w:sz w:val="20"/>
                <w:lang w:eastAsia="en-GB"/>
              </w:rPr>
            </w:pPr>
          </w:p>
        </w:tc>
      </w:tr>
      <w:tr w:rsidR="00FA4BE0" w:rsidRPr="00155028" w14:paraId="046348DA" w14:textId="77777777" w:rsidTr="00CF43DE">
        <w:tc>
          <w:tcPr>
            <w:tcW w:w="2604" w:type="dxa"/>
            <w:vAlign w:val="center"/>
          </w:tcPr>
          <w:p w14:paraId="0F4082B4" w14:textId="77777777" w:rsidR="00FA4BE0" w:rsidRPr="00155028" w:rsidRDefault="00FA4BE0" w:rsidP="004270C0">
            <w:pPr>
              <w:spacing w:before="80" w:after="80" w:line="220" w:lineRule="atLeast"/>
              <w:rPr>
                <w:rFonts w:eastAsia="Times New Roman"/>
                <w:sz w:val="20"/>
                <w:lang w:eastAsia="en-GB"/>
              </w:rPr>
            </w:pPr>
            <w:r w:rsidRPr="00155028">
              <w:rPr>
                <w:rFonts w:eastAsia="Times New Roman"/>
                <w:sz w:val="20"/>
                <w:lang w:eastAsia="en-GB"/>
              </w:rPr>
              <w:t>Uporaba feromonskih in lepljivih vab</w:t>
            </w:r>
          </w:p>
        </w:tc>
        <w:tc>
          <w:tcPr>
            <w:tcW w:w="739" w:type="dxa"/>
            <w:vAlign w:val="center"/>
          </w:tcPr>
          <w:p w14:paraId="38E2EC7D" w14:textId="77777777" w:rsidR="00FA4BE0" w:rsidRPr="00155028" w:rsidRDefault="00FA4BE0" w:rsidP="004270C0">
            <w:pPr>
              <w:spacing w:before="80" w:after="80" w:line="220" w:lineRule="atLeast"/>
              <w:jc w:val="center"/>
              <w:rPr>
                <w:rFonts w:eastAsia="Times New Roman"/>
                <w:sz w:val="20"/>
                <w:lang w:eastAsia="en-GB"/>
              </w:rPr>
            </w:pPr>
          </w:p>
        </w:tc>
        <w:tc>
          <w:tcPr>
            <w:tcW w:w="750" w:type="dxa"/>
            <w:vAlign w:val="center"/>
          </w:tcPr>
          <w:p w14:paraId="74973A9E"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p>
        </w:tc>
        <w:tc>
          <w:tcPr>
            <w:tcW w:w="661" w:type="dxa"/>
            <w:vAlign w:val="center"/>
          </w:tcPr>
          <w:p w14:paraId="68B0BCFA"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p>
        </w:tc>
        <w:tc>
          <w:tcPr>
            <w:tcW w:w="761" w:type="dxa"/>
            <w:vAlign w:val="center"/>
          </w:tcPr>
          <w:p w14:paraId="5F4EAD24" w14:textId="77777777" w:rsidR="00FA4BE0" w:rsidRPr="00155028" w:rsidRDefault="00FA4BE0" w:rsidP="004270C0">
            <w:pPr>
              <w:spacing w:before="80" w:after="80" w:line="220" w:lineRule="atLeast"/>
              <w:jc w:val="center"/>
              <w:rPr>
                <w:rFonts w:eastAsia="Times New Roman"/>
                <w:sz w:val="20"/>
                <w:lang w:eastAsia="en-GB"/>
              </w:rPr>
            </w:pPr>
          </w:p>
        </w:tc>
        <w:tc>
          <w:tcPr>
            <w:tcW w:w="1228" w:type="dxa"/>
            <w:vAlign w:val="center"/>
          </w:tcPr>
          <w:p w14:paraId="6855349D" w14:textId="77777777" w:rsidR="00FA4BE0" w:rsidRPr="00155028" w:rsidRDefault="00FA4BE0" w:rsidP="004270C0">
            <w:pPr>
              <w:spacing w:before="80" w:after="80" w:line="220" w:lineRule="atLeast"/>
              <w:jc w:val="center"/>
              <w:rPr>
                <w:rFonts w:eastAsia="Times New Roman"/>
                <w:sz w:val="20"/>
                <w:lang w:eastAsia="en-GB"/>
              </w:rPr>
            </w:pPr>
          </w:p>
        </w:tc>
        <w:tc>
          <w:tcPr>
            <w:tcW w:w="772" w:type="dxa"/>
            <w:vAlign w:val="center"/>
          </w:tcPr>
          <w:p w14:paraId="27D05283" w14:textId="77777777" w:rsidR="00FA4BE0" w:rsidRPr="00155028" w:rsidRDefault="00FA4BE0" w:rsidP="004270C0">
            <w:pPr>
              <w:spacing w:before="80" w:after="80" w:line="220" w:lineRule="atLeast"/>
              <w:jc w:val="center"/>
              <w:rPr>
                <w:rFonts w:eastAsia="Times New Roman"/>
                <w:sz w:val="20"/>
                <w:lang w:eastAsia="en-GB"/>
              </w:rPr>
            </w:pPr>
          </w:p>
        </w:tc>
        <w:tc>
          <w:tcPr>
            <w:tcW w:w="1773" w:type="dxa"/>
            <w:vAlign w:val="center"/>
          </w:tcPr>
          <w:p w14:paraId="7DFA3F82" w14:textId="77777777" w:rsidR="00FA4BE0" w:rsidRPr="00155028" w:rsidRDefault="00FA4BE0" w:rsidP="004270C0">
            <w:pPr>
              <w:spacing w:before="80" w:after="80" w:line="220" w:lineRule="atLeast"/>
              <w:jc w:val="center"/>
              <w:rPr>
                <w:rFonts w:eastAsia="Times New Roman"/>
                <w:sz w:val="20"/>
                <w:lang w:eastAsia="en-GB"/>
              </w:rPr>
            </w:pPr>
          </w:p>
        </w:tc>
      </w:tr>
      <w:tr w:rsidR="00FA4BE0" w:rsidRPr="00155028" w14:paraId="73059D43" w14:textId="77777777" w:rsidTr="00CF43DE">
        <w:tc>
          <w:tcPr>
            <w:tcW w:w="2604" w:type="dxa"/>
            <w:vAlign w:val="center"/>
          </w:tcPr>
          <w:p w14:paraId="6FEE98F3" w14:textId="77777777" w:rsidR="00FA4BE0" w:rsidRPr="00155028" w:rsidRDefault="00FA4BE0" w:rsidP="004270C0">
            <w:pPr>
              <w:spacing w:before="80" w:after="80" w:line="220" w:lineRule="atLeast"/>
              <w:rPr>
                <w:rFonts w:eastAsia="Times New Roman"/>
                <w:sz w:val="20"/>
                <w:lang w:eastAsia="en-GB"/>
              </w:rPr>
            </w:pPr>
            <w:r w:rsidRPr="00155028">
              <w:rPr>
                <w:rFonts w:eastAsia="Times New Roman"/>
                <w:sz w:val="20"/>
                <w:lang w:eastAsia="en-GB"/>
              </w:rPr>
              <w:t>Uporaba metode konfuzije in dezorientacije</w:t>
            </w:r>
          </w:p>
        </w:tc>
        <w:tc>
          <w:tcPr>
            <w:tcW w:w="739" w:type="dxa"/>
            <w:vAlign w:val="center"/>
          </w:tcPr>
          <w:p w14:paraId="2F6EA69A" w14:textId="77777777" w:rsidR="00FA4BE0" w:rsidRPr="00155028" w:rsidRDefault="00FA4BE0" w:rsidP="004270C0">
            <w:pPr>
              <w:spacing w:before="80" w:after="80" w:line="220" w:lineRule="atLeast"/>
              <w:jc w:val="center"/>
              <w:rPr>
                <w:rFonts w:eastAsia="Times New Roman"/>
                <w:sz w:val="20"/>
                <w:lang w:eastAsia="en-GB"/>
              </w:rPr>
            </w:pPr>
          </w:p>
        </w:tc>
        <w:tc>
          <w:tcPr>
            <w:tcW w:w="750" w:type="dxa"/>
            <w:vAlign w:val="center"/>
          </w:tcPr>
          <w:p w14:paraId="42FA333E"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p>
        </w:tc>
        <w:tc>
          <w:tcPr>
            <w:tcW w:w="661" w:type="dxa"/>
            <w:vAlign w:val="center"/>
          </w:tcPr>
          <w:p w14:paraId="138CAE70" w14:textId="77777777" w:rsidR="00FA4BE0" w:rsidRPr="00155028" w:rsidRDefault="00FA4BE0" w:rsidP="004270C0">
            <w:pPr>
              <w:spacing w:before="80" w:after="80" w:line="220" w:lineRule="atLeast"/>
              <w:jc w:val="center"/>
              <w:rPr>
                <w:rFonts w:eastAsia="Times New Roman"/>
                <w:sz w:val="20"/>
                <w:lang w:eastAsia="en-GB"/>
              </w:rPr>
            </w:pPr>
          </w:p>
        </w:tc>
        <w:tc>
          <w:tcPr>
            <w:tcW w:w="761" w:type="dxa"/>
            <w:vAlign w:val="center"/>
          </w:tcPr>
          <w:p w14:paraId="170CBB28" w14:textId="77777777" w:rsidR="00FA4BE0" w:rsidRPr="00155028" w:rsidRDefault="00FA4BE0" w:rsidP="004270C0">
            <w:pPr>
              <w:spacing w:before="80" w:after="80" w:line="220" w:lineRule="atLeast"/>
              <w:jc w:val="center"/>
              <w:rPr>
                <w:rFonts w:eastAsia="Times New Roman"/>
                <w:sz w:val="20"/>
                <w:lang w:eastAsia="en-GB"/>
              </w:rPr>
            </w:pPr>
          </w:p>
        </w:tc>
        <w:tc>
          <w:tcPr>
            <w:tcW w:w="1228" w:type="dxa"/>
            <w:vAlign w:val="center"/>
          </w:tcPr>
          <w:p w14:paraId="5E74B769" w14:textId="77777777" w:rsidR="00FA4BE0" w:rsidRPr="00155028" w:rsidRDefault="00FA4BE0" w:rsidP="004270C0">
            <w:pPr>
              <w:spacing w:before="80" w:after="80" w:line="220" w:lineRule="atLeast"/>
              <w:jc w:val="center"/>
              <w:rPr>
                <w:rFonts w:eastAsia="Times New Roman"/>
                <w:sz w:val="20"/>
                <w:lang w:eastAsia="en-GB"/>
              </w:rPr>
            </w:pPr>
          </w:p>
        </w:tc>
        <w:tc>
          <w:tcPr>
            <w:tcW w:w="772" w:type="dxa"/>
            <w:vAlign w:val="center"/>
          </w:tcPr>
          <w:p w14:paraId="3EAD14BB" w14:textId="77777777" w:rsidR="00FA4BE0" w:rsidRPr="00155028" w:rsidRDefault="00FA4BE0" w:rsidP="004270C0">
            <w:pPr>
              <w:spacing w:before="80" w:after="80" w:line="220" w:lineRule="atLeast"/>
              <w:jc w:val="center"/>
              <w:rPr>
                <w:rFonts w:eastAsia="Times New Roman"/>
                <w:sz w:val="20"/>
                <w:lang w:eastAsia="en-GB"/>
              </w:rPr>
            </w:pPr>
          </w:p>
        </w:tc>
        <w:tc>
          <w:tcPr>
            <w:tcW w:w="1773" w:type="dxa"/>
            <w:vAlign w:val="center"/>
          </w:tcPr>
          <w:p w14:paraId="11011EC1" w14:textId="77777777" w:rsidR="00FA4BE0" w:rsidRPr="00155028" w:rsidRDefault="00FA4BE0" w:rsidP="004270C0">
            <w:pPr>
              <w:spacing w:before="80" w:after="80" w:line="220" w:lineRule="atLeast"/>
              <w:jc w:val="center"/>
              <w:rPr>
                <w:rFonts w:eastAsia="Times New Roman"/>
                <w:sz w:val="20"/>
                <w:lang w:eastAsia="en-GB"/>
              </w:rPr>
            </w:pPr>
          </w:p>
        </w:tc>
      </w:tr>
      <w:tr w:rsidR="00FA4BE0" w:rsidRPr="00155028" w14:paraId="702F9DA2" w14:textId="77777777" w:rsidTr="00CF43DE">
        <w:tc>
          <w:tcPr>
            <w:tcW w:w="2604" w:type="dxa"/>
            <w:vAlign w:val="center"/>
          </w:tcPr>
          <w:p w14:paraId="396F1AA9" w14:textId="77777777" w:rsidR="00FA4BE0" w:rsidRPr="00155028" w:rsidRDefault="00FA4BE0" w:rsidP="004270C0">
            <w:pPr>
              <w:spacing w:before="80" w:after="80" w:line="220" w:lineRule="atLeast"/>
              <w:rPr>
                <w:rFonts w:eastAsia="Times New Roman"/>
                <w:sz w:val="20"/>
                <w:lang w:eastAsia="en-GB"/>
              </w:rPr>
            </w:pPr>
            <w:r w:rsidRPr="00155028">
              <w:rPr>
                <w:rFonts w:eastAsia="Times New Roman"/>
                <w:sz w:val="20"/>
                <w:lang w:eastAsia="en-GB"/>
              </w:rPr>
              <w:t>Opustitev uporabe insekticidov</w:t>
            </w:r>
          </w:p>
        </w:tc>
        <w:tc>
          <w:tcPr>
            <w:tcW w:w="739" w:type="dxa"/>
            <w:vAlign w:val="center"/>
          </w:tcPr>
          <w:p w14:paraId="765EA0E1" w14:textId="77777777" w:rsidR="00FA4BE0" w:rsidRPr="00155028" w:rsidRDefault="00FA4BE0" w:rsidP="004270C0">
            <w:pPr>
              <w:spacing w:before="80" w:after="80" w:line="220" w:lineRule="atLeast"/>
              <w:jc w:val="center"/>
              <w:rPr>
                <w:rFonts w:eastAsia="Times New Roman"/>
                <w:sz w:val="20"/>
                <w:lang w:eastAsia="en-GB"/>
              </w:rPr>
            </w:pPr>
          </w:p>
        </w:tc>
        <w:tc>
          <w:tcPr>
            <w:tcW w:w="750" w:type="dxa"/>
            <w:vAlign w:val="center"/>
          </w:tcPr>
          <w:p w14:paraId="274ECFA0" w14:textId="77777777" w:rsidR="00FA4BE0" w:rsidRPr="00155028" w:rsidRDefault="00FA4BE0" w:rsidP="004270C0">
            <w:pPr>
              <w:spacing w:before="80" w:after="80" w:line="220" w:lineRule="atLeast"/>
              <w:jc w:val="center"/>
              <w:rPr>
                <w:rFonts w:eastAsia="Times New Roman"/>
                <w:sz w:val="20"/>
                <w:lang w:eastAsia="en-GB"/>
              </w:rPr>
            </w:pPr>
          </w:p>
        </w:tc>
        <w:tc>
          <w:tcPr>
            <w:tcW w:w="661" w:type="dxa"/>
            <w:vAlign w:val="center"/>
          </w:tcPr>
          <w:p w14:paraId="157FF895"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p>
        </w:tc>
        <w:tc>
          <w:tcPr>
            <w:tcW w:w="761" w:type="dxa"/>
            <w:vAlign w:val="center"/>
          </w:tcPr>
          <w:p w14:paraId="69701C3B" w14:textId="77777777" w:rsidR="00FA4BE0" w:rsidRPr="00155028" w:rsidRDefault="00FA4BE0" w:rsidP="004270C0">
            <w:pPr>
              <w:spacing w:before="80" w:after="80" w:line="220" w:lineRule="atLeast"/>
              <w:jc w:val="center"/>
              <w:rPr>
                <w:rFonts w:eastAsia="Times New Roman"/>
                <w:sz w:val="20"/>
                <w:lang w:eastAsia="en-GB"/>
              </w:rPr>
            </w:pPr>
          </w:p>
        </w:tc>
        <w:tc>
          <w:tcPr>
            <w:tcW w:w="1228" w:type="dxa"/>
            <w:vAlign w:val="center"/>
          </w:tcPr>
          <w:p w14:paraId="0CF7F4CE" w14:textId="77777777" w:rsidR="00FA4BE0" w:rsidRPr="00155028" w:rsidRDefault="00FA4BE0" w:rsidP="004270C0">
            <w:pPr>
              <w:spacing w:before="80" w:after="80" w:line="220" w:lineRule="atLeast"/>
              <w:jc w:val="center"/>
              <w:rPr>
                <w:rFonts w:eastAsia="Times New Roman"/>
                <w:sz w:val="20"/>
                <w:lang w:eastAsia="en-GB"/>
              </w:rPr>
            </w:pPr>
          </w:p>
        </w:tc>
        <w:tc>
          <w:tcPr>
            <w:tcW w:w="772" w:type="dxa"/>
            <w:vAlign w:val="center"/>
          </w:tcPr>
          <w:p w14:paraId="1F772F7F" w14:textId="77777777" w:rsidR="00FA4BE0" w:rsidRPr="00155028" w:rsidRDefault="00FA4BE0" w:rsidP="004270C0">
            <w:pPr>
              <w:spacing w:before="80" w:after="80" w:line="220" w:lineRule="atLeast"/>
              <w:jc w:val="center"/>
              <w:rPr>
                <w:rFonts w:eastAsia="Times New Roman"/>
                <w:sz w:val="20"/>
                <w:lang w:eastAsia="en-GB"/>
              </w:rPr>
            </w:pPr>
          </w:p>
        </w:tc>
        <w:tc>
          <w:tcPr>
            <w:tcW w:w="1773" w:type="dxa"/>
            <w:vAlign w:val="center"/>
          </w:tcPr>
          <w:p w14:paraId="3A65D881" w14:textId="77777777" w:rsidR="00FA4BE0" w:rsidRPr="00155028" w:rsidRDefault="00FA4BE0" w:rsidP="004270C0">
            <w:pPr>
              <w:spacing w:before="80" w:after="80" w:line="220" w:lineRule="atLeast"/>
              <w:jc w:val="center"/>
              <w:rPr>
                <w:rFonts w:eastAsia="Times New Roman"/>
                <w:sz w:val="20"/>
                <w:lang w:eastAsia="en-GB"/>
              </w:rPr>
            </w:pPr>
          </w:p>
        </w:tc>
      </w:tr>
      <w:tr w:rsidR="00FA4BE0" w:rsidRPr="00155028" w14:paraId="585A621E" w14:textId="77777777" w:rsidTr="00CF43DE">
        <w:tc>
          <w:tcPr>
            <w:tcW w:w="2604" w:type="dxa"/>
            <w:vAlign w:val="center"/>
          </w:tcPr>
          <w:p w14:paraId="6DBF48B5" w14:textId="77777777" w:rsidR="00FA4BE0" w:rsidRPr="00155028" w:rsidRDefault="00FA4BE0" w:rsidP="004270C0">
            <w:pPr>
              <w:spacing w:before="80" w:after="80" w:line="220" w:lineRule="atLeast"/>
              <w:rPr>
                <w:rFonts w:eastAsia="Times New Roman"/>
                <w:sz w:val="20"/>
                <w:lang w:eastAsia="en-GB"/>
              </w:rPr>
            </w:pPr>
            <w:r w:rsidRPr="00155028">
              <w:rPr>
                <w:rFonts w:eastAsia="Times New Roman"/>
                <w:sz w:val="20"/>
                <w:lang w:eastAsia="en-GB"/>
              </w:rPr>
              <w:t>Prepoved uporabe FFS</w:t>
            </w:r>
          </w:p>
        </w:tc>
        <w:tc>
          <w:tcPr>
            <w:tcW w:w="739" w:type="dxa"/>
            <w:vAlign w:val="center"/>
          </w:tcPr>
          <w:p w14:paraId="5E554781" w14:textId="77777777" w:rsidR="00FA4BE0" w:rsidRPr="00155028" w:rsidRDefault="00FA4BE0" w:rsidP="004270C0">
            <w:pPr>
              <w:spacing w:before="80" w:after="80" w:line="220" w:lineRule="atLeast"/>
              <w:jc w:val="center"/>
              <w:rPr>
                <w:rFonts w:eastAsia="Times New Roman"/>
                <w:sz w:val="20"/>
                <w:lang w:eastAsia="en-GB"/>
              </w:rPr>
            </w:pPr>
          </w:p>
        </w:tc>
        <w:tc>
          <w:tcPr>
            <w:tcW w:w="750" w:type="dxa"/>
            <w:vAlign w:val="center"/>
          </w:tcPr>
          <w:p w14:paraId="08A51488" w14:textId="77777777" w:rsidR="00FA4BE0" w:rsidRPr="00155028" w:rsidRDefault="00FA4BE0" w:rsidP="004270C0">
            <w:pPr>
              <w:spacing w:before="80" w:after="80" w:line="220" w:lineRule="atLeast"/>
              <w:jc w:val="center"/>
              <w:rPr>
                <w:rFonts w:eastAsia="Times New Roman"/>
                <w:sz w:val="20"/>
                <w:lang w:eastAsia="en-GB"/>
              </w:rPr>
            </w:pPr>
          </w:p>
        </w:tc>
        <w:tc>
          <w:tcPr>
            <w:tcW w:w="661" w:type="dxa"/>
            <w:vAlign w:val="center"/>
          </w:tcPr>
          <w:p w14:paraId="401151C4" w14:textId="77777777" w:rsidR="00FA4BE0" w:rsidRPr="00155028" w:rsidRDefault="00FA4BE0" w:rsidP="004270C0">
            <w:pPr>
              <w:spacing w:before="80" w:after="80" w:line="220" w:lineRule="atLeast"/>
              <w:jc w:val="center"/>
              <w:rPr>
                <w:rFonts w:eastAsia="Times New Roman"/>
                <w:sz w:val="20"/>
                <w:lang w:eastAsia="en-GB"/>
              </w:rPr>
            </w:pPr>
          </w:p>
        </w:tc>
        <w:tc>
          <w:tcPr>
            <w:tcW w:w="761" w:type="dxa"/>
            <w:vAlign w:val="center"/>
          </w:tcPr>
          <w:p w14:paraId="737A940E" w14:textId="77777777" w:rsidR="00FA4BE0" w:rsidRPr="00155028" w:rsidRDefault="00FA4BE0" w:rsidP="004270C0">
            <w:pPr>
              <w:spacing w:before="80" w:after="80" w:line="220" w:lineRule="atLeast"/>
              <w:jc w:val="center"/>
              <w:rPr>
                <w:rFonts w:eastAsia="Times New Roman"/>
                <w:sz w:val="20"/>
                <w:lang w:eastAsia="en-GB"/>
              </w:rPr>
            </w:pPr>
          </w:p>
        </w:tc>
        <w:tc>
          <w:tcPr>
            <w:tcW w:w="1228" w:type="dxa"/>
            <w:vAlign w:val="center"/>
          </w:tcPr>
          <w:p w14:paraId="408EE4B5"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p>
        </w:tc>
        <w:tc>
          <w:tcPr>
            <w:tcW w:w="772" w:type="dxa"/>
            <w:vAlign w:val="center"/>
          </w:tcPr>
          <w:p w14:paraId="44E8C4C0" w14:textId="77777777" w:rsidR="00FA4BE0" w:rsidRPr="00155028" w:rsidRDefault="00FA4BE0" w:rsidP="004270C0">
            <w:pPr>
              <w:spacing w:before="80" w:after="80" w:line="220" w:lineRule="atLeast"/>
              <w:jc w:val="center"/>
              <w:rPr>
                <w:rFonts w:eastAsia="Times New Roman"/>
                <w:sz w:val="20"/>
                <w:lang w:eastAsia="en-GB"/>
              </w:rPr>
            </w:pPr>
            <w:r w:rsidRPr="00155028">
              <w:rPr>
                <w:rFonts w:eastAsia="Times New Roman"/>
                <w:sz w:val="20"/>
                <w:lang w:eastAsia="en-GB"/>
              </w:rPr>
              <w:sym w:font="Wingdings" w:char="F0FC"/>
            </w:r>
          </w:p>
        </w:tc>
        <w:tc>
          <w:tcPr>
            <w:tcW w:w="1773" w:type="dxa"/>
            <w:vAlign w:val="center"/>
          </w:tcPr>
          <w:p w14:paraId="30D0E127" w14:textId="77777777" w:rsidR="00FA4BE0" w:rsidRPr="00155028" w:rsidRDefault="00FA4BE0" w:rsidP="004270C0">
            <w:pPr>
              <w:spacing w:before="80" w:after="80" w:line="220" w:lineRule="atLeast"/>
              <w:jc w:val="center"/>
              <w:rPr>
                <w:rFonts w:eastAsia="Times New Roman"/>
                <w:sz w:val="20"/>
                <w:lang w:eastAsia="en-GB"/>
              </w:rPr>
            </w:pPr>
          </w:p>
        </w:tc>
      </w:tr>
    </w:tbl>
    <w:p w14:paraId="1E7307A5" w14:textId="77777777" w:rsidR="00FA4BE0" w:rsidRPr="00155028" w:rsidRDefault="00FA4BE0" w:rsidP="00FA4BE0">
      <w:pPr>
        <w:spacing w:before="80" w:after="80" w:line="220" w:lineRule="atLeast"/>
        <w:jc w:val="both"/>
        <w:rPr>
          <w:rFonts w:eastAsia="Times New Roman"/>
          <w:sz w:val="16"/>
          <w:szCs w:val="16"/>
          <w:lang w:eastAsia="en-GB"/>
        </w:rPr>
      </w:pPr>
      <w:r w:rsidRPr="00155028">
        <w:rPr>
          <w:rFonts w:eastAsia="Times New Roman"/>
          <w:sz w:val="16"/>
          <w:szCs w:val="16"/>
          <w:lang w:eastAsia="en-GB"/>
        </w:rPr>
        <w:t>* Uporaba samo tistih FFS, ki so dovoljena na najožjih vodovarstvenih območjih</w:t>
      </w:r>
    </w:p>
    <w:p w14:paraId="3DF90A40" w14:textId="77777777" w:rsidR="00FA4BE0" w:rsidRPr="00155028" w:rsidRDefault="00FA4BE0" w:rsidP="00FA4BE0">
      <w:pPr>
        <w:spacing w:before="80" w:after="80" w:line="220" w:lineRule="atLeast"/>
        <w:jc w:val="both"/>
        <w:rPr>
          <w:rFonts w:eastAsia="Times New Roman"/>
          <w:sz w:val="16"/>
          <w:szCs w:val="16"/>
          <w:lang w:eastAsia="en-GB"/>
        </w:rPr>
      </w:pPr>
      <w:r w:rsidRPr="00155028">
        <w:rPr>
          <w:rFonts w:eastAsia="Times New Roman"/>
          <w:sz w:val="16"/>
          <w:szCs w:val="16"/>
          <w:lang w:eastAsia="en-GB"/>
        </w:rPr>
        <w:t>** Uporaba FFS in drugih pripravkov za varstvo rastlin, ki so dovoljena v ekološki pridelavi</w:t>
      </w:r>
    </w:p>
    <w:p w14:paraId="160B13C4" w14:textId="77777777" w:rsidR="00FA4BE0" w:rsidRPr="00155028" w:rsidRDefault="00FA4BE0" w:rsidP="00FA4BE0">
      <w:pPr>
        <w:spacing w:before="80" w:after="80" w:line="220" w:lineRule="atLeast"/>
        <w:jc w:val="both"/>
        <w:rPr>
          <w:rFonts w:eastAsia="Times New Roman"/>
          <w:sz w:val="20"/>
          <w:lang w:eastAsia="en-GB"/>
        </w:rPr>
      </w:pPr>
    </w:p>
    <w:p w14:paraId="420209DD" w14:textId="77777777" w:rsidR="00FA4BE0" w:rsidRPr="00155028" w:rsidRDefault="00FA4BE0" w:rsidP="00FA4BE0">
      <w:pPr>
        <w:spacing w:before="80" w:after="80" w:line="220" w:lineRule="atLeast"/>
        <w:jc w:val="both"/>
        <w:rPr>
          <w:rFonts w:eastAsia="Times New Roman"/>
          <w:sz w:val="20"/>
          <w:lang w:eastAsia="en-GB"/>
        </w:rPr>
      </w:pPr>
      <w:r w:rsidRPr="00155028">
        <w:rPr>
          <w:rFonts w:eastAsia="Times New Roman"/>
          <w:sz w:val="20"/>
          <w:lang w:eastAsia="en-GB"/>
        </w:rPr>
        <w:t>Upravičenci, ki izvajajo ukrep KOPOP, morajo izpolnjevati tudi minimalne zahteve za uporabo FFS, ki so vključene v sklop zahtev navzkrižne skladnosti.</w:t>
      </w:r>
    </w:p>
    <w:p w14:paraId="63413DF2" w14:textId="77777777" w:rsidR="00FA4BE0" w:rsidRPr="00155028" w:rsidRDefault="00FA4BE0" w:rsidP="00FA4BE0">
      <w:pPr>
        <w:spacing w:before="80" w:after="80" w:line="220" w:lineRule="atLeast"/>
        <w:jc w:val="both"/>
        <w:rPr>
          <w:rFonts w:eastAsia="Times New Roman"/>
          <w:sz w:val="20"/>
          <w:lang w:eastAsia="en-GB"/>
        </w:rPr>
      </w:pPr>
    </w:p>
    <w:p w14:paraId="69A6FC3E" w14:textId="41023665" w:rsidR="00FA4BE0" w:rsidRPr="00155028" w:rsidRDefault="00FA4BE0" w:rsidP="00837C52">
      <w:pPr>
        <w:spacing w:before="80" w:after="80" w:line="220" w:lineRule="atLeast"/>
        <w:jc w:val="both"/>
        <w:rPr>
          <w:rFonts w:eastAsia="Times New Roman"/>
          <w:sz w:val="20"/>
          <w:lang w:eastAsia="en-GB"/>
        </w:rPr>
      </w:pPr>
      <w:r w:rsidRPr="00155028">
        <w:rPr>
          <w:rFonts w:eastAsia="Times New Roman"/>
          <w:sz w:val="20"/>
          <w:lang w:eastAsia="en-GB"/>
        </w:rPr>
        <w:t xml:space="preserve">S prepovedjo uporabe kemično sintetiziranih FFS k uporabi FFS z manjšim tveganjem prispeva tudi ukrep ekološko </w:t>
      </w:r>
      <w:r w:rsidR="00837C52" w:rsidRPr="00155028">
        <w:rPr>
          <w:rFonts w:eastAsia="Times New Roman"/>
          <w:sz w:val="20"/>
          <w:lang w:eastAsia="en-GB"/>
        </w:rPr>
        <w:t>kmetovanje iz PRP 2014–2020.</w:t>
      </w:r>
    </w:p>
    <w:p w14:paraId="0362CD05" w14:textId="72ED6F5A" w:rsidR="00391136" w:rsidRPr="00155028" w:rsidRDefault="00391136" w:rsidP="00391136">
      <w:pPr>
        <w:spacing w:before="80" w:after="80" w:line="220" w:lineRule="atLeast"/>
        <w:jc w:val="both"/>
        <w:rPr>
          <w:sz w:val="20"/>
          <w:lang w:eastAsia="en-GB"/>
        </w:rPr>
      </w:pPr>
      <w:r w:rsidRPr="00155028">
        <w:rPr>
          <w:sz w:val="20"/>
          <w:u w:val="single"/>
          <w:lang w:eastAsia="en-GB"/>
        </w:rPr>
        <w:t>Javna služba zdravstvenega varstva rastlin</w:t>
      </w:r>
      <w:r w:rsidRPr="00155028">
        <w:rPr>
          <w:sz w:val="20"/>
          <w:lang w:eastAsia="en-GB"/>
        </w:rPr>
        <w:t xml:space="preserve">: Na podlagi koncesije UVHVVR javna služba zdravstvenega varstva rastlin spremlja razvoj in pojav pomembnejših </w:t>
      </w:r>
      <w:r w:rsidRPr="00155028">
        <w:rPr>
          <w:rFonts w:eastAsia="Times New Roman"/>
          <w:sz w:val="20"/>
          <w:lang w:eastAsia="en-GB"/>
        </w:rPr>
        <w:t>škodljivih organizmov</w:t>
      </w:r>
      <w:r w:rsidRPr="00155028">
        <w:rPr>
          <w:sz w:val="20"/>
          <w:lang w:eastAsia="en-GB"/>
        </w:rPr>
        <w:t xml:space="preserve"> v kmetijstvu ter v povezavi z vremenskimi razmerami in fazo razvoja kmetijskih rastlin ugotavlja stopnjo ogroženosti nasadov in posevkov pred boleznimi in škodljivci rastlin ter o tem obvešča pridelovalce in jim svetuje glede ustreznih ukrepov varstva rastlin. Javna služba </w:t>
      </w:r>
      <w:r w:rsidR="00A26CD6">
        <w:rPr>
          <w:sz w:val="20"/>
          <w:lang w:eastAsia="en-GB"/>
        </w:rPr>
        <w:t xml:space="preserve">zdravstvenega varstva rastlin </w:t>
      </w:r>
      <w:r w:rsidRPr="00155028">
        <w:rPr>
          <w:sz w:val="20"/>
          <w:lang w:eastAsia="en-GB"/>
        </w:rPr>
        <w:t xml:space="preserve">pripravlja napovedi za varstvo rastlin pred glavnimi gospodarsko pomembnimi boleznimi in škodljivci rastlin v vinogradništvu, sadjarstvu, hmeljarstvu, </w:t>
      </w:r>
      <w:proofErr w:type="spellStart"/>
      <w:r w:rsidRPr="00155028">
        <w:rPr>
          <w:sz w:val="20"/>
          <w:lang w:eastAsia="en-GB"/>
        </w:rPr>
        <w:t>oljkarstvu</w:t>
      </w:r>
      <w:proofErr w:type="spellEnd"/>
      <w:r w:rsidRPr="00155028">
        <w:rPr>
          <w:sz w:val="20"/>
          <w:lang w:eastAsia="en-GB"/>
        </w:rPr>
        <w:t xml:space="preserve">, poljedelstvu in od leta 2015 tudi v vrtnarstvu. Obveščanje pridelovalcev poteka preko prognostičnih obvestil, ki so od leta 2014 v posodobljeni obliki dosegljiva na spletnem </w:t>
      </w:r>
      <w:proofErr w:type="spellStart"/>
      <w:r w:rsidR="00A26CD6">
        <w:rPr>
          <w:sz w:val="20"/>
          <w:lang w:eastAsia="en-GB"/>
        </w:rPr>
        <w:t>Agrometeorološkem</w:t>
      </w:r>
      <w:proofErr w:type="spellEnd"/>
      <w:r w:rsidR="00A26CD6">
        <w:rPr>
          <w:sz w:val="20"/>
          <w:lang w:eastAsia="en-GB"/>
        </w:rPr>
        <w:t xml:space="preserve"> </w:t>
      </w:r>
      <w:r w:rsidRPr="00155028">
        <w:rPr>
          <w:sz w:val="20"/>
          <w:lang w:eastAsia="en-GB"/>
        </w:rPr>
        <w:t xml:space="preserve">portalu </w:t>
      </w:r>
      <w:r w:rsidR="00A26CD6">
        <w:rPr>
          <w:sz w:val="20"/>
          <w:lang w:eastAsia="en-GB"/>
        </w:rPr>
        <w:t>Slovenije</w:t>
      </w:r>
      <w:r w:rsidRPr="00155028">
        <w:rPr>
          <w:sz w:val="20"/>
          <w:lang w:eastAsia="en-GB"/>
        </w:rPr>
        <w:t xml:space="preserve"> (</w:t>
      </w:r>
      <w:hyperlink r:id="rId26" w:history="1">
        <w:r w:rsidRPr="00155028">
          <w:rPr>
            <w:color w:val="0000FF"/>
            <w:sz w:val="20"/>
            <w:u w:val="single"/>
            <w:lang w:eastAsia="en-GB"/>
          </w:rPr>
          <w:t>http://agromet.mkgp.gov.si/pp/</w:t>
        </w:r>
      </w:hyperlink>
      <w:r w:rsidRPr="00155028">
        <w:rPr>
          <w:color w:val="0000FF"/>
          <w:sz w:val="20"/>
          <w:u w:val="single"/>
          <w:lang w:eastAsia="en-GB"/>
        </w:rPr>
        <w:t>)</w:t>
      </w:r>
      <w:r w:rsidRPr="00155028">
        <w:rPr>
          <w:sz w:val="20"/>
          <w:lang w:eastAsia="en-GB"/>
        </w:rPr>
        <w:t xml:space="preserve">. Sicer že od leta 2002 deluje tudi </w:t>
      </w:r>
      <w:r w:rsidR="00A26CD6">
        <w:rPr>
          <w:sz w:val="20"/>
          <w:lang w:eastAsia="en-GB"/>
        </w:rPr>
        <w:t>spletni</w:t>
      </w:r>
      <w:r w:rsidR="00A26CD6" w:rsidRPr="00155028">
        <w:rPr>
          <w:sz w:val="20"/>
          <w:lang w:eastAsia="en-GB"/>
        </w:rPr>
        <w:t xml:space="preserve"> </w:t>
      </w:r>
      <w:r w:rsidRPr="00155028">
        <w:rPr>
          <w:sz w:val="20"/>
          <w:lang w:eastAsia="en-GB"/>
        </w:rPr>
        <w:t>portal FITO-INFO (</w:t>
      </w:r>
      <w:hyperlink r:id="rId27" w:history="1">
        <w:r w:rsidRPr="00155028">
          <w:rPr>
            <w:color w:val="0000FF"/>
            <w:sz w:val="20"/>
            <w:u w:val="single"/>
            <w:lang w:eastAsia="en-GB"/>
          </w:rPr>
          <w:t>www.fito-info.si</w:t>
        </w:r>
      </w:hyperlink>
      <w:r w:rsidRPr="00155028">
        <w:rPr>
          <w:color w:val="0000FF"/>
          <w:sz w:val="20"/>
          <w:u w:val="single"/>
          <w:lang w:eastAsia="en-GB"/>
        </w:rPr>
        <w:t>)</w:t>
      </w:r>
      <w:r w:rsidRPr="00155028">
        <w:rPr>
          <w:sz w:val="20"/>
          <w:lang w:eastAsia="en-GB"/>
        </w:rPr>
        <w:t xml:space="preserve"> za objavo prognostičnih informacij in elektronsko obveščanje uporabnikov sistema po elektronski pošti in s pomočjo SMS-sporočil o pojavu nevarnih ŠO ter o potrebnih ukrepih varstva rastlin, vključno z opozorili ob morebitnih ujmah. Oba sistema sta medsebojno povezana.</w:t>
      </w:r>
    </w:p>
    <w:p w14:paraId="08BB5F06" w14:textId="77777777" w:rsidR="009B231C" w:rsidRPr="00155028" w:rsidRDefault="009B231C" w:rsidP="009B231C">
      <w:pPr>
        <w:spacing w:before="80" w:after="80" w:line="220" w:lineRule="atLeast"/>
        <w:jc w:val="both"/>
        <w:rPr>
          <w:sz w:val="20"/>
          <w:lang w:eastAsia="en-GB"/>
        </w:rPr>
      </w:pPr>
      <w:r w:rsidRPr="00155028">
        <w:rPr>
          <w:sz w:val="20"/>
          <w:u w:val="single"/>
          <w:lang w:eastAsia="en-GB"/>
        </w:rPr>
        <w:t>Javna služba zdravstvenega varstva rastlin</w:t>
      </w:r>
      <w:r w:rsidRPr="00155028">
        <w:rPr>
          <w:sz w:val="20"/>
          <w:lang w:eastAsia="en-GB"/>
        </w:rPr>
        <w:t xml:space="preserve"> za izvajanje prognoze za bolezni in škodljivce uporablja različne pripomočke za spremljanje, od lovilcev spor, svetlobnih vab, feromonskih vab, lepljivih plošč do novejših tehnik daljinskega spremljanja, kot je npr. '</w:t>
      </w:r>
      <w:proofErr w:type="spellStart"/>
      <w:r w:rsidRPr="00155028">
        <w:rPr>
          <w:sz w:val="20"/>
          <w:lang w:eastAsia="en-GB"/>
        </w:rPr>
        <w:t>Trapview</w:t>
      </w:r>
      <w:proofErr w:type="spellEnd"/>
      <w:r w:rsidRPr="00155028">
        <w:rPr>
          <w:sz w:val="20"/>
          <w:lang w:eastAsia="en-GB"/>
        </w:rPr>
        <w:t xml:space="preserve">'. Uporablja tudi prognostične modele, različno strojno, programsko in drugo opremo, ki omogoča meritve različnih parametrov, zbiranje in analiziranje ter dostopnost podatkov in meritev. Te se zagotavljajo s pomočjo številnih </w:t>
      </w:r>
      <w:proofErr w:type="spellStart"/>
      <w:r w:rsidRPr="00155028">
        <w:rPr>
          <w:sz w:val="20"/>
          <w:lang w:eastAsia="en-GB"/>
        </w:rPr>
        <w:t>agrometeoroloških</w:t>
      </w:r>
      <w:proofErr w:type="spellEnd"/>
      <w:r w:rsidRPr="00155028">
        <w:rPr>
          <w:sz w:val="20"/>
          <w:lang w:eastAsia="en-GB"/>
        </w:rPr>
        <w:t xml:space="preserve"> postaj, smiselno razporejenih po območjih RS z najbolj intenzivno kmetijsko pridelavo ter po različnih kmetijskih kulturah. Izpis njihovih lokacij s podatki meritev in opazovanj na posameznem območju je javno dostopen na </w:t>
      </w:r>
      <w:proofErr w:type="spellStart"/>
      <w:r w:rsidRPr="00155028">
        <w:rPr>
          <w:sz w:val="20"/>
          <w:lang w:eastAsia="en-GB"/>
        </w:rPr>
        <w:t>Agrometeorološkem</w:t>
      </w:r>
      <w:proofErr w:type="spellEnd"/>
      <w:r w:rsidRPr="00155028">
        <w:rPr>
          <w:sz w:val="20"/>
          <w:lang w:eastAsia="en-GB"/>
        </w:rPr>
        <w:t xml:space="preserve"> portalu Slovenije (</w:t>
      </w:r>
      <w:hyperlink r:id="rId28" w:history="1">
        <w:r w:rsidRPr="00155028">
          <w:rPr>
            <w:color w:val="0000FF"/>
            <w:sz w:val="20"/>
            <w:u w:val="single"/>
            <w:lang w:eastAsia="en-GB"/>
          </w:rPr>
          <w:t>http://agromet.mko.gov.si/APP/Home/METEO/-1</w:t>
        </w:r>
      </w:hyperlink>
      <w:r w:rsidRPr="00155028">
        <w:rPr>
          <w:color w:val="0000FF"/>
          <w:sz w:val="20"/>
          <w:u w:val="single"/>
          <w:lang w:eastAsia="en-GB"/>
        </w:rPr>
        <w:t>)</w:t>
      </w:r>
      <w:r w:rsidRPr="00155028">
        <w:rPr>
          <w:sz w:val="20"/>
          <w:lang w:eastAsia="en-GB"/>
        </w:rPr>
        <w:t>.</w:t>
      </w:r>
    </w:p>
    <w:p w14:paraId="69C06C78" w14:textId="0199F25E" w:rsidR="007F41C6" w:rsidRPr="00155028" w:rsidRDefault="007F41C6" w:rsidP="007F41C6">
      <w:pPr>
        <w:spacing w:before="80" w:after="80" w:line="220" w:lineRule="atLeast"/>
        <w:jc w:val="both"/>
        <w:rPr>
          <w:rFonts w:eastAsia="Times New Roman"/>
          <w:sz w:val="20"/>
          <w:lang w:eastAsia="en-GB"/>
        </w:rPr>
      </w:pPr>
      <w:r w:rsidRPr="00155028">
        <w:rPr>
          <w:rFonts w:eastAsia="Times New Roman"/>
          <w:sz w:val="20"/>
          <w:lang w:eastAsia="en-GB"/>
        </w:rPr>
        <w:t xml:space="preserve">Za širšo uporabo sta bila razvita prognostična modula za spremljanje pojava jabolčnega zavijača in jablanovega škrlupa, ki sta javno dostopna na </w:t>
      </w:r>
      <w:proofErr w:type="spellStart"/>
      <w:r w:rsidRPr="00155028">
        <w:rPr>
          <w:rFonts w:eastAsia="Times New Roman"/>
          <w:sz w:val="20"/>
          <w:lang w:eastAsia="en-GB"/>
        </w:rPr>
        <w:t>Agrometeorološkem</w:t>
      </w:r>
      <w:proofErr w:type="spellEnd"/>
      <w:r w:rsidRPr="00155028">
        <w:rPr>
          <w:rFonts w:eastAsia="Times New Roman"/>
          <w:sz w:val="20"/>
          <w:lang w:eastAsia="en-GB"/>
        </w:rPr>
        <w:t xml:space="preserve"> portalu in ju lahko uporabljajo tudi pridelovalci. </w:t>
      </w:r>
    </w:p>
    <w:p w14:paraId="65D44C12" w14:textId="2DDB6B78" w:rsidR="009B231C" w:rsidRPr="00155028" w:rsidRDefault="009B231C" w:rsidP="009B231C">
      <w:pPr>
        <w:spacing w:before="80" w:after="80" w:line="220" w:lineRule="atLeast"/>
        <w:jc w:val="both"/>
        <w:rPr>
          <w:sz w:val="20"/>
          <w:lang w:eastAsia="en-GB"/>
        </w:rPr>
      </w:pPr>
      <w:r w:rsidRPr="00155028">
        <w:rPr>
          <w:sz w:val="20"/>
          <w:lang w:eastAsia="en-GB"/>
        </w:rPr>
        <w:t xml:space="preserve">Strokovnjaki javne službe zdravstvenega varstva rastlin </w:t>
      </w:r>
      <w:r w:rsidR="00A26CD6">
        <w:rPr>
          <w:sz w:val="20"/>
          <w:lang w:eastAsia="en-GB"/>
        </w:rPr>
        <w:t xml:space="preserve">odgovarjajo tudi </w:t>
      </w:r>
      <w:r w:rsidRPr="00155028">
        <w:rPr>
          <w:sz w:val="20"/>
          <w:lang w:eastAsia="en-GB"/>
        </w:rPr>
        <w:t>pridelovalcem na različna vprašanja v zvezi z boleznimi in škodljivci</w:t>
      </w:r>
      <w:r w:rsidR="00A26CD6">
        <w:rPr>
          <w:sz w:val="20"/>
          <w:lang w:eastAsia="en-GB"/>
        </w:rPr>
        <w:t xml:space="preserve"> rastlin</w:t>
      </w:r>
      <w:r w:rsidRPr="00155028">
        <w:rPr>
          <w:sz w:val="20"/>
          <w:lang w:eastAsia="en-GB"/>
        </w:rPr>
        <w:t>, svetujejo jim glede primernih ukrepov varstva rastlin ter glede varne in pravilne uporabe FFS. To izvajajo preko različnih  izobraževanj, osebnih in terenskih svetovanj, telefonskih in pisnih navodil.</w:t>
      </w:r>
    </w:p>
    <w:p w14:paraId="3A150391" w14:textId="6753D40A" w:rsidR="007F41C6" w:rsidRPr="00155028" w:rsidRDefault="007F41C6" w:rsidP="007F41C6">
      <w:pPr>
        <w:spacing w:before="80" w:after="80" w:line="220" w:lineRule="atLeast"/>
        <w:jc w:val="both"/>
        <w:rPr>
          <w:rFonts w:eastAsia="Times New Roman"/>
          <w:sz w:val="20"/>
          <w:lang w:eastAsia="en-GB"/>
        </w:rPr>
      </w:pPr>
      <w:r w:rsidRPr="00155028">
        <w:rPr>
          <w:rFonts w:eastAsia="Times New Roman"/>
          <w:sz w:val="20"/>
          <w:u w:val="single"/>
          <w:lang w:eastAsia="en-GB"/>
        </w:rPr>
        <w:lastRenderedPageBreak/>
        <w:t>Javna služba kmetijskega svetovanja</w:t>
      </w:r>
      <w:r w:rsidRPr="00155028">
        <w:rPr>
          <w:rFonts w:eastAsia="Times New Roman"/>
          <w:sz w:val="20"/>
          <w:lang w:eastAsia="en-GB"/>
        </w:rPr>
        <w:t xml:space="preserve">: Skladno s programom dela na podlagi Uredbe o načinu in obveznostih izvajanja javne službe kmetijskega svetovanja (Uradni list RS, št. 60), kmetijski svetovalci nudijo strokovno podporo pri opazovalni dejavnosti v zvezi s </w:t>
      </w:r>
      <w:r w:rsidR="001968A5" w:rsidRPr="00155028">
        <w:rPr>
          <w:rFonts w:eastAsia="Times New Roman"/>
          <w:sz w:val="20"/>
          <w:lang w:eastAsia="en-GB"/>
        </w:rPr>
        <w:t>škodljivimi organizmi</w:t>
      </w:r>
      <w:r w:rsidRPr="00155028">
        <w:rPr>
          <w:rFonts w:eastAsia="Times New Roman"/>
          <w:sz w:val="20"/>
          <w:lang w:eastAsia="en-GB"/>
        </w:rPr>
        <w:t xml:space="preserve"> rastlin in svetujejo o pravilni uporabi FFS, ki izhaja iz načel dobre prakse varstva rastlin in je skladna s splošnimi načeli integriranega varstva rastlin pred </w:t>
      </w:r>
      <w:r w:rsidR="001968A5" w:rsidRPr="00155028">
        <w:rPr>
          <w:rFonts w:eastAsia="Times New Roman"/>
          <w:sz w:val="20"/>
          <w:lang w:eastAsia="en-GB"/>
        </w:rPr>
        <w:t>škodljivimi organizmi</w:t>
      </w:r>
      <w:r w:rsidRPr="00155028">
        <w:rPr>
          <w:rFonts w:eastAsia="Times New Roman"/>
          <w:sz w:val="20"/>
          <w:lang w:eastAsia="en-GB"/>
        </w:rPr>
        <w:t>.</w:t>
      </w:r>
    </w:p>
    <w:p w14:paraId="18CF77FD" w14:textId="55B69902" w:rsidR="003F690F" w:rsidRPr="00155028" w:rsidRDefault="009B231C" w:rsidP="007F70EA">
      <w:pPr>
        <w:spacing w:before="80" w:after="80" w:line="220" w:lineRule="atLeast"/>
        <w:jc w:val="both"/>
        <w:rPr>
          <w:rFonts w:eastAsia="Times New Roman"/>
          <w:sz w:val="20"/>
          <w:lang w:eastAsia="en-GB"/>
        </w:rPr>
      </w:pPr>
      <w:r w:rsidRPr="00155028">
        <w:rPr>
          <w:sz w:val="20"/>
          <w:u w:val="single"/>
          <w:lang w:eastAsia="en-GB"/>
        </w:rPr>
        <w:t>Splošna načela  za integrirano varstvo rastlin</w:t>
      </w:r>
      <w:r w:rsidRPr="00155028">
        <w:rPr>
          <w:sz w:val="20"/>
          <w:lang w:eastAsia="en-GB"/>
        </w:rPr>
        <w:t xml:space="preserve"> </w:t>
      </w:r>
      <w:r w:rsidRPr="00155028">
        <w:rPr>
          <w:rFonts w:eastAsia="Times New Roman"/>
          <w:sz w:val="20"/>
          <w:lang w:eastAsia="en-GB"/>
        </w:rPr>
        <w:t xml:space="preserve">(v nadaljnjem besedilu: IVR) </w:t>
      </w:r>
      <w:r w:rsidRPr="00155028">
        <w:rPr>
          <w:sz w:val="20"/>
          <w:lang w:eastAsia="en-GB"/>
        </w:rPr>
        <w:t>so prenesena iz Priloge III Direktive 2009/128/ES s 35. členom ZFfS-1 in Pravilnikom o integriranem varstvu rastlin (</w:t>
      </w:r>
      <w:hyperlink r:id="rId29" w:history="1">
        <w:r w:rsidRPr="00155028">
          <w:rPr>
            <w:color w:val="0000FF"/>
            <w:sz w:val="20"/>
            <w:u w:val="single"/>
            <w:lang w:eastAsia="en-GB"/>
          </w:rPr>
          <w:t>http://www.pisrs.si/Pis.web/pregledPredpisa?id=PRAV11530</w:t>
        </w:r>
      </w:hyperlink>
      <w:r w:rsidRPr="00155028">
        <w:rPr>
          <w:color w:val="0000FF"/>
          <w:sz w:val="20"/>
          <w:u w:val="single"/>
          <w:lang w:eastAsia="en-GB"/>
        </w:rPr>
        <w:t>)</w:t>
      </w:r>
      <w:r w:rsidRPr="00155028">
        <w:rPr>
          <w:sz w:val="20"/>
          <w:lang w:eastAsia="en-GB"/>
        </w:rPr>
        <w:t xml:space="preserve">, kjer so določene obveznosti </w:t>
      </w:r>
      <w:r w:rsidR="00A26CD6">
        <w:rPr>
          <w:sz w:val="20"/>
          <w:lang w:eastAsia="en-GB"/>
        </w:rPr>
        <w:t>uporabnikov FFS za poklicno rabo</w:t>
      </w:r>
      <w:r w:rsidRPr="00155028">
        <w:rPr>
          <w:sz w:val="20"/>
          <w:lang w:eastAsia="en-GB"/>
        </w:rPr>
        <w:t xml:space="preserve">, med drugim tudi vodenje evidence uporabe FFS in drugih metod varstva rastlin ter poročanje o njihovi uspešnosti. </w:t>
      </w:r>
    </w:p>
    <w:p w14:paraId="73281B14" w14:textId="5918C754" w:rsidR="007F41C6" w:rsidRPr="00155028" w:rsidRDefault="003F690F" w:rsidP="007F41C6">
      <w:pPr>
        <w:spacing w:before="120" w:after="100" w:afterAutospacing="1" w:line="240" w:lineRule="auto"/>
        <w:jc w:val="both"/>
        <w:rPr>
          <w:rFonts w:eastAsia="Times New Roman"/>
          <w:sz w:val="20"/>
          <w:lang w:eastAsia="en-GB"/>
        </w:rPr>
      </w:pPr>
      <w:r w:rsidRPr="00155028">
        <w:rPr>
          <w:rFonts w:eastAsia="Times New Roman"/>
          <w:sz w:val="20"/>
          <w:lang w:eastAsia="en-GB"/>
        </w:rPr>
        <w:t>UVHVVR</w:t>
      </w:r>
      <w:r w:rsidR="007F41C6" w:rsidRPr="00155028">
        <w:rPr>
          <w:rFonts w:eastAsia="Times New Roman"/>
          <w:sz w:val="20"/>
          <w:lang w:eastAsia="en-GB"/>
        </w:rPr>
        <w:t xml:space="preserve"> izvaja letni nadzor nad </w:t>
      </w:r>
      <w:r w:rsidR="00A26CD6">
        <w:rPr>
          <w:rFonts w:eastAsia="Times New Roman"/>
          <w:sz w:val="20"/>
          <w:lang w:eastAsia="en-GB"/>
        </w:rPr>
        <w:t>uporabniki FFS za poklicno rabo</w:t>
      </w:r>
      <w:r w:rsidR="007F41C6" w:rsidRPr="00155028">
        <w:rPr>
          <w:rFonts w:eastAsia="Times New Roman"/>
          <w:sz w:val="20"/>
          <w:lang w:eastAsia="en-GB"/>
        </w:rPr>
        <w:t xml:space="preserve"> v skladu z letnim programom dela, v katerega je vključen tudi nadzor nad evidencami, rabo FFS in ukrepi </w:t>
      </w:r>
      <w:r w:rsidR="001D41C6" w:rsidRPr="00155028">
        <w:rPr>
          <w:rFonts w:eastAsia="Times New Roman"/>
          <w:sz w:val="20"/>
          <w:lang w:eastAsia="en-GB"/>
        </w:rPr>
        <w:t>Integriranega varstva rastlin</w:t>
      </w:r>
      <w:r w:rsidR="007F41C6" w:rsidRPr="00155028">
        <w:rPr>
          <w:rFonts w:eastAsia="Times New Roman"/>
          <w:sz w:val="20"/>
          <w:lang w:eastAsia="en-GB"/>
        </w:rPr>
        <w:t xml:space="preserve">. Za izvajanje nadzora so potrebne jasne zakonske zahteve, ki jih </w:t>
      </w:r>
      <w:r w:rsidR="001D41C6" w:rsidRPr="00155028">
        <w:rPr>
          <w:rFonts w:eastAsia="Times New Roman"/>
          <w:sz w:val="20"/>
          <w:lang w:eastAsia="en-GB"/>
        </w:rPr>
        <w:t xml:space="preserve">Direktiva </w:t>
      </w:r>
      <w:r w:rsidR="007F41C6" w:rsidRPr="00155028">
        <w:rPr>
          <w:rFonts w:eastAsia="Times New Roman"/>
          <w:sz w:val="20"/>
          <w:lang w:eastAsia="en-GB"/>
        </w:rPr>
        <w:t xml:space="preserve">ne predvideva. Izbor ukrepov za IVR je zelo širok in možne so številne kombinacije, ki niso zakonsko predpisane, zato jih ni možno sankcionirati, v okviru IVR pa je dovoljena </w:t>
      </w:r>
      <w:r w:rsidR="0037331A" w:rsidRPr="00155028">
        <w:rPr>
          <w:rFonts w:eastAsia="Times New Roman"/>
          <w:sz w:val="20"/>
          <w:lang w:eastAsia="en-GB"/>
        </w:rPr>
        <w:t xml:space="preserve">tudi </w:t>
      </w:r>
      <w:r w:rsidR="007F41C6" w:rsidRPr="00155028">
        <w:rPr>
          <w:rFonts w:eastAsia="Times New Roman"/>
          <w:sz w:val="20"/>
          <w:lang w:eastAsia="en-GB"/>
        </w:rPr>
        <w:t xml:space="preserve">raba registriranih FFS. </w:t>
      </w:r>
    </w:p>
    <w:p w14:paraId="64A3CF97" w14:textId="3E17DE8A" w:rsidR="007F41C6" w:rsidRPr="00155028" w:rsidRDefault="00505BA5" w:rsidP="007F41C6">
      <w:pPr>
        <w:spacing w:before="80" w:after="80" w:line="220" w:lineRule="atLeast"/>
        <w:jc w:val="both"/>
        <w:rPr>
          <w:rFonts w:eastAsia="Times New Roman"/>
          <w:sz w:val="20"/>
          <w:lang w:eastAsia="en-GB"/>
        </w:rPr>
      </w:pPr>
      <w:r w:rsidRPr="00155028">
        <w:rPr>
          <w:rFonts w:eastAsia="Times New Roman"/>
          <w:sz w:val="20"/>
          <w:u w:val="single"/>
          <w:lang w:eastAsia="en-GB"/>
        </w:rPr>
        <w:t>S</w:t>
      </w:r>
      <w:r w:rsidR="007F41C6" w:rsidRPr="00155028">
        <w:rPr>
          <w:rFonts w:eastAsia="Times New Roman"/>
          <w:sz w:val="20"/>
          <w:u w:val="single"/>
          <w:lang w:eastAsia="en-GB"/>
        </w:rPr>
        <w:t>podbude za razvoj specifičnih smernic IVR</w:t>
      </w:r>
      <w:r w:rsidR="007F41C6" w:rsidRPr="00155028">
        <w:rPr>
          <w:rFonts w:eastAsia="Times New Roman"/>
          <w:sz w:val="20"/>
          <w:lang w:eastAsia="en-GB"/>
        </w:rPr>
        <w:t xml:space="preserve">: Primarna naloga slovenskega kmetijstva je pridelava varne in čim bolj kakovostne hrane. V pridelavi je zato potrebno nadgrajevati visoke tehnološke, fitosanitarne in veterinarske standarde ter standarde varstva okolja in dobrobiti živali. </w:t>
      </w:r>
    </w:p>
    <w:p w14:paraId="7B5FC179" w14:textId="09605E28" w:rsidR="007F41C6" w:rsidRPr="00155028" w:rsidRDefault="007F41C6" w:rsidP="007F41C6">
      <w:pPr>
        <w:spacing w:before="80" w:after="80" w:line="220" w:lineRule="atLeast"/>
        <w:jc w:val="both"/>
        <w:rPr>
          <w:rFonts w:eastAsia="Times New Roman"/>
          <w:sz w:val="20"/>
          <w:lang w:eastAsia="en-GB"/>
        </w:rPr>
      </w:pPr>
      <w:r w:rsidRPr="00155028">
        <w:rPr>
          <w:rFonts w:eastAsia="Times New Roman"/>
          <w:sz w:val="20"/>
          <w:lang w:eastAsia="en-GB"/>
        </w:rPr>
        <w:t xml:space="preserve">Splošni standardi integriranega varstva rastlin pred škodljivimi organizmi se v RS uveljavljajo z ZFfS-1 kot način trajnostnega razvoja kmetijstva in obvezna praksa. </w:t>
      </w:r>
    </w:p>
    <w:p w14:paraId="5108D529" w14:textId="0CED92AB" w:rsidR="009B231C" w:rsidRPr="00155028" w:rsidRDefault="009B231C" w:rsidP="007F41C6">
      <w:pPr>
        <w:spacing w:before="80" w:after="80" w:line="220" w:lineRule="atLeast"/>
        <w:jc w:val="both"/>
        <w:rPr>
          <w:sz w:val="20"/>
          <w:lang w:eastAsia="en-GB"/>
        </w:rPr>
      </w:pPr>
      <w:r w:rsidRPr="00155028">
        <w:rPr>
          <w:sz w:val="20"/>
          <w:lang w:eastAsia="en-GB"/>
        </w:rPr>
        <w:t>Za uspešno implementacijo splošnih pravil IVR v praksi je sistem treba nadgraditi s podrobnejšimi navodili in smernicami za IVR</w:t>
      </w:r>
      <w:r w:rsidR="00EC32F7" w:rsidRPr="00155028">
        <w:rPr>
          <w:sz w:val="20"/>
          <w:lang w:eastAsia="en-GB"/>
        </w:rPr>
        <w:t xml:space="preserve"> </w:t>
      </w:r>
      <w:r w:rsidRPr="00155028">
        <w:rPr>
          <w:sz w:val="20"/>
          <w:lang w:eastAsia="en-GB"/>
        </w:rPr>
        <w:t xml:space="preserve">za vse panoge kmetijske pridelave. Pri tem je potrebno poudariti, da splošna pravila integriranega varstva rastlin vključujejo vse stopnje tehnologije, od izbire zdravega (certificiranega/standardnega) semena/sadilnega materiala odpornih/tolerantnih sort posamezne kulture, tehnologijo pridelave, razpoložljive </w:t>
      </w:r>
      <w:proofErr w:type="spellStart"/>
      <w:r w:rsidRPr="00155028">
        <w:rPr>
          <w:sz w:val="20"/>
          <w:lang w:eastAsia="en-GB"/>
        </w:rPr>
        <w:t>nekemične</w:t>
      </w:r>
      <w:proofErr w:type="spellEnd"/>
      <w:r w:rsidRPr="00155028">
        <w:rPr>
          <w:sz w:val="20"/>
          <w:lang w:eastAsia="en-GB"/>
        </w:rPr>
        <w:t xml:space="preserve"> in kemične načine varstva rastlin do skladiščenja pridelkov, kar pomeni, da gre dejansko za okolju prijazno celotno tehnologijo pridelave posamezne kulture.</w:t>
      </w:r>
    </w:p>
    <w:p w14:paraId="280D59DB" w14:textId="77777777" w:rsidR="00EC32F7" w:rsidRPr="00155028" w:rsidRDefault="00EC32F7" w:rsidP="007F41C6">
      <w:pPr>
        <w:spacing w:before="80" w:after="80" w:line="220" w:lineRule="atLeast"/>
        <w:jc w:val="both"/>
        <w:rPr>
          <w:rFonts w:eastAsia="Times New Roman"/>
          <w:sz w:val="20"/>
          <w:lang w:eastAsia="en-GB"/>
        </w:rPr>
      </w:pPr>
    </w:p>
    <w:p w14:paraId="17F269EA" w14:textId="2EE50D7C" w:rsidR="00EC32F7" w:rsidRPr="00155028" w:rsidRDefault="00EC32F7" w:rsidP="00EC32F7">
      <w:pPr>
        <w:pStyle w:val="Odstavekseznama"/>
        <w:spacing w:after="60"/>
        <w:ind w:left="0"/>
        <w:jc w:val="both"/>
        <w:rPr>
          <w:sz w:val="20"/>
        </w:rPr>
      </w:pPr>
      <w:r w:rsidRPr="00155028">
        <w:rPr>
          <w:sz w:val="20"/>
          <w:lang w:eastAsia="en-GB"/>
        </w:rPr>
        <w:t xml:space="preserve">Nadgraditi je treba dostopnost informacij pridelovalcem glede prepoznavanja škodljivih organizmov in izvajanja primernih ukrepov ter prenos znanja v prakso v obliki informacij na spletnih straneh, v tiskanih brošurah, smernicah in navodilih ter osebnih nasvetov javne službe zdravstvenega varstva rastlin in </w:t>
      </w:r>
      <w:r w:rsidR="009C7463" w:rsidRPr="00155028">
        <w:rPr>
          <w:sz w:val="20"/>
          <w:lang w:eastAsia="en-GB"/>
        </w:rPr>
        <w:t xml:space="preserve">javne službe </w:t>
      </w:r>
      <w:r w:rsidRPr="00155028">
        <w:rPr>
          <w:sz w:val="20"/>
          <w:lang w:eastAsia="en-GB"/>
        </w:rPr>
        <w:t>kmetijske</w:t>
      </w:r>
      <w:r w:rsidR="009C7463" w:rsidRPr="00155028">
        <w:rPr>
          <w:sz w:val="20"/>
          <w:lang w:eastAsia="en-GB"/>
        </w:rPr>
        <w:t>ga svetovanja</w:t>
      </w:r>
      <w:r w:rsidRPr="00155028">
        <w:rPr>
          <w:sz w:val="20"/>
          <w:lang w:eastAsia="en-GB"/>
        </w:rPr>
        <w:t xml:space="preserve">. V ta namen je bila razvita posebna spletna stran </w:t>
      </w:r>
      <w:hyperlink r:id="rId30" w:history="1">
        <w:r w:rsidRPr="00155028">
          <w:rPr>
            <w:rStyle w:val="Hiperpovezava"/>
            <w:sz w:val="20"/>
            <w:lang w:eastAsia="en-GB"/>
          </w:rPr>
          <w:t>https://www.ivr.si/</w:t>
        </w:r>
      </w:hyperlink>
      <w:r w:rsidRPr="00155028">
        <w:rPr>
          <w:sz w:val="20"/>
          <w:lang w:eastAsia="en-GB"/>
        </w:rPr>
        <w:t xml:space="preserve"> , ki deluje od novembra 2017.</w:t>
      </w:r>
      <w:r w:rsidRPr="00155028">
        <w:rPr>
          <w:sz w:val="20"/>
        </w:rPr>
        <w:t xml:space="preserve"> </w:t>
      </w:r>
      <w:r w:rsidRPr="00155028">
        <w:rPr>
          <w:rFonts w:eastAsia="Times New Roman"/>
          <w:color w:val="323232"/>
          <w:sz w:val="20"/>
          <w:lang w:eastAsia="sl-SI"/>
        </w:rPr>
        <w:t>Na IVR portalu so dostopni aktualni opisi in informacije o škodljivih organizmih posameznih kultur ter predstavljeni ukrepi s katerimi lahko zmanjšamo porabo fitofarmacevtskih sredstev (FFS). IVR pomeni sistematično in načrtno obvladovanje bolezni in škodljivcev in združuje različne pristope zdravstvenega varstva rastlin v celovit, trajnostno naravnan program, ki temelji na kombinaciji biotičnih, obdelovalno gojitvenih, fizikalnih, biotehničnih in kemijskih načinov varstva rastlin, z namenom zmanjševanja tveganja za gospodarnost kmetijske pridelave ter zdravja ljudi in okolja.</w:t>
      </w:r>
      <w:r w:rsidRPr="00155028">
        <w:rPr>
          <w:sz w:val="20"/>
        </w:rPr>
        <w:t xml:space="preserve"> Spletna stran se sproti razvija in dopolnjuje z novimi informacijami, pomemben del vsebin pa se nanaša na oblikovanje specifičnih smernic IVR, ki zajemajo sodobne pristope zdravstvenega varstva rastlin in so kot vir informacij in usmeritev neprestano na voljo svetovalcem in pridelovalcem kmetijskih rastlin. </w:t>
      </w:r>
    </w:p>
    <w:p w14:paraId="49D5EF2E" w14:textId="77777777" w:rsidR="00EC32F7" w:rsidRPr="00155028" w:rsidRDefault="00EC32F7" w:rsidP="00EC32F7">
      <w:pPr>
        <w:pStyle w:val="Odstavekseznama"/>
        <w:spacing w:after="60"/>
        <w:ind w:left="0"/>
        <w:jc w:val="both"/>
        <w:rPr>
          <w:sz w:val="20"/>
        </w:rPr>
      </w:pPr>
    </w:p>
    <w:p w14:paraId="2F4581E4" w14:textId="77777777" w:rsidR="00EC32F7" w:rsidRPr="00155028" w:rsidRDefault="00EC32F7" w:rsidP="00EC32F7">
      <w:pPr>
        <w:pStyle w:val="Odstavekseznama"/>
        <w:spacing w:after="60"/>
        <w:ind w:left="0"/>
        <w:jc w:val="both"/>
        <w:rPr>
          <w:sz w:val="20"/>
        </w:rPr>
      </w:pPr>
      <w:r w:rsidRPr="00155028">
        <w:rPr>
          <w:sz w:val="20"/>
        </w:rPr>
        <w:t>Na IVR portalu so na voljo za uporabo naslednje smernice:</w:t>
      </w:r>
    </w:p>
    <w:p w14:paraId="1894DAED" w14:textId="3440DC16" w:rsidR="00EC32F7" w:rsidRPr="00155028" w:rsidRDefault="00EC32F7" w:rsidP="00EC32F7">
      <w:pPr>
        <w:pStyle w:val="Odstavekseznama"/>
        <w:numPr>
          <w:ilvl w:val="0"/>
          <w:numId w:val="5"/>
        </w:numPr>
        <w:spacing w:after="60"/>
        <w:jc w:val="both"/>
        <w:rPr>
          <w:sz w:val="20"/>
        </w:rPr>
      </w:pPr>
      <w:r w:rsidRPr="00155028">
        <w:rPr>
          <w:sz w:val="20"/>
        </w:rPr>
        <w:t>Poljedelstvo: krompir, soja, žita</w:t>
      </w:r>
      <w:r w:rsidR="00A26CD6">
        <w:rPr>
          <w:sz w:val="20"/>
        </w:rPr>
        <w:t xml:space="preserve">, </w:t>
      </w:r>
      <w:r w:rsidRPr="00155028">
        <w:rPr>
          <w:sz w:val="20"/>
        </w:rPr>
        <w:t>koruza</w:t>
      </w:r>
      <w:r w:rsidR="00A26CD6">
        <w:rPr>
          <w:sz w:val="20"/>
        </w:rPr>
        <w:t xml:space="preserve"> in </w:t>
      </w:r>
      <w:r w:rsidR="009C7463" w:rsidRPr="00155028">
        <w:rPr>
          <w:sz w:val="20"/>
        </w:rPr>
        <w:t>oljne buče</w:t>
      </w:r>
    </w:p>
    <w:p w14:paraId="219F7A6F" w14:textId="77777777" w:rsidR="00EC32F7" w:rsidRPr="00155028" w:rsidRDefault="00EC32F7" w:rsidP="00EC32F7">
      <w:pPr>
        <w:pStyle w:val="Odstavekseznama"/>
        <w:numPr>
          <w:ilvl w:val="0"/>
          <w:numId w:val="5"/>
        </w:numPr>
        <w:spacing w:after="60"/>
        <w:jc w:val="both"/>
        <w:rPr>
          <w:sz w:val="20"/>
        </w:rPr>
      </w:pPr>
      <w:r w:rsidRPr="00155028">
        <w:rPr>
          <w:sz w:val="20"/>
        </w:rPr>
        <w:t>Hmeljarstvo: hmelj</w:t>
      </w:r>
    </w:p>
    <w:p w14:paraId="7E28C0F9" w14:textId="3747FE6D" w:rsidR="00EC32F7" w:rsidRPr="00155028" w:rsidRDefault="00EC32F7" w:rsidP="00EC32F7">
      <w:pPr>
        <w:pStyle w:val="Odstavekseznama"/>
        <w:numPr>
          <w:ilvl w:val="0"/>
          <w:numId w:val="5"/>
        </w:numPr>
        <w:spacing w:after="60"/>
        <w:jc w:val="both"/>
        <w:rPr>
          <w:sz w:val="20"/>
        </w:rPr>
      </w:pPr>
      <w:r w:rsidRPr="00155028">
        <w:rPr>
          <w:sz w:val="20"/>
        </w:rPr>
        <w:t>Sadjarstvo: jablana, malina, ameriške borovnice, jagode, orehi in le</w:t>
      </w:r>
      <w:r w:rsidR="00A26CD6">
        <w:rPr>
          <w:sz w:val="20"/>
        </w:rPr>
        <w:t>ska</w:t>
      </w:r>
    </w:p>
    <w:p w14:paraId="7C8009B0" w14:textId="77777777" w:rsidR="00EC32F7" w:rsidRPr="00155028" w:rsidRDefault="00EC32F7" w:rsidP="00EC32F7">
      <w:pPr>
        <w:pStyle w:val="Odstavekseznama"/>
        <w:numPr>
          <w:ilvl w:val="0"/>
          <w:numId w:val="5"/>
        </w:numPr>
        <w:spacing w:after="60"/>
        <w:jc w:val="both"/>
        <w:rPr>
          <w:sz w:val="20"/>
        </w:rPr>
      </w:pPr>
      <w:proofErr w:type="spellStart"/>
      <w:r w:rsidRPr="00155028">
        <w:rPr>
          <w:sz w:val="20"/>
        </w:rPr>
        <w:t>Oljkarstvo</w:t>
      </w:r>
      <w:proofErr w:type="spellEnd"/>
      <w:r w:rsidRPr="00155028">
        <w:rPr>
          <w:sz w:val="20"/>
        </w:rPr>
        <w:t>: oljka</w:t>
      </w:r>
    </w:p>
    <w:p w14:paraId="5700A13E" w14:textId="10DDD83F" w:rsidR="00EC32F7" w:rsidRPr="00155028" w:rsidRDefault="00EC32F7" w:rsidP="00EC32F7">
      <w:pPr>
        <w:pStyle w:val="Odstavekseznama"/>
        <w:numPr>
          <w:ilvl w:val="0"/>
          <w:numId w:val="5"/>
        </w:numPr>
        <w:spacing w:after="60"/>
        <w:jc w:val="both"/>
        <w:rPr>
          <w:sz w:val="20"/>
        </w:rPr>
      </w:pPr>
      <w:r w:rsidRPr="00155028">
        <w:rPr>
          <w:sz w:val="20"/>
        </w:rPr>
        <w:t>Vrtnarstvo: solatnice, čebulnice, kapusnice, stročnice</w:t>
      </w:r>
      <w:r w:rsidR="009C7463" w:rsidRPr="00155028">
        <w:rPr>
          <w:sz w:val="20"/>
        </w:rPr>
        <w:t xml:space="preserve"> </w:t>
      </w:r>
      <w:r w:rsidR="00A26CD6">
        <w:rPr>
          <w:sz w:val="20"/>
        </w:rPr>
        <w:t xml:space="preserve">in </w:t>
      </w:r>
      <w:r w:rsidR="009C7463" w:rsidRPr="00155028">
        <w:rPr>
          <w:sz w:val="20"/>
        </w:rPr>
        <w:t>korenovke</w:t>
      </w:r>
    </w:p>
    <w:p w14:paraId="710996FD" w14:textId="233AD088" w:rsidR="00EC32F7" w:rsidRPr="00155028" w:rsidRDefault="00EC32F7" w:rsidP="00EC32F7">
      <w:pPr>
        <w:pStyle w:val="Odstavekseznama"/>
        <w:numPr>
          <w:ilvl w:val="0"/>
          <w:numId w:val="5"/>
        </w:numPr>
        <w:spacing w:after="60"/>
        <w:jc w:val="both"/>
        <w:rPr>
          <w:sz w:val="20"/>
        </w:rPr>
      </w:pPr>
      <w:r w:rsidRPr="00155028">
        <w:rPr>
          <w:sz w:val="20"/>
        </w:rPr>
        <w:t>Vinogradništvo: trta</w:t>
      </w:r>
    </w:p>
    <w:p w14:paraId="5EDF7D31" w14:textId="2A6A78A2" w:rsidR="00EC32F7" w:rsidRPr="00155028" w:rsidRDefault="00EC32F7" w:rsidP="00EC32F7">
      <w:pPr>
        <w:spacing w:before="80" w:after="80" w:line="220" w:lineRule="atLeast"/>
        <w:jc w:val="both"/>
        <w:rPr>
          <w:sz w:val="20"/>
          <w:lang w:eastAsia="en-GB"/>
        </w:rPr>
      </w:pPr>
      <w:r w:rsidRPr="00155028">
        <w:rPr>
          <w:sz w:val="20"/>
          <w:lang w:eastAsia="en-GB"/>
        </w:rPr>
        <w:t xml:space="preserve">Ti cilji se uresničujejo preko programov strokovnih nalog </w:t>
      </w:r>
      <w:r w:rsidR="00A26CD6">
        <w:rPr>
          <w:sz w:val="20"/>
          <w:lang w:eastAsia="en-GB"/>
        </w:rPr>
        <w:t xml:space="preserve">zdravstvenega varstva rastlin </w:t>
      </w:r>
      <w:r w:rsidRPr="00155028">
        <w:rPr>
          <w:sz w:val="20"/>
          <w:lang w:eastAsia="en-GB"/>
        </w:rPr>
        <w:t xml:space="preserve">in raziskovalnih projektov Kmetijskega inštituta Slovenije ter </w:t>
      </w:r>
      <w:r w:rsidR="00A26CD6">
        <w:rPr>
          <w:sz w:val="20"/>
          <w:lang w:eastAsia="en-GB"/>
        </w:rPr>
        <w:t xml:space="preserve">z delovanjem </w:t>
      </w:r>
      <w:r w:rsidRPr="00155028">
        <w:rPr>
          <w:sz w:val="20"/>
          <w:lang w:eastAsia="en-GB"/>
        </w:rPr>
        <w:t xml:space="preserve">javne službe zdravstvenega varstva rastlin. Programi dela v okviru IVR vključujejo posamezne sklope (metode varstva rastlin z nizkim tveganjem, </w:t>
      </w:r>
      <w:r w:rsidRPr="00155028">
        <w:rPr>
          <w:sz w:val="20"/>
          <w:lang w:eastAsia="en-GB"/>
        </w:rPr>
        <w:lastRenderedPageBreak/>
        <w:t>vpeljava različnih orodij/metod za upravljanje z odpornostjo škodljivih organizmov na FFS, različni načini obvladovanja plevelov v kmetijski proizvodnji, svetovanje za pridelovalce o ukrepih IVR, itd.), v okviru katerih se vsako leto v praksi preuči novo metodo ali pristop.</w:t>
      </w:r>
    </w:p>
    <w:p w14:paraId="0B7DFCF5" w14:textId="104CD2F5" w:rsidR="00EC32F7" w:rsidRPr="00155028" w:rsidRDefault="00EC32F7" w:rsidP="007F41C6">
      <w:pPr>
        <w:spacing w:before="80" w:after="80" w:line="220" w:lineRule="atLeast"/>
        <w:jc w:val="both"/>
        <w:rPr>
          <w:sz w:val="20"/>
          <w:lang w:eastAsia="en-GB"/>
        </w:rPr>
      </w:pPr>
      <w:r w:rsidRPr="00155028">
        <w:rPr>
          <w:sz w:val="20"/>
          <w:lang w:eastAsia="en-GB"/>
        </w:rPr>
        <w:t>Cilji in naloge integriranega varstva rastlin, ki med drugim temeljijo na spodbujanju kmetijske pridelave z uporabo načel integriranega varstva na način, da se kemična FFS uporabijo le takrat, ko je to nujno potrebno oz. je ekonomsko upravičeno, bodo prenešeni v program dela Javne službe kmetijskega svetovanja. Pri svetovanju končnemu uporabniku se bodo uporabljale specifične smernice IVR, kot tudi rezultati strokovnih nalog javnih služb v proizvodnji kmetijskih rastlin ter javne službe zdravstvenega varstva rastlin.</w:t>
      </w:r>
    </w:p>
    <w:p w14:paraId="02F306D1" w14:textId="0DFC1A96" w:rsidR="00EC32F7" w:rsidRPr="00155028" w:rsidRDefault="007F41C6" w:rsidP="007F41C6">
      <w:pPr>
        <w:spacing w:before="80" w:after="80" w:line="220" w:lineRule="atLeast"/>
        <w:jc w:val="both"/>
        <w:rPr>
          <w:rFonts w:eastAsia="Times New Roman"/>
          <w:sz w:val="20"/>
          <w:lang w:eastAsia="en-GB"/>
        </w:rPr>
      </w:pPr>
      <w:r w:rsidRPr="00155028">
        <w:rPr>
          <w:rFonts w:eastAsia="Times New Roman"/>
          <w:sz w:val="20"/>
          <w:lang w:eastAsia="en-GB"/>
        </w:rPr>
        <w:t xml:space="preserve">Na podlagi Zakona o kmetijstvu so bili v letu 2017 z Uredbo o javnih službah strokovnih nalog v proizvodnji kmetijskih rastlin (Uradni list RS, št. 60) določeni Programi javnih služb, s katerimi se jasneje določa oblike in način izvajanja javnih služb na področju poljedelstva, </w:t>
      </w:r>
      <w:r w:rsidR="00A26CD6">
        <w:rPr>
          <w:rFonts w:eastAsia="Times New Roman"/>
          <w:sz w:val="20"/>
          <w:lang w:eastAsia="en-GB"/>
        </w:rPr>
        <w:t xml:space="preserve">hmeljarstva, </w:t>
      </w:r>
      <w:r w:rsidRPr="00155028">
        <w:rPr>
          <w:rFonts w:eastAsia="Times New Roman"/>
          <w:sz w:val="20"/>
          <w:lang w:eastAsia="en-GB"/>
        </w:rPr>
        <w:t xml:space="preserve">vrtnarstva, sadjarstva, vinogradništva in </w:t>
      </w:r>
      <w:proofErr w:type="spellStart"/>
      <w:r w:rsidRPr="00155028">
        <w:rPr>
          <w:rFonts w:eastAsia="Times New Roman"/>
          <w:sz w:val="20"/>
          <w:lang w:eastAsia="en-GB"/>
        </w:rPr>
        <w:t>oljkarstva</w:t>
      </w:r>
      <w:proofErr w:type="spellEnd"/>
      <w:r w:rsidRPr="00155028">
        <w:rPr>
          <w:rFonts w:eastAsia="Times New Roman"/>
          <w:sz w:val="20"/>
          <w:lang w:eastAsia="en-GB"/>
        </w:rPr>
        <w:t xml:space="preserve">. Cilj izvajanja teh programov je med drugim tudi žlahtnjenje, selekcija in introdukcija odpornih sort ter preizkušanje tehnologij pridelave, ki zagotavljajo trajnostno rabo naravnih virov in sledijo </w:t>
      </w:r>
      <w:proofErr w:type="spellStart"/>
      <w:r w:rsidRPr="00155028">
        <w:rPr>
          <w:rFonts w:eastAsia="Times New Roman"/>
          <w:sz w:val="20"/>
          <w:lang w:eastAsia="en-GB"/>
        </w:rPr>
        <w:t>okoljskim</w:t>
      </w:r>
      <w:proofErr w:type="spellEnd"/>
      <w:r w:rsidRPr="00155028">
        <w:rPr>
          <w:rFonts w:eastAsia="Times New Roman"/>
          <w:sz w:val="20"/>
          <w:lang w:eastAsia="en-GB"/>
        </w:rPr>
        <w:t xml:space="preserve"> ciljem v kmetijstvu. </w:t>
      </w:r>
    </w:p>
    <w:p w14:paraId="056D7626" w14:textId="6C7D326D" w:rsidR="007F41C6" w:rsidRPr="00155028" w:rsidRDefault="007F41C6" w:rsidP="007F41C6">
      <w:pPr>
        <w:spacing w:before="80" w:after="80" w:line="220" w:lineRule="atLeast"/>
        <w:jc w:val="both"/>
        <w:rPr>
          <w:rFonts w:eastAsia="Times New Roman"/>
          <w:sz w:val="20"/>
          <w:lang w:eastAsia="en-GB"/>
        </w:rPr>
      </w:pPr>
      <w:r w:rsidRPr="00155028">
        <w:rPr>
          <w:rFonts w:eastAsia="Times New Roman"/>
          <w:sz w:val="20"/>
          <w:lang w:eastAsia="en-GB"/>
        </w:rPr>
        <w:t xml:space="preserve"> Rezultati strokovnih nalog, izvedenih v skladu s Programi javnih služb v pridelavi kmetijskih rastlin, se objavlja</w:t>
      </w:r>
      <w:r w:rsidR="00A26CD6">
        <w:rPr>
          <w:rFonts w:eastAsia="Times New Roman"/>
          <w:sz w:val="20"/>
          <w:lang w:eastAsia="en-GB"/>
        </w:rPr>
        <w:t>jo</w:t>
      </w:r>
      <w:r w:rsidRPr="00155028">
        <w:rPr>
          <w:rFonts w:eastAsia="Times New Roman"/>
          <w:sz w:val="20"/>
          <w:lang w:eastAsia="en-GB"/>
        </w:rPr>
        <w:t xml:space="preserve"> na spletnih straneh izvajalcev javnih služb in Ministrstva. Rezultati bodo uporabljeni pri razvoju </w:t>
      </w:r>
      <w:proofErr w:type="spellStart"/>
      <w:r w:rsidRPr="00155028">
        <w:rPr>
          <w:rFonts w:eastAsia="Times New Roman"/>
          <w:sz w:val="20"/>
          <w:lang w:eastAsia="en-GB"/>
        </w:rPr>
        <w:t>nekemičnih</w:t>
      </w:r>
      <w:proofErr w:type="spellEnd"/>
      <w:r w:rsidRPr="00155028">
        <w:rPr>
          <w:rFonts w:eastAsia="Times New Roman"/>
          <w:sz w:val="20"/>
          <w:lang w:eastAsia="en-GB"/>
        </w:rPr>
        <w:t xml:space="preserve"> metod in praks varstva rastlin, smiselno pa se bodo vključevali v smernice IVR</w:t>
      </w:r>
      <w:r w:rsidR="003E0ED1" w:rsidRPr="00155028">
        <w:rPr>
          <w:sz w:val="20"/>
          <w:lang w:eastAsia="en-GB"/>
        </w:rPr>
        <w:t>, ki jih pripravlja Kmetijski inštitut Slovenije v sodelovanju z javno službo zdravstvenega varstva rastlin in objavlja na IVR portalu</w:t>
      </w:r>
      <w:r w:rsidR="00A26CD6">
        <w:rPr>
          <w:sz w:val="20"/>
          <w:lang w:eastAsia="en-GB"/>
        </w:rPr>
        <w:t xml:space="preserve"> (</w:t>
      </w:r>
      <w:hyperlink r:id="rId31" w:history="1">
        <w:r w:rsidR="00A26CD6" w:rsidRPr="00155028">
          <w:rPr>
            <w:rStyle w:val="Hiperpovezava"/>
            <w:sz w:val="20"/>
            <w:lang w:eastAsia="en-GB"/>
          </w:rPr>
          <w:t>https://www.ivr.si/</w:t>
        </w:r>
      </w:hyperlink>
      <w:r w:rsidR="00A26CD6">
        <w:rPr>
          <w:sz w:val="20"/>
          <w:lang w:eastAsia="en-GB"/>
        </w:rPr>
        <w:t>)</w:t>
      </w:r>
      <w:r w:rsidR="003E0ED1" w:rsidRPr="00155028">
        <w:rPr>
          <w:sz w:val="20"/>
          <w:lang w:eastAsia="en-GB"/>
        </w:rPr>
        <w:t>.</w:t>
      </w:r>
      <w:r w:rsidRPr="00155028">
        <w:rPr>
          <w:rFonts w:eastAsia="Times New Roman"/>
          <w:sz w:val="20"/>
          <w:lang w:eastAsia="en-GB"/>
        </w:rPr>
        <w:t xml:space="preserve"> </w:t>
      </w:r>
    </w:p>
    <w:p w14:paraId="535A3485" w14:textId="547E8E68" w:rsidR="007F41C6" w:rsidRPr="00155028" w:rsidRDefault="007F41C6" w:rsidP="0099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sz w:val="20"/>
          <w:lang w:eastAsia="en-GB"/>
        </w:rPr>
      </w:pPr>
      <w:r w:rsidRPr="00155028">
        <w:rPr>
          <w:rFonts w:eastAsia="Times New Roman"/>
          <w:sz w:val="20"/>
          <w:lang w:eastAsia="en-GB"/>
        </w:rPr>
        <w:t>Ministrstvo in U</w:t>
      </w:r>
      <w:r w:rsidR="003E0ED1" w:rsidRPr="00155028">
        <w:rPr>
          <w:rFonts w:eastAsia="Times New Roman"/>
          <w:sz w:val="20"/>
          <w:lang w:eastAsia="en-GB"/>
        </w:rPr>
        <w:t>VHVVR</w:t>
      </w:r>
      <w:r w:rsidRPr="00155028">
        <w:rPr>
          <w:rFonts w:eastAsia="Times New Roman"/>
          <w:sz w:val="20"/>
          <w:lang w:eastAsia="en-GB"/>
        </w:rPr>
        <w:t xml:space="preserve"> sta s svojimi aktivnostmi na področju zakonodaje glede IVR prispevala k uspešnemu razvoju tega področja</w:t>
      </w:r>
      <w:r w:rsidR="003E0ED1" w:rsidRPr="00155028">
        <w:rPr>
          <w:rStyle w:val="Sprotnaopomba-sklic"/>
          <w:rFonts w:eastAsia="Times New Roman"/>
          <w:lang w:eastAsia="en-GB"/>
        </w:rPr>
        <w:footnoteReference w:id="6"/>
      </w:r>
      <w:r w:rsidRPr="00155028">
        <w:rPr>
          <w:rFonts w:eastAsia="Times New Roman"/>
          <w:sz w:val="20"/>
          <w:lang w:eastAsia="en-GB"/>
        </w:rPr>
        <w:t>, ki ga bosta še izpopolnjevala, predvsem v smeri izboljšave prenosa znanja o IVR na uporabnika. Zaenkrat obstoječa zakonodaja uporabniku neposredno ne nalaga obveznosti, zato se načrtuje vpeljava neposredne zakonske zahteve, in sicer, da bi bil uporabnik FFS dolžan izvajati obveznosti v okviru IVR. Zakonodaja bi tako vključevala obvezno spoštovanje smernic za vsako področje pridelave.</w:t>
      </w:r>
    </w:p>
    <w:p w14:paraId="7C028455" w14:textId="336665CD" w:rsidR="003E0ED1" w:rsidRPr="00155028" w:rsidRDefault="003E0ED1" w:rsidP="003E0ED1">
      <w:pPr>
        <w:pStyle w:val="Naslov2"/>
        <w:rPr>
          <w:rFonts w:ascii="Arial" w:hAnsi="Arial" w:cs="Arial"/>
          <w:lang w:eastAsia="en-GB"/>
        </w:rPr>
      </w:pPr>
      <w:r w:rsidRPr="00155028">
        <w:rPr>
          <w:rFonts w:ascii="Arial" w:hAnsi="Arial" w:cs="Arial"/>
          <w:lang w:eastAsia="en-GB"/>
        </w:rPr>
        <w:t xml:space="preserve"> </w:t>
      </w:r>
      <w:bookmarkStart w:id="78" w:name="_Toc86826495"/>
      <w:r w:rsidRPr="00155028">
        <w:rPr>
          <w:rFonts w:ascii="Arial" w:hAnsi="Arial" w:cs="Arial"/>
          <w:lang w:eastAsia="en-GB"/>
        </w:rPr>
        <w:t>3.6 Zdravstveno varstvo rastlin</w:t>
      </w:r>
      <w:bookmarkEnd w:id="78"/>
    </w:p>
    <w:p w14:paraId="079B9B22" w14:textId="3FDFD285" w:rsidR="003E0ED1" w:rsidRPr="00155028" w:rsidRDefault="003E0ED1" w:rsidP="003E0ED1">
      <w:pPr>
        <w:spacing w:beforeLines="60" w:before="144" w:afterLines="60" w:after="144"/>
        <w:jc w:val="both"/>
        <w:rPr>
          <w:bCs/>
          <w:i/>
          <w:sz w:val="20"/>
        </w:rPr>
      </w:pPr>
      <w:r w:rsidRPr="00155028">
        <w:rPr>
          <w:bCs/>
          <w:sz w:val="20"/>
        </w:rPr>
        <w:t>Poseben izziv pri zmanjšani porabi FFS predstavljajo ukrepi za izkoreninjenje tujerodnih škodljivih organizmov rastlin (</w:t>
      </w:r>
      <w:r w:rsidRPr="00155028">
        <w:rPr>
          <w:bCs/>
          <w:sz w:val="20"/>
          <w:bdr w:val="none" w:sz="0" w:space="0" w:color="auto" w:frame="1"/>
        </w:rPr>
        <w:t>karantenske bolezni in škodljivci), ki v Evropski uniji niso navzoči ali pa so omejeno navzoči</w:t>
      </w:r>
      <w:r w:rsidRPr="00155028">
        <w:rPr>
          <w:sz w:val="20"/>
        </w:rPr>
        <w:t xml:space="preserve">. Če so </w:t>
      </w:r>
      <w:r w:rsidR="00A26CD6">
        <w:rPr>
          <w:sz w:val="20"/>
        </w:rPr>
        <w:t xml:space="preserve">karantenski škodljivi organizmi </w:t>
      </w:r>
      <w:r w:rsidRPr="00155028">
        <w:rPr>
          <w:sz w:val="20"/>
        </w:rPr>
        <w:t>vneseni v novo okolje, so praviloma zelo invazivni in lahko povzročijo poleg velikih negativnih gospodarskih učinkov na kmetijsko pridelavo in gozdarstvo tudi resne negativne vplive na naravo in biotsko raznovrstnost, za družbo pa imajo lahko hude socialne posledice.</w:t>
      </w:r>
    </w:p>
    <w:p w14:paraId="779B0A57" w14:textId="6CAB07F1" w:rsidR="003E0ED1" w:rsidRPr="00155028" w:rsidRDefault="003E0ED1" w:rsidP="003E0ED1">
      <w:pPr>
        <w:spacing w:beforeLines="60" w:before="144" w:afterLines="60" w:after="144"/>
        <w:jc w:val="both"/>
        <w:rPr>
          <w:bCs/>
          <w:sz w:val="20"/>
        </w:rPr>
      </w:pPr>
      <w:r w:rsidRPr="00155028">
        <w:rPr>
          <w:sz w:val="20"/>
        </w:rPr>
        <w:t xml:space="preserve">Mednarodna trgovina, potovanja in podnebne spremembe predstavljajo povečana tveganja za vnos in širjenje novih karantenskih škodljivih organizmov rastlin, ki lahko v kmetijstvu in gozdarstvu povzročijo veliko gospodarsko, </w:t>
      </w:r>
      <w:proofErr w:type="spellStart"/>
      <w:r w:rsidRPr="00155028">
        <w:rPr>
          <w:sz w:val="20"/>
        </w:rPr>
        <w:t>okoljsko</w:t>
      </w:r>
      <w:proofErr w:type="spellEnd"/>
      <w:r w:rsidRPr="00155028">
        <w:rPr>
          <w:sz w:val="20"/>
        </w:rPr>
        <w:t xml:space="preserve"> in družbeno škodo. </w:t>
      </w:r>
      <w:r w:rsidRPr="00155028">
        <w:rPr>
          <w:bCs/>
          <w:sz w:val="20"/>
        </w:rPr>
        <w:t xml:space="preserve">V primeru njihovega pojava so predpisane zahteve za njihovo takojšnje uničenje in preprečevanje nadaljnjega širjenja. Zlasti izkoreninjenje karantenskih škodljivih organizmov, ki povzročajo škodo rastlinam ali prenašajo različne nevarne bolezni, ter s tem zmanjšujejo ekonomičnost pridelave, je večinoma mogoče le z uporabo kemičnih FFS. </w:t>
      </w:r>
    </w:p>
    <w:p w14:paraId="11E8A524" w14:textId="77777777" w:rsidR="003E0ED1" w:rsidRPr="00155028" w:rsidRDefault="003E0ED1" w:rsidP="003E0ED1">
      <w:pPr>
        <w:spacing w:beforeLines="60" w:before="144" w:afterLines="60" w:after="144"/>
        <w:jc w:val="both"/>
        <w:rPr>
          <w:sz w:val="20"/>
        </w:rPr>
      </w:pPr>
      <w:r w:rsidRPr="00155028">
        <w:rPr>
          <w:sz w:val="20"/>
        </w:rPr>
        <w:t xml:space="preserve">Za zmanjševanje potreb po uporabi FFS pri izkoreninjenju karantenskih škodljivih organizmov, se je treba osredotočiti zlasti na izvajanje preventivnih ukrepov za njihovo preprečevanje vnosa in širjenja. Le zgodnje odkrivanje karantenskih in novih potencialno nevarnih bolezni in škodljivcev ter hitro in učinkovito ukrepanje omogoča njihovo uspešno izkoreninjenje. S preprečevanjem njihovega širjenja in s tem škode v kmetijstvu in na drugih površinah, se zmanjša tudi potreba po uporabi FFS. </w:t>
      </w:r>
    </w:p>
    <w:p w14:paraId="25142188" w14:textId="3E31B479" w:rsidR="003E0ED1" w:rsidRPr="00155028" w:rsidRDefault="003E0ED1" w:rsidP="003E0ED1">
      <w:pPr>
        <w:spacing w:beforeLines="60" w:before="144" w:afterLines="60" w:after="144"/>
        <w:jc w:val="both"/>
        <w:rPr>
          <w:sz w:val="20"/>
        </w:rPr>
      </w:pPr>
      <w:r w:rsidRPr="00155028">
        <w:rPr>
          <w:sz w:val="20"/>
        </w:rPr>
        <w:t xml:space="preserve">V okviru preventivnih ukrepov UVHVVR v kmetijski pridelavi, gozdovih in na drugih površinah izvaja načrtovane programe preiskav (monitoringe) za ugotavljanje navzočnosti karantenskih škodljivih organizmov </w:t>
      </w:r>
      <w:r w:rsidR="00A26CD6">
        <w:rPr>
          <w:sz w:val="20"/>
        </w:rPr>
        <w:t xml:space="preserve">rastlin </w:t>
      </w:r>
      <w:r w:rsidRPr="00155028">
        <w:rPr>
          <w:sz w:val="20"/>
        </w:rPr>
        <w:t>(programi preiskav). Njihov cilj je ugotavljanje odsotnosti na ozemlju Slovenije oziroma navzočnosti čim prej po vnosu, ko je njihova populacija še majhna. Z večanjem populacije in širjenjem okuženega območja (žarišča) se zmanjšuje možnost njihovega izkoreninjenja</w:t>
      </w:r>
      <w:r w:rsidR="00A26CD6">
        <w:rPr>
          <w:sz w:val="20"/>
        </w:rPr>
        <w:t xml:space="preserve">, </w:t>
      </w:r>
      <w:r w:rsidRPr="00155028">
        <w:rPr>
          <w:sz w:val="20"/>
        </w:rPr>
        <w:t xml:space="preserve"> povečujejo </w:t>
      </w:r>
      <w:r w:rsidR="00657D85">
        <w:rPr>
          <w:sz w:val="20"/>
        </w:rPr>
        <w:t xml:space="preserve">se </w:t>
      </w:r>
      <w:r w:rsidRPr="00155028">
        <w:rPr>
          <w:sz w:val="20"/>
        </w:rPr>
        <w:lastRenderedPageBreak/>
        <w:t>stroški za ukrepe izkoreninjenja ali zadrževanja ter ozaveščanja</w:t>
      </w:r>
      <w:r w:rsidR="00657D85">
        <w:rPr>
          <w:sz w:val="20"/>
        </w:rPr>
        <w:t>, o</w:t>
      </w:r>
      <w:r w:rsidRPr="00155028">
        <w:rPr>
          <w:sz w:val="20"/>
        </w:rPr>
        <w:t xml:space="preserve">benem pa se povečuje škoda pri pridelavi kmetijskih rastlin in </w:t>
      </w:r>
      <w:r w:rsidR="00657D85">
        <w:rPr>
          <w:sz w:val="20"/>
        </w:rPr>
        <w:t>z</w:t>
      </w:r>
      <w:r w:rsidR="00657D85" w:rsidRPr="00155028">
        <w:rPr>
          <w:sz w:val="20"/>
        </w:rPr>
        <w:t xml:space="preserve">a </w:t>
      </w:r>
      <w:r w:rsidRPr="00155028">
        <w:rPr>
          <w:sz w:val="20"/>
        </w:rPr>
        <w:t xml:space="preserve">okolje. Tovrstni programi preiskav so zelo pomembni, pa tudi kadrovsko in finančno zahtevni, zato jih v delu sofinancira tudi Evropska Komisija. UVHVVR skupaj s pooblaščenimi strokovnimi inštitucijami </w:t>
      </w:r>
      <w:r w:rsidR="00657D85">
        <w:rPr>
          <w:sz w:val="20"/>
        </w:rPr>
        <w:t>na področju zdravja rastlin</w:t>
      </w:r>
      <w:r w:rsidRPr="00155028">
        <w:rPr>
          <w:sz w:val="20"/>
        </w:rPr>
        <w:t xml:space="preserve"> vsako leto iz</w:t>
      </w:r>
      <w:r w:rsidR="00657D85">
        <w:rPr>
          <w:sz w:val="20"/>
        </w:rPr>
        <w:t>vede</w:t>
      </w:r>
      <w:r w:rsidRPr="00155028">
        <w:rPr>
          <w:sz w:val="20"/>
        </w:rPr>
        <w:t xml:space="preserve"> 44 programov preiskav za posamezne karantenske škodljive organizme. V prihodnjih letih bo treba programe preiskav prilagoditi novim zahtevam in principom v skladu z zahtevami nove evropske Uredbe o zdravju rastlin (statistični pristop, kartiranje, digitalizacija podatkov, itd.).</w:t>
      </w:r>
    </w:p>
    <w:p w14:paraId="105734E0" w14:textId="3E110272" w:rsidR="003E0ED1" w:rsidRPr="00155028" w:rsidRDefault="003E0ED1" w:rsidP="003E0ED1">
      <w:pPr>
        <w:spacing w:beforeLines="60" w:before="144" w:afterLines="60" w:after="144"/>
        <w:jc w:val="both"/>
        <w:rPr>
          <w:sz w:val="20"/>
        </w:rPr>
      </w:pPr>
      <w:r w:rsidRPr="00155028">
        <w:rPr>
          <w:sz w:val="20"/>
        </w:rPr>
        <w:t>Pomemben element pri zgodnjem odkrivanju karantenskih škodljivih organizmov je tudi ozaveščanje in kampanje obveščanja pridelovalcev in drugih državljanov ter politikov o teh organizmih. UVHVVR na svojih spletnih straneh obvešča o novostih s tega področja, pripravlja posterje in brošure ter druge oblike promocijskega materiala. UVHVVR skrbi, da so  pridelovalci in poslovni izvajalci dejavnosti seznanjeni z zakonodajo na področju zdravja rastlin saj zanje pripravljajo primerno in uporabno gradivo iz obsežne zakonodaje na tem področju. V skladu z novimi EU predpisi je v prihodnje predvidena  še povečana dejavnost na tem področju.</w:t>
      </w:r>
    </w:p>
    <w:p w14:paraId="7C944060" w14:textId="3E306F67" w:rsidR="003E0ED1" w:rsidRPr="00155028" w:rsidRDefault="003E0ED1" w:rsidP="003E0ED1">
      <w:pPr>
        <w:spacing w:beforeLines="60" w:before="144" w:afterLines="60" w:after="144"/>
        <w:jc w:val="both"/>
        <w:rPr>
          <w:bCs/>
          <w:sz w:val="20"/>
        </w:rPr>
      </w:pPr>
      <w:r w:rsidRPr="00155028">
        <w:rPr>
          <w:sz w:val="20"/>
        </w:rPr>
        <w:t xml:space="preserve">Zagotavljanje zanesljive in hitre diagnostike škodljivih organizmov rastlin je ključno pri odkrivanju nevarnih škodljivih organizmov rastlin. To zahteva visoko usposobljene strokovnjake in akreditirane diagnostične laboratorije </w:t>
      </w:r>
      <w:r w:rsidR="00657D85">
        <w:rPr>
          <w:sz w:val="20"/>
        </w:rPr>
        <w:t xml:space="preserve">in metode </w:t>
      </w:r>
      <w:r w:rsidRPr="00155028">
        <w:rPr>
          <w:sz w:val="20"/>
        </w:rPr>
        <w:t xml:space="preserve">za opravljanje laboratorijskih analiz. Izmed uradnih laboratorijev </w:t>
      </w:r>
      <w:r w:rsidR="00657D85">
        <w:rPr>
          <w:sz w:val="20"/>
        </w:rPr>
        <w:t xml:space="preserve">na področju zdravja rastlin </w:t>
      </w:r>
      <w:r w:rsidRPr="00155028">
        <w:rPr>
          <w:sz w:val="20"/>
        </w:rPr>
        <w:t xml:space="preserve">je UVHVVR določila pet nacionalnih referenčnih laboratorijev za izvajanje diagnostike karantenskih škodljivih organizmov (glive in </w:t>
      </w:r>
      <w:proofErr w:type="spellStart"/>
      <w:r w:rsidRPr="00155028">
        <w:rPr>
          <w:sz w:val="20"/>
        </w:rPr>
        <w:t>oomicete</w:t>
      </w:r>
      <w:proofErr w:type="spellEnd"/>
      <w:r w:rsidRPr="00155028">
        <w:rPr>
          <w:sz w:val="20"/>
        </w:rPr>
        <w:t>, bakterije, virus</w:t>
      </w:r>
      <w:r w:rsidR="00657D85">
        <w:rPr>
          <w:sz w:val="20"/>
        </w:rPr>
        <w:t>i</w:t>
      </w:r>
      <w:r w:rsidRPr="00155028">
        <w:rPr>
          <w:sz w:val="20"/>
        </w:rPr>
        <w:t xml:space="preserve">, </w:t>
      </w:r>
      <w:proofErr w:type="spellStart"/>
      <w:r w:rsidRPr="00155028">
        <w:rPr>
          <w:sz w:val="20"/>
        </w:rPr>
        <w:t>viroid</w:t>
      </w:r>
      <w:r w:rsidR="00657D85">
        <w:rPr>
          <w:sz w:val="20"/>
        </w:rPr>
        <w:t>i</w:t>
      </w:r>
      <w:proofErr w:type="spellEnd"/>
      <w:r w:rsidRPr="00155028">
        <w:rPr>
          <w:sz w:val="20"/>
        </w:rPr>
        <w:t xml:space="preserve"> in </w:t>
      </w:r>
      <w:proofErr w:type="spellStart"/>
      <w:r w:rsidRPr="00155028">
        <w:rPr>
          <w:sz w:val="20"/>
        </w:rPr>
        <w:t>fitoplazme</w:t>
      </w:r>
      <w:proofErr w:type="spellEnd"/>
      <w:r w:rsidRPr="00155028">
        <w:rPr>
          <w:sz w:val="20"/>
        </w:rPr>
        <w:t>, ogorčice (nematode), žuželke in pršice). To so v treh primerih konzorciji Kmetijsk</w:t>
      </w:r>
      <w:r w:rsidR="00657D85">
        <w:rPr>
          <w:sz w:val="20"/>
        </w:rPr>
        <w:t>ega</w:t>
      </w:r>
      <w:r w:rsidRPr="00155028">
        <w:rPr>
          <w:sz w:val="20"/>
        </w:rPr>
        <w:t xml:space="preserve"> inštitut</w:t>
      </w:r>
      <w:r w:rsidR="00657D85">
        <w:rPr>
          <w:sz w:val="20"/>
        </w:rPr>
        <w:t>a</w:t>
      </w:r>
      <w:r w:rsidRPr="00155028">
        <w:rPr>
          <w:sz w:val="20"/>
        </w:rPr>
        <w:t xml:space="preserve"> Slovenije, Nacionaln</w:t>
      </w:r>
      <w:r w:rsidR="00657D85">
        <w:rPr>
          <w:sz w:val="20"/>
        </w:rPr>
        <w:t>ega</w:t>
      </w:r>
      <w:r w:rsidRPr="00155028">
        <w:rPr>
          <w:sz w:val="20"/>
        </w:rPr>
        <w:t xml:space="preserve"> inštitut</w:t>
      </w:r>
      <w:r w:rsidR="00657D85">
        <w:rPr>
          <w:sz w:val="20"/>
        </w:rPr>
        <w:t>a</w:t>
      </w:r>
      <w:r w:rsidRPr="00155028">
        <w:rPr>
          <w:sz w:val="20"/>
        </w:rPr>
        <w:t xml:space="preserve"> za biologijo, Gozdarsk</w:t>
      </w:r>
      <w:r w:rsidR="00657D85">
        <w:rPr>
          <w:sz w:val="20"/>
        </w:rPr>
        <w:t>ega</w:t>
      </w:r>
      <w:r w:rsidRPr="00155028">
        <w:rPr>
          <w:sz w:val="20"/>
        </w:rPr>
        <w:t xml:space="preserve"> inštitut</w:t>
      </w:r>
      <w:r w:rsidR="00657D85">
        <w:rPr>
          <w:sz w:val="20"/>
        </w:rPr>
        <w:t>a</w:t>
      </w:r>
      <w:r w:rsidRPr="00155028">
        <w:rPr>
          <w:sz w:val="20"/>
        </w:rPr>
        <w:t xml:space="preserve"> Slovenije in Inštitut</w:t>
      </w:r>
      <w:r w:rsidR="00657D85">
        <w:rPr>
          <w:sz w:val="20"/>
        </w:rPr>
        <w:t>a</w:t>
      </w:r>
      <w:r w:rsidRPr="00155028">
        <w:rPr>
          <w:sz w:val="20"/>
        </w:rPr>
        <w:t xml:space="preserve"> za hmeljarstvo in pivovarstvo Slovenije, dva pa delujeta samostojno. Potreba po obvezni akreditaciji je bila uvedena z novo EU zakonodajo o uradnem nadzoru. Za pridobitev ter razširitev in ohranjanje akreditacije bodo potrebna dodatna </w:t>
      </w:r>
      <w:r w:rsidR="00657D85">
        <w:rPr>
          <w:sz w:val="20"/>
        </w:rPr>
        <w:t xml:space="preserve">letna </w:t>
      </w:r>
      <w:r w:rsidRPr="00155028">
        <w:rPr>
          <w:sz w:val="20"/>
        </w:rPr>
        <w:t xml:space="preserve">vlaganja, tako v tehnične kot strokovne izboljšave delovanja laboratorijev. </w:t>
      </w:r>
    </w:p>
    <w:p w14:paraId="37AB5A4B" w14:textId="632E8E78" w:rsidR="00657D85" w:rsidRDefault="003E0ED1" w:rsidP="003E0ED1">
      <w:pPr>
        <w:spacing w:beforeLines="60" w:before="144" w:afterLines="60" w:after="144"/>
        <w:jc w:val="both"/>
        <w:rPr>
          <w:sz w:val="20"/>
        </w:rPr>
      </w:pPr>
      <w:r w:rsidRPr="00155028">
        <w:rPr>
          <w:bCs/>
          <w:sz w:val="20"/>
        </w:rPr>
        <w:t xml:space="preserve">Za zmanjšanje porabe FFS na področju zdravstvenega varstva rastlin je treba intenzivno vlagati v raziskave in razvoj za vpeljavo učinkovitih alternativnih metod, ki bodo omogočile zmanjšanje odvisnosti od rabe kemičnih FFS. Ena od alternativnih metod je biotično varstvo rastlin, ko se </w:t>
      </w:r>
      <w:r w:rsidRPr="00155028">
        <w:rPr>
          <w:sz w:val="20"/>
        </w:rPr>
        <w:t xml:space="preserve">za zatiranje škodljivih organizmov uporablja druge, koristne organizme, ki so naravni sovražniki, antagonisti ali </w:t>
      </w:r>
      <w:proofErr w:type="spellStart"/>
      <w:r w:rsidRPr="00155028">
        <w:rPr>
          <w:sz w:val="20"/>
        </w:rPr>
        <w:t>kompetitorji</w:t>
      </w:r>
      <w:proofErr w:type="spellEnd"/>
      <w:r w:rsidRPr="00155028">
        <w:rPr>
          <w:sz w:val="20"/>
        </w:rPr>
        <w:t xml:space="preserve"> škodljivih organizmov rastlin in se lahko sami razmnožujejo (npr. </w:t>
      </w:r>
      <w:proofErr w:type="spellStart"/>
      <w:r w:rsidRPr="00155028">
        <w:rPr>
          <w:sz w:val="20"/>
        </w:rPr>
        <w:t>parazitoidi</w:t>
      </w:r>
      <w:proofErr w:type="spellEnd"/>
      <w:r w:rsidRPr="00155028">
        <w:rPr>
          <w:sz w:val="20"/>
        </w:rPr>
        <w:t xml:space="preserve">). Sem ne spadajo mikroorganizmi, ki jih ureja Zakon o fitofarmacevtskih sredstvih. Vnos in uporabo koristnih organizmov za zatiranje bolezni in škodljivcev ureja Zakon o zdravstvenem varstvu rastlin. UVHVVR vodi seznam domorodnih vrst koristnih organizmov  in seznam tujerodnih vrst koristnih organizmov, ki sta dostopna na </w:t>
      </w:r>
      <w:hyperlink r:id="rId32" w:history="1">
        <w:r w:rsidRPr="00155028">
          <w:rPr>
            <w:rStyle w:val="Hiperpovezava"/>
            <w:color w:val="auto"/>
            <w:sz w:val="20"/>
          </w:rPr>
          <w:t>https://www.gov.si/teme/bioticno-varstvo-rastlin/</w:t>
        </w:r>
      </w:hyperlink>
      <w:r w:rsidRPr="00155028">
        <w:rPr>
          <w:sz w:val="20"/>
        </w:rPr>
        <w:t>.</w:t>
      </w:r>
      <w:r w:rsidR="00657D85">
        <w:rPr>
          <w:sz w:val="20"/>
        </w:rPr>
        <w:t xml:space="preserve"> </w:t>
      </w:r>
      <w:r w:rsidRPr="00155028">
        <w:rPr>
          <w:sz w:val="20"/>
        </w:rPr>
        <w:t xml:space="preserve">UVHVVR v soglasju z Ministrstvom za okolje in prostor vodi upravne postopke za izdajo dovoljenja za vnos, gojenje, trženje in uporabo koristnih organizmov. </w:t>
      </w:r>
    </w:p>
    <w:p w14:paraId="075573B6" w14:textId="6CA1E5A3" w:rsidR="003E0ED1" w:rsidRPr="00155028" w:rsidRDefault="003E0ED1" w:rsidP="003E0ED1">
      <w:pPr>
        <w:spacing w:beforeLines="60" w:before="144" w:afterLines="60" w:after="144"/>
        <w:jc w:val="both"/>
        <w:rPr>
          <w:sz w:val="20"/>
        </w:rPr>
      </w:pPr>
      <w:r w:rsidRPr="00155028">
        <w:rPr>
          <w:sz w:val="20"/>
        </w:rPr>
        <w:t xml:space="preserve">Za povečanje obsega uporabe biotičnega varstva rastlin je potrebna </w:t>
      </w:r>
      <w:r w:rsidR="00657D85">
        <w:rPr>
          <w:sz w:val="20"/>
        </w:rPr>
        <w:t xml:space="preserve">seznanjanje uporabnikov z možnostjo uporabe in </w:t>
      </w:r>
      <w:r w:rsidRPr="00155028">
        <w:rPr>
          <w:sz w:val="20"/>
        </w:rPr>
        <w:t>sprememba veljavne zakonodaje s področja zdravstvenega varstva rastlin in ohranjanja narave.</w:t>
      </w:r>
    </w:p>
    <w:p w14:paraId="469DAC4E" w14:textId="77777777" w:rsidR="00867750" w:rsidRPr="00155028" w:rsidRDefault="00867750" w:rsidP="0099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szCs w:val="24"/>
          <w:lang w:eastAsia="en-GB"/>
        </w:rPr>
      </w:pPr>
    </w:p>
    <w:p w14:paraId="29E80BF2" w14:textId="16061039" w:rsidR="00867750" w:rsidRPr="00155028" w:rsidRDefault="00A41FAF" w:rsidP="00A41FAF">
      <w:pPr>
        <w:pStyle w:val="Naslov2"/>
        <w:rPr>
          <w:rFonts w:ascii="Arial" w:eastAsia="Times New Roman" w:hAnsi="Arial" w:cs="Arial"/>
          <w:lang w:eastAsia="en-GB"/>
        </w:rPr>
      </w:pPr>
      <w:bookmarkStart w:id="79" w:name="_Toc86826496"/>
      <w:r w:rsidRPr="00155028">
        <w:rPr>
          <w:rFonts w:ascii="Arial" w:eastAsia="Times New Roman" w:hAnsi="Arial" w:cs="Arial"/>
          <w:lang w:eastAsia="en-GB"/>
        </w:rPr>
        <w:t>3</w:t>
      </w:r>
      <w:r w:rsidR="003B1E93" w:rsidRPr="00155028">
        <w:rPr>
          <w:rFonts w:ascii="Arial" w:eastAsia="Times New Roman" w:hAnsi="Arial" w:cs="Arial"/>
          <w:lang w:eastAsia="en-GB"/>
        </w:rPr>
        <w:t>.</w:t>
      </w:r>
      <w:r w:rsidR="003E0ED1" w:rsidRPr="00155028">
        <w:rPr>
          <w:rFonts w:ascii="Arial" w:eastAsia="Times New Roman" w:hAnsi="Arial" w:cs="Arial"/>
          <w:lang w:eastAsia="en-GB"/>
        </w:rPr>
        <w:t>7</w:t>
      </w:r>
      <w:r w:rsidR="003B1E93" w:rsidRPr="00155028">
        <w:rPr>
          <w:rFonts w:ascii="Arial" w:eastAsia="Times New Roman" w:hAnsi="Arial" w:cs="Arial"/>
          <w:lang w:eastAsia="en-GB"/>
        </w:rPr>
        <w:t xml:space="preserve"> </w:t>
      </w:r>
      <w:r w:rsidR="00867750" w:rsidRPr="00155028">
        <w:rPr>
          <w:rFonts w:ascii="Arial" w:eastAsia="Times New Roman" w:hAnsi="Arial" w:cs="Arial"/>
          <w:lang w:eastAsia="en-GB"/>
        </w:rPr>
        <w:t>Ključne ugotovitve</w:t>
      </w:r>
      <w:bookmarkEnd w:id="79"/>
    </w:p>
    <w:p w14:paraId="461F1410" w14:textId="77777777" w:rsidR="007F41C6" w:rsidRPr="00155028" w:rsidRDefault="007F41C6" w:rsidP="007F41C6">
      <w:pPr>
        <w:autoSpaceDE w:val="0"/>
        <w:autoSpaceDN w:val="0"/>
        <w:adjustRightInd w:val="0"/>
        <w:spacing w:before="120" w:after="120" w:line="240" w:lineRule="auto"/>
        <w:jc w:val="both"/>
        <w:rPr>
          <w:sz w:val="20"/>
        </w:rPr>
      </w:pPr>
      <w:r w:rsidRPr="00155028">
        <w:rPr>
          <w:sz w:val="20"/>
        </w:rPr>
        <w:t>Prodaja FFS v Sloveniji niha in je odvisna od vremenskih vplivov, vrste aktivnih snovi v pripravkih ter ekonomskih razlogov, kot je cena pripravkov.</w:t>
      </w:r>
    </w:p>
    <w:p w14:paraId="315178CA" w14:textId="1D861C88" w:rsidR="007F41C6" w:rsidRPr="00155028" w:rsidRDefault="007F41C6" w:rsidP="007F41C6">
      <w:pPr>
        <w:spacing w:beforeLines="60" w:before="144" w:afterLines="60" w:after="144" w:line="240" w:lineRule="auto"/>
        <w:jc w:val="both"/>
        <w:rPr>
          <w:rFonts w:eastAsia="Times New Roman"/>
          <w:sz w:val="20"/>
          <w:lang w:eastAsia="en-GB"/>
        </w:rPr>
      </w:pPr>
      <w:r w:rsidRPr="00155028">
        <w:rPr>
          <w:rFonts w:eastAsia="Times New Roman"/>
          <w:sz w:val="20"/>
          <w:lang w:eastAsia="en-GB"/>
        </w:rPr>
        <w:t>Porab</w:t>
      </w:r>
      <w:r w:rsidR="004A3131" w:rsidRPr="00155028">
        <w:rPr>
          <w:rFonts w:eastAsia="Times New Roman"/>
          <w:sz w:val="20"/>
          <w:lang w:eastAsia="en-GB"/>
        </w:rPr>
        <w:t>a</w:t>
      </w:r>
      <w:r w:rsidRPr="00155028">
        <w:rPr>
          <w:rFonts w:eastAsia="Times New Roman"/>
          <w:sz w:val="20"/>
          <w:lang w:eastAsia="en-GB"/>
        </w:rPr>
        <w:t xml:space="preserve"> FFS v kmetijstvu </w:t>
      </w:r>
      <w:r w:rsidR="00BF7180" w:rsidRPr="00155028">
        <w:rPr>
          <w:rFonts w:eastAsia="Times New Roman"/>
          <w:sz w:val="20"/>
          <w:lang w:eastAsia="en-GB"/>
        </w:rPr>
        <w:t>je manjša od prodaje FFS</w:t>
      </w:r>
      <w:r w:rsidRPr="00155028">
        <w:rPr>
          <w:rFonts w:eastAsia="Times New Roman"/>
          <w:sz w:val="20"/>
          <w:lang w:eastAsia="en-GB"/>
        </w:rPr>
        <w:t xml:space="preserve">, ker se določene aktivne snovi uporabljajo </w:t>
      </w:r>
      <w:r w:rsidR="00BF7180" w:rsidRPr="00155028">
        <w:rPr>
          <w:rFonts w:eastAsia="Times New Roman"/>
          <w:sz w:val="20"/>
          <w:lang w:eastAsia="en-GB"/>
        </w:rPr>
        <w:t>na nekmetijskih površinah</w:t>
      </w:r>
      <w:r w:rsidRPr="00155028">
        <w:rPr>
          <w:rFonts w:eastAsia="Times New Roman"/>
          <w:sz w:val="20"/>
          <w:lang w:eastAsia="en-GB"/>
        </w:rPr>
        <w:t>, kot na primer za vzdrževanje javnih površin</w:t>
      </w:r>
      <w:r w:rsidR="004A3131" w:rsidRPr="00155028">
        <w:rPr>
          <w:rFonts w:eastAsia="Times New Roman"/>
          <w:sz w:val="20"/>
          <w:lang w:eastAsia="en-GB"/>
        </w:rPr>
        <w:t>.</w:t>
      </w:r>
      <w:r w:rsidR="00BF7180" w:rsidRPr="00155028">
        <w:rPr>
          <w:rFonts w:eastAsia="Times New Roman"/>
          <w:sz w:val="20"/>
          <w:lang w:eastAsia="en-GB"/>
        </w:rPr>
        <w:t xml:space="preserve"> Poleg tega je </w:t>
      </w:r>
      <w:r w:rsidR="00503E8C" w:rsidRPr="00155028">
        <w:rPr>
          <w:rFonts w:eastAsia="Times New Roman"/>
          <w:sz w:val="20"/>
          <w:lang w:eastAsia="en-GB"/>
        </w:rPr>
        <w:t>r</w:t>
      </w:r>
      <w:r w:rsidRPr="00155028">
        <w:rPr>
          <w:rFonts w:eastAsia="Times New Roman"/>
          <w:sz w:val="20"/>
          <w:lang w:eastAsia="en-GB"/>
        </w:rPr>
        <w:t>ab</w:t>
      </w:r>
      <w:r w:rsidR="00BF7180" w:rsidRPr="00155028">
        <w:rPr>
          <w:rFonts w:eastAsia="Times New Roman"/>
          <w:sz w:val="20"/>
          <w:lang w:eastAsia="en-GB"/>
        </w:rPr>
        <w:t>a</w:t>
      </w:r>
      <w:r w:rsidRPr="00155028">
        <w:rPr>
          <w:rFonts w:eastAsia="Times New Roman"/>
          <w:sz w:val="20"/>
          <w:lang w:eastAsia="en-GB"/>
        </w:rPr>
        <w:t xml:space="preserve"> FFS močno odvisna od vremenskih razmer. </w:t>
      </w:r>
    </w:p>
    <w:p w14:paraId="1D93A218" w14:textId="560999A7" w:rsidR="007F41C6" w:rsidRPr="00155028" w:rsidRDefault="007F41C6" w:rsidP="007F41C6">
      <w:pPr>
        <w:spacing w:beforeLines="60" w:before="144" w:afterLines="60" w:after="144" w:line="240" w:lineRule="auto"/>
        <w:jc w:val="both"/>
        <w:rPr>
          <w:rFonts w:eastAsia="Times New Roman"/>
          <w:sz w:val="20"/>
          <w:lang w:eastAsia="en-GB"/>
        </w:rPr>
      </w:pPr>
      <w:r w:rsidRPr="00155028">
        <w:rPr>
          <w:rFonts w:eastAsia="Times New Roman"/>
          <w:sz w:val="20"/>
          <w:lang w:eastAsia="en-GB"/>
        </w:rPr>
        <w:t>Pri sprejemanju ukrepov za zmanjševanje rabe FFS se je potrebno osredotočiti na kmetijske panoge, kjer se uporablja največ FFS (</w:t>
      </w:r>
      <w:r w:rsidR="000D3D3F" w:rsidRPr="00155028">
        <w:rPr>
          <w:rFonts w:eastAsia="Times New Roman"/>
          <w:sz w:val="20"/>
          <w:lang w:eastAsia="en-GB"/>
        </w:rPr>
        <w:t>vinogradništvo in sadjarstvo</w:t>
      </w:r>
      <w:r w:rsidR="004A3131" w:rsidRPr="00155028">
        <w:rPr>
          <w:rFonts w:eastAsia="Times New Roman"/>
          <w:sz w:val="20"/>
          <w:lang w:eastAsia="en-GB"/>
        </w:rPr>
        <w:t>)</w:t>
      </w:r>
      <w:r w:rsidRPr="00155028">
        <w:rPr>
          <w:rFonts w:eastAsia="Times New Roman"/>
          <w:sz w:val="20"/>
          <w:lang w:eastAsia="en-GB"/>
        </w:rPr>
        <w:t>.</w:t>
      </w:r>
      <w:r w:rsidR="002E262B" w:rsidRPr="00155028">
        <w:rPr>
          <w:rFonts w:eastAsia="Times New Roman"/>
          <w:sz w:val="20"/>
          <w:lang w:eastAsia="en-GB"/>
        </w:rPr>
        <w:t xml:space="preserve"> Žveplo, baker, parafinsko olje in kalijev hidrogen karbonat, ki skupno prispevajo več kot 40 % vseh prodanih kemičnih pesticidov, so snovi, ki </w:t>
      </w:r>
      <w:r w:rsidR="002E262B" w:rsidRPr="00155028">
        <w:rPr>
          <w:rFonts w:eastAsia="Times New Roman"/>
          <w:sz w:val="20"/>
          <w:lang w:eastAsia="en-GB"/>
        </w:rPr>
        <w:lastRenderedPageBreak/>
        <w:t>se uporabljajo tudi in predvsem v ekološkem kmetijstvu in hkrati predstavljajo temeljno varstvo rastlin v primerih, ko nimamo na voljo ustreznih drugih substanc. Poleg tega je v primeru žvepla količinska poraba na površino bistveno večja v primerjavi z drugimi kemičnimi pesticidi, zato tudi največ doprinese k vrednosti kazalnika tveganja. Podobno velja za baker, pri čemer gre za substanco, ki je obenem kandidatka za zamenjavo in moramo zato njegovo rabo v skladu z zahtevami iz strategije od »vil do vilic« občutno zmanjšati. Smiselno bi bilo, da bi substance, kot sta žveplo in baker drugače ovrednotili (drugačen utežni faktor), sicer so cilji večanja površin pod ekološkim kmetijstvom v nasprotju s cilji zmanjševanja kemičnih pesticidov ter še posebej kandidatk za zamenjavo.</w:t>
      </w:r>
    </w:p>
    <w:p w14:paraId="740AD875" w14:textId="3D014262" w:rsidR="007F41C6" w:rsidRPr="00155028" w:rsidRDefault="0068322A" w:rsidP="007F4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sz w:val="20"/>
          <w:lang w:eastAsia="en-GB"/>
        </w:rPr>
      </w:pPr>
      <w:r w:rsidRPr="00155028">
        <w:rPr>
          <w:rFonts w:eastAsia="Times New Roman"/>
          <w:sz w:val="20"/>
          <w:lang w:eastAsia="en-GB"/>
        </w:rPr>
        <w:t xml:space="preserve">Področje IVR </w:t>
      </w:r>
      <w:r w:rsidR="00AF7A14" w:rsidRPr="00155028">
        <w:rPr>
          <w:rFonts w:eastAsia="Times New Roman"/>
          <w:sz w:val="20"/>
          <w:lang w:eastAsia="en-GB"/>
        </w:rPr>
        <w:t>se v</w:t>
      </w:r>
      <w:r w:rsidRPr="00155028">
        <w:rPr>
          <w:rFonts w:eastAsia="Times New Roman"/>
          <w:sz w:val="20"/>
          <w:lang w:eastAsia="en-GB"/>
        </w:rPr>
        <w:t xml:space="preserve"> Sloveniji </w:t>
      </w:r>
      <w:r w:rsidR="00AF7A14" w:rsidRPr="00155028">
        <w:rPr>
          <w:rFonts w:eastAsia="Times New Roman"/>
          <w:sz w:val="20"/>
          <w:lang w:eastAsia="en-GB"/>
        </w:rPr>
        <w:t>intenzivno razvija.</w:t>
      </w:r>
      <w:r w:rsidR="007F41C6" w:rsidRPr="00155028">
        <w:rPr>
          <w:rFonts w:eastAsia="Times New Roman"/>
          <w:sz w:val="20"/>
          <w:lang w:eastAsia="en-GB"/>
        </w:rPr>
        <w:t xml:space="preserve"> Zaenkrat obstoječa zakonodaja uporabniku neposredno ne nalaga obveznosti, zato se načrtuje vpeljava neposredne zakonske zahteve, in sicer, da bi bil uporabnik FFS dolžan izvajati obveznosti v okviru IVR. Zakonodaja bi tako vključevala obvezno spoštovanje smernic za vsako področje pridelave.</w:t>
      </w:r>
    </w:p>
    <w:p w14:paraId="620B9F4D" w14:textId="0C1C7973" w:rsidR="003E0ED1" w:rsidRPr="00155028" w:rsidRDefault="003E0ED1" w:rsidP="003E0ED1">
      <w:pPr>
        <w:spacing w:beforeLines="60" w:before="144" w:afterLines="60" w:after="144" w:line="240" w:lineRule="auto"/>
        <w:jc w:val="both"/>
        <w:rPr>
          <w:sz w:val="20"/>
          <w:lang w:eastAsia="en-GB"/>
        </w:rPr>
      </w:pPr>
      <w:r w:rsidRPr="00155028">
        <w:rPr>
          <w:bCs/>
          <w:sz w:val="20"/>
          <w:lang w:eastAsia="en-GB"/>
        </w:rPr>
        <w:t xml:space="preserve">Za zmanjšanje porabe FFS je </w:t>
      </w:r>
      <w:r w:rsidR="00657D85">
        <w:rPr>
          <w:bCs/>
          <w:sz w:val="20"/>
          <w:lang w:eastAsia="en-GB"/>
        </w:rPr>
        <w:t>treba</w:t>
      </w:r>
      <w:r w:rsidRPr="00155028">
        <w:rPr>
          <w:bCs/>
          <w:sz w:val="20"/>
          <w:lang w:eastAsia="en-GB"/>
        </w:rPr>
        <w:t xml:space="preserve"> ukrepati tudi na področju zdravstvenega varstva rastlin. </w:t>
      </w:r>
      <w:r w:rsidR="004A3131" w:rsidRPr="00155028">
        <w:rPr>
          <w:bCs/>
          <w:sz w:val="20"/>
          <w:lang w:eastAsia="en-GB"/>
        </w:rPr>
        <w:t>S</w:t>
      </w:r>
      <w:r w:rsidRPr="00155028">
        <w:rPr>
          <w:bCs/>
          <w:sz w:val="20"/>
          <w:lang w:eastAsia="en-GB"/>
        </w:rPr>
        <w:t>podbujati je treba izvajanje preventivnih ukrepov za preprečevanje vnosa in širjenja karantenskih škodljivih organizmov. Preprečevanje širjenja karantenskih škodljivcev predstavlja enega večjih izzivov za vse države članice, ki sedaj v veliki meri temelji na uporabi pesticidov. Zato je treba intenzivno vlagati v raziskave in razvoj za vpeljavo alternativnih metod vključno s potrebnimi stroji in opremo in omogočiti zmanjšanje odvisnosti od rabe FFS.</w:t>
      </w:r>
    </w:p>
    <w:p w14:paraId="43179554" w14:textId="30A68307" w:rsidR="00867750" w:rsidRPr="00155028" w:rsidRDefault="00867750" w:rsidP="00230BEE">
      <w:pPr>
        <w:keepNext/>
        <w:tabs>
          <w:tab w:val="left" w:pos="0"/>
          <w:tab w:val="left" w:pos="480"/>
          <w:tab w:val="left" w:pos="850"/>
          <w:tab w:val="left" w:pos="1276"/>
        </w:tabs>
        <w:spacing w:before="120" w:after="120" w:line="240" w:lineRule="auto"/>
        <w:jc w:val="both"/>
        <w:outlineLvl w:val="1"/>
        <w:rPr>
          <w:rFonts w:eastAsia="Times New Roman"/>
          <w:b/>
          <w:szCs w:val="28"/>
          <w:lang w:eastAsia="en-GB"/>
        </w:rPr>
      </w:pPr>
    </w:p>
    <w:p w14:paraId="54E7D758" w14:textId="29E566BE" w:rsidR="00CA6808" w:rsidRPr="00155028" w:rsidRDefault="00CA6808" w:rsidP="009B695E">
      <w:pPr>
        <w:pStyle w:val="Naslov1"/>
        <w:numPr>
          <w:ilvl w:val="0"/>
          <w:numId w:val="1"/>
        </w:numPr>
        <w:rPr>
          <w:rFonts w:ascii="Arial" w:eastAsia="Calibri" w:hAnsi="Arial" w:cs="Arial"/>
          <w:b/>
          <w:bCs/>
          <w:lang w:eastAsia="en-GB"/>
        </w:rPr>
      </w:pPr>
      <w:bookmarkStart w:id="80" w:name="_Toc86826497"/>
      <w:bookmarkStart w:id="81" w:name="_Toc30495277"/>
      <w:bookmarkStart w:id="82" w:name="_Toc50376682"/>
      <w:r w:rsidRPr="00155028">
        <w:rPr>
          <w:rFonts w:ascii="Arial" w:eastAsia="Calibri" w:hAnsi="Arial" w:cs="Arial"/>
          <w:b/>
          <w:bCs/>
          <w:lang w:eastAsia="en-GB"/>
        </w:rPr>
        <w:t>DOBROBIT ŽIVALI</w:t>
      </w:r>
      <w:bookmarkEnd w:id="80"/>
    </w:p>
    <w:p w14:paraId="0E8321D2" w14:textId="147B4908" w:rsidR="00CA6808" w:rsidRPr="00155028" w:rsidRDefault="00CA6808" w:rsidP="001968A5">
      <w:pPr>
        <w:tabs>
          <w:tab w:val="left" w:pos="0"/>
        </w:tabs>
        <w:spacing w:before="120" w:after="0" w:line="240" w:lineRule="auto"/>
        <w:jc w:val="both"/>
        <w:textAlignment w:val="baseline"/>
        <w:rPr>
          <w:rFonts w:eastAsia="Times New Roman"/>
          <w:sz w:val="20"/>
          <w:lang w:eastAsia="en-GB"/>
        </w:rPr>
      </w:pPr>
      <w:r w:rsidRPr="00155028">
        <w:rPr>
          <w:rFonts w:eastAsia="Times New Roman"/>
          <w:sz w:val="20"/>
          <w:lang w:eastAsia="en-GB"/>
        </w:rPr>
        <w:t>Dobrobit živali je zapleten in večplasten pojem z znanstvenimi, etičnimi, ekonomskimi, kulturnimi, socialnimi, verskimi in političnimi razsežnostmi in zbuja vedno večje zanimanje civilne družbe. Pojem dobrobit živali opredeljuje kvaliteto življenja živali, kot jo zaznava žival. Kvaliteta življenja živali vključuje različne elemente: zdravje, zadovoljstvo in dolgoživost. Znanost je privzela dobrobit kot predmet znanstvenih raziskav in predvsem odgovarja na vprašanje, kaj je za žival kvalitetno življenje. Dobrobit živali zajema fizično in mentalno zdravje živali ter vključuje različne vidike kot so fizično udobje, odsotnost lakote in žeje, odsotnost bolečin, strahu in bolezni ter možnost izražanja motiviranega (naravnega) obnašanja. Dobro življenje žival živi, če je zdrava in uspeva brez izkrivljanj, ki povečujejo en vidik biološkega delovanja na račun drugih, če lahko uporablja svoje naravne prilagoditve na način, ki ga izbere sama in če lahko uživa življenje ter negativna stanja niso tako huda ali dolgotrajna, da bi zanjo predstavljala trpljenje.</w:t>
      </w:r>
    </w:p>
    <w:p w14:paraId="0D01F568" w14:textId="218A4CA0" w:rsidR="00CA6808" w:rsidRPr="00155028" w:rsidRDefault="00CA6808" w:rsidP="00CA6808">
      <w:pPr>
        <w:spacing w:after="160" w:line="259" w:lineRule="auto"/>
        <w:jc w:val="both"/>
        <w:rPr>
          <w:rFonts w:eastAsia="Arial" w:cs="Times New Roman"/>
          <w:b/>
          <w:color w:val="365F91" w:themeColor="accent1" w:themeShade="BF"/>
          <w:szCs w:val="24"/>
          <w:lang w:eastAsia="en-GB"/>
        </w:rPr>
      </w:pPr>
      <w:r w:rsidRPr="00155028">
        <w:rPr>
          <w:rFonts w:eastAsia="Times New Roman"/>
          <w:sz w:val="20"/>
          <w:lang w:eastAsia="en-GB"/>
        </w:rPr>
        <w:t xml:space="preserve">Dobrobit </w:t>
      </w:r>
      <w:r w:rsidR="006A05BA">
        <w:rPr>
          <w:rFonts w:eastAsia="Times New Roman"/>
          <w:sz w:val="20"/>
          <w:lang w:eastAsia="en-GB"/>
        </w:rPr>
        <w:t xml:space="preserve">živali </w:t>
      </w:r>
      <w:r w:rsidRPr="00155028">
        <w:rPr>
          <w:rFonts w:eastAsia="Times New Roman"/>
          <w:sz w:val="20"/>
          <w:lang w:eastAsia="en-GB"/>
        </w:rPr>
        <w:t xml:space="preserve">je tesno povezana z načini reje in pogoji </w:t>
      </w:r>
      <w:proofErr w:type="spellStart"/>
      <w:r w:rsidRPr="00155028">
        <w:rPr>
          <w:rFonts w:eastAsia="Times New Roman"/>
          <w:sz w:val="20"/>
          <w:lang w:eastAsia="en-GB"/>
        </w:rPr>
        <w:t>vhlevitve</w:t>
      </w:r>
      <w:proofErr w:type="spellEnd"/>
      <w:r w:rsidRPr="00155028">
        <w:rPr>
          <w:rFonts w:eastAsia="Times New Roman"/>
          <w:sz w:val="20"/>
          <w:lang w:eastAsia="en-GB"/>
        </w:rPr>
        <w:t xml:space="preserve"> </w:t>
      </w:r>
      <w:proofErr w:type="spellStart"/>
      <w:r w:rsidRPr="00155028">
        <w:rPr>
          <w:rFonts w:eastAsia="Times New Roman"/>
          <w:sz w:val="20"/>
          <w:lang w:eastAsia="en-GB"/>
        </w:rPr>
        <w:t>rejnih</w:t>
      </w:r>
      <w:proofErr w:type="spellEnd"/>
      <w:r w:rsidRPr="00155028">
        <w:rPr>
          <w:rFonts w:eastAsia="Times New Roman"/>
          <w:sz w:val="20"/>
          <w:lang w:eastAsia="en-GB"/>
        </w:rPr>
        <w:t xml:space="preserve"> živali. Višja dobrobit živali zagotavlja koristi rejcu z zmanjšano smrtnostjo pri reji živali, izboljšanim zdravjem živali ter z višjo prirejo, kakovostjo in ceno končnega proizvoda. Za celotno družbo je posebej pomembna posledica višje dobrobiti živali, da so živali bolj odporne na patogene, kar zmanjšuje potrebo po zdravilih. To pa prispeva k boju proti protimikrobni odpornosti in podpira ukrepe za biološko varnost pri obvladovanju bolezni živali.</w:t>
      </w:r>
    </w:p>
    <w:p w14:paraId="33EC471D" w14:textId="42468C01" w:rsidR="00CA6808" w:rsidRPr="00155028" w:rsidRDefault="00A41FAF" w:rsidP="00333DE0">
      <w:pPr>
        <w:pStyle w:val="Naslov2"/>
        <w:ind w:firstLine="708"/>
        <w:rPr>
          <w:rFonts w:ascii="Arial" w:eastAsia="Arial" w:hAnsi="Arial" w:cs="Arial"/>
          <w:caps/>
          <w:sz w:val="24"/>
          <w:szCs w:val="24"/>
          <w:lang w:eastAsia="en-GB"/>
        </w:rPr>
      </w:pPr>
      <w:bookmarkStart w:id="83" w:name="_Toc86826498"/>
      <w:r w:rsidRPr="00155028">
        <w:rPr>
          <w:rFonts w:ascii="Arial" w:eastAsia="Arial" w:hAnsi="Arial" w:cs="Arial"/>
          <w:lang w:eastAsia="en-GB"/>
        </w:rPr>
        <w:t>4</w:t>
      </w:r>
      <w:r w:rsidR="001968A5" w:rsidRPr="00155028">
        <w:rPr>
          <w:rFonts w:ascii="Arial" w:eastAsia="Arial" w:hAnsi="Arial" w:cs="Arial"/>
          <w:lang w:eastAsia="en-GB"/>
        </w:rPr>
        <w:t>.</w:t>
      </w:r>
      <w:r w:rsidR="00CA6808" w:rsidRPr="00155028">
        <w:rPr>
          <w:rFonts w:ascii="Arial" w:eastAsia="Arial" w:hAnsi="Arial" w:cs="Arial"/>
          <w:lang w:eastAsia="en-GB"/>
        </w:rPr>
        <w:t xml:space="preserve">1 </w:t>
      </w:r>
      <w:r w:rsidR="00333DE0" w:rsidRPr="00155028">
        <w:rPr>
          <w:rFonts w:ascii="Arial" w:eastAsia="Arial" w:hAnsi="Arial" w:cs="Arial"/>
          <w:lang w:eastAsia="en-GB"/>
        </w:rPr>
        <w:t>Pričakovanja potrošnikov</w:t>
      </w:r>
      <w:bookmarkEnd w:id="83"/>
      <w:r w:rsidR="00333DE0" w:rsidRPr="00155028" w:rsidDel="00333DE0">
        <w:rPr>
          <w:rFonts w:ascii="Arial" w:eastAsia="Arial" w:hAnsi="Arial" w:cs="Arial"/>
          <w:lang w:eastAsia="en-GB"/>
        </w:rPr>
        <w:t xml:space="preserve"> </w:t>
      </w:r>
      <w:r w:rsidR="001968A5" w:rsidRPr="00155028">
        <w:rPr>
          <w:rFonts w:ascii="Arial" w:eastAsia="Arial" w:hAnsi="Arial" w:cs="Arial"/>
          <w:sz w:val="24"/>
          <w:szCs w:val="24"/>
          <w:lang w:eastAsia="en-GB"/>
        </w:rPr>
        <w:t xml:space="preserve"> </w:t>
      </w:r>
    </w:p>
    <w:p w14:paraId="7AB8F675" w14:textId="15C97E23" w:rsidR="001968A5" w:rsidRPr="00155028" w:rsidRDefault="00CA6808" w:rsidP="00CA6808">
      <w:pPr>
        <w:spacing w:before="120" w:after="0" w:line="240" w:lineRule="auto"/>
        <w:jc w:val="both"/>
        <w:rPr>
          <w:rFonts w:eastAsia="Times New Roman"/>
          <w:sz w:val="20"/>
          <w:lang w:eastAsia="sl-SI"/>
        </w:rPr>
      </w:pPr>
      <w:r w:rsidRPr="00155028">
        <w:rPr>
          <w:rFonts w:eastAsia="Times New Roman"/>
          <w:sz w:val="20"/>
          <w:lang w:eastAsia="sl-SI"/>
        </w:rPr>
        <w:t xml:space="preserve">Potrošniki se vse bolj zavedajo, da sodobni načini reje živalim mnogokrat ne zagotavljajo zadovoljevanja vseh njihovih potreb, zato se nagibajo h kupovanju živalskih proizvodov iz rej, ki izpolnjujejo visoke standarde dobrobiti živali, kar potrjujejo tudi raziskave, izvedene v EU. V Slovenji je po raziskavi </w:t>
      </w:r>
      <w:proofErr w:type="spellStart"/>
      <w:r w:rsidRPr="00155028">
        <w:rPr>
          <w:rFonts w:eastAsia="Times New Roman"/>
          <w:sz w:val="20"/>
          <w:lang w:eastAsia="sl-SI"/>
        </w:rPr>
        <w:t>Evrobarometra</w:t>
      </w:r>
      <w:proofErr w:type="spellEnd"/>
      <w:r w:rsidRPr="00155028">
        <w:rPr>
          <w:rFonts w:eastAsia="Times New Roman"/>
          <w:sz w:val="20"/>
          <w:lang w:eastAsia="sl-SI"/>
        </w:rPr>
        <w:t xml:space="preserve"> v letu 2015</w:t>
      </w:r>
      <w:r w:rsidRPr="00155028">
        <w:rPr>
          <w:rFonts w:eastAsia="Times New Roman"/>
          <w:sz w:val="20"/>
          <w:vertAlign w:val="superscript"/>
          <w:lang w:eastAsia="sl-SI"/>
        </w:rPr>
        <w:footnoteReference w:id="7"/>
      </w:r>
      <w:r w:rsidRPr="00155028">
        <w:rPr>
          <w:rFonts w:eastAsia="Times New Roman"/>
          <w:sz w:val="20"/>
          <w:lang w:eastAsia="sl-SI"/>
        </w:rPr>
        <w:t xml:space="preserve"> (v nadaljevanju: Posebni </w:t>
      </w:r>
      <w:proofErr w:type="spellStart"/>
      <w:r w:rsidRPr="00155028">
        <w:rPr>
          <w:rFonts w:eastAsia="Times New Roman"/>
          <w:sz w:val="20"/>
          <w:lang w:eastAsia="sl-SI"/>
        </w:rPr>
        <w:t>Evrobarometer</w:t>
      </w:r>
      <w:proofErr w:type="spellEnd"/>
      <w:r w:rsidRPr="00155028">
        <w:rPr>
          <w:rFonts w:eastAsia="Times New Roman"/>
          <w:sz w:val="20"/>
          <w:lang w:eastAsia="sl-SI"/>
        </w:rPr>
        <w:t xml:space="preserve"> 442) kar 96 % anketirancev, na vprašanje kako zelo je pomembna zaščita dobrobiti </w:t>
      </w:r>
      <w:proofErr w:type="spellStart"/>
      <w:r w:rsidRPr="00155028">
        <w:rPr>
          <w:rFonts w:eastAsia="Times New Roman"/>
          <w:sz w:val="20"/>
          <w:lang w:eastAsia="sl-SI"/>
        </w:rPr>
        <w:t>rejnih</w:t>
      </w:r>
      <w:proofErr w:type="spellEnd"/>
      <w:r w:rsidRPr="00155028">
        <w:rPr>
          <w:rFonts w:eastAsia="Times New Roman"/>
          <w:sz w:val="20"/>
          <w:lang w:eastAsia="sl-SI"/>
        </w:rPr>
        <w:t xml:space="preserve"> živali, odgovorilo z zelo oziroma precej pomembna (Slika </w:t>
      </w:r>
      <w:r w:rsidR="00A41FAF" w:rsidRPr="00155028">
        <w:rPr>
          <w:rFonts w:eastAsia="Times New Roman"/>
          <w:sz w:val="20"/>
          <w:lang w:eastAsia="sl-SI"/>
        </w:rPr>
        <w:t>7</w:t>
      </w:r>
      <w:r w:rsidRPr="00155028">
        <w:rPr>
          <w:rFonts w:eastAsia="Times New Roman"/>
          <w:sz w:val="20"/>
          <w:lang w:eastAsia="sl-SI"/>
        </w:rPr>
        <w:t xml:space="preserve">). 30 % anketirancev bi bilo za izdelke, ki izvirajo iz živalim prijaznih sistemov reje, plačati 5 %  več, 16 % anketirancev pa do 10 % več kot za konvencionalne izdelke (Slika </w:t>
      </w:r>
      <w:r w:rsidR="00A41FAF" w:rsidRPr="00155028">
        <w:rPr>
          <w:rFonts w:eastAsia="Times New Roman"/>
          <w:sz w:val="20"/>
          <w:lang w:eastAsia="sl-SI"/>
        </w:rPr>
        <w:t>8</w:t>
      </w:r>
      <w:r w:rsidRPr="00155028">
        <w:rPr>
          <w:rFonts w:eastAsia="Times New Roman"/>
          <w:sz w:val="20"/>
          <w:lang w:eastAsia="sl-SI"/>
        </w:rPr>
        <w:t xml:space="preserve">). Veliko potrošnikov meni, da bi morali biti podatki o načinu reje in dobrobiti živali jasno označeni na izdelku. V Sloveniji 41 % potrošnikov pri nakupu izdelkov išče te podatke oziroma oznake (Slika </w:t>
      </w:r>
      <w:r w:rsidR="00A41FAF" w:rsidRPr="00155028">
        <w:rPr>
          <w:rFonts w:eastAsia="Times New Roman"/>
          <w:sz w:val="20"/>
          <w:lang w:eastAsia="sl-SI"/>
        </w:rPr>
        <w:t>9</w:t>
      </w:r>
      <w:r w:rsidRPr="00155028">
        <w:rPr>
          <w:rFonts w:eastAsia="Times New Roman"/>
          <w:sz w:val="20"/>
          <w:lang w:eastAsia="sl-SI"/>
        </w:rPr>
        <w:t xml:space="preserve">). </w:t>
      </w:r>
    </w:p>
    <w:p w14:paraId="2B256404" w14:textId="66DF021F" w:rsidR="00CA6808" w:rsidRPr="00155028" w:rsidRDefault="000A1A7D" w:rsidP="000A1A7D">
      <w:pPr>
        <w:pStyle w:val="Napis"/>
        <w:jc w:val="both"/>
        <w:rPr>
          <w:szCs w:val="20"/>
        </w:rPr>
      </w:pPr>
      <w:bookmarkStart w:id="84" w:name="_Toc86826512"/>
      <w:r w:rsidRPr="00155028">
        <w:rPr>
          <w:szCs w:val="20"/>
        </w:rPr>
        <w:lastRenderedPageBreak/>
        <w:t xml:space="preserve">Slika </w:t>
      </w:r>
      <w:r w:rsidR="004270C0" w:rsidRPr="00155028">
        <w:rPr>
          <w:szCs w:val="20"/>
        </w:rPr>
        <w:fldChar w:fldCharType="begin"/>
      </w:r>
      <w:r w:rsidR="004270C0" w:rsidRPr="00155028">
        <w:rPr>
          <w:szCs w:val="20"/>
        </w:rPr>
        <w:instrText xml:space="preserve"> SEQ Slika \* ARABIC </w:instrText>
      </w:r>
      <w:r w:rsidR="004270C0" w:rsidRPr="00155028">
        <w:rPr>
          <w:szCs w:val="20"/>
        </w:rPr>
        <w:fldChar w:fldCharType="separate"/>
      </w:r>
      <w:r w:rsidR="00F25B09">
        <w:rPr>
          <w:noProof/>
          <w:szCs w:val="20"/>
        </w:rPr>
        <w:t>7</w:t>
      </w:r>
      <w:r w:rsidR="004270C0" w:rsidRPr="00155028">
        <w:rPr>
          <w:noProof/>
          <w:szCs w:val="20"/>
        </w:rPr>
        <w:fldChar w:fldCharType="end"/>
      </w:r>
      <w:r w:rsidRPr="00155028">
        <w:rPr>
          <w:szCs w:val="20"/>
        </w:rPr>
        <w:t xml:space="preserve">: Pomembnost zaščite dobrobiti </w:t>
      </w:r>
      <w:proofErr w:type="spellStart"/>
      <w:r w:rsidRPr="00155028">
        <w:rPr>
          <w:szCs w:val="20"/>
        </w:rPr>
        <w:t>rejnih</w:t>
      </w:r>
      <w:proofErr w:type="spellEnd"/>
      <w:r w:rsidRPr="00155028">
        <w:rPr>
          <w:szCs w:val="20"/>
        </w:rPr>
        <w:t xml:space="preserve"> živali za potrošnike v EU in Sloveniji</w:t>
      </w:r>
      <w:bookmarkEnd w:id="84"/>
    </w:p>
    <w:p w14:paraId="547AAEB7" w14:textId="77777777" w:rsidR="00CA6808" w:rsidRPr="00155028" w:rsidRDefault="00CA6808" w:rsidP="00CA6808">
      <w:pPr>
        <w:spacing w:before="100" w:beforeAutospacing="1" w:after="100" w:afterAutospacing="1" w:line="240" w:lineRule="auto"/>
        <w:jc w:val="center"/>
        <w:rPr>
          <w:rFonts w:eastAsia="Times New Roman"/>
          <w:lang w:eastAsia="sl-SI"/>
        </w:rPr>
      </w:pPr>
      <w:r w:rsidRPr="00155028">
        <w:rPr>
          <w:rFonts w:eastAsia="Times New Roman"/>
          <w:noProof/>
          <w:lang w:eastAsia="sl-SI"/>
        </w:rPr>
        <w:drawing>
          <wp:inline distT="0" distB="0" distL="0" distR="0" wp14:anchorId="1B5E81D6" wp14:editId="03ED14AE">
            <wp:extent cx="3718800" cy="3628800"/>
            <wp:effectExtent l="0" t="0" r="0" b="0"/>
            <wp:docPr id="18" name="Slika 18" descr="Za večino slovencev in prebivalcev v EU je dobrobit živali zelo pomemben. nekaj odstotkov meni, da je nepomemb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Za večino slovencev in prebivalcev v EU je dobrobit živali zelo pomemben. nekaj odstotkov meni, da je nepomembno."/>
                    <pic:cNvPicPr/>
                  </pic:nvPicPr>
                  <pic:blipFill>
                    <a:blip r:embed="rId33">
                      <a:extLst>
                        <a:ext uri="{28A0092B-C50C-407E-A947-70E740481C1C}">
                          <a14:useLocalDpi xmlns:a14="http://schemas.microsoft.com/office/drawing/2010/main" val="0"/>
                        </a:ext>
                      </a:extLst>
                    </a:blip>
                    <a:stretch>
                      <a:fillRect/>
                    </a:stretch>
                  </pic:blipFill>
                  <pic:spPr>
                    <a:xfrm>
                      <a:off x="0" y="0"/>
                      <a:ext cx="3718800" cy="3628800"/>
                    </a:xfrm>
                    <a:prstGeom prst="rect">
                      <a:avLst/>
                    </a:prstGeom>
                  </pic:spPr>
                </pic:pic>
              </a:graphicData>
            </a:graphic>
          </wp:inline>
        </w:drawing>
      </w:r>
    </w:p>
    <w:p w14:paraId="018D8457" w14:textId="77777777" w:rsidR="00CA6808" w:rsidRPr="00155028" w:rsidRDefault="00CA6808" w:rsidP="00CA6808">
      <w:pPr>
        <w:spacing w:before="120" w:after="0" w:line="240" w:lineRule="auto"/>
        <w:jc w:val="both"/>
        <w:rPr>
          <w:rFonts w:eastAsia="Times New Roman"/>
          <w:i/>
          <w:sz w:val="16"/>
          <w:szCs w:val="16"/>
          <w:lang w:eastAsia="en-GB"/>
        </w:rPr>
      </w:pPr>
      <w:r w:rsidRPr="00155028">
        <w:rPr>
          <w:rFonts w:eastAsia="Times New Roman"/>
          <w:i/>
          <w:sz w:val="16"/>
          <w:szCs w:val="16"/>
          <w:lang w:eastAsia="en-GB"/>
        </w:rPr>
        <w:t xml:space="preserve"> </w:t>
      </w:r>
      <w:r w:rsidRPr="00155028">
        <w:rPr>
          <w:rFonts w:eastAsia="Times New Roman"/>
          <w:i/>
          <w:sz w:val="16"/>
          <w:szCs w:val="16"/>
          <w:lang w:eastAsia="sl-SI" w:bidi="sl-SI"/>
        </w:rPr>
        <w:t>V</w:t>
      </w:r>
      <w:r w:rsidRPr="00155028">
        <w:rPr>
          <w:rFonts w:eastAsia="Times New Roman"/>
          <w:i/>
          <w:sz w:val="16"/>
          <w:szCs w:val="16"/>
          <w:lang w:eastAsia="en-GB"/>
        </w:rPr>
        <w:t xml:space="preserve">ir: Posebni </w:t>
      </w:r>
      <w:proofErr w:type="spellStart"/>
      <w:r w:rsidRPr="00155028">
        <w:rPr>
          <w:rFonts w:eastAsia="Times New Roman"/>
          <w:i/>
          <w:sz w:val="16"/>
          <w:szCs w:val="16"/>
          <w:lang w:eastAsia="en-GB"/>
        </w:rPr>
        <w:t>Evrobarometer</w:t>
      </w:r>
      <w:proofErr w:type="spellEnd"/>
      <w:r w:rsidRPr="00155028">
        <w:rPr>
          <w:rFonts w:eastAsia="Times New Roman"/>
          <w:i/>
          <w:sz w:val="16"/>
          <w:szCs w:val="16"/>
          <w:lang w:eastAsia="en-GB"/>
        </w:rPr>
        <w:t xml:space="preserve"> 442</w:t>
      </w:r>
    </w:p>
    <w:p w14:paraId="2D1AB9A0" w14:textId="477F00B1" w:rsidR="00CA6808" w:rsidRPr="00155028" w:rsidRDefault="00CA6808" w:rsidP="00CA6808">
      <w:pPr>
        <w:spacing w:before="120" w:after="0" w:line="240" w:lineRule="auto"/>
        <w:jc w:val="both"/>
        <w:rPr>
          <w:rFonts w:eastAsia="Times New Roman"/>
          <w:i/>
          <w:sz w:val="20"/>
          <w:lang w:eastAsia="sl-SI" w:bidi="sl-SI"/>
        </w:rPr>
      </w:pPr>
    </w:p>
    <w:p w14:paraId="6E4A71EF" w14:textId="3901C813" w:rsidR="007E1E59" w:rsidRPr="00155028" w:rsidRDefault="007E1E59" w:rsidP="00CA6808">
      <w:pPr>
        <w:spacing w:before="120" w:after="0" w:line="240" w:lineRule="auto"/>
        <w:jc w:val="both"/>
        <w:rPr>
          <w:rFonts w:eastAsia="Times New Roman"/>
          <w:i/>
          <w:sz w:val="20"/>
          <w:lang w:eastAsia="sl-SI" w:bidi="sl-SI"/>
        </w:rPr>
      </w:pPr>
    </w:p>
    <w:p w14:paraId="14654A43" w14:textId="77777777" w:rsidR="007E1E59" w:rsidRPr="00155028" w:rsidRDefault="007E1E59" w:rsidP="00CA6808">
      <w:pPr>
        <w:spacing w:before="120" w:after="0" w:line="240" w:lineRule="auto"/>
        <w:jc w:val="both"/>
        <w:rPr>
          <w:rFonts w:eastAsia="Times New Roman"/>
          <w:i/>
          <w:sz w:val="20"/>
          <w:lang w:eastAsia="sl-SI" w:bidi="sl-SI"/>
        </w:rPr>
      </w:pPr>
    </w:p>
    <w:p w14:paraId="0C37E9C3" w14:textId="5E64B63C" w:rsidR="000A1A7D" w:rsidRPr="00155028" w:rsidRDefault="000A1A7D" w:rsidP="000A1A7D">
      <w:pPr>
        <w:pStyle w:val="Napis"/>
        <w:jc w:val="both"/>
        <w:rPr>
          <w:szCs w:val="20"/>
        </w:rPr>
      </w:pPr>
      <w:bookmarkStart w:id="85" w:name="_Toc86826513"/>
      <w:r w:rsidRPr="00155028">
        <w:rPr>
          <w:szCs w:val="20"/>
        </w:rPr>
        <w:t xml:space="preserve">Slika </w:t>
      </w:r>
      <w:r w:rsidR="004270C0" w:rsidRPr="00155028">
        <w:rPr>
          <w:szCs w:val="20"/>
        </w:rPr>
        <w:fldChar w:fldCharType="begin"/>
      </w:r>
      <w:r w:rsidR="004270C0" w:rsidRPr="00155028">
        <w:rPr>
          <w:szCs w:val="20"/>
        </w:rPr>
        <w:instrText xml:space="preserve"> SEQ Slika \* ARABIC </w:instrText>
      </w:r>
      <w:r w:rsidR="004270C0" w:rsidRPr="00155028">
        <w:rPr>
          <w:szCs w:val="20"/>
        </w:rPr>
        <w:fldChar w:fldCharType="separate"/>
      </w:r>
      <w:r w:rsidR="00F25B09">
        <w:rPr>
          <w:noProof/>
          <w:szCs w:val="20"/>
        </w:rPr>
        <w:t>8</w:t>
      </w:r>
      <w:r w:rsidR="004270C0" w:rsidRPr="00155028">
        <w:rPr>
          <w:noProof/>
          <w:szCs w:val="20"/>
        </w:rPr>
        <w:fldChar w:fldCharType="end"/>
      </w:r>
      <w:r w:rsidRPr="00155028">
        <w:rPr>
          <w:szCs w:val="20"/>
        </w:rPr>
        <w:t>: Koliko so pripravljeni EU in slovenski potrošniki plačati več za izdelke, ki izvirajo iz živalim prijaznih sistemov reje</w:t>
      </w:r>
      <w:bookmarkEnd w:id="85"/>
    </w:p>
    <w:p w14:paraId="178C4A67" w14:textId="77777777" w:rsidR="00CA6808" w:rsidRPr="00155028" w:rsidRDefault="00CA6808" w:rsidP="00CA6808">
      <w:pPr>
        <w:spacing w:before="120" w:after="0" w:line="240" w:lineRule="auto"/>
        <w:jc w:val="center"/>
        <w:rPr>
          <w:rFonts w:eastAsia="Times New Roman"/>
          <w:szCs w:val="24"/>
          <w:lang w:eastAsia="en-GB"/>
        </w:rPr>
      </w:pPr>
      <w:r w:rsidRPr="00155028">
        <w:rPr>
          <w:rFonts w:eastAsia="Times New Roman"/>
          <w:noProof/>
          <w:lang w:eastAsia="sl-SI"/>
        </w:rPr>
        <w:drawing>
          <wp:inline distT="0" distB="0" distL="0" distR="0" wp14:anchorId="243D2B08" wp14:editId="440DE227">
            <wp:extent cx="4618490" cy="2259074"/>
            <wp:effectExtent l="0" t="0" r="0" b="8255"/>
            <wp:docPr id="19" name="Slika 19" descr="Večina jih ne želi plačati več ali pa so pripravljeni plačati do 5 % ve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lika 19" descr="Večina jih ne želi plačati več ali pa so pripravljeni plačati do 5 % več."/>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621304" cy="2260450"/>
                    </a:xfrm>
                    <a:prstGeom prst="rect">
                      <a:avLst/>
                    </a:prstGeom>
                  </pic:spPr>
                </pic:pic>
              </a:graphicData>
            </a:graphic>
          </wp:inline>
        </w:drawing>
      </w:r>
    </w:p>
    <w:p w14:paraId="7C0F0C62" w14:textId="6182868C" w:rsidR="00CA6808" w:rsidRPr="00155028" w:rsidRDefault="00CA6808" w:rsidP="00CA6808">
      <w:pPr>
        <w:spacing w:before="120" w:after="0" w:line="240" w:lineRule="auto"/>
        <w:jc w:val="both"/>
        <w:rPr>
          <w:rFonts w:eastAsia="Times New Roman"/>
          <w:i/>
          <w:sz w:val="16"/>
          <w:szCs w:val="16"/>
          <w:lang w:eastAsia="en-GB"/>
        </w:rPr>
      </w:pPr>
      <w:r w:rsidRPr="00155028">
        <w:rPr>
          <w:rFonts w:eastAsia="Times New Roman"/>
          <w:i/>
          <w:sz w:val="16"/>
          <w:szCs w:val="16"/>
          <w:lang w:eastAsia="sl-SI" w:bidi="sl-SI"/>
        </w:rPr>
        <w:t>V</w:t>
      </w:r>
      <w:r w:rsidRPr="00155028">
        <w:rPr>
          <w:rFonts w:eastAsia="Times New Roman"/>
          <w:i/>
          <w:sz w:val="16"/>
          <w:szCs w:val="16"/>
          <w:lang w:eastAsia="en-GB"/>
        </w:rPr>
        <w:t xml:space="preserve">ir: Posebni </w:t>
      </w:r>
      <w:proofErr w:type="spellStart"/>
      <w:r w:rsidRPr="00155028">
        <w:rPr>
          <w:rFonts w:eastAsia="Times New Roman"/>
          <w:i/>
          <w:sz w:val="16"/>
          <w:szCs w:val="16"/>
          <w:lang w:eastAsia="en-GB"/>
        </w:rPr>
        <w:t>Evrobarometer</w:t>
      </w:r>
      <w:proofErr w:type="spellEnd"/>
      <w:r w:rsidRPr="00155028">
        <w:rPr>
          <w:rFonts w:eastAsia="Times New Roman"/>
          <w:i/>
          <w:sz w:val="16"/>
          <w:szCs w:val="16"/>
          <w:lang w:eastAsia="en-GB"/>
        </w:rPr>
        <w:t xml:space="preserve"> 442</w:t>
      </w:r>
    </w:p>
    <w:p w14:paraId="677092E1" w14:textId="77777777" w:rsidR="00A41FAF" w:rsidRPr="00155028" w:rsidRDefault="00A41FAF" w:rsidP="00CA6808">
      <w:pPr>
        <w:spacing w:before="120" w:after="0" w:line="240" w:lineRule="auto"/>
        <w:jc w:val="both"/>
        <w:rPr>
          <w:rFonts w:eastAsia="Times New Roman"/>
          <w:i/>
          <w:sz w:val="20"/>
          <w:szCs w:val="24"/>
          <w:lang w:eastAsia="en-GB"/>
        </w:rPr>
      </w:pPr>
    </w:p>
    <w:p w14:paraId="7B781FF1" w14:textId="2F6E68D7" w:rsidR="000A1A7D" w:rsidRPr="00155028" w:rsidRDefault="000A1A7D" w:rsidP="000A1A7D">
      <w:pPr>
        <w:pStyle w:val="Napis"/>
        <w:jc w:val="both"/>
        <w:rPr>
          <w:szCs w:val="20"/>
        </w:rPr>
      </w:pPr>
      <w:bookmarkStart w:id="86" w:name="_Toc86826514"/>
      <w:r w:rsidRPr="00155028">
        <w:rPr>
          <w:szCs w:val="20"/>
        </w:rPr>
        <w:lastRenderedPageBreak/>
        <w:t xml:space="preserve">Slika </w:t>
      </w:r>
      <w:r w:rsidR="004270C0" w:rsidRPr="00155028">
        <w:rPr>
          <w:szCs w:val="20"/>
        </w:rPr>
        <w:fldChar w:fldCharType="begin"/>
      </w:r>
      <w:r w:rsidR="004270C0" w:rsidRPr="00155028">
        <w:rPr>
          <w:szCs w:val="20"/>
        </w:rPr>
        <w:instrText xml:space="preserve"> SEQ Slika \* ARABIC </w:instrText>
      </w:r>
      <w:r w:rsidR="004270C0" w:rsidRPr="00155028">
        <w:rPr>
          <w:szCs w:val="20"/>
        </w:rPr>
        <w:fldChar w:fldCharType="separate"/>
      </w:r>
      <w:r w:rsidR="00F25B09">
        <w:rPr>
          <w:noProof/>
          <w:szCs w:val="20"/>
        </w:rPr>
        <w:t>9</w:t>
      </w:r>
      <w:r w:rsidR="004270C0" w:rsidRPr="00155028">
        <w:rPr>
          <w:noProof/>
          <w:szCs w:val="20"/>
        </w:rPr>
        <w:fldChar w:fldCharType="end"/>
      </w:r>
      <w:r w:rsidRPr="00155028">
        <w:rPr>
          <w:szCs w:val="20"/>
        </w:rPr>
        <w:t>: Delež EU in slovenskih potrošnikov, ki pri nakupu na izdelkih iščejo oznake, da le ti izvirajo iz živalim prijaznih sistemov reje</w:t>
      </w:r>
      <w:bookmarkEnd w:id="86"/>
    </w:p>
    <w:p w14:paraId="0798D2E5" w14:textId="77777777" w:rsidR="00CA6808" w:rsidRPr="00155028" w:rsidRDefault="00CA6808" w:rsidP="00CA6808">
      <w:pPr>
        <w:spacing w:before="120" w:after="0" w:line="240" w:lineRule="auto"/>
        <w:jc w:val="center"/>
        <w:rPr>
          <w:rFonts w:eastAsia="Times New Roman"/>
          <w:szCs w:val="24"/>
          <w:lang w:eastAsia="en-GB"/>
        </w:rPr>
      </w:pPr>
      <w:r w:rsidRPr="00155028">
        <w:rPr>
          <w:rFonts w:eastAsia="Times New Roman"/>
          <w:noProof/>
          <w:lang w:eastAsia="sl-SI"/>
        </w:rPr>
        <w:drawing>
          <wp:inline distT="0" distB="0" distL="0" distR="0" wp14:anchorId="3298C0B0" wp14:editId="01103C6A">
            <wp:extent cx="3718800" cy="3625200"/>
            <wp:effectExtent l="0" t="0" r="0" b="0"/>
            <wp:docPr id="20" name="Slika 20" descr="Le šestina vprašanih večinoma išče takšne oznake. Tretjina nikoli in okrog polovica občasno oziroma zelo red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descr="Le šestina vprašanih večinoma išče takšne oznake. Tretjina nikoli in okrog polovica občasno oziroma zelo redko"/>
                    <pic:cNvPicPr/>
                  </pic:nvPicPr>
                  <pic:blipFill>
                    <a:blip r:embed="rId35">
                      <a:extLst>
                        <a:ext uri="{28A0092B-C50C-407E-A947-70E740481C1C}">
                          <a14:useLocalDpi xmlns:a14="http://schemas.microsoft.com/office/drawing/2010/main" val="0"/>
                        </a:ext>
                      </a:extLst>
                    </a:blip>
                    <a:stretch>
                      <a:fillRect/>
                    </a:stretch>
                  </pic:blipFill>
                  <pic:spPr>
                    <a:xfrm>
                      <a:off x="0" y="0"/>
                      <a:ext cx="3718800" cy="3625200"/>
                    </a:xfrm>
                    <a:prstGeom prst="rect">
                      <a:avLst/>
                    </a:prstGeom>
                  </pic:spPr>
                </pic:pic>
              </a:graphicData>
            </a:graphic>
          </wp:inline>
        </w:drawing>
      </w:r>
    </w:p>
    <w:p w14:paraId="0CDF5018" w14:textId="77777777" w:rsidR="00CA6808" w:rsidRPr="00155028" w:rsidRDefault="00CA6808" w:rsidP="00CA6808">
      <w:pPr>
        <w:spacing w:before="120" w:after="0" w:line="240" w:lineRule="auto"/>
        <w:jc w:val="both"/>
        <w:rPr>
          <w:rFonts w:eastAsia="Times New Roman"/>
          <w:i/>
          <w:sz w:val="16"/>
          <w:szCs w:val="16"/>
          <w:lang w:eastAsia="en-GB"/>
        </w:rPr>
      </w:pPr>
      <w:r w:rsidRPr="00155028">
        <w:rPr>
          <w:rFonts w:eastAsia="Times New Roman"/>
          <w:i/>
          <w:sz w:val="16"/>
          <w:szCs w:val="16"/>
          <w:lang w:eastAsia="sl-SI" w:bidi="sl-SI"/>
        </w:rPr>
        <w:t>V</w:t>
      </w:r>
      <w:r w:rsidRPr="00155028">
        <w:rPr>
          <w:rFonts w:eastAsia="Times New Roman"/>
          <w:i/>
          <w:sz w:val="16"/>
          <w:szCs w:val="16"/>
          <w:lang w:eastAsia="en-GB"/>
        </w:rPr>
        <w:t xml:space="preserve">ir: Posebni </w:t>
      </w:r>
      <w:proofErr w:type="spellStart"/>
      <w:r w:rsidRPr="00155028">
        <w:rPr>
          <w:rFonts w:eastAsia="Times New Roman"/>
          <w:i/>
          <w:sz w:val="16"/>
          <w:szCs w:val="16"/>
          <w:lang w:eastAsia="en-GB"/>
        </w:rPr>
        <w:t>Evrobarometer</w:t>
      </w:r>
      <w:proofErr w:type="spellEnd"/>
      <w:r w:rsidRPr="00155028">
        <w:rPr>
          <w:rFonts w:eastAsia="Times New Roman"/>
          <w:i/>
          <w:sz w:val="16"/>
          <w:szCs w:val="16"/>
          <w:lang w:eastAsia="en-GB"/>
        </w:rPr>
        <w:t xml:space="preserve"> 442</w:t>
      </w:r>
    </w:p>
    <w:p w14:paraId="6E106555" w14:textId="44EE7C70" w:rsidR="00CA6808" w:rsidRPr="00155028" w:rsidRDefault="00A41FAF" w:rsidP="00A41FAF">
      <w:pPr>
        <w:pStyle w:val="Naslov2"/>
        <w:ind w:firstLine="708"/>
        <w:rPr>
          <w:rFonts w:ascii="Arial" w:hAnsi="Arial" w:cs="Arial"/>
        </w:rPr>
      </w:pPr>
      <w:bookmarkStart w:id="87" w:name="_Toc86826499"/>
      <w:r w:rsidRPr="00155028">
        <w:rPr>
          <w:rFonts w:ascii="Arial" w:hAnsi="Arial" w:cs="Arial"/>
        </w:rPr>
        <w:t>4</w:t>
      </w:r>
      <w:r w:rsidR="00C07901" w:rsidRPr="00155028">
        <w:rPr>
          <w:rFonts w:ascii="Arial" w:hAnsi="Arial" w:cs="Arial"/>
        </w:rPr>
        <w:t>.2</w:t>
      </w:r>
      <w:r w:rsidR="00AC5261" w:rsidRPr="00155028">
        <w:rPr>
          <w:rFonts w:ascii="Arial" w:hAnsi="Arial" w:cs="Arial"/>
        </w:rPr>
        <w:t xml:space="preserve"> </w:t>
      </w:r>
      <w:r w:rsidR="00CA6808" w:rsidRPr="00155028">
        <w:rPr>
          <w:rFonts w:ascii="Arial" w:hAnsi="Arial" w:cs="Arial"/>
        </w:rPr>
        <w:t>Stanje in dosedanje izkušnje</w:t>
      </w:r>
      <w:r w:rsidR="0020125C" w:rsidRPr="00155028">
        <w:rPr>
          <w:rFonts w:ascii="Arial" w:hAnsi="Arial" w:cs="Arial"/>
        </w:rPr>
        <w:t xml:space="preserve"> (C. 22, C. 23)</w:t>
      </w:r>
      <w:bookmarkEnd w:id="87"/>
    </w:p>
    <w:p w14:paraId="060C6C10" w14:textId="4D64C02E" w:rsidR="00CA6808" w:rsidRPr="00155028" w:rsidRDefault="00CA6808" w:rsidP="00CA6808">
      <w:pPr>
        <w:tabs>
          <w:tab w:val="left" w:pos="0"/>
        </w:tabs>
        <w:spacing w:before="120" w:after="0" w:line="240" w:lineRule="auto"/>
        <w:jc w:val="both"/>
        <w:textAlignment w:val="baseline"/>
        <w:rPr>
          <w:rFonts w:eastAsia="Times New Roman"/>
          <w:sz w:val="20"/>
          <w:lang w:eastAsia="en-GB"/>
        </w:rPr>
      </w:pPr>
      <w:r w:rsidRPr="00155028">
        <w:rPr>
          <w:rFonts w:eastAsia="Times New Roman"/>
          <w:sz w:val="20"/>
          <w:lang w:eastAsia="en-GB"/>
        </w:rPr>
        <w:t>Živinoreja je najpomembnejša panoga slovenskega kmetijstva.</w:t>
      </w:r>
      <w:r w:rsidR="00A26FAD" w:rsidRPr="00155028">
        <w:rPr>
          <w:rFonts w:eastAsia="Times New Roman"/>
          <w:sz w:val="20"/>
          <w:lang w:eastAsia="en-GB"/>
        </w:rPr>
        <w:t xml:space="preserve"> Po podatkih EUROSTAT-a je bilo v Sloveniji leta 2016 512.120 GVŽ (kazalnik stanja C.22), indeks gostote živali pa je bil 1,05 GVŽ/ha KZU (kazalnik stanja C.23).</w:t>
      </w:r>
      <w:r w:rsidRPr="00155028">
        <w:rPr>
          <w:rFonts w:eastAsia="Times New Roman"/>
          <w:sz w:val="20"/>
          <w:lang w:eastAsia="en-GB"/>
        </w:rPr>
        <w:t xml:space="preserve"> Prevladuje govedoreja</w:t>
      </w:r>
      <w:r w:rsidR="00A26FAD" w:rsidRPr="00155028">
        <w:rPr>
          <w:rFonts w:eastAsia="Times New Roman"/>
          <w:sz w:val="20"/>
          <w:lang w:eastAsia="en-GB"/>
        </w:rPr>
        <w:t xml:space="preserve"> (67 %)</w:t>
      </w:r>
      <w:r w:rsidRPr="00155028">
        <w:rPr>
          <w:rFonts w:eastAsia="Times New Roman"/>
          <w:sz w:val="20"/>
          <w:lang w:eastAsia="en-GB"/>
        </w:rPr>
        <w:t>, sledijo ji perutninarstvo</w:t>
      </w:r>
      <w:r w:rsidR="00A26FAD" w:rsidRPr="00155028">
        <w:rPr>
          <w:rFonts w:eastAsia="Times New Roman"/>
          <w:sz w:val="20"/>
          <w:lang w:eastAsia="en-GB"/>
        </w:rPr>
        <w:t xml:space="preserve"> (14 %)</w:t>
      </w:r>
      <w:r w:rsidRPr="00155028">
        <w:rPr>
          <w:rFonts w:eastAsia="Times New Roman"/>
          <w:sz w:val="20"/>
          <w:lang w:eastAsia="en-GB"/>
        </w:rPr>
        <w:t>, prašičereja</w:t>
      </w:r>
      <w:r w:rsidR="00A26FAD" w:rsidRPr="00155028">
        <w:rPr>
          <w:rFonts w:eastAsia="Times New Roman"/>
          <w:sz w:val="20"/>
          <w:lang w:eastAsia="en-GB"/>
        </w:rPr>
        <w:t xml:space="preserve"> (13 %)</w:t>
      </w:r>
      <w:r w:rsidRPr="00155028">
        <w:rPr>
          <w:rFonts w:eastAsia="Times New Roman"/>
          <w:sz w:val="20"/>
          <w:lang w:eastAsia="en-GB"/>
        </w:rPr>
        <w:t>, reja drobnice</w:t>
      </w:r>
      <w:r w:rsidR="00A26FAD" w:rsidRPr="00155028">
        <w:rPr>
          <w:rFonts w:eastAsia="Times New Roman"/>
          <w:sz w:val="20"/>
          <w:lang w:eastAsia="en-GB"/>
        </w:rPr>
        <w:t xml:space="preserve"> (3 %)</w:t>
      </w:r>
      <w:r w:rsidRPr="00155028">
        <w:rPr>
          <w:rFonts w:eastAsia="Times New Roman"/>
          <w:sz w:val="20"/>
          <w:lang w:eastAsia="en-GB"/>
        </w:rPr>
        <w:t>, konjereja</w:t>
      </w:r>
      <w:r w:rsidR="00A26FAD" w:rsidRPr="00155028">
        <w:rPr>
          <w:rFonts w:eastAsia="Times New Roman"/>
          <w:sz w:val="20"/>
          <w:lang w:eastAsia="en-GB"/>
        </w:rPr>
        <w:t xml:space="preserve"> (3 %)</w:t>
      </w:r>
      <w:r w:rsidRPr="00155028">
        <w:rPr>
          <w:rFonts w:eastAsia="Times New Roman"/>
          <w:sz w:val="20"/>
          <w:lang w:eastAsia="en-GB"/>
        </w:rPr>
        <w:t>, čebelarstvo in druge. Najpomembnejša proizvodna usmeritev znotraj živinoreje in kmetijstva nasploh je prireja mleka in mesa.</w:t>
      </w:r>
    </w:p>
    <w:p w14:paraId="2FDD0BC6" w14:textId="01F4171C" w:rsidR="00A26FAD" w:rsidRPr="00155028" w:rsidRDefault="00A26FAD" w:rsidP="00CA6808">
      <w:pPr>
        <w:tabs>
          <w:tab w:val="left" w:pos="0"/>
        </w:tabs>
        <w:spacing w:before="120" w:after="0" w:line="240" w:lineRule="auto"/>
        <w:jc w:val="both"/>
        <w:textAlignment w:val="baseline"/>
        <w:rPr>
          <w:rFonts w:eastAsia="Times New Roman"/>
          <w:sz w:val="20"/>
          <w:lang w:eastAsia="en-GB"/>
        </w:rPr>
      </w:pPr>
    </w:p>
    <w:p w14:paraId="5292F023" w14:textId="23C9AB35" w:rsidR="00A26FAD" w:rsidRPr="00155028" w:rsidRDefault="00A26FAD" w:rsidP="00A26FAD">
      <w:pPr>
        <w:pStyle w:val="Napis"/>
      </w:pPr>
      <w:bookmarkStart w:id="88" w:name="_Toc86826515"/>
      <w:r w:rsidRPr="00155028">
        <w:t xml:space="preserve">Slika </w:t>
      </w:r>
      <w:r w:rsidR="00C22C2B">
        <w:rPr>
          <w:noProof/>
        </w:rPr>
        <w:fldChar w:fldCharType="begin"/>
      </w:r>
      <w:r w:rsidR="00C22C2B">
        <w:rPr>
          <w:noProof/>
        </w:rPr>
        <w:instrText xml:space="preserve"> SEQ Slika \* ARABIC </w:instrText>
      </w:r>
      <w:r w:rsidR="00C22C2B">
        <w:rPr>
          <w:noProof/>
        </w:rPr>
        <w:fldChar w:fldCharType="separate"/>
      </w:r>
      <w:r w:rsidR="00F25B09">
        <w:rPr>
          <w:noProof/>
        </w:rPr>
        <w:t>10</w:t>
      </w:r>
      <w:r w:rsidR="00C22C2B">
        <w:rPr>
          <w:noProof/>
        </w:rPr>
        <w:fldChar w:fldCharType="end"/>
      </w:r>
      <w:r w:rsidRPr="00155028">
        <w:t>: Skupno število glav velike živine (GVŽ) in deleži po posameznih kategorijah živali, 2016 (kazalnik stanja C.22)</w:t>
      </w:r>
      <w:bookmarkEnd w:id="88"/>
    </w:p>
    <w:p w14:paraId="0C274FA3" w14:textId="19B446ED" w:rsidR="00A26FAD" w:rsidRPr="00155028" w:rsidRDefault="00A26FAD" w:rsidP="00C35754">
      <w:pPr>
        <w:tabs>
          <w:tab w:val="left" w:pos="0"/>
        </w:tabs>
        <w:spacing w:before="120" w:after="0" w:line="240" w:lineRule="auto"/>
        <w:jc w:val="center"/>
        <w:textAlignment w:val="baseline"/>
        <w:rPr>
          <w:rFonts w:eastAsia="Times New Roman"/>
          <w:sz w:val="20"/>
          <w:lang w:eastAsia="en-GB"/>
        </w:rPr>
      </w:pPr>
      <w:r w:rsidRPr="00155028">
        <w:rPr>
          <w:rFonts w:eastAsia="Times New Roman"/>
          <w:noProof/>
          <w:sz w:val="20"/>
          <w:lang w:eastAsia="sl-SI"/>
        </w:rPr>
        <w:drawing>
          <wp:inline distT="0" distB="0" distL="0" distR="0" wp14:anchorId="70005E7B" wp14:editId="7C9BBDF7">
            <wp:extent cx="4341171" cy="2603500"/>
            <wp:effectExtent l="0" t="0" r="2540" b="6350"/>
            <wp:docPr id="5" name="Slika 5" descr="Največji delež GVŽ v Sloveniji je goveda, s 66.7 % (341.330 GVŽ). Najmanj je kuncev, 0,1 % (5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Največji delež GVŽ v Sloveniji je goveda, s 66.7 % (341.330 GVŽ). Najmanj je kuncev, 0,1 % (500).&#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46663" cy="2606794"/>
                    </a:xfrm>
                    <a:prstGeom prst="rect">
                      <a:avLst/>
                    </a:prstGeom>
                    <a:noFill/>
                  </pic:spPr>
                </pic:pic>
              </a:graphicData>
            </a:graphic>
          </wp:inline>
        </w:drawing>
      </w:r>
    </w:p>
    <w:p w14:paraId="62F5730C" w14:textId="77777777" w:rsidR="00A26FAD" w:rsidRPr="00155028" w:rsidRDefault="00A26FAD" w:rsidP="00A26FAD">
      <w:pPr>
        <w:spacing w:before="120" w:after="0" w:line="240" w:lineRule="auto"/>
        <w:jc w:val="both"/>
        <w:rPr>
          <w:rFonts w:eastAsia="Times New Roman"/>
          <w:sz w:val="16"/>
          <w:szCs w:val="16"/>
          <w:lang w:eastAsia="en-GB"/>
        </w:rPr>
      </w:pPr>
      <w:r w:rsidRPr="00155028">
        <w:rPr>
          <w:rFonts w:eastAsia="Times New Roman"/>
          <w:sz w:val="16"/>
          <w:szCs w:val="16"/>
          <w:lang w:eastAsia="sl-SI" w:bidi="sl-SI"/>
        </w:rPr>
        <w:t>V</w:t>
      </w:r>
      <w:r w:rsidRPr="00155028">
        <w:rPr>
          <w:rFonts w:eastAsia="Times New Roman"/>
          <w:sz w:val="16"/>
          <w:szCs w:val="16"/>
          <w:lang w:eastAsia="en-GB"/>
        </w:rPr>
        <w:t>ir: EUROSTAT ([</w:t>
      </w:r>
      <w:proofErr w:type="spellStart"/>
      <w:r w:rsidRPr="00155028">
        <w:rPr>
          <w:rFonts w:eastAsia="Times New Roman"/>
          <w:sz w:val="16"/>
          <w:szCs w:val="16"/>
          <w:lang w:eastAsia="en-GB"/>
        </w:rPr>
        <w:t>ef_lsk_main</w:t>
      </w:r>
      <w:proofErr w:type="spellEnd"/>
      <w:r w:rsidRPr="00155028">
        <w:rPr>
          <w:rFonts w:eastAsia="Times New Roman"/>
          <w:sz w:val="16"/>
          <w:szCs w:val="16"/>
          <w:lang w:eastAsia="en-GB"/>
        </w:rPr>
        <w:t>])</w:t>
      </w:r>
    </w:p>
    <w:p w14:paraId="259A50CB" w14:textId="3EEDBFB7" w:rsidR="00CA6808" w:rsidRPr="00155028" w:rsidRDefault="00CA6808" w:rsidP="00CA6808">
      <w:pPr>
        <w:tabs>
          <w:tab w:val="left" w:pos="0"/>
        </w:tabs>
        <w:spacing w:before="120" w:after="0" w:line="240" w:lineRule="auto"/>
        <w:jc w:val="both"/>
        <w:textAlignment w:val="baseline"/>
        <w:rPr>
          <w:rFonts w:eastAsia="Times New Roman"/>
          <w:sz w:val="20"/>
          <w:lang w:eastAsia="en-GB"/>
        </w:rPr>
      </w:pPr>
      <w:r w:rsidRPr="00155028">
        <w:rPr>
          <w:rFonts w:eastAsia="Times New Roman"/>
          <w:sz w:val="20"/>
          <w:lang w:eastAsia="en-GB"/>
        </w:rPr>
        <w:lastRenderedPageBreak/>
        <w:t>Z vidika velikosti kmetijskih gospodarstev Slovenija praktično pri vseh živinorejskih usmeritvah zaostaja za povprečjem držav EU–28</w:t>
      </w:r>
      <w:r w:rsidRPr="00155028">
        <w:rPr>
          <w:rFonts w:eastAsia="Times New Roman"/>
          <w:sz w:val="20"/>
          <w:vertAlign w:val="superscript"/>
          <w:lang w:eastAsia="en-GB"/>
        </w:rPr>
        <w:footnoteReference w:id="8"/>
      </w:r>
      <w:r w:rsidRPr="00155028">
        <w:rPr>
          <w:rFonts w:eastAsia="Times New Roman"/>
          <w:sz w:val="20"/>
          <w:lang w:eastAsia="en-GB"/>
        </w:rPr>
        <w:t>. Govedorejska gospodarstva v Sloveniji redijo trikrat manj goveda, pri prašičerejskih in ovčerejskih gospodarstvih je razkorak še večji, saj v Sloveniji ta gospodarstva v povprečju redijo kar šestkrat manj živali, kot je povprečje v EU–28. Razlike v koncentraciji živinorejske proizvodnje v državah EU–28 se kažejo tudi v velikostni strukturi kmetijskih gospodarstev z živino. V povprečju je v EU–28 skoraj tri četrtine (71%) gospodarstev, ki redijo do 5 GVŽ. Na tako velik delež majhnih živinorejskih gospodarstev vpliva predvsem struktura v novih državah članicah EU, kjer delež gospodarstev z do 5 GVŽ znaša kar 87%, v državah EU–15 pa je ta delež 34%. Slovenija ima v tem razredu 62% vseh živinorejskih gospodarstev.</w:t>
      </w:r>
    </w:p>
    <w:p w14:paraId="56C6760A" w14:textId="6A78E478" w:rsidR="00EE1DC0" w:rsidRPr="00155028" w:rsidRDefault="00CA6808" w:rsidP="00CA6808">
      <w:pPr>
        <w:tabs>
          <w:tab w:val="left" w:pos="0"/>
        </w:tabs>
        <w:spacing w:before="120" w:after="0" w:line="240" w:lineRule="auto"/>
        <w:jc w:val="both"/>
        <w:textAlignment w:val="baseline"/>
        <w:rPr>
          <w:rFonts w:eastAsia="Times New Roman"/>
          <w:sz w:val="20"/>
          <w:lang w:eastAsia="en-GB"/>
        </w:rPr>
      </w:pPr>
      <w:r w:rsidRPr="00155028">
        <w:rPr>
          <w:rFonts w:eastAsia="Times New Roman"/>
          <w:sz w:val="20"/>
          <w:lang w:eastAsia="en-GB"/>
        </w:rPr>
        <w:t>V velikostnem razredu gospodarstev, v katerem redijo nad 50 GVŽ, je v EU–28 9% živinorejskih gospodarstev. V starih državah članicah EU je v tem velikostnem razredu več kot četrtina (27 %) gospodarstev, v novih pa je gospodarstev v tem razredu le dober odstotek. To velja tudi za Slovenijo, ki ima manj kot 3% kmetijskih gospodarstev v velikostnem razredu z več kot 50 GVŽ (</w:t>
      </w:r>
      <w:r w:rsidR="000A1A7D" w:rsidRPr="00155028">
        <w:rPr>
          <w:rFonts w:eastAsia="Times New Roman"/>
          <w:sz w:val="20"/>
          <w:lang w:eastAsia="en-GB"/>
        </w:rPr>
        <w:t>Tabel</w:t>
      </w:r>
      <w:r w:rsidR="00587D0F" w:rsidRPr="00155028">
        <w:rPr>
          <w:rFonts w:eastAsia="Times New Roman"/>
          <w:sz w:val="20"/>
          <w:lang w:eastAsia="en-GB"/>
        </w:rPr>
        <w:t xml:space="preserve">a </w:t>
      </w:r>
      <w:r w:rsidR="00CF0FC8" w:rsidRPr="00155028">
        <w:rPr>
          <w:rFonts w:eastAsia="Times New Roman"/>
          <w:sz w:val="20"/>
          <w:lang w:eastAsia="en-GB"/>
        </w:rPr>
        <w:t>8</w:t>
      </w:r>
      <w:r w:rsidRPr="00155028">
        <w:rPr>
          <w:rFonts w:eastAsia="Times New Roman"/>
          <w:sz w:val="20"/>
          <w:lang w:eastAsia="en-GB"/>
        </w:rPr>
        <w:t>). Tudi razporeditev živine po posameznih velikostnih razredih GVŽ kaže na velike razlike v koncentraciji proizvodnje znotraj evropske živinoreje. V EU–28 je več kot tri četrtine (81 %) vse živine na gospodarstvih z več kot 50 GVŽ, v državah EU–15 ta delež znaša kar 87%, v novih državah EU pa 55 %. Slovenija je s 35 % na dnu strukturne lestvice, saj ima le Romunija s 26 % manjši delež živine v velikostnem razredu nad 50 GVŽ.</w:t>
      </w:r>
    </w:p>
    <w:p w14:paraId="7E7D7CE5" w14:textId="3BC7A89E" w:rsidR="0048262F" w:rsidRPr="00155028" w:rsidRDefault="000A1A7D" w:rsidP="0048262F">
      <w:pPr>
        <w:pStyle w:val="Napis"/>
        <w:jc w:val="both"/>
        <w:rPr>
          <w:szCs w:val="20"/>
        </w:rPr>
      </w:pPr>
      <w:bookmarkStart w:id="89" w:name="_Toc86826527"/>
      <w:r w:rsidRPr="00155028">
        <w:rPr>
          <w:szCs w:val="20"/>
        </w:rPr>
        <w:t xml:space="preserve">Tabela </w:t>
      </w:r>
      <w:r w:rsidR="004270C0" w:rsidRPr="00155028">
        <w:rPr>
          <w:szCs w:val="20"/>
        </w:rPr>
        <w:fldChar w:fldCharType="begin"/>
      </w:r>
      <w:r w:rsidR="004270C0" w:rsidRPr="00155028">
        <w:rPr>
          <w:szCs w:val="20"/>
        </w:rPr>
        <w:instrText xml:space="preserve"> SEQ Tabela \* ARABIC </w:instrText>
      </w:r>
      <w:r w:rsidR="004270C0" w:rsidRPr="00155028">
        <w:rPr>
          <w:szCs w:val="20"/>
        </w:rPr>
        <w:fldChar w:fldCharType="separate"/>
      </w:r>
      <w:r w:rsidR="00F25B09">
        <w:rPr>
          <w:noProof/>
          <w:szCs w:val="20"/>
        </w:rPr>
        <w:t>8</w:t>
      </w:r>
      <w:r w:rsidR="004270C0" w:rsidRPr="00155028">
        <w:rPr>
          <w:noProof/>
          <w:szCs w:val="20"/>
        </w:rPr>
        <w:fldChar w:fldCharType="end"/>
      </w:r>
      <w:r w:rsidRPr="00155028">
        <w:rPr>
          <w:szCs w:val="20"/>
        </w:rPr>
        <w:t>: Kmetijska gospodarstva po velikostnih razredih števila GVŽ v letu 2016</w:t>
      </w:r>
      <w:bookmarkEnd w:id="89"/>
    </w:p>
    <w:tbl>
      <w:tblPr>
        <w:tblStyle w:val="Tabelamrea2"/>
        <w:tblW w:w="0" w:type="auto"/>
        <w:tblLayout w:type="fixed"/>
        <w:tblLook w:val="04A0" w:firstRow="1" w:lastRow="0" w:firstColumn="1" w:lastColumn="0" w:noHBand="0" w:noVBand="1"/>
      </w:tblPr>
      <w:tblGrid>
        <w:gridCol w:w="3939"/>
        <w:gridCol w:w="2561"/>
        <w:gridCol w:w="2562"/>
      </w:tblGrid>
      <w:tr w:rsidR="00CA6808" w:rsidRPr="00155028" w14:paraId="773E7B16" w14:textId="77777777" w:rsidTr="00CF43DE">
        <w:trPr>
          <w:trHeight w:val="547"/>
        </w:trPr>
        <w:tc>
          <w:tcPr>
            <w:tcW w:w="3939" w:type="dxa"/>
            <w:shd w:val="clear" w:color="auto" w:fill="D9EEF3"/>
            <w:noWrap/>
            <w:vAlign w:val="center"/>
            <w:hideMark/>
          </w:tcPr>
          <w:p w14:paraId="1C323BFA" w14:textId="77777777" w:rsidR="00CA6808" w:rsidRPr="00155028" w:rsidRDefault="00CA6808" w:rsidP="00CA6808">
            <w:pPr>
              <w:rPr>
                <w:rFonts w:eastAsia="Calibri"/>
                <w:b/>
                <w:sz w:val="20"/>
              </w:rPr>
            </w:pPr>
            <w:r w:rsidRPr="00155028">
              <w:rPr>
                <w:rFonts w:eastAsia="Calibri"/>
                <w:b/>
                <w:sz w:val="20"/>
              </w:rPr>
              <w:t>Velikostni razred GVŽ</w:t>
            </w:r>
          </w:p>
        </w:tc>
        <w:tc>
          <w:tcPr>
            <w:tcW w:w="2561" w:type="dxa"/>
            <w:shd w:val="clear" w:color="auto" w:fill="D9EEF3"/>
            <w:noWrap/>
            <w:vAlign w:val="center"/>
            <w:hideMark/>
          </w:tcPr>
          <w:p w14:paraId="4E339420" w14:textId="77777777" w:rsidR="00CA6808" w:rsidRPr="00155028" w:rsidRDefault="00CA6808" w:rsidP="00CA6808">
            <w:pPr>
              <w:jc w:val="right"/>
              <w:rPr>
                <w:rFonts w:eastAsia="Calibri"/>
                <w:b/>
                <w:sz w:val="20"/>
              </w:rPr>
            </w:pPr>
            <w:r w:rsidRPr="00155028">
              <w:rPr>
                <w:rFonts w:eastAsia="Calibri"/>
                <w:b/>
                <w:sz w:val="20"/>
              </w:rPr>
              <w:t>Glave velike živine [GVŽ]</w:t>
            </w:r>
          </w:p>
        </w:tc>
        <w:tc>
          <w:tcPr>
            <w:tcW w:w="2562" w:type="dxa"/>
            <w:shd w:val="clear" w:color="auto" w:fill="D9EEF3"/>
            <w:noWrap/>
            <w:vAlign w:val="center"/>
            <w:hideMark/>
          </w:tcPr>
          <w:p w14:paraId="2BC67335" w14:textId="77777777" w:rsidR="00CA6808" w:rsidRPr="00155028" w:rsidRDefault="00CA6808" w:rsidP="00CA6808">
            <w:pPr>
              <w:jc w:val="right"/>
              <w:rPr>
                <w:rFonts w:eastAsia="Calibri"/>
                <w:b/>
                <w:sz w:val="20"/>
              </w:rPr>
            </w:pPr>
            <w:r w:rsidRPr="00155028">
              <w:rPr>
                <w:rFonts w:eastAsia="Calibri"/>
                <w:b/>
                <w:sz w:val="20"/>
              </w:rPr>
              <w:t>Število kmetijskih gospodarstev</w:t>
            </w:r>
          </w:p>
        </w:tc>
      </w:tr>
      <w:tr w:rsidR="00CA6808" w:rsidRPr="00155028" w14:paraId="31955FE7" w14:textId="77777777" w:rsidTr="00CA6808">
        <w:trPr>
          <w:trHeight w:val="255"/>
        </w:trPr>
        <w:tc>
          <w:tcPr>
            <w:tcW w:w="3939" w:type="dxa"/>
            <w:noWrap/>
            <w:vAlign w:val="center"/>
            <w:hideMark/>
          </w:tcPr>
          <w:p w14:paraId="3304FC18" w14:textId="77777777" w:rsidR="00CA6808" w:rsidRPr="00155028" w:rsidRDefault="00CA6808" w:rsidP="00CA6808">
            <w:pPr>
              <w:rPr>
                <w:rFonts w:eastAsia="Calibri"/>
                <w:sz w:val="20"/>
              </w:rPr>
            </w:pPr>
            <w:r w:rsidRPr="00155028">
              <w:rPr>
                <w:rFonts w:eastAsia="Calibri"/>
                <w:sz w:val="20"/>
              </w:rPr>
              <w:t>brez GVŽ</w:t>
            </w:r>
          </w:p>
        </w:tc>
        <w:tc>
          <w:tcPr>
            <w:tcW w:w="2561" w:type="dxa"/>
            <w:noWrap/>
            <w:vAlign w:val="center"/>
            <w:hideMark/>
          </w:tcPr>
          <w:p w14:paraId="6147FD5B" w14:textId="77777777" w:rsidR="00CA6808" w:rsidRPr="00155028" w:rsidRDefault="00CA6808" w:rsidP="00CA6808">
            <w:pPr>
              <w:jc w:val="right"/>
              <w:rPr>
                <w:rFonts w:eastAsia="Calibri"/>
                <w:sz w:val="20"/>
              </w:rPr>
            </w:pPr>
            <w:r w:rsidRPr="00155028">
              <w:rPr>
                <w:rFonts w:eastAsia="Calibri"/>
                <w:sz w:val="20"/>
              </w:rPr>
              <w:t>0</w:t>
            </w:r>
          </w:p>
        </w:tc>
        <w:tc>
          <w:tcPr>
            <w:tcW w:w="2562" w:type="dxa"/>
            <w:noWrap/>
            <w:vAlign w:val="center"/>
            <w:hideMark/>
          </w:tcPr>
          <w:p w14:paraId="21CF87B1" w14:textId="77777777" w:rsidR="00CA6808" w:rsidRPr="00155028" w:rsidRDefault="00CA6808" w:rsidP="00CA6808">
            <w:pPr>
              <w:jc w:val="right"/>
              <w:rPr>
                <w:rFonts w:eastAsia="Calibri"/>
                <w:sz w:val="20"/>
              </w:rPr>
            </w:pPr>
            <w:r w:rsidRPr="00155028">
              <w:rPr>
                <w:rFonts w:eastAsia="Calibri"/>
                <w:sz w:val="20"/>
              </w:rPr>
              <w:t>14.120</w:t>
            </w:r>
          </w:p>
        </w:tc>
      </w:tr>
      <w:tr w:rsidR="00CA6808" w:rsidRPr="00155028" w14:paraId="2DAE11BE" w14:textId="77777777" w:rsidTr="00CA6808">
        <w:trPr>
          <w:trHeight w:val="255"/>
        </w:trPr>
        <w:tc>
          <w:tcPr>
            <w:tcW w:w="3939" w:type="dxa"/>
            <w:noWrap/>
            <w:vAlign w:val="center"/>
            <w:hideMark/>
          </w:tcPr>
          <w:p w14:paraId="4A8CE926" w14:textId="77777777" w:rsidR="00CA6808" w:rsidRPr="00155028" w:rsidRDefault="00CA6808" w:rsidP="00CA6808">
            <w:pPr>
              <w:rPr>
                <w:rFonts w:eastAsia="Calibri"/>
                <w:sz w:val="20"/>
              </w:rPr>
            </w:pPr>
            <w:r w:rsidRPr="00155028">
              <w:rPr>
                <w:rFonts w:eastAsia="Calibri"/>
                <w:sz w:val="20"/>
              </w:rPr>
              <w:t>več od 0 do pod 0,5</w:t>
            </w:r>
          </w:p>
        </w:tc>
        <w:tc>
          <w:tcPr>
            <w:tcW w:w="2561" w:type="dxa"/>
            <w:noWrap/>
            <w:vAlign w:val="center"/>
            <w:hideMark/>
          </w:tcPr>
          <w:p w14:paraId="1AD9348B" w14:textId="77777777" w:rsidR="00CA6808" w:rsidRPr="00155028" w:rsidRDefault="00CA6808" w:rsidP="00CA6808">
            <w:pPr>
              <w:jc w:val="right"/>
              <w:rPr>
                <w:rFonts w:eastAsia="Calibri"/>
                <w:sz w:val="20"/>
              </w:rPr>
            </w:pPr>
            <w:r w:rsidRPr="00155028">
              <w:rPr>
                <w:rFonts w:eastAsia="Calibri"/>
                <w:sz w:val="20"/>
              </w:rPr>
              <w:t>1.776</w:t>
            </w:r>
          </w:p>
        </w:tc>
        <w:tc>
          <w:tcPr>
            <w:tcW w:w="2562" w:type="dxa"/>
            <w:noWrap/>
            <w:vAlign w:val="center"/>
            <w:hideMark/>
          </w:tcPr>
          <w:p w14:paraId="19C174E4" w14:textId="77777777" w:rsidR="00CA6808" w:rsidRPr="00155028" w:rsidRDefault="00CA6808" w:rsidP="00CA6808">
            <w:pPr>
              <w:jc w:val="right"/>
              <w:rPr>
                <w:rFonts w:eastAsia="Calibri"/>
                <w:sz w:val="20"/>
              </w:rPr>
            </w:pPr>
            <w:r w:rsidRPr="00155028">
              <w:rPr>
                <w:rFonts w:eastAsia="Calibri"/>
                <w:sz w:val="20"/>
              </w:rPr>
              <w:t>12.284</w:t>
            </w:r>
          </w:p>
        </w:tc>
      </w:tr>
      <w:tr w:rsidR="00CA6808" w:rsidRPr="00155028" w14:paraId="047EE065" w14:textId="77777777" w:rsidTr="00CA6808">
        <w:trPr>
          <w:trHeight w:val="255"/>
        </w:trPr>
        <w:tc>
          <w:tcPr>
            <w:tcW w:w="3939" w:type="dxa"/>
            <w:noWrap/>
            <w:vAlign w:val="center"/>
            <w:hideMark/>
          </w:tcPr>
          <w:p w14:paraId="09EB615F" w14:textId="77777777" w:rsidR="00CA6808" w:rsidRPr="00155028" w:rsidRDefault="00CA6808" w:rsidP="00CA6808">
            <w:pPr>
              <w:rPr>
                <w:rFonts w:eastAsia="Calibri"/>
                <w:sz w:val="20"/>
              </w:rPr>
            </w:pPr>
            <w:r w:rsidRPr="00155028">
              <w:rPr>
                <w:rFonts w:eastAsia="Calibri"/>
                <w:sz w:val="20"/>
              </w:rPr>
              <w:t>0,5 do pod 1</w:t>
            </w:r>
          </w:p>
        </w:tc>
        <w:tc>
          <w:tcPr>
            <w:tcW w:w="2561" w:type="dxa"/>
            <w:noWrap/>
            <w:vAlign w:val="center"/>
            <w:hideMark/>
          </w:tcPr>
          <w:p w14:paraId="26032798" w14:textId="77777777" w:rsidR="00CA6808" w:rsidRPr="00155028" w:rsidRDefault="00CA6808" w:rsidP="00CA6808">
            <w:pPr>
              <w:jc w:val="right"/>
              <w:rPr>
                <w:rFonts w:eastAsia="Calibri"/>
                <w:sz w:val="20"/>
              </w:rPr>
            </w:pPr>
            <w:r w:rsidRPr="00155028">
              <w:rPr>
                <w:rFonts w:eastAsia="Calibri"/>
                <w:sz w:val="20"/>
              </w:rPr>
              <w:t>3.089</w:t>
            </w:r>
          </w:p>
        </w:tc>
        <w:tc>
          <w:tcPr>
            <w:tcW w:w="2562" w:type="dxa"/>
            <w:noWrap/>
            <w:vAlign w:val="center"/>
            <w:hideMark/>
          </w:tcPr>
          <w:p w14:paraId="6212C0E4" w14:textId="77777777" w:rsidR="00CA6808" w:rsidRPr="00155028" w:rsidRDefault="00CA6808" w:rsidP="00CA6808">
            <w:pPr>
              <w:jc w:val="right"/>
              <w:rPr>
                <w:rFonts w:eastAsia="Calibri"/>
                <w:sz w:val="20"/>
              </w:rPr>
            </w:pPr>
            <w:r w:rsidRPr="00155028">
              <w:rPr>
                <w:rFonts w:eastAsia="Calibri"/>
                <w:sz w:val="20"/>
              </w:rPr>
              <w:t>4.170</w:t>
            </w:r>
          </w:p>
        </w:tc>
      </w:tr>
      <w:tr w:rsidR="00CA6808" w:rsidRPr="00155028" w14:paraId="544AF1D5" w14:textId="77777777" w:rsidTr="00CA6808">
        <w:trPr>
          <w:trHeight w:val="255"/>
        </w:trPr>
        <w:tc>
          <w:tcPr>
            <w:tcW w:w="3939" w:type="dxa"/>
            <w:noWrap/>
            <w:vAlign w:val="center"/>
            <w:hideMark/>
          </w:tcPr>
          <w:p w14:paraId="127335F2" w14:textId="77777777" w:rsidR="00CA6808" w:rsidRPr="00155028" w:rsidRDefault="00CA6808" w:rsidP="00CA6808">
            <w:pPr>
              <w:rPr>
                <w:rFonts w:eastAsia="Calibri"/>
                <w:sz w:val="20"/>
              </w:rPr>
            </w:pPr>
            <w:r w:rsidRPr="00155028">
              <w:rPr>
                <w:rFonts w:eastAsia="Calibri"/>
                <w:sz w:val="20"/>
              </w:rPr>
              <w:t>1 do pod 2</w:t>
            </w:r>
          </w:p>
        </w:tc>
        <w:tc>
          <w:tcPr>
            <w:tcW w:w="2561" w:type="dxa"/>
            <w:noWrap/>
            <w:vAlign w:val="center"/>
            <w:hideMark/>
          </w:tcPr>
          <w:p w14:paraId="68E941AE" w14:textId="77777777" w:rsidR="00CA6808" w:rsidRPr="00155028" w:rsidRDefault="00CA6808" w:rsidP="00CA6808">
            <w:pPr>
              <w:jc w:val="right"/>
              <w:rPr>
                <w:rFonts w:eastAsia="Calibri"/>
                <w:sz w:val="20"/>
              </w:rPr>
            </w:pPr>
            <w:r w:rsidRPr="00155028">
              <w:rPr>
                <w:rFonts w:eastAsia="Calibri"/>
                <w:sz w:val="20"/>
              </w:rPr>
              <w:t>9.343</w:t>
            </w:r>
          </w:p>
        </w:tc>
        <w:tc>
          <w:tcPr>
            <w:tcW w:w="2562" w:type="dxa"/>
            <w:noWrap/>
            <w:vAlign w:val="center"/>
            <w:hideMark/>
          </w:tcPr>
          <w:p w14:paraId="578995F6" w14:textId="77777777" w:rsidR="00CA6808" w:rsidRPr="00155028" w:rsidRDefault="00CA6808" w:rsidP="00CA6808">
            <w:pPr>
              <w:jc w:val="right"/>
              <w:rPr>
                <w:rFonts w:eastAsia="Calibri"/>
                <w:sz w:val="20"/>
              </w:rPr>
            </w:pPr>
            <w:r w:rsidRPr="00155028">
              <w:rPr>
                <w:rFonts w:eastAsia="Calibri"/>
                <w:sz w:val="20"/>
              </w:rPr>
              <w:t>6.630</w:t>
            </w:r>
          </w:p>
        </w:tc>
      </w:tr>
      <w:tr w:rsidR="00CA6808" w:rsidRPr="00155028" w14:paraId="026BDD51" w14:textId="77777777" w:rsidTr="00CA6808">
        <w:trPr>
          <w:trHeight w:val="255"/>
        </w:trPr>
        <w:tc>
          <w:tcPr>
            <w:tcW w:w="3939" w:type="dxa"/>
            <w:noWrap/>
            <w:vAlign w:val="center"/>
            <w:hideMark/>
          </w:tcPr>
          <w:p w14:paraId="5A2C4EB2" w14:textId="77777777" w:rsidR="00CA6808" w:rsidRPr="00155028" w:rsidRDefault="00CA6808" w:rsidP="00CA6808">
            <w:pPr>
              <w:rPr>
                <w:rFonts w:eastAsia="Calibri"/>
                <w:sz w:val="20"/>
              </w:rPr>
            </w:pPr>
            <w:r w:rsidRPr="00155028">
              <w:rPr>
                <w:rFonts w:eastAsia="Calibri"/>
                <w:sz w:val="20"/>
              </w:rPr>
              <w:t>2 do pod 3</w:t>
            </w:r>
          </w:p>
        </w:tc>
        <w:tc>
          <w:tcPr>
            <w:tcW w:w="2561" w:type="dxa"/>
            <w:noWrap/>
            <w:vAlign w:val="center"/>
            <w:hideMark/>
          </w:tcPr>
          <w:p w14:paraId="70D3E617" w14:textId="77777777" w:rsidR="00CA6808" w:rsidRPr="00155028" w:rsidRDefault="00CA6808" w:rsidP="00CA6808">
            <w:pPr>
              <w:jc w:val="right"/>
              <w:rPr>
                <w:rFonts w:eastAsia="Calibri"/>
                <w:sz w:val="20"/>
              </w:rPr>
            </w:pPr>
            <w:r w:rsidRPr="00155028">
              <w:rPr>
                <w:rFonts w:eastAsia="Calibri"/>
                <w:sz w:val="20"/>
              </w:rPr>
              <w:t>13.830</w:t>
            </w:r>
          </w:p>
        </w:tc>
        <w:tc>
          <w:tcPr>
            <w:tcW w:w="2562" w:type="dxa"/>
            <w:noWrap/>
            <w:vAlign w:val="center"/>
            <w:hideMark/>
          </w:tcPr>
          <w:p w14:paraId="0C2F01FC" w14:textId="77777777" w:rsidR="00CA6808" w:rsidRPr="00155028" w:rsidRDefault="00CA6808" w:rsidP="00CA6808">
            <w:pPr>
              <w:jc w:val="right"/>
              <w:rPr>
                <w:rFonts w:eastAsia="Calibri"/>
                <w:sz w:val="20"/>
              </w:rPr>
            </w:pPr>
            <w:r w:rsidRPr="00155028">
              <w:rPr>
                <w:rFonts w:eastAsia="Calibri"/>
                <w:sz w:val="20"/>
              </w:rPr>
              <w:t>5.678</w:t>
            </w:r>
          </w:p>
        </w:tc>
      </w:tr>
      <w:tr w:rsidR="00CA6808" w:rsidRPr="00155028" w14:paraId="49C59BA6" w14:textId="77777777" w:rsidTr="00CA6808">
        <w:trPr>
          <w:trHeight w:val="255"/>
        </w:trPr>
        <w:tc>
          <w:tcPr>
            <w:tcW w:w="3939" w:type="dxa"/>
            <w:noWrap/>
            <w:vAlign w:val="center"/>
            <w:hideMark/>
          </w:tcPr>
          <w:p w14:paraId="7F162BD0" w14:textId="77777777" w:rsidR="00CA6808" w:rsidRPr="00155028" w:rsidRDefault="00CA6808" w:rsidP="00CA6808">
            <w:pPr>
              <w:rPr>
                <w:rFonts w:eastAsia="Calibri"/>
                <w:sz w:val="20"/>
              </w:rPr>
            </w:pPr>
            <w:r w:rsidRPr="00155028">
              <w:rPr>
                <w:rFonts w:eastAsia="Calibri"/>
                <w:sz w:val="20"/>
              </w:rPr>
              <w:t>3 do pod 5</w:t>
            </w:r>
          </w:p>
        </w:tc>
        <w:tc>
          <w:tcPr>
            <w:tcW w:w="2561" w:type="dxa"/>
            <w:noWrap/>
            <w:vAlign w:val="center"/>
            <w:hideMark/>
          </w:tcPr>
          <w:p w14:paraId="109BBE08" w14:textId="77777777" w:rsidR="00CA6808" w:rsidRPr="00155028" w:rsidRDefault="00CA6808" w:rsidP="00CA6808">
            <w:pPr>
              <w:jc w:val="right"/>
              <w:rPr>
                <w:rFonts w:eastAsia="Calibri"/>
                <w:sz w:val="20"/>
              </w:rPr>
            </w:pPr>
            <w:r w:rsidRPr="00155028">
              <w:rPr>
                <w:rFonts w:eastAsia="Calibri"/>
                <w:sz w:val="20"/>
              </w:rPr>
              <w:t>27.679</w:t>
            </w:r>
          </w:p>
        </w:tc>
        <w:tc>
          <w:tcPr>
            <w:tcW w:w="2562" w:type="dxa"/>
            <w:noWrap/>
            <w:vAlign w:val="center"/>
            <w:hideMark/>
          </w:tcPr>
          <w:p w14:paraId="41D5FFDD" w14:textId="77777777" w:rsidR="00CA6808" w:rsidRPr="00155028" w:rsidRDefault="00CA6808" w:rsidP="00CA6808">
            <w:pPr>
              <w:jc w:val="right"/>
              <w:rPr>
                <w:rFonts w:eastAsia="Calibri"/>
                <w:sz w:val="20"/>
              </w:rPr>
            </w:pPr>
            <w:r w:rsidRPr="00155028">
              <w:rPr>
                <w:rFonts w:eastAsia="Calibri"/>
                <w:sz w:val="20"/>
              </w:rPr>
              <w:t>7.170</w:t>
            </w:r>
          </w:p>
        </w:tc>
      </w:tr>
      <w:tr w:rsidR="00CA6808" w:rsidRPr="00155028" w14:paraId="7E77B767" w14:textId="77777777" w:rsidTr="00CA6808">
        <w:trPr>
          <w:trHeight w:val="255"/>
        </w:trPr>
        <w:tc>
          <w:tcPr>
            <w:tcW w:w="3939" w:type="dxa"/>
            <w:noWrap/>
            <w:vAlign w:val="center"/>
            <w:hideMark/>
          </w:tcPr>
          <w:p w14:paraId="3CF10B64" w14:textId="77777777" w:rsidR="00CA6808" w:rsidRPr="00155028" w:rsidRDefault="00CA6808" w:rsidP="00CA6808">
            <w:pPr>
              <w:rPr>
                <w:rFonts w:eastAsia="Calibri"/>
                <w:sz w:val="20"/>
              </w:rPr>
            </w:pPr>
            <w:r w:rsidRPr="00155028">
              <w:rPr>
                <w:rFonts w:eastAsia="Calibri"/>
                <w:sz w:val="20"/>
              </w:rPr>
              <w:t>5 do pod 10</w:t>
            </w:r>
          </w:p>
        </w:tc>
        <w:tc>
          <w:tcPr>
            <w:tcW w:w="2561" w:type="dxa"/>
            <w:noWrap/>
            <w:vAlign w:val="center"/>
            <w:hideMark/>
          </w:tcPr>
          <w:p w14:paraId="064EDE3D" w14:textId="77777777" w:rsidR="00CA6808" w:rsidRPr="00155028" w:rsidRDefault="00CA6808" w:rsidP="00CA6808">
            <w:pPr>
              <w:jc w:val="right"/>
              <w:rPr>
                <w:rFonts w:eastAsia="Calibri"/>
                <w:sz w:val="20"/>
              </w:rPr>
            </w:pPr>
            <w:r w:rsidRPr="00155028">
              <w:rPr>
                <w:rFonts w:eastAsia="Calibri"/>
                <w:sz w:val="20"/>
              </w:rPr>
              <w:t>64.331</w:t>
            </w:r>
          </w:p>
        </w:tc>
        <w:tc>
          <w:tcPr>
            <w:tcW w:w="2562" w:type="dxa"/>
            <w:noWrap/>
            <w:vAlign w:val="center"/>
            <w:hideMark/>
          </w:tcPr>
          <w:p w14:paraId="1AB074A6" w14:textId="77777777" w:rsidR="00CA6808" w:rsidRPr="00155028" w:rsidRDefault="00CA6808" w:rsidP="00CA6808">
            <w:pPr>
              <w:jc w:val="right"/>
              <w:rPr>
                <w:rFonts w:eastAsia="Calibri"/>
                <w:sz w:val="20"/>
              </w:rPr>
            </w:pPr>
            <w:r w:rsidRPr="00155028">
              <w:rPr>
                <w:rFonts w:eastAsia="Calibri"/>
                <w:sz w:val="20"/>
              </w:rPr>
              <w:t>9.136</w:t>
            </w:r>
          </w:p>
        </w:tc>
      </w:tr>
      <w:tr w:rsidR="00CA6808" w:rsidRPr="00155028" w14:paraId="75250606" w14:textId="77777777" w:rsidTr="00CA6808">
        <w:trPr>
          <w:trHeight w:val="255"/>
        </w:trPr>
        <w:tc>
          <w:tcPr>
            <w:tcW w:w="3939" w:type="dxa"/>
            <w:noWrap/>
            <w:vAlign w:val="center"/>
            <w:hideMark/>
          </w:tcPr>
          <w:p w14:paraId="51C3E5F9" w14:textId="77777777" w:rsidR="00CA6808" w:rsidRPr="00155028" w:rsidRDefault="00CA6808" w:rsidP="00CA6808">
            <w:pPr>
              <w:rPr>
                <w:rFonts w:eastAsia="Calibri"/>
                <w:sz w:val="20"/>
              </w:rPr>
            </w:pPr>
            <w:r w:rsidRPr="00155028">
              <w:rPr>
                <w:rFonts w:eastAsia="Calibri"/>
                <w:sz w:val="20"/>
              </w:rPr>
              <w:t>10 do pod 15</w:t>
            </w:r>
          </w:p>
        </w:tc>
        <w:tc>
          <w:tcPr>
            <w:tcW w:w="2561" w:type="dxa"/>
            <w:noWrap/>
            <w:vAlign w:val="center"/>
            <w:hideMark/>
          </w:tcPr>
          <w:p w14:paraId="635A6F86" w14:textId="77777777" w:rsidR="00CA6808" w:rsidRPr="00155028" w:rsidRDefault="00CA6808" w:rsidP="00CA6808">
            <w:pPr>
              <w:jc w:val="right"/>
              <w:rPr>
                <w:rFonts w:eastAsia="Calibri"/>
                <w:sz w:val="20"/>
              </w:rPr>
            </w:pPr>
            <w:r w:rsidRPr="00155028">
              <w:rPr>
                <w:rFonts w:eastAsia="Calibri"/>
                <w:sz w:val="20"/>
              </w:rPr>
              <w:t>45.345</w:t>
            </w:r>
          </w:p>
        </w:tc>
        <w:tc>
          <w:tcPr>
            <w:tcW w:w="2562" w:type="dxa"/>
            <w:noWrap/>
            <w:vAlign w:val="center"/>
            <w:hideMark/>
          </w:tcPr>
          <w:p w14:paraId="1F75615E" w14:textId="77777777" w:rsidR="00CA6808" w:rsidRPr="00155028" w:rsidRDefault="00CA6808" w:rsidP="00CA6808">
            <w:pPr>
              <w:jc w:val="right"/>
              <w:rPr>
                <w:rFonts w:eastAsia="Calibri"/>
                <w:sz w:val="20"/>
              </w:rPr>
            </w:pPr>
            <w:r w:rsidRPr="00155028">
              <w:rPr>
                <w:rFonts w:eastAsia="Calibri"/>
                <w:sz w:val="20"/>
              </w:rPr>
              <w:t>3.715</w:t>
            </w:r>
          </w:p>
        </w:tc>
      </w:tr>
      <w:tr w:rsidR="00CA6808" w:rsidRPr="00155028" w14:paraId="74BF3026" w14:textId="77777777" w:rsidTr="00CA6808">
        <w:trPr>
          <w:trHeight w:val="255"/>
        </w:trPr>
        <w:tc>
          <w:tcPr>
            <w:tcW w:w="3939" w:type="dxa"/>
            <w:noWrap/>
            <w:vAlign w:val="center"/>
            <w:hideMark/>
          </w:tcPr>
          <w:p w14:paraId="2864FAD5" w14:textId="77777777" w:rsidR="00CA6808" w:rsidRPr="00155028" w:rsidRDefault="00CA6808" w:rsidP="00CA6808">
            <w:pPr>
              <w:rPr>
                <w:rFonts w:eastAsia="Calibri"/>
                <w:sz w:val="20"/>
              </w:rPr>
            </w:pPr>
            <w:r w:rsidRPr="00155028">
              <w:rPr>
                <w:rFonts w:eastAsia="Calibri"/>
                <w:sz w:val="20"/>
              </w:rPr>
              <w:t>15 do pod 20</w:t>
            </w:r>
          </w:p>
        </w:tc>
        <w:tc>
          <w:tcPr>
            <w:tcW w:w="2561" w:type="dxa"/>
            <w:noWrap/>
            <w:vAlign w:val="center"/>
            <w:hideMark/>
          </w:tcPr>
          <w:p w14:paraId="44F79186" w14:textId="77777777" w:rsidR="00CA6808" w:rsidRPr="00155028" w:rsidRDefault="00CA6808" w:rsidP="00CA6808">
            <w:pPr>
              <w:jc w:val="right"/>
              <w:rPr>
                <w:rFonts w:eastAsia="Calibri"/>
                <w:sz w:val="20"/>
              </w:rPr>
            </w:pPr>
            <w:r w:rsidRPr="00155028">
              <w:rPr>
                <w:rFonts w:eastAsia="Calibri"/>
                <w:sz w:val="20"/>
              </w:rPr>
              <w:t>34.345</w:t>
            </w:r>
          </w:p>
        </w:tc>
        <w:tc>
          <w:tcPr>
            <w:tcW w:w="2562" w:type="dxa"/>
            <w:noWrap/>
            <w:vAlign w:val="center"/>
            <w:hideMark/>
          </w:tcPr>
          <w:p w14:paraId="68969AD8" w14:textId="77777777" w:rsidR="00CA6808" w:rsidRPr="00155028" w:rsidRDefault="00CA6808" w:rsidP="00CA6808">
            <w:pPr>
              <w:jc w:val="right"/>
              <w:rPr>
                <w:rFonts w:eastAsia="Calibri"/>
                <w:sz w:val="20"/>
              </w:rPr>
            </w:pPr>
            <w:r w:rsidRPr="00155028">
              <w:rPr>
                <w:rFonts w:eastAsia="Calibri"/>
                <w:sz w:val="20"/>
              </w:rPr>
              <w:t>1.983</w:t>
            </w:r>
          </w:p>
        </w:tc>
      </w:tr>
      <w:tr w:rsidR="00CA6808" w:rsidRPr="00155028" w14:paraId="38CD40FA" w14:textId="77777777" w:rsidTr="00CA6808">
        <w:trPr>
          <w:trHeight w:val="255"/>
        </w:trPr>
        <w:tc>
          <w:tcPr>
            <w:tcW w:w="3939" w:type="dxa"/>
            <w:noWrap/>
            <w:vAlign w:val="center"/>
            <w:hideMark/>
          </w:tcPr>
          <w:p w14:paraId="65A72048" w14:textId="77777777" w:rsidR="00CA6808" w:rsidRPr="00155028" w:rsidRDefault="00CA6808" w:rsidP="00CA6808">
            <w:pPr>
              <w:rPr>
                <w:rFonts w:eastAsia="Calibri"/>
                <w:sz w:val="20"/>
              </w:rPr>
            </w:pPr>
            <w:r w:rsidRPr="00155028">
              <w:rPr>
                <w:rFonts w:eastAsia="Calibri"/>
                <w:sz w:val="20"/>
              </w:rPr>
              <w:t>20 do pod 30</w:t>
            </w:r>
          </w:p>
        </w:tc>
        <w:tc>
          <w:tcPr>
            <w:tcW w:w="2561" w:type="dxa"/>
            <w:noWrap/>
            <w:vAlign w:val="center"/>
            <w:hideMark/>
          </w:tcPr>
          <w:p w14:paraId="578E5B5F" w14:textId="77777777" w:rsidR="00CA6808" w:rsidRPr="00155028" w:rsidRDefault="00CA6808" w:rsidP="00CA6808">
            <w:pPr>
              <w:jc w:val="right"/>
              <w:rPr>
                <w:rFonts w:eastAsia="Calibri"/>
                <w:sz w:val="20"/>
              </w:rPr>
            </w:pPr>
            <w:r w:rsidRPr="00155028">
              <w:rPr>
                <w:rFonts w:eastAsia="Calibri"/>
                <w:sz w:val="20"/>
              </w:rPr>
              <w:t>56.545</w:t>
            </w:r>
          </w:p>
        </w:tc>
        <w:tc>
          <w:tcPr>
            <w:tcW w:w="2562" w:type="dxa"/>
            <w:noWrap/>
            <w:vAlign w:val="center"/>
            <w:hideMark/>
          </w:tcPr>
          <w:p w14:paraId="0B5436F6" w14:textId="77777777" w:rsidR="00CA6808" w:rsidRPr="00155028" w:rsidRDefault="00CA6808" w:rsidP="00CA6808">
            <w:pPr>
              <w:jc w:val="right"/>
              <w:rPr>
                <w:rFonts w:eastAsia="Calibri"/>
                <w:sz w:val="20"/>
              </w:rPr>
            </w:pPr>
            <w:r w:rsidRPr="00155028">
              <w:rPr>
                <w:rFonts w:eastAsia="Calibri"/>
                <w:sz w:val="20"/>
              </w:rPr>
              <w:t>2.355</w:t>
            </w:r>
          </w:p>
        </w:tc>
      </w:tr>
      <w:tr w:rsidR="00CA6808" w:rsidRPr="00155028" w14:paraId="58BC0C56" w14:textId="77777777" w:rsidTr="00CA6808">
        <w:trPr>
          <w:trHeight w:val="255"/>
        </w:trPr>
        <w:tc>
          <w:tcPr>
            <w:tcW w:w="3939" w:type="dxa"/>
            <w:noWrap/>
            <w:vAlign w:val="center"/>
            <w:hideMark/>
          </w:tcPr>
          <w:p w14:paraId="354286D8" w14:textId="77777777" w:rsidR="00CA6808" w:rsidRPr="00155028" w:rsidRDefault="00CA6808" w:rsidP="00CA6808">
            <w:pPr>
              <w:rPr>
                <w:rFonts w:eastAsia="Calibri"/>
                <w:sz w:val="20"/>
              </w:rPr>
            </w:pPr>
            <w:r w:rsidRPr="00155028">
              <w:rPr>
                <w:rFonts w:eastAsia="Calibri"/>
                <w:sz w:val="20"/>
              </w:rPr>
              <w:t>30 do pod 50</w:t>
            </w:r>
          </w:p>
        </w:tc>
        <w:tc>
          <w:tcPr>
            <w:tcW w:w="2561" w:type="dxa"/>
            <w:noWrap/>
            <w:vAlign w:val="center"/>
            <w:hideMark/>
          </w:tcPr>
          <w:p w14:paraId="543BE602" w14:textId="77777777" w:rsidR="00CA6808" w:rsidRPr="00155028" w:rsidRDefault="00CA6808" w:rsidP="00CA6808">
            <w:pPr>
              <w:jc w:val="right"/>
              <w:rPr>
                <w:rFonts w:eastAsia="Calibri"/>
                <w:sz w:val="20"/>
              </w:rPr>
            </w:pPr>
            <w:r w:rsidRPr="00155028">
              <w:rPr>
                <w:rFonts w:eastAsia="Calibri"/>
                <w:sz w:val="20"/>
              </w:rPr>
              <w:t>60.330</w:t>
            </w:r>
          </w:p>
        </w:tc>
        <w:tc>
          <w:tcPr>
            <w:tcW w:w="2562" w:type="dxa"/>
            <w:noWrap/>
            <w:vAlign w:val="center"/>
            <w:hideMark/>
          </w:tcPr>
          <w:p w14:paraId="18F3B6E4" w14:textId="77777777" w:rsidR="00CA6808" w:rsidRPr="00155028" w:rsidRDefault="00CA6808" w:rsidP="00CA6808">
            <w:pPr>
              <w:jc w:val="right"/>
              <w:rPr>
                <w:rFonts w:eastAsia="Calibri"/>
                <w:sz w:val="20"/>
              </w:rPr>
            </w:pPr>
            <w:r w:rsidRPr="00155028">
              <w:rPr>
                <w:rFonts w:eastAsia="Calibri"/>
                <w:sz w:val="20"/>
              </w:rPr>
              <w:t>1.600</w:t>
            </w:r>
          </w:p>
        </w:tc>
      </w:tr>
      <w:tr w:rsidR="00CA6808" w:rsidRPr="00155028" w14:paraId="3F84B558" w14:textId="77777777" w:rsidTr="00CA6808">
        <w:trPr>
          <w:trHeight w:val="255"/>
        </w:trPr>
        <w:tc>
          <w:tcPr>
            <w:tcW w:w="3939" w:type="dxa"/>
            <w:noWrap/>
            <w:vAlign w:val="center"/>
            <w:hideMark/>
          </w:tcPr>
          <w:p w14:paraId="41323255" w14:textId="77777777" w:rsidR="00CA6808" w:rsidRPr="00155028" w:rsidRDefault="00CA6808" w:rsidP="00CA6808">
            <w:pPr>
              <w:rPr>
                <w:rFonts w:eastAsia="Calibri"/>
                <w:sz w:val="20"/>
              </w:rPr>
            </w:pPr>
            <w:r w:rsidRPr="00155028">
              <w:rPr>
                <w:rFonts w:eastAsia="Calibri"/>
                <w:sz w:val="20"/>
              </w:rPr>
              <w:t>50 do pod 100</w:t>
            </w:r>
          </w:p>
        </w:tc>
        <w:tc>
          <w:tcPr>
            <w:tcW w:w="2561" w:type="dxa"/>
            <w:noWrap/>
            <w:vAlign w:val="center"/>
            <w:hideMark/>
          </w:tcPr>
          <w:p w14:paraId="3DC1C0B8" w14:textId="77777777" w:rsidR="00CA6808" w:rsidRPr="00155028" w:rsidRDefault="00CA6808" w:rsidP="00CA6808">
            <w:pPr>
              <w:jc w:val="right"/>
              <w:rPr>
                <w:rFonts w:eastAsia="Calibri"/>
                <w:sz w:val="20"/>
              </w:rPr>
            </w:pPr>
            <w:r w:rsidRPr="00155028">
              <w:rPr>
                <w:rFonts w:eastAsia="Calibri"/>
                <w:sz w:val="20"/>
              </w:rPr>
              <w:t>55.728</w:t>
            </w:r>
          </w:p>
        </w:tc>
        <w:tc>
          <w:tcPr>
            <w:tcW w:w="2562" w:type="dxa"/>
            <w:noWrap/>
            <w:vAlign w:val="center"/>
            <w:hideMark/>
          </w:tcPr>
          <w:p w14:paraId="4D0B2484" w14:textId="77777777" w:rsidR="00CA6808" w:rsidRPr="00155028" w:rsidRDefault="00CA6808" w:rsidP="00CA6808">
            <w:pPr>
              <w:jc w:val="right"/>
              <w:rPr>
                <w:rFonts w:eastAsia="Calibri"/>
                <w:sz w:val="20"/>
              </w:rPr>
            </w:pPr>
            <w:r w:rsidRPr="00155028">
              <w:rPr>
                <w:rFonts w:eastAsia="Calibri"/>
                <w:sz w:val="20"/>
              </w:rPr>
              <w:t>832</w:t>
            </w:r>
          </w:p>
        </w:tc>
      </w:tr>
      <w:tr w:rsidR="00CA6808" w:rsidRPr="00155028" w14:paraId="5FEC5A36" w14:textId="77777777" w:rsidTr="00CA6808">
        <w:trPr>
          <w:trHeight w:val="255"/>
        </w:trPr>
        <w:tc>
          <w:tcPr>
            <w:tcW w:w="3939" w:type="dxa"/>
            <w:noWrap/>
            <w:vAlign w:val="center"/>
            <w:hideMark/>
          </w:tcPr>
          <w:p w14:paraId="612DBF31" w14:textId="77777777" w:rsidR="00CA6808" w:rsidRPr="00155028" w:rsidRDefault="00CA6808" w:rsidP="00CA6808">
            <w:pPr>
              <w:rPr>
                <w:rFonts w:eastAsia="Calibri"/>
                <w:sz w:val="20"/>
              </w:rPr>
            </w:pPr>
            <w:r w:rsidRPr="00155028">
              <w:rPr>
                <w:rFonts w:eastAsia="Calibri"/>
                <w:sz w:val="20"/>
              </w:rPr>
              <w:t>100 ali več</w:t>
            </w:r>
          </w:p>
        </w:tc>
        <w:tc>
          <w:tcPr>
            <w:tcW w:w="2561" w:type="dxa"/>
            <w:noWrap/>
            <w:vAlign w:val="center"/>
            <w:hideMark/>
          </w:tcPr>
          <w:p w14:paraId="330CACEB" w14:textId="77777777" w:rsidR="00CA6808" w:rsidRPr="00155028" w:rsidRDefault="00CA6808" w:rsidP="00CA6808">
            <w:pPr>
              <w:jc w:val="right"/>
              <w:rPr>
                <w:rFonts w:eastAsia="Calibri"/>
                <w:sz w:val="20"/>
              </w:rPr>
            </w:pPr>
            <w:r w:rsidRPr="00155028">
              <w:rPr>
                <w:rFonts w:eastAsia="Calibri"/>
                <w:sz w:val="20"/>
              </w:rPr>
              <w:t>46.344</w:t>
            </w:r>
          </w:p>
        </w:tc>
        <w:tc>
          <w:tcPr>
            <w:tcW w:w="2562" w:type="dxa"/>
            <w:noWrap/>
            <w:vAlign w:val="center"/>
            <w:hideMark/>
          </w:tcPr>
          <w:p w14:paraId="08527F5A" w14:textId="77777777" w:rsidR="00CA6808" w:rsidRPr="00155028" w:rsidRDefault="00CA6808" w:rsidP="00CA6808">
            <w:pPr>
              <w:jc w:val="right"/>
              <w:rPr>
                <w:rFonts w:eastAsia="Calibri"/>
                <w:sz w:val="20"/>
              </w:rPr>
            </w:pPr>
            <w:r w:rsidRPr="00155028">
              <w:rPr>
                <w:rFonts w:eastAsia="Calibri"/>
                <w:sz w:val="20"/>
              </w:rPr>
              <w:t>229</w:t>
            </w:r>
          </w:p>
        </w:tc>
      </w:tr>
      <w:tr w:rsidR="00CA6808" w:rsidRPr="00155028" w14:paraId="1049FE4F" w14:textId="77777777" w:rsidTr="00CA6808">
        <w:trPr>
          <w:trHeight w:val="255"/>
        </w:trPr>
        <w:tc>
          <w:tcPr>
            <w:tcW w:w="3939" w:type="dxa"/>
            <w:noWrap/>
            <w:vAlign w:val="center"/>
          </w:tcPr>
          <w:p w14:paraId="094DC481" w14:textId="77777777" w:rsidR="00CA6808" w:rsidRPr="00155028" w:rsidRDefault="00CA6808" w:rsidP="00CA6808">
            <w:pPr>
              <w:rPr>
                <w:rFonts w:eastAsia="Calibri"/>
                <w:sz w:val="20"/>
              </w:rPr>
            </w:pPr>
            <w:r w:rsidRPr="00155028">
              <w:rPr>
                <w:rFonts w:eastAsia="Calibri"/>
                <w:sz w:val="20"/>
              </w:rPr>
              <w:t>SKUPAJ</w:t>
            </w:r>
          </w:p>
        </w:tc>
        <w:tc>
          <w:tcPr>
            <w:tcW w:w="2561" w:type="dxa"/>
            <w:noWrap/>
            <w:vAlign w:val="center"/>
          </w:tcPr>
          <w:p w14:paraId="07783826" w14:textId="77777777" w:rsidR="00CA6808" w:rsidRPr="00155028" w:rsidRDefault="00CA6808" w:rsidP="00CA6808">
            <w:pPr>
              <w:jc w:val="right"/>
              <w:rPr>
                <w:rFonts w:eastAsia="Calibri"/>
                <w:sz w:val="20"/>
              </w:rPr>
            </w:pPr>
            <w:r w:rsidRPr="00155028">
              <w:rPr>
                <w:rFonts w:eastAsia="Calibri"/>
                <w:sz w:val="20"/>
              </w:rPr>
              <w:t>418.684</w:t>
            </w:r>
          </w:p>
        </w:tc>
        <w:tc>
          <w:tcPr>
            <w:tcW w:w="2562" w:type="dxa"/>
            <w:noWrap/>
            <w:vAlign w:val="center"/>
          </w:tcPr>
          <w:p w14:paraId="2A0EAE85" w14:textId="77777777" w:rsidR="00CA6808" w:rsidRPr="00155028" w:rsidRDefault="00CA6808" w:rsidP="00CA6808">
            <w:pPr>
              <w:jc w:val="right"/>
              <w:rPr>
                <w:rFonts w:eastAsia="Calibri"/>
                <w:sz w:val="20"/>
              </w:rPr>
            </w:pPr>
            <w:r w:rsidRPr="00155028">
              <w:rPr>
                <w:rFonts w:eastAsia="Calibri"/>
                <w:sz w:val="20"/>
              </w:rPr>
              <w:t>69.902</w:t>
            </w:r>
          </w:p>
        </w:tc>
      </w:tr>
    </w:tbl>
    <w:p w14:paraId="01ADD5F3" w14:textId="77777777" w:rsidR="00CA6808" w:rsidRPr="00155028" w:rsidRDefault="00CA6808" w:rsidP="00CA6808">
      <w:pPr>
        <w:tabs>
          <w:tab w:val="left" w:pos="0"/>
        </w:tabs>
        <w:spacing w:before="120" w:after="0" w:line="240" w:lineRule="auto"/>
        <w:jc w:val="both"/>
        <w:textAlignment w:val="baseline"/>
        <w:rPr>
          <w:rFonts w:eastAsia="Times New Roman"/>
          <w:i/>
          <w:sz w:val="16"/>
          <w:szCs w:val="16"/>
          <w:lang w:eastAsia="en-GB"/>
        </w:rPr>
      </w:pPr>
      <w:r w:rsidRPr="00155028">
        <w:rPr>
          <w:rFonts w:eastAsia="Times New Roman"/>
          <w:i/>
          <w:sz w:val="16"/>
          <w:szCs w:val="16"/>
          <w:lang w:eastAsia="en-GB"/>
        </w:rPr>
        <w:t>Vir: SURS</w:t>
      </w:r>
    </w:p>
    <w:p w14:paraId="04F57611" w14:textId="77777777" w:rsidR="00CA6808" w:rsidRPr="00155028" w:rsidRDefault="00CA6808" w:rsidP="00CA6808">
      <w:pPr>
        <w:tabs>
          <w:tab w:val="left" w:pos="0"/>
        </w:tabs>
        <w:spacing w:before="120" w:after="0" w:line="240" w:lineRule="auto"/>
        <w:jc w:val="both"/>
        <w:textAlignment w:val="baseline"/>
        <w:rPr>
          <w:rFonts w:eastAsia="Times New Roman"/>
          <w:sz w:val="20"/>
          <w:lang w:eastAsia="en-GB"/>
        </w:rPr>
      </w:pPr>
      <w:r w:rsidRPr="00155028">
        <w:rPr>
          <w:rFonts w:eastAsia="Times New Roman"/>
          <w:sz w:val="20"/>
          <w:lang w:eastAsia="en-GB"/>
        </w:rPr>
        <w:t xml:space="preserve">Kot izhaja iz navedenih podatkov je Slovenija, z vidika velikostne strukture kmetijskih gospodarstev, glede skrbi za dobrobit živali v prednosti, ker nima res množičnih sistemov rej, saj je nevarnost pojavov bolezni in težav z dobrobitjo v manjših sistemih manjša. Na to kaže tudi nizka poraba veterinarskih protimikrobnih zdravil, ki je v Sloveniji precej pod povprečjem EU. </w:t>
      </w:r>
    </w:p>
    <w:p w14:paraId="57BF12CA" w14:textId="0B19D5E6" w:rsidR="00CA6808" w:rsidRDefault="00CA6808" w:rsidP="00CA6808">
      <w:pPr>
        <w:tabs>
          <w:tab w:val="left" w:pos="0"/>
        </w:tabs>
        <w:spacing w:before="120" w:after="0" w:line="240" w:lineRule="auto"/>
        <w:jc w:val="both"/>
        <w:textAlignment w:val="baseline"/>
        <w:rPr>
          <w:rFonts w:eastAsia="Times New Roman"/>
          <w:sz w:val="20"/>
          <w:lang w:eastAsia="en-GB"/>
        </w:rPr>
      </w:pPr>
      <w:r w:rsidRPr="00155028">
        <w:rPr>
          <w:rFonts w:eastAsia="Times New Roman"/>
          <w:sz w:val="20"/>
          <w:lang w:eastAsia="en-GB"/>
        </w:rPr>
        <w:t>Ugodno z vidika dobrobiti živali pri transportu je tudi dejstvo, da so transportne poti v Sloveniji kratke. Živali vozimo v klavnice, prevažamo jih na kmetijska gospodarstva za nadaljnjo rejo, v laboratorije in raziskovalne centre, na razstave in tekmovanja. Vsak, še tako dobro organiziran in izpeljan prevoz živali, je za živali stresen, zato je zelo pomembno, da je vožnja čim krajša in da so med vožnjo zadovoljene vse potrebe živali.</w:t>
      </w:r>
    </w:p>
    <w:p w14:paraId="792F9B03" w14:textId="43E5C02E" w:rsidR="004E0FD4" w:rsidRPr="00155028" w:rsidRDefault="004E0FD4" w:rsidP="00CA6808">
      <w:pPr>
        <w:tabs>
          <w:tab w:val="left" w:pos="0"/>
        </w:tabs>
        <w:spacing w:before="120" w:after="0" w:line="240" w:lineRule="auto"/>
        <w:jc w:val="both"/>
        <w:textAlignment w:val="baseline"/>
        <w:rPr>
          <w:rFonts w:eastAsia="Times New Roman"/>
          <w:sz w:val="20"/>
          <w:lang w:eastAsia="en-GB"/>
        </w:rPr>
      </w:pPr>
      <w:r w:rsidRPr="004E0FD4">
        <w:rPr>
          <w:rFonts w:eastAsia="Times New Roman"/>
          <w:sz w:val="20"/>
          <w:lang w:eastAsia="en-GB"/>
        </w:rPr>
        <w:t xml:space="preserve">Velika nevarnost za izvajanje višjih zahtev za dobrobit živali je pojav novih kužnih bolezni, saj je zaradi </w:t>
      </w:r>
      <w:proofErr w:type="spellStart"/>
      <w:r w:rsidRPr="004E0FD4">
        <w:rPr>
          <w:rFonts w:eastAsia="Times New Roman"/>
          <w:sz w:val="20"/>
          <w:lang w:eastAsia="en-GB"/>
        </w:rPr>
        <w:t>biovarnostnih</w:t>
      </w:r>
      <w:proofErr w:type="spellEnd"/>
      <w:r w:rsidRPr="004E0FD4">
        <w:rPr>
          <w:rFonts w:eastAsia="Times New Roman"/>
          <w:sz w:val="20"/>
          <w:lang w:eastAsia="en-GB"/>
        </w:rPr>
        <w:t xml:space="preserve"> ukrepov za omejitev širjenja bolezni lahko omejeno tudi izvajanje nekaterih nadstandardnih zahtev s področja dobrobiti živali ali pa njihovo izvajanje pomeni večje dodatne stroške za rejca. Trenutno najbolj aktualen primer takšne bolezni je afriška prašičja kuga (APK). Bolezen v </w:t>
      </w:r>
      <w:r w:rsidRPr="004E0FD4">
        <w:rPr>
          <w:rFonts w:eastAsia="Times New Roman"/>
          <w:sz w:val="20"/>
          <w:lang w:eastAsia="en-GB"/>
        </w:rPr>
        <w:lastRenderedPageBreak/>
        <w:t>Sloveniji še ni bila ugotovljena, vendar pa predstavlja njeno širjenje iz vzhoda Evrope proti zahodu vse večje tveganje tudi za populacije domačih in divjih prašičev v Sloveniji.</w:t>
      </w:r>
    </w:p>
    <w:p w14:paraId="5840AB16" w14:textId="77777777" w:rsidR="00CA6808" w:rsidRPr="00155028" w:rsidRDefault="00CA6808" w:rsidP="00CA6808">
      <w:pPr>
        <w:spacing w:before="120" w:after="0" w:line="240" w:lineRule="auto"/>
        <w:jc w:val="both"/>
        <w:rPr>
          <w:rFonts w:eastAsia="Times New Roman"/>
          <w:sz w:val="20"/>
          <w:u w:val="single"/>
          <w:lang w:eastAsia="sl-SI" w:bidi="sl-SI"/>
        </w:rPr>
      </w:pPr>
      <w:r w:rsidRPr="00155028">
        <w:rPr>
          <w:rFonts w:eastAsia="Times New Roman"/>
          <w:sz w:val="20"/>
          <w:u w:val="single"/>
          <w:lang w:eastAsia="sl-SI" w:bidi="sl-SI"/>
        </w:rPr>
        <w:t>Prepoved rutinskega krajšanja repov prašičem v Sloveniji</w:t>
      </w:r>
    </w:p>
    <w:p w14:paraId="43F04222" w14:textId="6D26643C" w:rsidR="00CA6808" w:rsidRPr="00155028" w:rsidRDefault="00CA6808" w:rsidP="00CA6808">
      <w:pPr>
        <w:spacing w:before="120" w:after="0" w:line="240" w:lineRule="auto"/>
        <w:jc w:val="both"/>
        <w:rPr>
          <w:rFonts w:eastAsia="Times New Roman"/>
          <w:sz w:val="20"/>
          <w:lang w:eastAsia="sl-SI" w:bidi="sl-SI"/>
        </w:rPr>
      </w:pPr>
      <w:r w:rsidRPr="00155028">
        <w:rPr>
          <w:rFonts w:eastAsia="Times New Roman"/>
          <w:sz w:val="20"/>
          <w:lang w:eastAsia="sl-SI" w:bidi="sl-SI"/>
        </w:rPr>
        <w:t xml:space="preserve">Grizenje repov med prašiči je motnja v obnašanju, ki je razširjena, a nepredvidljiva. Dejavniki tveganja so številni (odsotnost slame, osiromašeno in nestimulativno okolje, rešetkasta tla, neustrezna mikroklima, slabo zdravstveno stanje črede). </w:t>
      </w:r>
    </w:p>
    <w:p w14:paraId="7325F5B4" w14:textId="3BB1A7F4" w:rsidR="00CA6808" w:rsidRPr="00155028" w:rsidRDefault="00CA6808" w:rsidP="00CA6808">
      <w:pPr>
        <w:spacing w:before="120" w:after="0" w:line="240" w:lineRule="auto"/>
        <w:jc w:val="both"/>
        <w:rPr>
          <w:rFonts w:eastAsia="Times New Roman"/>
          <w:sz w:val="20"/>
          <w:vertAlign w:val="superscript"/>
          <w:lang w:eastAsia="sl-SI" w:bidi="sl-SI"/>
        </w:rPr>
      </w:pPr>
      <w:r w:rsidRPr="00155028">
        <w:rPr>
          <w:rFonts w:eastAsia="Times New Roman"/>
          <w:sz w:val="20"/>
          <w:lang w:eastAsia="sl-SI" w:bidi="sl-SI"/>
        </w:rPr>
        <w:t>Na ravni EU je prepoved rutinskega krajšanja določena z Direktivo Sveta 2008/120/ES z dne 18 decembra 2008 o določitvi minimalnih pogojev za zaščito prašičev</w:t>
      </w:r>
      <w:r w:rsidR="0086383B" w:rsidRPr="00155028">
        <w:rPr>
          <w:rFonts w:eastAsia="Times New Roman"/>
          <w:sz w:val="20"/>
          <w:vertAlign w:val="superscript"/>
          <w:lang w:eastAsia="sl-SI" w:bidi="sl-SI"/>
        </w:rPr>
        <w:t>7</w:t>
      </w:r>
      <w:r w:rsidRPr="00155028">
        <w:rPr>
          <w:rFonts w:eastAsia="Times New Roman"/>
          <w:sz w:val="20"/>
          <w:lang w:eastAsia="sl-SI" w:bidi="sl-SI"/>
        </w:rPr>
        <w:t xml:space="preserve">. V Sloveniji je ta določba direktive prenesena v nacionalni pravni s Pravilnikom o zaščiti </w:t>
      </w:r>
      <w:proofErr w:type="spellStart"/>
      <w:r w:rsidRPr="00155028">
        <w:rPr>
          <w:rFonts w:eastAsia="Times New Roman"/>
          <w:sz w:val="20"/>
          <w:lang w:eastAsia="sl-SI" w:bidi="sl-SI"/>
        </w:rPr>
        <w:t>rejnih</w:t>
      </w:r>
      <w:proofErr w:type="spellEnd"/>
      <w:r w:rsidRPr="00155028">
        <w:rPr>
          <w:rFonts w:eastAsia="Times New Roman"/>
          <w:sz w:val="20"/>
          <w:lang w:eastAsia="sl-SI" w:bidi="sl-SI"/>
        </w:rPr>
        <w:t xml:space="preserve"> živali. Dodatnih nacionalnih zahtev, ki presegajo določbe direktive na področju zaščite prašičev v Sloveniji nimamo.</w:t>
      </w:r>
    </w:p>
    <w:p w14:paraId="4DB8AB04" w14:textId="007DFE5C" w:rsidR="00587D0F" w:rsidRPr="00155028" w:rsidRDefault="00CA6808" w:rsidP="007E1E59">
      <w:pPr>
        <w:spacing w:before="120" w:after="0" w:line="240" w:lineRule="auto"/>
        <w:jc w:val="both"/>
        <w:rPr>
          <w:rFonts w:eastAsia="Times New Roman"/>
          <w:sz w:val="20"/>
          <w:lang w:eastAsia="sl-SI" w:bidi="sl-SI"/>
        </w:rPr>
      </w:pPr>
      <w:r w:rsidRPr="00155028">
        <w:rPr>
          <w:rFonts w:eastAsia="Times New Roman"/>
          <w:sz w:val="20"/>
          <w:lang w:eastAsia="sl-SI" w:bidi="sl-SI"/>
        </w:rPr>
        <w:t>Cilj uradnega nadzora, ki ga izvaja U</w:t>
      </w:r>
      <w:r w:rsidR="00587D0F" w:rsidRPr="00155028">
        <w:rPr>
          <w:rFonts w:eastAsia="Times New Roman"/>
          <w:sz w:val="20"/>
          <w:lang w:eastAsia="sl-SI" w:bidi="sl-SI"/>
        </w:rPr>
        <w:t>VHVVR</w:t>
      </w:r>
      <w:r w:rsidRPr="00155028">
        <w:rPr>
          <w:rFonts w:eastAsia="Times New Roman"/>
          <w:sz w:val="20"/>
          <w:lang w:eastAsia="sl-SI" w:bidi="sl-SI"/>
        </w:rPr>
        <w:t>, je doseči skladnost z zakonodajo, kar pomeni, da krajšanje repov ni rutinsko, ampak šele potem, ko je rejec izčrpal vse možnosti in uredil vse ostale stvari. Natančnih podatkov o deležu prašičev s skrajšanimi repi U</w:t>
      </w:r>
      <w:r w:rsidR="007E1E59" w:rsidRPr="00155028">
        <w:rPr>
          <w:rFonts w:eastAsia="Times New Roman"/>
          <w:sz w:val="20"/>
          <w:lang w:eastAsia="sl-SI" w:bidi="sl-SI"/>
        </w:rPr>
        <w:t>VHVVR</w:t>
      </w:r>
      <w:r w:rsidRPr="00155028">
        <w:rPr>
          <w:rFonts w:eastAsia="Times New Roman"/>
          <w:sz w:val="20"/>
          <w:lang w:eastAsia="sl-SI" w:bidi="sl-SI"/>
        </w:rPr>
        <w:t xml:space="preserve"> nima. Ocene poskuša pridobiti preko obveznih letnih pregledov gospodarstev, ki dajejo živila v promet (</w:t>
      </w:r>
      <w:r w:rsidR="00237DB1" w:rsidRPr="00155028">
        <w:rPr>
          <w:rFonts w:eastAsia="Times New Roman"/>
          <w:sz w:val="20"/>
          <w:lang w:eastAsia="sl-SI" w:bidi="sl-SI"/>
        </w:rPr>
        <w:t>Tabel</w:t>
      </w:r>
      <w:r w:rsidR="00587D0F" w:rsidRPr="00155028">
        <w:rPr>
          <w:rFonts w:eastAsia="Times New Roman"/>
          <w:sz w:val="20"/>
          <w:lang w:eastAsia="sl-SI" w:bidi="sl-SI"/>
        </w:rPr>
        <w:t>a</w:t>
      </w:r>
      <w:r w:rsidRPr="00155028">
        <w:rPr>
          <w:rFonts w:eastAsia="Times New Roman"/>
          <w:sz w:val="20"/>
          <w:lang w:eastAsia="sl-SI" w:bidi="sl-SI"/>
        </w:rPr>
        <w:t xml:space="preserve"> </w:t>
      </w:r>
      <w:r w:rsidR="00CF0FC8" w:rsidRPr="00155028">
        <w:rPr>
          <w:rFonts w:eastAsia="Times New Roman"/>
          <w:sz w:val="20"/>
          <w:lang w:eastAsia="sl-SI" w:bidi="sl-SI"/>
        </w:rPr>
        <w:t>9</w:t>
      </w:r>
      <w:r w:rsidRPr="00155028">
        <w:rPr>
          <w:rFonts w:eastAsia="Times New Roman"/>
          <w:sz w:val="20"/>
          <w:lang w:eastAsia="sl-SI" w:bidi="sl-SI"/>
        </w:rPr>
        <w:t>). Te preglede izvajajo veterinarji koncesionarji in pridobljene informacije vnesejo v centralni informacijski sistem (VOLOS). V letu 2019 so razširili nabor informacij, ki jih v zvezi s krajšanjem repov prašičem pridobi veterinar koncesionar in posreduje.</w:t>
      </w:r>
    </w:p>
    <w:p w14:paraId="39411BB0" w14:textId="1C178384" w:rsidR="00CA6808" w:rsidRPr="00155028" w:rsidRDefault="00237DB1" w:rsidP="00237DB1">
      <w:pPr>
        <w:pStyle w:val="Napis"/>
        <w:jc w:val="both"/>
        <w:rPr>
          <w:szCs w:val="20"/>
          <w:vertAlign w:val="superscript"/>
        </w:rPr>
      </w:pPr>
      <w:bookmarkStart w:id="90" w:name="_Toc86826528"/>
      <w:r w:rsidRPr="00155028">
        <w:rPr>
          <w:szCs w:val="20"/>
        </w:rPr>
        <w:t xml:space="preserve">Tabela </w:t>
      </w:r>
      <w:r w:rsidR="004270C0" w:rsidRPr="00155028">
        <w:rPr>
          <w:szCs w:val="20"/>
        </w:rPr>
        <w:fldChar w:fldCharType="begin"/>
      </w:r>
      <w:r w:rsidR="004270C0" w:rsidRPr="00155028">
        <w:rPr>
          <w:szCs w:val="20"/>
        </w:rPr>
        <w:instrText xml:space="preserve"> SEQ Tabela \* ARABIC </w:instrText>
      </w:r>
      <w:r w:rsidR="004270C0" w:rsidRPr="00155028">
        <w:rPr>
          <w:szCs w:val="20"/>
        </w:rPr>
        <w:fldChar w:fldCharType="separate"/>
      </w:r>
      <w:r w:rsidR="00F25B09">
        <w:rPr>
          <w:noProof/>
          <w:szCs w:val="20"/>
        </w:rPr>
        <w:t>9</w:t>
      </w:r>
      <w:r w:rsidR="004270C0" w:rsidRPr="00155028">
        <w:rPr>
          <w:noProof/>
          <w:szCs w:val="20"/>
        </w:rPr>
        <w:fldChar w:fldCharType="end"/>
      </w:r>
      <w:r w:rsidRPr="00155028">
        <w:rPr>
          <w:szCs w:val="20"/>
        </w:rPr>
        <w:t>: Ocena deleža prašičev s skrajšanimi repi glede na velikost gospodarstev na podlagi podatkov iz obveznih letnih pregledov gospodarstev v letu 2016</w:t>
      </w:r>
      <w:bookmarkEnd w:id="90"/>
    </w:p>
    <w:tbl>
      <w:tblPr>
        <w:tblStyle w:val="Tabelamrea3"/>
        <w:tblW w:w="0" w:type="auto"/>
        <w:tblLook w:val="04A0" w:firstRow="1" w:lastRow="0" w:firstColumn="1" w:lastColumn="0" w:noHBand="0" w:noVBand="1"/>
      </w:tblPr>
      <w:tblGrid>
        <w:gridCol w:w="1877"/>
        <w:gridCol w:w="1877"/>
        <w:gridCol w:w="1877"/>
        <w:gridCol w:w="1877"/>
      </w:tblGrid>
      <w:tr w:rsidR="00CA6808" w:rsidRPr="00155028" w14:paraId="65549B75" w14:textId="77777777" w:rsidTr="00CF43DE">
        <w:tc>
          <w:tcPr>
            <w:tcW w:w="1877" w:type="dxa"/>
            <w:shd w:val="clear" w:color="auto" w:fill="D9EEF3"/>
          </w:tcPr>
          <w:p w14:paraId="11D01405" w14:textId="77777777" w:rsidR="00CA6808" w:rsidRPr="00155028" w:rsidRDefault="00CA6808" w:rsidP="00CA6808">
            <w:pPr>
              <w:rPr>
                <w:rFonts w:eastAsia="Calibri"/>
                <w:sz w:val="20"/>
              </w:rPr>
            </w:pPr>
            <w:r w:rsidRPr="00155028">
              <w:rPr>
                <w:rFonts w:eastAsia="Calibri"/>
                <w:sz w:val="20"/>
              </w:rPr>
              <w:t>Velikostni razred (število živali)</w:t>
            </w:r>
          </w:p>
        </w:tc>
        <w:tc>
          <w:tcPr>
            <w:tcW w:w="1877" w:type="dxa"/>
            <w:shd w:val="clear" w:color="auto" w:fill="D9EEF3"/>
          </w:tcPr>
          <w:p w14:paraId="769CB890" w14:textId="77777777" w:rsidR="00CA6808" w:rsidRPr="00155028" w:rsidRDefault="00CA6808" w:rsidP="00CA6808">
            <w:pPr>
              <w:rPr>
                <w:rFonts w:eastAsia="Calibri"/>
                <w:sz w:val="20"/>
              </w:rPr>
            </w:pPr>
            <w:r w:rsidRPr="00155028">
              <w:rPr>
                <w:rFonts w:eastAsia="Calibri"/>
                <w:sz w:val="20"/>
              </w:rPr>
              <w:t>Delež prašičev s celimi repi (%)</w:t>
            </w:r>
          </w:p>
        </w:tc>
        <w:tc>
          <w:tcPr>
            <w:tcW w:w="1877" w:type="dxa"/>
            <w:shd w:val="clear" w:color="auto" w:fill="D9EEF3"/>
          </w:tcPr>
          <w:p w14:paraId="756167B7" w14:textId="77777777" w:rsidR="00CA6808" w:rsidRPr="00155028" w:rsidRDefault="00CA6808" w:rsidP="00CA6808">
            <w:pPr>
              <w:rPr>
                <w:rFonts w:eastAsia="Calibri"/>
                <w:sz w:val="20"/>
              </w:rPr>
            </w:pPr>
            <w:r w:rsidRPr="00155028">
              <w:rPr>
                <w:rFonts w:eastAsia="Calibri"/>
                <w:sz w:val="20"/>
              </w:rPr>
              <w:t xml:space="preserve">Delež prašičev s </w:t>
            </w:r>
            <w:proofErr w:type="spellStart"/>
            <w:r w:rsidRPr="00155028">
              <w:rPr>
                <w:rFonts w:eastAsia="Calibri"/>
                <w:sz w:val="20"/>
              </w:rPr>
              <w:t>skrajšnimi</w:t>
            </w:r>
            <w:proofErr w:type="spellEnd"/>
            <w:r w:rsidRPr="00155028">
              <w:rPr>
                <w:rFonts w:eastAsia="Calibri"/>
                <w:sz w:val="20"/>
              </w:rPr>
              <w:t xml:space="preserve"> repi (%)</w:t>
            </w:r>
          </w:p>
        </w:tc>
        <w:tc>
          <w:tcPr>
            <w:tcW w:w="1877" w:type="dxa"/>
            <w:shd w:val="clear" w:color="auto" w:fill="D9EEF3"/>
          </w:tcPr>
          <w:p w14:paraId="34D4DDFA" w14:textId="77777777" w:rsidR="00CA6808" w:rsidRPr="00155028" w:rsidRDefault="00CA6808" w:rsidP="00CA6808">
            <w:pPr>
              <w:rPr>
                <w:rFonts w:eastAsia="Calibri"/>
                <w:sz w:val="20"/>
              </w:rPr>
            </w:pPr>
            <w:r w:rsidRPr="00155028">
              <w:rPr>
                <w:rFonts w:eastAsia="Calibri"/>
                <w:sz w:val="20"/>
              </w:rPr>
              <w:t xml:space="preserve">Delež kupljenih prašičev s </w:t>
            </w:r>
            <w:proofErr w:type="spellStart"/>
            <w:r w:rsidRPr="00155028">
              <w:rPr>
                <w:rFonts w:eastAsia="Calibri"/>
                <w:sz w:val="20"/>
              </w:rPr>
              <w:t>skrajšnimi</w:t>
            </w:r>
            <w:proofErr w:type="spellEnd"/>
            <w:r w:rsidRPr="00155028">
              <w:rPr>
                <w:rFonts w:eastAsia="Calibri"/>
                <w:sz w:val="20"/>
              </w:rPr>
              <w:t xml:space="preserve"> repi (%)</w:t>
            </w:r>
          </w:p>
        </w:tc>
      </w:tr>
      <w:tr w:rsidR="00CA6808" w:rsidRPr="00155028" w14:paraId="5F41021B" w14:textId="77777777" w:rsidTr="00CA6808">
        <w:tc>
          <w:tcPr>
            <w:tcW w:w="1877" w:type="dxa"/>
          </w:tcPr>
          <w:p w14:paraId="79DCB6F6" w14:textId="77777777" w:rsidR="00CA6808" w:rsidRPr="00155028" w:rsidRDefault="00CA6808" w:rsidP="00CA6808">
            <w:pPr>
              <w:jc w:val="right"/>
              <w:rPr>
                <w:rFonts w:eastAsia="Calibri"/>
                <w:sz w:val="20"/>
              </w:rPr>
            </w:pPr>
            <w:r w:rsidRPr="00155028">
              <w:rPr>
                <w:rFonts w:eastAsia="Calibri"/>
                <w:sz w:val="20"/>
              </w:rPr>
              <w:t>&lt; 10</w:t>
            </w:r>
          </w:p>
        </w:tc>
        <w:tc>
          <w:tcPr>
            <w:tcW w:w="1877" w:type="dxa"/>
          </w:tcPr>
          <w:p w14:paraId="2363E4F1" w14:textId="77777777" w:rsidR="00CA6808" w:rsidRPr="00155028" w:rsidRDefault="00CA6808" w:rsidP="00CA6808">
            <w:pPr>
              <w:jc w:val="right"/>
              <w:rPr>
                <w:rFonts w:eastAsia="Calibri"/>
                <w:sz w:val="20"/>
              </w:rPr>
            </w:pPr>
            <w:r w:rsidRPr="00155028">
              <w:rPr>
                <w:rFonts w:eastAsia="Calibri"/>
                <w:sz w:val="20"/>
              </w:rPr>
              <w:t>60,6</w:t>
            </w:r>
          </w:p>
        </w:tc>
        <w:tc>
          <w:tcPr>
            <w:tcW w:w="1877" w:type="dxa"/>
          </w:tcPr>
          <w:p w14:paraId="4A52C8D8" w14:textId="77777777" w:rsidR="00CA6808" w:rsidRPr="00155028" w:rsidRDefault="00CA6808" w:rsidP="00CA6808">
            <w:pPr>
              <w:jc w:val="right"/>
              <w:rPr>
                <w:rFonts w:eastAsia="Calibri"/>
                <w:sz w:val="20"/>
              </w:rPr>
            </w:pPr>
            <w:r w:rsidRPr="00155028">
              <w:rPr>
                <w:rFonts w:eastAsia="Calibri"/>
                <w:sz w:val="20"/>
              </w:rPr>
              <w:t>39,4</w:t>
            </w:r>
          </w:p>
        </w:tc>
        <w:tc>
          <w:tcPr>
            <w:tcW w:w="1877" w:type="dxa"/>
          </w:tcPr>
          <w:p w14:paraId="64EFD165" w14:textId="77777777" w:rsidR="00CA6808" w:rsidRPr="00155028" w:rsidRDefault="00CA6808" w:rsidP="00CA6808">
            <w:pPr>
              <w:jc w:val="right"/>
              <w:rPr>
                <w:rFonts w:eastAsia="Calibri"/>
                <w:sz w:val="20"/>
              </w:rPr>
            </w:pPr>
            <w:r w:rsidRPr="00155028">
              <w:rPr>
                <w:rFonts w:eastAsia="Calibri"/>
                <w:sz w:val="20"/>
              </w:rPr>
              <w:t>94,0</w:t>
            </w:r>
          </w:p>
        </w:tc>
      </w:tr>
      <w:tr w:rsidR="00CA6808" w:rsidRPr="00155028" w14:paraId="3D69C14D" w14:textId="77777777" w:rsidTr="00CA6808">
        <w:tc>
          <w:tcPr>
            <w:tcW w:w="1877" w:type="dxa"/>
          </w:tcPr>
          <w:p w14:paraId="5BFAADA8" w14:textId="77777777" w:rsidR="00CA6808" w:rsidRPr="00155028" w:rsidRDefault="00CA6808" w:rsidP="00CA6808">
            <w:pPr>
              <w:jc w:val="right"/>
              <w:rPr>
                <w:rFonts w:eastAsia="Calibri"/>
                <w:sz w:val="20"/>
              </w:rPr>
            </w:pPr>
            <w:r w:rsidRPr="00155028">
              <w:rPr>
                <w:rFonts w:eastAsia="Calibri"/>
                <w:sz w:val="20"/>
              </w:rPr>
              <w:t>10 do 19</w:t>
            </w:r>
          </w:p>
        </w:tc>
        <w:tc>
          <w:tcPr>
            <w:tcW w:w="1877" w:type="dxa"/>
          </w:tcPr>
          <w:p w14:paraId="3AE4FCCB" w14:textId="77777777" w:rsidR="00CA6808" w:rsidRPr="00155028" w:rsidRDefault="00CA6808" w:rsidP="00CA6808">
            <w:pPr>
              <w:jc w:val="right"/>
              <w:rPr>
                <w:rFonts w:eastAsia="Calibri"/>
                <w:sz w:val="20"/>
              </w:rPr>
            </w:pPr>
            <w:r w:rsidRPr="00155028">
              <w:rPr>
                <w:rFonts w:eastAsia="Calibri"/>
                <w:sz w:val="20"/>
              </w:rPr>
              <w:t>70,1</w:t>
            </w:r>
          </w:p>
        </w:tc>
        <w:tc>
          <w:tcPr>
            <w:tcW w:w="1877" w:type="dxa"/>
          </w:tcPr>
          <w:p w14:paraId="7DC2CDC3" w14:textId="77777777" w:rsidR="00CA6808" w:rsidRPr="00155028" w:rsidRDefault="00CA6808" w:rsidP="00CA6808">
            <w:pPr>
              <w:jc w:val="right"/>
              <w:rPr>
                <w:rFonts w:eastAsia="Calibri"/>
                <w:sz w:val="20"/>
              </w:rPr>
            </w:pPr>
            <w:r w:rsidRPr="00155028">
              <w:rPr>
                <w:rFonts w:eastAsia="Calibri"/>
                <w:sz w:val="20"/>
              </w:rPr>
              <w:t>29,9</w:t>
            </w:r>
          </w:p>
        </w:tc>
        <w:tc>
          <w:tcPr>
            <w:tcW w:w="1877" w:type="dxa"/>
          </w:tcPr>
          <w:p w14:paraId="355C9FC3" w14:textId="77777777" w:rsidR="00CA6808" w:rsidRPr="00155028" w:rsidRDefault="00CA6808" w:rsidP="00CA6808">
            <w:pPr>
              <w:jc w:val="right"/>
              <w:rPr>
                <w:rFonts w:eastAsia="Calibri"/>
                <w:sz w:val="20"/>
              </w:rPr>
            </w:pPr>
            <w:r w:rsidRPr="00155028">
              <w:rPr>
                <w:rFonts w:eastAsia="Calibri"/>
                <w:sz w:val="20"/>
              </w:rPr>
              <w:t>40,8</w:t>
            </w:r>
          </w:p>
        </w:tc>
      </w:tr>
      <w:tr w:rsidR="00CA6808" w:rsidRPr="00155028" w14:paraId="6EDF789C" w14:textId="77777777" w:rsidTr="00CA6808">
        <w:tc>
          <w:tcPr>
            <w:tcW w:w="1877" w:type="dxa"/>
          </w:tcPr>
          <w:p w14:paraId="1D296910" w14:textId="77777777" w:rsidR="00CA6808" w:rsidRPr="00155028" w:rsidRDefault="00CA6808" w:rsidP="00CA6808">
            <w:pPr>
              <w:jc w:val="right"/>
              <w:rPr>
                <w:rFonts w:eastAsia="Calibri"/>
                <w:sz w:val="20"/>
              </w:rPr>
            </w:pPr>
            <w:r w:rsidRPr="00155028">
              <w:rPr>
                <w:rFonts w:eastAsia="Calibri"/>
                <w:sz w:val="20"/>
              </w:rPr>
              <w:t>20 do 49</w:t>
            </w:r>
          </w:p>
        </w:tc>
        <w:tc>
          <w:tcPr>
            <w:tcW w:w="1877" w:type="dxa"/>
          </w:tcPr>
          <w:p w14:paraId="58B0463B" w14:textId="77777777" w:rsidR="00CA6808" w:rsidRPr="00155028" w:rsidRDefault="00CA6808" w:rsidP="00CA6808">
            <w:pPr>
              <w:jc w:val="right"/>
              <w:rPr>
                <w:rFonts w:eastAsia="Calibri"/>
                <w:sz w:val="20"/>
              </w:rPr>
            </w:pPr>
            <w:r w:rsidRPr="00155028">
              <w:rPr>
                <w:rFonts w:eastAsia="Calibri"/>
                <w:sz w:val="20"/>
              </w:rPr>
              <w:t>59,7</w:t>
            </w:r>
          </w:p>
        </w:tc>
        <w:tc>
          <w:tcPr>
            <w:tcW w:w="1877" w:type="dxa"/>
          </w:tcPr>
          <w:p w14:paraId="7D8320D8" w14:textId="77777777" w:rsidR="00CA6808" w:rsidRPr="00155028" w:rsidRDefault="00CA6808" w:rsidP="00CA6808">
            <w:pPr>
              <w:jc w:val="right"/>
              <w:rPr>
                <w:rFonts w:eastAsia="Calibri"/>
                <w:sz w:val="20"/>
              </w:rPr>
            </w:pPr>
            <w:r w:rsidRPr="00155028">
              <w:rPr>
                <w:rFonts w:eastAsia="Calibri"/>
                <w:sz w:val="20"/>
              </w:rPr>
              <w:t>40,3</w:t>
            </w:r>
          </w:p>
        </w:tc>
        <w:tc>
          <w:tcPr>
            <w:tcW w:w="1877" w:type="dxa"/>
          </w:tcPr>
          <w:p w14:paraId="2A8FEF63" w14:textId="77777777" w:rsidR="00CA6808" w:rsidRPr="00155028" w:rsidRDefault="00CA6808" w:rsidP="00CA6808">
            <w:pPr>
              <w:jc w:val="right"/>
              <w:rPr>
                <w:rFonts w:eastAsia="Calibri"/>
                <w:sz w:val="20"/>
              </w:rPr>
            </w:pPr>
            <w:r w:rsidRPr="00155028">
              <w:rPr>
                <w:rFonts w:eastAsia="Calibri"/>
                <w:sz w:val="20"/>
              </w:rPr>
              <w:t>20,1</w:t>
            </w:r>
          </w:p>
        </w:tc>
      </w:tr>
      <w:tr w:rsidR="00CA6808" w:rsidRPr="00155028" w14:paraId="6CA62A96" w14:textId="77777777" w:rsidTr="00CA6808">
        <w:tc>
          <w:tcPr>
            <w:tcW w:w="1877" w:type="dxa"/>
          </w:tcPr>
          <w:p w14:paraId="0E22FC19" w14:textId="77777777" w:rsidR="00CA6808" w:rsidRPr="00155028" w:rsidRDefault="00CA6808" w:rsidP="00CA6808">
            <w:pPr>
              <w:jc w:val="right"/>
              <w:rPr>
                <w:rFonts w:eastAsia="Calibri"/>
                <w:sz w:val="20"/>
              </w:rPr>
            </w:pPr>
            <w:r w:rsidRPr="00155028">
              <w:rPr>
                <w:rFonts w:eastAsia="Calibri"/>
                <w:sz w:val="20"/>
              </w:rPr>
              <w:t>50 do 99</w:t>
            </w:r>
          </w:p>
        </w:tc>
        <w:tc>
          <w:tcPr>
            <w:tcW w:w="1877" w:type="dxa"/>
          </w:tcPr>
          <w:p w14:paraId="6F2E15A2" w14:textId="77777777" w:rsidR="00CA6808" w:rsidRPr="00155028" w:rsidRDefault="00CA6808" w:rsidP="00CA6808">
            <w:pPr>
              <w:jc w:val="right"/>
              <w:rPr>
                <w:rFonts w:eastAsia="Calibri"/>
                <w:sz w:val="20"/>
              </w:rPr>
            </w:pPr>
            <w:r w:rsidRPr="00155028">
              <w:rPr>
                <w:rFonts w:eastAsia="Calibri"/>
                <w:sz w:val="20"/>
              </w:rPr>
              <w:t>45,8</w:t>
            </w:r>
          </w:p>
        </w:tc>
        <w:tc>
          <w:tcPr>
            <w:tcW w:w="1877" w:type="dxa"/>
          </w:tcPr>
          <w:p w14:paraId="5600DDCA" w14:textId="77777777" w:rsidR="00CA6808" w:rsidRPr="00155028" w:rsidRDefault="00CA6808" w:rsidP="00CA6808">
            <w:pPr>
              <w:jc w:val="right"/>
              <w:rPr>
                <w:rFonts w:eastAsia="Calibri"/>
                <w:sz w:val="20"/>
              </w:rPr>
            </w:pPr>
            <w:r w:rsidRPr="00155028">
              <w:rPr>
                <w:rFonts w:eastAsia="Calibri"/>
                <w:sz w:val="20"/>
              </w:rPr>
              <w:t>54,2</w:t>
            </w:r>
          </w:p>
        </w:tc>
        <w:tc>
          <w:tcPr>
            <w:tcW w:w="1877" w:type="dxa"/>
          </w:tcPr>
          <w:p w14:paraId="7A49649F" w14:textId="77777777" w:rsidR="00CA6808" w:rsidRPr="00155028" w:rsidRDefault="00CA6808" w:rsidP="00CA6808">
            <w:pPr>
              <w:jc w:val="right"/>
              <w:rPr>
                <w:rFonts w:eastAsia="Calibri"/>
                <w:sz w:val="20"/>
              </w:rPr>
            </w:pPr>
            <w:r w:rsidRPr="00155028">
              <w:rPr>
                <w:rFonts w:eastAsia="Calibri"/>
                <w:sz w:val="20"/>
              </w:rPr>
              <w:t>11,5</w:t>
            </w:r>
          </w:p>
        </w:tc>
      </w:tr>
      <w:tr w:rsidR="00CA6808" w:rsidRPr="00155028" w14:paraId="4FF37D57" w14:textId="77777777" w:rsidTr="00CA6808">
        <w:tc>
          <w:tcPr>
            <w:tcW w:w="1877" w:type="dxa"/>
          </w:tcPr>
          <w:p w14:paraId="3DBC9C07" w14:textId="77777777" w:rsidR="00CA6808" w:rsidRPr="00155028" w:rsidRDefault="00CA6808" w:rsidP="00CA6808">
            <w:pPr>
              <w:jc w:val="right"/>
              <w:rPr>
                <w:rFonts w:eastAsia="Calibri"/>
                <w:sz w:val="20"/>
              </w:rPr>
            </w:pPr>
            <w:r w:rsidRPr="00155028">
              <w:rPr>
                <w:rFonts w:eastAsia="Calibri"/>
                <w:sz w:val="20"/>
              </w:rPr>
              <w:t>100 do 199</w:t>
            </w:r>
          </w:p>
        </w:tc>
        <w:tc>
          <w:tcPr>
            <w:tcW w:w="1877" w:type="dxa"/>
          </w:tcPr>
          <w:p w14:paraId="07BA82CD" w14:textId="77777777" w:rsidR="00CA6808" w:rsidRPr="00155028" w:rsidRDefault="00CA6808" w:rsidP="00CA6808">
            <w:pPr>
              <w:jc w:val="right"/>
              <w:rPr>
                <w:rFonts w:eastAsia="Calibri"/>
                <w:sz w:val="20"/>
              </w:rPr>
            </w:pPr>
            <w:r w:rsidRPr="00155028">
              <w:rPr>
                <w:rFonts w:eastAsia="Calibri"/>
                <w:sz w:val="20"/>
              </w:rPr>
              <w:t>21,6</w:t>
            </w:r>
          </w:p>
        </w:tc>
        <w:tc>
          <w:tcPr>
            <w:tcW w:w="1877" w:type="dxa"/>
          </w:tcPr>
          <w:p w14:paraId="1938A62D" w14:textId="77777777" w:rsidR="00CA6808" w:rsidRPr="00155028" w:rsidRDefault="00CA6808" w:rsidP="00CA6808">
            <w:pPr>
              <w:jc w:val="right"/>
              <w:rPr>
                <w:rFonts w:eastAsia="Calibri"/>
                <w:sz w:val="20"/>
              </w:rPr>
            </w:pPr>
            <w:r w:rsidRPr="00155028">
              <w:rPr>
                <w:rFonts w:eastAsia="Calibri"/>
                <w:sz w:val="20"/>
              </w:rPr>
              <w:t>78,4</w:t>
            </w:r>
          </w:p>
        </w:tc>
        <w:tc>
          <w:tcPr>
            <w:tcW w:w="1877" w:type="dxa"/>
          </w:tcPr>
          <w:p w14:paraId="2D4BCC90" w14:textId="77777777" w:rsidR="00CA6808" w:rsidRPr="00155028" w:rsidRDefault="00CA6808" w:rsidP="00CA6808">
            <w:pPr>
              <w:jc w:val="right"/>
              <w:rPr>
                <w:rFonts w:eastAsia="Calibri"/>
                <w:sz w:val="20"/>
              </w:rPr>
            </w:pPr>
            <w:r w:rsidRPr="00155028">
              <w:rPr>
                <w:rFonts w:eastAsia="Calibri"/>
                <w:sz w:val="20"/>
              </w:rPr>
              <w:t>19,9</w:t>
            </w:r>
          </w:p>
        </w:tc>
      </w:tr>
      <w:tr w:rsidR="00CA6808" w:rsidRPr="00155028" w14:paraId="2C7ACE1C" w14:textId="77777777" w:rsidTr="00CA6808">
        <w:tc>
          <w:tcPr>
            <w:tcW w:w="1877" w:type="dxa"/>
          </w:tcPr>
          <w:p w14:paraId="4B1C41F4" w14:textId="77777777" w:rsidR="00CA6808" w:rsidRPr="00155028" w:rsidRDefault="00CA6808" w:rsidP="00CA6808">
            <w:pPr>
              <w:jc w:val="right"/>
              <w:rPr>
                <w:rFonts w:eastAsia="Calibri"/>
                <w:sz w:val="20"/>
              </w:rPr>
            </w:pPr>
            <w:r w:rsidRPr="00155028">
              <w:rPr>
                <w:rFonts w:eastAsia="Calibri"/>
                <w:sz w:val="20"/>
              </w:rPr>
              <w:t>200 do 399</w:t>
            </w:r>
          </w:p>
        </w:tc>
        <w:tc>
          <w:tcPr>
            <w:tcW w:w="1877" w:type="dxa"/>
          </w:tcPr>
          <w:p w14:paraId="161B1532" w14:textId="77777777" w:rsidR="00CA6808" w:rsidRPr="00155028" w:rsidRDefault="00CA6808" w:rsidP="00CA6808">
            <w:pPr>
              <w:jc w:val="right"/>
              <w:rPr>
                <w:rFonts w:eastAsia="Calibri"/>
                <w:sz w:val="20"/>
              </w:rPr>
            </w:pPr>
            <w:r w:rsidRPr="00155028">
              <w:rPr>
                <w:rFonts w:eastAsia="Calibri"/>
                <w:sz w:val="20"/>
              </w:rPr>
              <w:t>12,9</w:t>
            </w:r>
          </w:p>
        </w:tc>
        <w:tc>
          <w:tcPr>
            <w:tcW w:w="1877" w:type="dxa"/>
          </w:tcPr>
          <w:p w14:paraId="2808D3B1" w14:textId="77777777" w:rsidR="00CA6808" w:rsidRPr="00155028" w:rsidRDefault="00CA6808" w:rsidP="00CA6808">
            <w:pPr>
              <w:jc w:val="right"/>
              <w:rPr>
                <w:rFonts w:eastAsia="Calibri"/>
                <w:sz w:val="20"/>
              </w:rPr>
            </w:pPr>
            <w:r w:rsidRPr="00155028">
              <w:rPr>
                <w:rFonts w:eastAsia="Calibri"/>
                <w:sz w:val="20"/>
              </w:rPr>
              <w:t>87,1</w:t>
            </w:r>
          </w:p>
        </w:tc>
        <w:tc>
          <w:tcPr>
            <w:tcW w:w="1877" w:type="dxa"/>
          </w:tcPr>
          <w:p w14:paraId="75ADED70" w14:textId="77777777" w:rsidR="00CA6808" w:rsidRPr="00155028" w:rsidRDefault="00CA6808" w:rsidP="00CA6808">
            <w:pPr>
              <w:jc w:val="right"/>
              <w:rPr>
                <w:rFonts w:eastAsia="Calibri"/>
                <w:sz w:val="20"/>
              </w:rPr>
            </w:pPr>
            <w:r w:rsidRPr="00155028">
              <w:rPr>
                <w:rFonts w:eastAsia="Calibri"/>
                <w:sz w:val="20"/>
              </w:rPr>
              <w:t>30,8</w:t>
            </w:r>
          </w:p>
        </w:tc>
      </w:tr>
      <w:tr w:rsidR="00CA6808" w:rsidRPr="00155028" w14:paraId="6FB330EE" w14:textId="77777777" w:rsidTr="00CA6808">
        <w:tc>
          <w:tcPr>
            <w:tcW w:w="1877" w:type="dxa"/>
          </w:tcPr>
          <w:p w14:paraId="7E41DBB7" w14:textId="77777777" w:rsidR="00CA6808" w:rsidRPr="00155028" w:rsidRDefault="00CA6808" w:rsidP="00CA6808">
            <w:pPr>
              <w:jc w:val="right"/>
              <w:rPr>
                <w:rFonts w:eastAsia="Calibri"/>
                <w:sz w:val="20"/>
              </w:rPr>
            </w:pPr>
            <w:r w:rsidRPr="00155028">
              <w:rPr>
                <w:rFonts w:eastAsia="Calibri"/>
                <w:sz w:val="20"/>
              </w:rPr>
              <w:t>400 in več</w:t>
            </w:r>
          </w:p>
        </w:tc>
        <w:tc>
          <w:tcPr>
            <w:tcW w:w="1877" w:type="dxa"/>
          </w:tcPr>
          <w:p w14:paraId="3F96E9A0" w14:textId="77777777" w:rsidR="00CA6808" w:rsidRPr="00155028" w:rsidRDefault="00CA6808" w:rsidP="00CA6808">
            <w:pPr>
              <w:jc w:val="right"/>
              <w:rPr>
                <w:rFonts w:eastAsia="Calibri"/>
                <w:sz w:val="20"/>
              </w:rPr>
            </w:pPr>
            <w:r w:rsidRPr="00155028">
              <w:rPr>
                <w:rFonts w:eastAsia="Calibri"/>
                <w:sz w:val="20"/>
              </w:rPr>
              <w:t>8,7</w:t>
            </w:r>
          </w:p>
        </w:tc>
        <w:tc>
          <w:tcPr>
            <w:tcW w:w="1877" w:type="dxa"/>
          </w:tcPr>
          <w:p w14:paraId="1B8D7991" w14:textId="77777777" w:rsidR="00CA6808" w:rsidRPr="00155028" w:rsidRDefault="00CA6808" w:rsidP="00CA6808">
            <w:pPr>
              <w:jc w:val="right"/>
              <w:rPr>
                <w:rFonts w:eastAsia="Calibri"/>
                <w:sz w:val="20"/>
              </w:rPr>
            </w:pPr>
            <w:r w:rsidRPr="00155028">
              <w:rPr>
                <w:rFonts w:eastAsia="Calibri"/>
                <w:sz w:val="20"/>
              </w:rPr>
              <w:t>91,3</w:t>
            </w:r>
          </w:p>
        </w:tc>
        <w:tc>
          <w:tcPr>
            <w:tcW w:w="1877" w:type="dxa"/>
          </w:tcPr>
          <w:p w14:paraId="1D7D6C5F" w14:textId="77777777" w:rsidR="00CA6808" w:rsidRPr="00155028" w:rsidRDefault="00CA6808" w:rsidP="00CA6808">
            <w:pPr>
              <w:jc w:val="right"/>
              <w:rPr>
                <w:rFonts w:eastAsia="Calibri"/>
                <w:sz w:val="20"/>
              </w:rPr>
            </w:pPr>
            <w:r w:rsidRPr="00155028">
              <w:rPr>
                <w:rFonts w:eastAsia="Calibri"/>
                <w:sz w:val="20"/>
              </w:rPr>
              <w:t>32,1</w:t>
            </w:r>
          </w:p>
        </w:tc>
      </w:tr>
    </w:tbl>
    <w:p w14:paraId="4869120C" w14:textId="77777777" w:rsidR="00CA6808" w:rsidRPr="00155028" w:rsidRDefault="00CA6808" w:rsidP="00CA6808">
      <w:pPr>
        <w:spacing w:before="120" w:after="0" w:line="240" w:lineRule="auto"/>
        <w:jc w:val="both"/>
        <w:rPr>
          <w:rFonts w:eastAsia="Times New Roman"/>
          <w:i/>
          <w:sz w:val="16"/>
          <w:szCs w:val="16"/>
          <w:lang w:eastAsia="sl-SI" w:bidi="sl-SI"/>
        </w:rPr>
      </w:pPr>
      <w:r w:rsidRPr="00155028">
        <w:rPr>
          <w:rFonts w:eastAsia="Times New Roman"/>
          <w:i/>
          <w:sz w:val="16"/>
          <w:szCs w:val="16"/>
          <w:lang w:eastAsia="sl-SI" w:bidi="sl-SI"/>
        </w:rPr>
        <w:t>Vir: UVHVVR, Letni pregledi gospodarstev 2016</w:t>
      </w:r>
    </w:p>
    <w:p w14:paraId="01E62C4E" w14:textId="77777777" w:rsidR="00CA6808" w:rsidRPr="00155028" w:rsidRDefault="00CA6808" w:rsidP="00CA6808">
      <w:pPr>
        <w:spacing w:before="120" w:after="0" w:line="240" w:lineRule="auto"/>
        <w:jc w:val="both"/>
        <w:rPr>
          <w:rFonts w:eastAsia="Times New Roman"/>
          <w:sz w:val="20"/>
          <w:lang w:eastAsia="sl-SI" w:bidi="sl-SI"/>
        </w:rPr>
      </w:pPr>
      <w:r w:rsidRPr="00155028">
        <w:rPr>
          <w:rFonts w:eastAsia="Times New Roman"/>
          <w:sz w:val="20"/>
          <w:lang w:eastAsia="sl-SI" w:bidi="sl-SI"/>
        </w:rPr>
        <w:t xml:space="preserve">Poleg uradnega nadzora, ki ga pristojni organi izvajajo skladno z večletnim načrtom Slovenije, je potrebno z različnimi ukrepi ozavestiti rejce, jim predstaviti dobre prakse reje prašičev s celimi repi, jih poučiti o dejavnikih tveganja za pojav grizenja repov, jih naučiti, kako prepoznati dejavnike tveganja v svoji reji, ter jih opremiti za ukrepe ob morebitnem izbruhu grizenja repov. </w:t>
      </w:r>
    </w:p>
    <w:p w14:paraId="763E6CEC" w14:textId="77777777" w:rsidR="00CA6808" w:rsidRPr="00155028" w:rsidRDefault="00CA6808" w:rsidP="00CA6808">
      <w:pPr>
        <w:spacing w:before="120" w:after="0" w:line="240" w:lineRule="auto"/>
        <w:jc w:val="both"/>
        <w:rPr>
          <w:rFonts w:eastAsia="Times New Roman"/>
          <w:sz w:val="20"/>
          <w:lang w:eastAsia="sl-SI" w:bidi="sl-SI"/>
        </w:rPr>
      </w:pPr>
      <w:r w:rsidRPr="00155028">
        <w:rPr>
          <w:rFonts w:eastAsia="Times New Roman"/>
          <w:sz w:val="20"/>
          <w:lang w:eastAsia="sl-SI" w:bidi="sl-SI"/>
        </w:rPr>
        <w:t xml:space="preserve">Ker se zavedamo, da je dosego ciljev potrebno zagotoviti zadostne vire ter politično predanost tem ciljem, smo v letu 2018 namenili finančna sredstva za raziskave in razvoj v obliki financiranja ciljno-raziskovalnega projekta CRP V4-1718 Tehnološke rešitve za izboljšanje dobrega počutja </w:t>
      </w:r>
      <w:proofErr w:type="spellStart"/>
      <w:r w:rsidRPr="00155028">
        <w:rPr>
          <w:rFonts w:eastAsia="Times New Roman"/>
          <w:sz w:val="20"/>
          <w:lang w:eastAsia="sl-SI" w:bidi="sl-SI"/>
        </w:rPr>
        <w:t>rejnih</w:t>
      </w:r>
      <w:proofErr w:type="spellEnd"/>
      <w:r w:rsidRPr="00155028">
        <w:rPr>
          <w:rFonts w:eastAsia="Times New Roman"/>
          <w:sz w:val="20"/>
          <w:lang w:eastAsia="sl-SI" w:bidi="sl-SI"/>
        </w:rPr>
        <w:t xml:space="preserve"> živali v perutninarstvu in prašičereji</w:t>
      </w:r>
      <w:r w:rsidRPr="00155028">
        <w:rPr>
          <w:rFonts w:eastAsia="Times New Roman"/>
          <w:sz w:val="20"/>
          <w:vertAlign w:val="superscript"/>
          <w:lang w:eastAsia="sl-SI" w:bidi="sl-SI"/>
        </w:rPr>
        <w:footnoteReference w:id="9"/>
      </w:r>
      <w:r w:rsidRPr="00155028">
        <w:rPr>
          <w:rFonts w:eastAsia="Times New Roman"/>
          <w:sz w:val="20"/>
          <w:lang w:eastAsia="sl-SI" w:bidi="sl-SI"/>
        </w:rPr>
        <w:t xml:space="preserve">. Eden izmed pomembnih ciljev projekta je analiza kazalnikov za oceno tveganja pojava grizenja repov in razvoj orodja za pomoč rejcem pri oceni tveganja za pojav grizenja repov. </w:t>
      </w:r>
    </w:p>
    <w:p w14:paraId="53E5899B" w14:textId="77777777" w:rsidR="00CA6808" w:rsidRPr="00155028" w:rsidRDefault="00CA6808" w:rsidP="00CA6808">
      <w:pPr>
        <w:spacing w:before="120" w:after="0" w:line="240" w:lineRule="auto"/>
        <w:jc w:val="both"/>
        <w:rPr>
          <w:rFonts w:eastAsia="Times New Roman"/>
          <w:sz w:val="20"/>
          <w:u w:val="single"/>
          <w:lang w:eastAsia="sl-SI" w:bidi="sl-SI"/>
        </w:rPr>
      </w:pPr>
      <w:r w:rsidRPr="00155028">
        <w:rPr>
          <w:rFonts w:eastAsia="Times New Roman"/>
          <w:sz w:val="20"/>
          <w:u w:val="single"/>
          <w:lang w:eastAsia="sl-SI" w:bidi="sl-SI"/>
        </w:rPr>
        <w:t>Kokoši nesnice in pitovni piščanci</w:t>
      </w:r>
    </w:p>
    <w:p w14:paraId="27DCD10F" w14:textId="46080C05" w:rsidR="00CA6808" w:rsidRPr="00155028" w:rsidRDefault="00CA6808" w:rsidP="00CA6808">
      <w:pPr>
        <w:spacing w:before="120" w:after="0" w:line="240" w:lineRule="auto"/>
        <w:jc w:val="both"/>
        <w:rPr>
          <w:rFonts w:eastAsia="Times New Roman"/>
          <w:sz w:val="20"/>
          <w:lang w:eastAsia="sl-SI" w:bidi="sl-SI"/>
        </w:rPr>
      </w:pPr>
      <w:r w:rsidRPr="00155028">
        <w:rPr>
          <w:rFonts w:eastAsia="Times New Roman"/>
          <w:sz w:val="20"/>
          <w:lang w:eastAsia="sl-SI" w:bidi="sl-SI"/>
        </w:rPr>
        <w:t xml:space="preserve">Poročila EFSA-e in Farm </w:t>
      </w:r>
      <w:proofErr w:type="spellStart"/>
      <w:r w:rsidRPr="00155028">
        <w:rPr>
          <w:rFonts w:eastAsia="Times New Roman"/>
          <w:sz w:val="20"/>
          <w:lang w:eastAsia="sl-SI" w:bidi="sl-SI"/>
        </w:rPr>
        <w:t>Animal</w:t>
      </w:r>
      <w:proofErr w:type="spellEnd"/>
      <w:r w:rsidRPr="00155028">
        <w:rPr>
          <w:rFonts w:eastAsia="Times New Roman"/>
          <w:sz w:val="20"/>
          <w:lang w:eastAsia="sl-SI" w:bidi="sl-SI"/>
        </w:rPr>
        <w:t xml:space="preserve"> </w:t>
      </w:r>
      <w:proofErr w:type="spellStart"/>
      <w:r w:rsidRPr="00155028">
        <w:rPr>
          <w:rFonts w:eastAsia="Times New Roman"/>
          <w:sz w:val="20"/>
          <w:lang w:eastAsia="sl-SI" w:bidi="sl-SI"/>
        </w:rPr>
        <w:t>Welfare</w:t>
      </w:r>
      <w:proofErr w:type="spellEnd"/>
      <w:r w:rsidRPr="00155028">
        <w:rPr>
          <w:rFonts w:eastAsia="Times New Roman"/>
          <w:sz w:val="20"/>
          <w:lang w:eastAsia="sl-SI" w:bidi="sl-SI"/>
        </w:rPr>
        <w:t xml:space="preserve"> </w:t>
      </w:r>
      <w:proofErr w:type="spellStart"/>
      <w:r w:rsidRPr="00155028">
        <w:rPr>
          <w:rFonts w:eastAsia="Times New Roman"/>
          <w:sz w:val="20"/>
          <w:lang w:eastAsia="sl-SI" w:bidi="sl-SI"/>
        </w:rPr>
        <w:t>Committee</w:t>
      </w:r>
      <w:proofErr w:type="spellEnd"/>
      <w:r w:rsidRPr="00155028">
        <w:rPr>
          <w:rFonts w:eastAsia="Times New Roman"/>
          <w:sz w:val="20"/>
          <w:lang w:eastAsia="sl-SI" w:bidi="sl-SI"/>
        </w:rPr>
        <w:t xml:space="preserve"> (FAWC)</w:t>
      </w:r>
      <w:r w:rsidRPr="00155028">
        <w:rPr>
          <w:rStyle w:val="Sprotnaopomba-sklic"/>
          <w:rFonts w:eastAsia="Times New Roman"/>
          <w:lang w:eastAsia="sl-SI" w:bidi="sl-SI"/>
        </w:rPr>
        <w:footnoteReference w:id="10"/>
      </w:r>
      <w:r w:rsidRPr="00155028">
        <w:rPr>
          <w:rFonts w:eastAsia="Times New Roman"/>
          <w:sz w:val="20"/>
          <w:lang w:eastAsia="sl-SI" w:bidi="sl-SI"/>
        </w:rPr>
        <w:t xml:space="preserve"> izpostavljajo poškodbe grodnic in poškodbe nog, kamor pri piščancih predvsem spadajo podplatni žulji, vnetja sklepov in prsni žulji pri kokoših nesnicah kot enega od ključnih problemov dobrobiti v vseh sistemih rej, tako intenzivnih kot tudi tistih manj intenzivnih.</w:t>
      </w:r>
    </w:p>
    <w:p w14:paraId="5D4CE671" w14:textId="6863CF63" w:rsidR="00CA6808" w:rsidRPr="00155028" w:rsidRDefault="00CA6808" w:rsidP="00CA6808">
      <w:pPr>
        <w:spacing w:before="120" w:after="0" w:line="240" w:lineRule="auto"/>
        <w:jc w:val="both"/>
        <w:rPr>
          <w:rFonts w:eastAsia="Times New Roman"/>
          <w:sz w:val="20"/>
          <w:lang w:eastAsia="sl-SI" w:bidi="sl-SI"/>
        </w:rPr>
      </w:pPr>
      <w:r w:rsidRPr="00155028">
        <w:rPr>
          <w:rFonts w:eastAsia="Times New Roman"/>
          <w:sz w:val="20"/>
          <w:lang w:eastAsia="sl-SI" w:bidi="sl-SI"/>
        </w:rPr>
        <w:t xml:space="preserve">V reji kokoši nesnic predstavljata veliko težavo z vidika počutja živali in ekonomike reje tudi kljuvanje perja in kanibalizem.  </w:t>
      </w:r>
    </w:p>
    <w:p w14:paraId="6A316D84" w14:textId="77777777" w:rsidR="00CA6808" w:rsidRPr="00155028" w:rsidRDefault="00CA6808" w:rsidP="00CA6808">
      <w:pPr>
        <w:spacing w:before="120" w:after="0" w:line="240" w:lineRule="auto"/>
        <w:jc w:val="both"/>
        <w:rPr>
          <w:rFonts w:eastAsia="Times New Roman"/>
          <w:sz w:val="20"/>
          <w:lang w:eastAsia="sl-SI" w:bidi="sl-SI"/>
        </w:rPr>
      </w:pPr>
      <w:r w:rsidRPr="00155028">
        <w:rPr>
          <w:rFonts w:eastAsia="Times New Roman"/>
          <w:sz w:val="20"/>
          <w:lang w:eastAsia="sl-SI" w:bidi="sl-SI"/>
        </w:rPr>
        <w:lastRenderedPageBreak/>
        <w:t xml:space="preserve">V projektu </w:t>
      </w:r>
      <w:r w:rsidRPr="00155028">
        <w:rPr>
          <w:rFonts w:eastAsia="Times New Roman"/>
          <w:bCs/>
          <w:sz w:val="20"/>
          <w:lang w:eastAsia="sl-SI" w:bidi="sl-SI"/>
        </w:rPr>
        <w:t>CRP V4-1604 Dobrobit v povezavi z zdravstvenim varstvom perutnine ter prašičev v konvencionalnih in alternativnih sistemih rej</w:t>
      </w:r>
      <w:r w:rsidRPr="00155028">
        <w:rPr>
          <w:rFonts w:eastAsia="Times New Roman"/>
          <w:bCs/>
          <w:sz w:val="20"/>
          <w:vertAlign w:val="superscript"/>
          <w:lang w:eastAsia="sl-SI" w:bidi="sl-SI"/>
        </w:rPr>
        <w:footnoteReference w:id="11"/>
      </w:r>
      <w:r w:rsidRPr="00155028">
        <w:rPr>
          <w:rFonts w:eastAsia="Times New Roman"/>
          <w:bCs/>
          <w:sz w:val="20"/>
          <w:lang w:eastAsia="sl-SI" w:bidi="sl-SI"/>
        </w:rPr>
        <w:t xml:space="preserve"> je bilo ugotovljeno, da so poškodbe grodnice pri kokoših nesnicah pomemben problem, ne glede na sistem reje in da je le-ta povezan s čustvenim stanjem posamezne živali. Namen projekta je bil med drugim tudi ugotoviti vpliv nanosa različnih </w:t>
      </w:r>
      <w:proofErr w:type="spellStart"/>
      <w:r w:rsidRPr="00155028">
        <w:rPr>
          <w:rFonts w:eastAsia="Times New Roman"/>
          <w:bCs/>
          <w:sz w:val="20"/>
          <w:lang w:eastAsia="sl-SI" w:bidi="sl-SI"/>
        </w:rPr>
        <w:t>repelentov</w:t>
      </w:r>
      <w:proofErr w:type="spellEnd"/>
      <w:r w:rsidRPr="00155028">
        <w:rPr>
          <w:rFonts w:eastAsia="Times New Roman"/>
          <w:bCs/>
          <w:sz w:val="20"/>
          <w:lang w:eastAsia="sl-SI" w:bidi="sl-SI"/>
        </w:rPr>
        <w:t xml:space="preserve"> na </w:t>
      </w:r>
      <w:proofErr w:type="spellStart"/>
      <w:r w:rsidRPr="00155028">
        <w:rPr>
          <w:rFonts w:eastAsia="Times New Roman"/>
          <w:bCs/>
          <w:sz w:val="20"/>
          <w:lang w:eastAsia="sl-SI" w:bidi="sl-SI"/>
        </w:rPr>
        <w:t>operjenost</w:t>
      </w:r>
      <w:proofErr w:type="spellEnd"/>
      <w:r w:rsidRPr="00155028">
        <w:rPr>
          <w:rFonts w:eastAsia="Times New Roman"/>
          <w:bCs/>
          <w:sz w:val="20"/>
          <w:lang w:eastAsia="sl-SI" w:bidi="sl-SI"/>
        </w:rPr>
        <w:t xml:space="preserve">, obnašanje in proizvodne lastnosti kokoši nesnic. Preskušena sta bila </w:t>
      </w:r>
      <w:proofErr w:type="spellStart"/>
      <w:r w:rsidRPr="00155028">
        <w:rPr>
          <w:rFonts w:eastAsia="Times New Roman"/>
          <w:bCs/>
          <w:sz w:val="20"/>
          <w:lang w:eastAsia="sl-SI" w:bidi="sl-SI"/>
        </w:rPr>
        <w:t>repelenta</w:t>
      </w:r>
      <w:proofErr w:type="spellEnd"/>
      <w:r w:rsidRPr="00155028">
        <w:rPr>
          <w:rFonts w:eastAsia="Times New Roman"/>
          <w:bCs/>
          <w:sz w:val="20"/>
          <w:lang w:eastAsia="sl-SI" w:bidi="sl-SI"/>
        </w:rPr>
        <w:t xml:space="preserve"> na osnovi </w:t>
      </w:r>
      <w:proofErr w:type="spellStart"/>
      <w:r w:rsidRPr="00155028">
        <w:rPr>
          <w:rFonts w:eastAsia="Times New Roman"/>
          <w:bCs/>
          <w:sz w:val="20"/>
          <w:lang w:eastAsia="sl-SI" w:bidi="sl-SI"/>
        </w:rPr>
        <w:t>dimetil</w:t>
      </w:r>
      <w:proofErr w:type="spellEnd"/>
      <w:r w:rsidRPr="00155028">
        <w:rPr>
          <w:rFonts w:eastAsia="Times New Roman"/>
          <w:bCs/>
          <w:sz w:val="20"/>
          <w:lang w:eastAsia="sl-SI" w:bidi="sl-SI"/>
        </w:rPr>
        <w:t xml:space="preserve"> </w:t>
      </w:r>
      <w:proofErr w:type="spellStart"/>
      <w:r w:rsidRPr="00155028">
        <w:rPr>
          <w:rFonts w:eastAsia="Times New Roman"/>
          <w:bCs/>
          <w:sz w:val="20"/>
          <w:lang w:eastAsia="sl-SI" w:bidi="sl-SI"/>
        </w:rPr>
        <w:t>antranilata</w:t>
      </w:r>
      <w:proofErr w:type="spellEnd"/>
      <w:r w:rsidRPr="00155028">
        <w:rPr>
          <w:rFonts w:eastAsia="Times New Roman"/>
          <w:bCs/>
          <w:sz w:val="20"/>
          <w:lang w:eastAsia="sl-SI" w:bidi="sl-SI"/>
        </w:rPr>
        <w:t>. Obe odvračali (</w:t>
      </w:r>
      <w:proofErr w:type="spellStart"/>
      <w:r w:rsidRPr="00155028">
        <w:rPr>
          <w:rFonts w:eastAsia="Times New Roman"/>
          <w:bCs/>
          <w:sz w:val="20"/>
          <w:lang w:eastAsia="sl-SI" w:bidi="sl-SI"/>
        </w:rPr>
        <w:t>repelenta</w:t>
      </w:r>
      <w:proofErr w:type="spellEnd"/>
      <w:r w:rsidRPr="00155028">
        <w:rPr>
          <w:rFonts w:eastAsia="Times New Roman"/>
          <w:bCs/>
          <w:sz w:val="20"/>
          <w:lang w:eastAsia="sl-SI" w:bidi="sl-SI"/>
        </w:rPr>
        <w:t>), ki so ju  v raziskavi uporabili z namenom zmanjšanja pojavnosti kljuvanja perja in kanibalizma pri komercialnih kokoših nesnicah, se nista izkazali za uspešni pri omejevanju poškodb perja,  zato nista priporočeni za uporabo v praksi.</w:t>
      </w:r>
    </w:p>
    <w:p w14:paraId="02E504E0" w14:textId="77777777" w:rsidR="00CA6808" w:rsidRPr="00155028" w:rsidRDefault="00CA6808" w:rsidP="00CA6808">
      <w:pPr>
        <w:spacing w:before="120" w:after="0" w:line="240" w:lineRule="auto"/>
        <w:jc w:val="both"/>
        <w:rPr>
          <w:rFonts w:eastAsia="Times New Roman"/>
          <w:sz w:val="20"/>
          <w:u w:val="single"/>
          <w:lang w:eastAsia="sl-SI" w:bidi="sl-SI"/>
        </w:rPr>
      </w:pPr>
      <w:r w:rsidRPr="00155028">
        <w:rPr>
          <w:rFonts w:eastAsia="Times New Roman"/>
          <w:sz w:val="20"/>
          <w:u w:val="single"/>
          <w:lang w:eastAsia="sl-SI" w:bidi="sl-SI"/>
        </w:rPr>
        <w:t>Govedo</w:t>
      </w:r>
    </w:p>
    <w:p w14:paraId="26F8AB4A" w14:textId="77777777" w:rsidR="00CA6808" w:rsidRPr="00155028" w:rsidRDefault="00CA6808" w:rsidP="00CA6808">
      <w:pPr>
        <w:spacing w:before="120" w:after="0" w:line="240" w:lineRule="auto"/>
        <w:jc w:val="both"/>
        <w:rPr>
          <w:rFonts w:eastAsia="Times New Roman"/>
          <w:sz w:val="20"/>
          <w:lang w:eastAsia="sl-SI" w:bidi="sl-SI"/>
        </w:rPr>
      </w:pPr>
      <w:r w:rsidRPr="00155028">
        <w:rPr>
          <w:rFonts w:eastAsia="Times New Roman"/>
          <w:sz w:val="20"/>
          <w:lang w:eastAsia="sl-SI" w:bidi="sl-SI"/>
        </w:rPr>
        <w:t xml:space="preserve">Govedo je po naravi pašna žival. Temu je prilagojena njena celotna fiziologija in anatomija, zato je pašna reja govedi vrsti najbolj prilagojena oblika reje. V hlevih s prosto živino so običajno izpolnjene vse zahteve za vrsti ustrezen sistem </w:t>
      </w:r>
      <w:proofErr w:type="spellStart"/>
      <w:r w:rsidRPr="00155028">
        <w:rPr>
          <w:rFonts w:eastAsia="Times New Roman"/>
          <w:sz w:val="20"/>
          <w:lang w:eastAsia="sl-SI" w:bidi="sl-SI"/>
        </w:rPr>
        <w:t>vhlevitve</w:t>
      </w:r>
      <w:proofErr w:type="spellEnd"/>
      <w:r w:rsidRPr="00155028">
        <w:rPr>
          <w:rFonts w:eastAsia="Times New Roman"/>
          <w:sz w:val="20"/>
          <w:lang w:eastAsia="sl-SI" w:bidi="sl-SI"/>
        </w:rPr>
        <w:t>. V hlevih s privezano živino, ki v Sloveniji prevladujejo, pa so živali pri gibanju zelo omejene, kar negativno vpliva predvsem na zdravje nog in parkljev pa tudi na splošno zdravje, reprodukcijo, proizvodnjo in dobro počutje živali. Zato naj bi imele take živali v času vegetacije možnost paše, saj ima paša številne pozitivne učinke na organizem.</w:t>
      </w:r>
    </w:p>
    <w:p w14:paraId="2CD00C47" w14:textId="77777777" w:rsidR="00CA6808" w:rsidRPr="00155028" w:rsidRDefault="00CA6808" w:rsidP="00CA6808">
      <w:pPr>
        <w:spacing w:before="120" w:after="0" w:line="240" w:lineRule="auto"/>
        <w:jc w:val="both"/>
        <w:rPr>
          <w:rFonts w:eastAsia="Times New Roman"/>
          <w:sz w:val="20"/>
          <w:lang w:eastAsia="sl-SI" w:bidi="sl-SI"/>
        </w:rPr>
      </w:pPr>
      <w:r w:rsidRPr="00155028">
        <w:rPr>
          <w:rFonts w:eastAsia="Times New Roman"/>
          <w:sz w:val="20"/>
          <w:lang w:eastAsia="sl-SI" w:bidi="sl-SI"/>
        </w:rPr>
        <w:t>Najbolj obremenjena kategorija goveda z vidika dobrobiti so krave molznice.</w:t>
      </w:r>
      <w:r w:rsidRPr="00155028">
        <w:rPr>
          <w:rFonts w:eastAsia="Times New Roman"/>
          <w:sz w:val="20"/>
          <w:lang w:eastAsia="en-GB"/>
        </w:rPr>
        <w:t xml:space="preserve"> </w:t>
      </w:r>
      <w:proofErr w:type="spellStart"/>
      <w:r w:rsidRPr="00155028">
        <w:rPr>
          <w:rFonts w:eastAsia="Times New Roman"/>
          <w:sz w:val="20"/>
          <w:lang w:eastAsia="sl-SI" w:bidi="sl-SI"/>
        </w:rPr>
        <w:t>Intenzifikacija</w:t>
      </w:r>
      <w:proofErr w:type="spellEnd"/>
      <w:r w:rsidRPr="00155028">
        <w:rPr>
          <w:rFonts w:eastAsia="Times New Roman"/>
          <w:sz w:val="20"/>
          <w:lang w:eastAsia="sl-SI" w:bidi="sl-SI"/>
        </w:rPr>
        <w:t xml:space="preserve"> reje krav molznic je privedla do tega, da se je v zadnjih štiridesetih letih prireja mleka na kravo več kot podvojila. Dandanes krave proizvedejo šest do desetkrat toliko mleka, kot bi bilo naravno potrebno za teleta. V primerjavi z drugimi </w:t>
      </w:r>
      <w:proofErr w:type="spellStart"/>
      <w:r w:rsidRPr="00155028">
        <w:rPr>
          <w:rFonts w:eastAsia="Times New Roman"/>
          <w:sz w:val="20"/>
          <w:lang w:eastAsia="sl-SI" w:bidi="sl-SI"/>
        </w:rPr>
        <w:t>rejnimi</w:t>
      </w:r>
      <w:proofErr w:type="spellEnd"/>
      <w:r w:rsidRPr="00155028">
        <w:rPr>
          <w:rFonts w:eastAsia="Times New Roman"/>
          <w:sz w:val="20"/>
          <w:lang w:eastAsia="sl-SI" w:bidi="sl-SI"/>
        </w:rPr>
        <w:t xml:space="preserve"> živalmi so krave molznice zaradi selekcije na količino mleka, podvržene največjemu presnovnemu stresu (Evropska komisija, 2017)</w:t>
      </w:r>
      <w:r w:rsidRPr="00155028">
        <w:rPr>
          <w:rFonts w:eastAsia="Times New Roman"/>
          <w:sz w:val="20"/>
          <w:vertAlign w:val="superscript"/>
          <w:lang w:eastAsia="sl-SI" w:bidi="sl-SI"/>
        </w:rPr>
        <w:footnoteReference w:id="12"/>
      </w:r>
      <w:r w:rsidRPr="00155028">
        <w:rPr>
          <w:rFonts w:eastAsia="Times New Roman"/>
          <w:sz w:val="20"/>
          <w:lang w:eastAsia="sl-SI" w:bidi="sl-SI"/>
        </w:rPr>
        <w:t>.</w:t>
      </w:r>
    </w:p>
    <w:p w14:paraId="4473DAD5" w14:textId="02EF4840" w:rsidR="00CA6808" w:rsidRPr="00155028" w:rsidRDefault="00CA6808" w:rsidP="00CA6808">
      <w:pPr>
        <w:spacing w:before="120" w:after="0" w:line="240" w:lineRule="auto"/>
        <w:jc w:val="both"/>
        <w:rPr>
          <w:rFonts w:eastAsia="Times New Roman"/>
          <w:sz w:val="20"/>
          <w:lang w:eastAsia="sl-SI" w:bidi="sl-SI"/>
        </w:rPr>
      </w:pPr>
      <w:r w:rsidRPr="00155028">
        <w:rPr>
          <w:rFonts w:eastAsia="Times New Roman"/>
          <w:sz w:val="20"/>
          <w:lang w:eastAsia="sl-SI" w:bidi="sl-SI"/>
        </w:rPr>
        <w:t>Reja krav molznic je ena izmed pomembnejših živinorejskih dejavnosti v Sloveniji, vendar pa stanje dobrobiti v rejah molznic še v veliki meri ni znano. Kmetijskih gospodarstev, ki se ukvarjajo s tržno prirejo mleka, je bilo v letu 2019 v Sloveniji 5.584, skupaj so imela 97.757 krav molznic. Povprečno kmetijsko gospodarstvo je redilo 17,5 molznic. Analiza podatkov za leto 2019 glede na podatke iz leta 2002 kaže na premike v strukturi kmetijskih gospodarstev. Proces koncentracije je opazen na vseh gospodarstvih, ki se ukvarjajo s prirejo mleka. V zadnjih desetih letih se je število kmetijskih gospodarstev, ki redijo do 20 molznic zmanjšalo, številna manjša kmetijska gospodarstva so prirejo mleka opustila. Čeprav se je velikostna struktura gospodarstev v večjih velikostnih razredih izboljšala, je v velikostnih razredih do 30 molznic na kmetijo še vedno 55,4 % molznic. Gospodarstva, ki so v letu v letu 2019 redila 50 in več molznic, predstavljajo 5,5 % kmetijskih gospodarstev z molznicami in redijo slabo četrtino vseh krav. Gospodarstev s 100 do 199 molznicami je bilo 34, z več kot 200 molznicami pa le 6 (Sadar in sod., 2019)</w:t>
      </w:r>
      <w:r w:rsidRPr="00155028">
        <w:rPr>
          <w:rFonts w:eastAsia="Times New Roman"/>
          <w:sz w:val="20"/>
          <w:vertAlign w:val="superscript"/>
          <w:lang w:eastAsia="sl-SI" w:bidi="sl-SI"/>
        </w:rPr>
        <w:footnoteReference w:id="13"/>
      </w:r>
      <w:r w:rsidRPr="00155028">
        <w:rPr>
          <w:rFonts w:eastAsia="Times New Roman"/>
          <w:sz w:val="20"/>
          <w:lang w:eastAsia="sl-SI" w:bidi="sl-SI"/>
        </w:rPr>
        <w:t>. Velika gospodarstva, ki se ukvarjajo z rejo krav molznic so večinoma starejšega izvora, saj so bili objekti zgrajeni v 60. in 80. letih. Kasneje je prišlo do povečanja prireje, kar je vplivalo na dobrobit krav.</w:t>
      </w:r>
    </w:p>
    <w:p w14:paraId="2B9EEB75" w14:textId="77777777" w:rsidR="00CA6808" w:rsidRPr="00155028" w:rsidRDefault="00CA6808" w:rsidP="00CA6808">
      <w:pPr>
        <w:spacing w:before="120" w:after="0" w:line="240" w:lineRule="auto"/>
        <w:jc w:val="both"/>
        <w:rPr>
          <w:rFonts w:eastAsia="Times New Roman"/>
          <w:sz w:val="20"/>
          <w:u w:val="single"/>
          <w:lang w:eastAsia="sl-SI" w:bidi="sl-SI"/>
        </w:rPr>
      </w:pPr>
      <w:r w:rsidRPr="00155028">
        <w:rPr>
          <w:rFonts w:eastAsia="Times New Roman"/>
          <w:sz w:val="20"/>
          <w:u w:val="single"/>
          <w:lang w:eastAsia="sl-SI" w:bidi="sl-SI"/>
        </w:rPr>
        <w:t>Drobnica</w:t>
      </w:r>
    </w:p>
    <w:p w14:paraId="0ABBA553" w14:textId="77777777" w:rsidR="00CA6808" w:rsidRPr="00155028" w:rsidRDefault="00CA6808" w:rsidP="00CA6808">
      <w:pPr>
        <w:spacing w:before="120" w:after="0" w:line="240" w:lineRule="auto"/>
        <w:jc w:val="both"/>
        <w:rPr>
          <w:rFonts w:eastAsia="Times New Roman"/>
          <w:sz w:val="20"/>
          <w:lang w:eastAsia="en-GB"/>
        </w:rPr>
      </w:pPr>
      <w:r w:rsidRPr="00155028">
        <w:rPr>
          <w:rFonts w:eastAsia="Times New Roman"/>
          <w:sz w:val="20"/>
          <w:lang w:eastAsia="sl-SI" w:bidi="sl-SI"/>
        </w:rPr>
        <w:t>Pri paši drobnice je pomembno, da se paša začne kolikor je mogoče zgodaj spomladi in traja do začetka snežnih padavin, lahko pa je živalim dana možnost, da so tudi v zimskem času izpuščene na pašnik. S takim načinom paše se doseže boljše počutje živali, zaradi dobre prehrane pa je boljša tudi prireja (boljša kakovost mesa in volne). S pašo dobijo živali več vitaminov E, A in beta karotina, česar s suho krmo ne dobijo v zadostni količini, zato meso pašnih živali ostaja dalj časa sveže. Zelo pomembno za manjši stres živali je tudi to, da sta pri dolgotrajni paši mati in mladič dalj časa skupaj.</w:t>
      </w:r>
      <w:r w:rsidRPr="00155028">
        <w:rPr>
          <w:rFonts w:eastAsia="Times New Roman"/>
          <w:sz w:val="20"/>
          <w:lang w:eastAsia="en-GB"/>
        </w:rPr>
        <w:t xml:space="preserve"> </w:t>
      </w:r>
    </w:p>
    <w:p w14:paraId="5BC20F02" w14:textId="77777777" w:rsidR="00CA6808" w:rsidRPr="00155028" w:rsidRDefault="00CA6808" w:rsidP="00CA6808">
      <w:pPr>
        <w:spacing w:before="120" w:after="0" w:line="240" w:lineRule="auto"/>
        <w:jc w:val="both"/>
        <w:rPr>
          <w:rFonts w:eastAsia="Times New Roman"/>
          <w:sz w:val="20"/>
          <w:lang w:eastAsia="sl-SI" w:bidi="sl-SI"/>
        </w:rPr>
      </w:pPr>
      <w:r w:rsidRPr="00155028">
        <w:rPr>
          <w:rFonts w:eastAsia="Times New Roman"/>
          <w:sz w:val="20"/>
          <w:lang w:eastAsia="sl-SI" w:bidi="sl-SI"/>
        </w:rPr>
        <w:t>V rejah drobnice predstavljajo zajedavske bolezni pomemben zdravstveni problem, ki lahko povzroči veliko škode (slabši prirasti, potreba po dodatnem zdravljenju, pogini) in na ta način ogrozi gospodarnost reje ter zelo negativno vpliva na dobro počutje živali</w:t>
      </w:r>
      <w:r w:rsidRPr="00155028">
        <w:rPr>
          <w:rFonts w:eastAsia="Times New Roman"/>
          <w:sz w:val="20"/>
          <w:vertAlign w:val="superscript"/>
          <w:lang w:eastAsia="sl-SI" w:bidi="sl-SI"/>
        </w:rPr>
        <w:footnoteReference w:id="14"/>
      </w:r>
      <w:r w:rsidRPr="00155028">
        <w:rPr>
          <w:rFonts w:eastAsia="Times New Roman"/>
          <w:sz w:val="20"/>
          <w:lang w:eastAsia="sl-SI" w:bidi="sl-SI"/>
        </w:rPr>
        <w:t xml:space="preserve">. </w:t>
      </w:r>
    </w:p>
    <w:p w14:paraId="3EC69FDC" w14:textId="77777777" w:rsidR="00CA6808" w:rsidRPr="00155028" w:rsidRDefault="00CA6808" w:rsidP="00CA6808">
      <w:pPr>
        <w:spacing w:before="120" w:after="0" w:line="240" w:lineRule="auto"/>
        <w:jc w:val="both"/>
        <w:rPr>
          <w:rFonts w:eastAsia="Times New Roman"/>
          <w:sz w:val="20"/>
          <w:lang w:eastAsia="sl-SI" w:bidi="sl-SI"/>
        </w:rPr>
      </w:pPr>
      <w:r w:rsidRPr="00155028">
        <w:rPr>
          <w:rFonts w:eastAsia="Times New Roman"/>
          <w:sz w:val="20"/>
          <w:lang w:eastAsia="sl-SI" w:bidi="sl-SI"/>
        </w:rPr>
        <w:t xml:space="preserve">Zdravljenje z </w:t>
      </w:r>
      <w:proofErr w:type="spellStart"/>
      <w:r w:rsidRPr="00155028">
        <w:rPr>
          <w:rFonts w:eastAsia="Times New Roman"/>
          <w:sz w:val="20"/>
          <w:lang w:eastAsia="sl-SI" w:bidi="sl-SI"/>
        </w:rPr>
        <w:t>antiparazitiki</w:t>
      </w:r>
      <w:proofErr w:type="spellEnd"/>
      <w:r w:rsidRPr="00155028">
        <w:rPr>
          <w:rFonts w:eastAsia="Times New Roman"/>
          <w:sz w:val="20"/>
          <w:lang w:eastAsia="en-GB"/>
        </w:rPr>
        <w:t xml:space="preserve"> </w:t>
      </w:r>
      <w:r w:rsidRPr="00155028">
        <w:rPr>
          <w:rFonts w:eastAsia="Times New Roman"/>
          <w:sz w:val="20"/>
          <w:lang w:eastAsia="sl-SI" w:bidi="sl-SI"/>
        </w:rPr>
        <w:t xml:space="preserve">je pogosto najenostavnejši in najvarnejši način zatiranja zajedavcev. Učinkovitost zdravljenja je odvisna od vrste zajedavcev in izbire ustreznega </w:t>
      </w:r>
      <w:proofErr w:type="spellStart"/>
      <w:r w:rsidRPr="00155028">
        <w:rPr>
          <w:rFonts w:eastAsia="Times New Roman"/>
          <w:sz w:val="20"/>
          <w:lang w:eastAsia="sl-SI" w:bidi="sl-SI"/>
        </w:rPr>
        <w:t>antiparazitika</w:t>
      </w:r>
      <w:proofErr w:type="spellEnd"/>
      <w:r w:rsidRPr="00155028">
        <w:rPr>
          <w:rFonts w:eastAsia="Times New Roman"/>
          <w:sz w:val="20"/>
          <w:lang w:eastAsia="sl-SI" w:bidi="sl-SI"/>
        </w:rPr>
        <w:t xml:space="preserve">. Posledica predvsem prepogoste in neustrezne uporabe </w:t>
      </w:r>
      <w:proofErr w:type="spellStart"/>
      <w:r w:rsidRPr="00155028">
        <w:rPr>
          <w:rFonts w:eastAsia="Times New Roman"/>
          <w:sz w:val="20"/>
          <w:lang w:eastAsia="sl-SI" w:bidi="sl-SI"/>
        </w:rPr>
        <w:t>antiparazitikov</w:t>
      </w:r>
      <w:proofErr w:type="spellEnd"/>
      <w:r w:rsidRPr="00155028">
        <w:rPr>
          <w:rFonts w:eastAsia="Times New Roman"/>
          <w:sz w:val="20"/>
          <w:lang w:eastAsia="sl-SI" w:bidi="sl-SI"/>
        </w:rPr>
        <w:t xml:space="preserve"> je pojav rezistence zajedavcev na </w:t>
      </w:r>
      <w:proofErr w:type="spellStart"/>
      <w:r w:rsidRPr="00155028">
        <w:rPr>
          <w:rFonts w:eastAsia="Times New Roman"/>
          <w:sz w:val="20"/>
          <w:lang w:eastAsia="sl-SI" w:bidi="sl-SI"/>
        </w:rPr>
        <w:lastRenderedPageBreak/>
        <w:t>antiparazitike</w:t>
      </w:r>
      <w:proofErr w:type="spellEnd"/>
      <w:r w:rsidRPr="00155028">
        <w:rPr>
          <w:rFonts w:eastAsia="Times New Roman"/>
          <w:sz w:val="20"/>
          <w:lang w:eastAsia="sl-SI" w:bidi="sl-SI"/>
        </w:rPr>
        <w:t xml:space="preserve">. Poleg zdravljenja pa so v boju proti zajedavcem pomembni tudi drugi preventivni ukrepi kot so menjava pašnikov, menjava različnih vrst in kategorij pašnih živali na pašnikih ter menjava paše in košnje. </w:t>
      </w:r>
    </w:p>
    <w:p w14:paraId="64EF967B" w14:textId="77777777" w:rsidR="00CA6808" w:rsidRPr="00155028" w:rsidRDefault="00CA6808" w:rsidP="002C1857">
      <w:pPr>
        <w:spacing w:before="120" w:after="120" w:line="240" w:lineRule="auto"/>
        <w:jc w:val="both"/>
        <w:rPr>
          <w:rFonts w:eastAsia="Times New Roman"/>
          <w:sz w:val="20"/>
          <w:lang w:eastAsia="sl-SI" w:bidi="sl-SI"/>
        </w:rPr>
      </w:pPr>
      <w:r w:rsidRPr="00155028">
        <w:rPr>
          <w:rFonts w:eastAsia="Times New Roman"/>
          <w:sz w:val="20"/>
          <w:lang w:eastAsia="sl-SI" w:bidi="sl-SI"/>
        </w:rPr>
        <w:t>Večinoma rejci zdravijo svoje živali na osnovi preteklih izkušenj in se skoraj ne poslužujejo drugih metod zatiranja zajedavcev. V Sloveniji se rejci zelo redko odločajo za parazitološko (</w:t>
      </w:r>
      <w:proofErr w:type="spellStart"/>
      <w:r w:rsidRPr="00155028">
        <w:rPr>
          <w:rFonts w:eastAsia="Times New Roman"/>
          <w:sz w:val="20"/>
          <w:lang w:eastAsia="sl-SI" w:bidi="sl-SI"/>
        </w:rPr>
        <w:t>koprološko</w:t>
      </w:r>
      <w:proofErr w:type="spellEnd"/>
      <w:r w:rsidRPr="00155028">
        <w:rPr>
          <w:rFonts w:eastAsia="Times New Roman"/>
          <w:sz w:val="20"/>
          <w:lang w:eastAsia="sl-SI" w:bidi="sl-SI"/>
        </w:rPr>
        <w:t>) preiskavo blata drobnice, kar potrjuje tudi zelo majhno število opravljenih parazitoloških preiskav. Po uvedbi ukrepa Dobrobit živali v letu 2017 tudi pri drobnici, v okviru katerega morajo rejci poslati vzorce blata na parazitološko preiskavo, se je to stanje nekoliko izboljšalo vendar je pristop rejcev k omenjeni problematiki še vedno premalo sistematičen. Raziskava »</w:t>
      </w:r>
      <w:proofErr w:type="spellStart"/>
      <w:r w:rsidRPr="00155028">
        <w:rPr>
          <w:rFonts w:eastAsia="Times New Roman"/>
          <w:sz w:val="20"/>
          <w:lang w:eastAsia="sl-SI" w:bidi="sl-SI"/>
        </w:rPr>
        <w:t>Parazitoze</w:t>
      </w:r>
      <w:proofErr w:type="spellEnd"/>
      <w:r w:rsidRPr="00155028">
        <w:rPr>
          <w:rFonts w:eastAsia="Times New Roman"/>
          <w:sz w:val="20"/>
          <w:lang w:eastAsia="sl-SI" w:bidi="sl-SI"/>
        </w:rPr>
        <w:t xml:space="preserve"> in njihovo zdravljenje pri drobnici«</w:t>
      </w:r>
      <w:r w:rsidRPr="00155028">
        <w:rPr>
          <w:rFonts w:eastAsia="Times New Roman"/>
          <w:sz w:val="20"/>
          <w:vertAlign w:val="superscript"/>
          <w:lang w:eastAsia="sl-SI" w:bidi="sl-SI"/>
        </w:rPr>
        <w:footnoteReference w:id="15"/>
      </w:r>
      <w:r w:rsidRPr="00155028">
        <w:rPr>
          <w:rFonts w:eastAsia="Times New Roman"/>
          <w:sz w:val="20"/>
          <w:lang w:eastAsia="sl-SI" w:bidi="sl-SI"/>
        </w:rPr>
        <w:t>, ki so jo izvedli na Veterinarski fakulteti je pokazala, da rejci zajedavskim boleznim pripisujejo premalo pozornosti. V okviru raziskave so imeli možnost poslati vzorce iztrebkov pred zdravljenjem proti zajedavcem in po zdravljenju. Odziv rejcev pri pošiljanju iztrebkov pred zdravljenjem je bil dober, po zdravljenju pa je bil precej skromen, čeprav so imeli to možnost brezplačno na razpolago.</w:t>
      </w:r>
    </w:p>
    <w:p w14:paraId="53883896" w14:textId="77777777" w:rsidR="001E4AD8" w:rsidRPr="002C1857" w:rsidRDefault="001E4AD8" w:rsidP="002C1857">
      <w:pPr>
        <w:tabs>
          <w:tab w:val="left" w:pos="0"/>
        </w:tabs>
        <w:spacing w:after="120" w:line="240" w:lineRule="auto"/>
        <w:jc w:val="both"/>
        <w:textAlignment w:val="baseline"/>
        <w:rPr>
          <w:rFonts w:eastAsia="Times New Roman"/>
          <w:sz w:val="20"/>
          <w:u w:val="single"/>
          <w:lang w:eastAsia="en-GB"/>
        </w:rPr>
      </w:pPr>
      <w:r w:rsidRPr="002C1857">
        <w:rPr>
          <w:rFonts w:eastAsia="Times New Roman"/>
          <w:sz w:val="20"/>
          <w:u w:val="single"/>
          <w:lang w:eastAsia="en-GB"/>
        </w:rPr>
        <w:t>Konji</w:t>
      </w:r>
    </w:p>
    <w:p w14:paraId="24E51533" w14:textId="77777777" w:rsidR="00D5149E" w:rsidRDefault="001E4AD8" w:rsidP="002C1857">
      <w:pPr>
        <w:tabs>
          <w:tab w:val="left" w:pos="0"/>
        </w:tabs>
        <w:spacing w:line="240" w:lineRule="auto"/>
        <w:jc w:val="both"/>
        <w:textAlignment w:val="baseline"/>
        <w:rPr>
          <w:rFonts w:eastAsia="Times New Roman"/>
          <w:sz w:val="20"/>
          <w:lang w:eastAsia="en-GB"/>
        </w:rPr>
      </w:pPr>
      <w:r w:rsidRPr="001E4AD8">
        <w:rPr>
          <w:rFonts w:eastAsia="Times New Roman"/>
          <w:sz w:val="20"/>
          <w:lang w:eastAsia="en-GB"/>
        </w:rPr>
        <w:t xml:space="preserve">Po oceni, ki so jo pripravili na Inštitutu za rejo in zdravstveno varstvo kopitarjev, ki je pristojni organ za označitev oziroma identifikacijo kopitarjev, se v Sloveniji v zadnjem desetletju trendi v konjereji precej spreminjajo. V reji hladnokrvnih konj se spreminja način reje, ki postaja </w:t>
      </w:r>
      <w:proofErr w:type="spellStart"/>
      <w:r w:rsidRPr="001E4AD8">
        <w:rPr>
          <w:rFonts w:eastAsia="Times New Roman"/>
          <w:sz w:val="20"/>
          <w:lang w:eastAsia="en-GB"/>
        </w:rPr>
        <w:t>ekstenzivnejši</w:t>
      </w:r>
      <w:proofErr w:type="spellEnd"/>
      <w:r w:rsidRPr="001E4AD8">
        <w:rPr>
          <w:rFonts w:eastAsia="Times New Roman"/>
          <w:sz w:val="20"/>
          <w:lang w:eastAsia="en-GB"/>
        </w:rPr>
        <w:t xml:space="preserve">. </w:t>
      </w:r>
    </w:p>
    <w:p w14:paraId="2BEFB1CD" w14:textId="6D02F104" w:rsidR="001E4AD8" w:rsidRPr="001E4AD8" w:rsidRDefault="001E4AD8" w:rsidP="002C1857">
      <w:pPr>
        <w:tabs>
          <w:tab w:val="left" w:pos="0"/>
        </w:tabs>
        <w:spacing w:line="240" w:lineRule="auto"/>
        <w:jc w:val="both"/>
        <w:textAlignment w:val="baseline"/>
        <w:rPr>
          <w:rFonts w:eastAsia="Times New Roman"/>
          <w:sz w:val="20"/>
          <w:lang w:eastAsia="en-GB"/>
        </w:rPr>
      </w:pPr>
      <w:r w:rsidRPr="001E4AD8">
        <w:rPr>
          <w:rFonts w:eastAsia="Times New Roman"/>
          <w:sz w:val="20"/>
          <w:lang w:eastAsia="en-GB"/>
        </w:rPr>
        <w:t xml:space="preserve">Konji se v poletni sezoni večinoma pasejo, v zimskem obdobju pa so še vedno omejeni na manjše hleve, ki komaj zadoščajo standardom. Večina konjev je še vedno privezanih, zato so v zimskem obdobju zelo omejeni v gibanju, saj so hlevi običajno brez izpustov oziroma so le ti premajhni, neprimerno ograjeni, z neprimerno podlago, ki pri konjih lahko povzroča poškodbe. Vsakodnevno gibanje ni le konjeva osnovna potreba, temveč tudi predpogoj za njegovo normalno psihološko stanje. Konji potrebujejo tudi družbo sovrstnikov, predvsem mlade živali, oziroma družbo vsaj še enega konja. Konji so izredno socialna bitja, individualna reja lahko predstavlja tveganje za nastanek motenj v obnašanju. Konjem, ki čez leto niso na pašnikih, ker se običajno uporabljajo za različne oblike dela, je treba zagotoviti ustrezne pogoje nastanitve, možnost gibanja in socialne kontakte, ki jim zagotavljajo primerno kvaliteto bivanja. Trenutno stanje je v tem delu v rejah konj precej različno, največ težav pa je zagotovo povezanih s pomanjkanjem izpustov in zagotavljanjem zadovoljivega gibanja živali predvsem v zimskem času. </w:t>
      </w:r>
    </w:p>
    <w:p w14:paraId="566CEB89" w14:textId="2AFFFB35" w:rsidR="00CA6808" w:rsidRDefault="001E4AD8" w:rsidP="001E4AD8">
      <w:pPr>
        <w:tabs>
          <w:tab w:val="left" w:pos="0"/>
        </w:tabs>
        <w:spacing w:after="0" w:line="240" w:lineRule="auto"/>
        <w:jc w:val="both"/>
        <w:textAlignment w:val="baseline"/>
        <w:rPr>
          <w:rFonts w:eastAsia="Times New Roman"/>
          <w:sz w:val="20"/>
          <w:lang w:eastAsia="en-GB"/>
        </w:rPr>
      </w:pPr>
      <w:r w:rsidRPr="001E4AD8">
        <w:rPr>
          <w:rFonts w:eastAsia="Times New Roman"/>
          <w:sz w:val="20"/>
          <w:lang w:eastAsia="en-GB"/>
        </w:rPr>
        <w:t xml:space="preserve">Konji so lahko </w:t>
      </w:r>
      <w:proofErr w:type="spellStart"/>
      <w:r w:rsidRPr="001E4AD8">
        <w:rPr>
          <w:rFonts w:eastAsia="Times New Roman"/>
          <w:sz w:val="20"/>
          <w:lang w:eastAsia="en-GB"/>
        </w:rPr>
        <w:t>vhlevljeni</w:t>
      </w:r>
      <w:proofErr w:type="spellEnd"/>
      <w:r w:rsidRPr="001E4AD8">
        <w:rPr>
          <w:rFonts w:eastAsia="Times New Roman"/>
          <w:sz w:val="20"/>
          <w:lang w:eastAsia="en-GB"/>
        </w:rPr>
        <w:t xml:space="preserve"> individualno v boksih oziroma skupinsko v prosti reji, vsak od teh sistemov pa različno vpliva na to, v kolikšni meri lahko konji zadovoljijo osnovne biološke potrebe. Ne glede na vrsto </w:t>
      </w:r>
      <w:proofErr w:type="spellStart"/>
      <w:r w:rsidRPr="001E4AD8">
        <w:rPr>
          <w:rFonts w:eastAsia="Times New Roman"/>
          <w:sz w:val="20"/>
          <w:lang w:eastAsia="en-GB"/>
        </w:rPr>
        <w:t>vhlevitve</w:t>
      </w:r>
      <w:proofErr w:type="spellEnd"/>
      <w:r w:rsidRPr="001E4AD8">
        <w:rPr>
          <w:rFonts w:eastAsia="Times New Roman"/>
          <w:sz w:val="20"/>
          <w:lang w:eastAsia="en-GB"/>
        </w:rPr>
        <w:t xml:space="preserve"> jim je treba zagotoviti vsakodnevno večurno svobodno gibanje v izpustu, pri čemer se priporoča druženje z vrstniki, če je to glede na konjev značaj mogoče.</w:t>
      </w:r>
    </w:p>
    <w:p w14:paraId="3954E69D" w14:textId="77777777" w:rsidR="001E4AD8" w:rsidRPr="001E4AD8" w:rsidRDefault="001E4AD8" w:rsidP="001E4AD8">
      <w:pPr>
        <w:tabs>
          <w:tab w:val="left" w:pos="0"/>
        </w:tabs>
        <w:spacing w:after="0" w:line="240" w:lineRule="auto"/>
        <w:jc w:val="both"/>
        <w:textAlignment w:val="baseline"/>
        <w:rPr>
          <w:rFonts w:eastAsia="Times New Roman"/>
          <w:sz w:val="20"/>
          <w:lang w:eastAsia="en-GB"/>
        </w:rPr>
      </w:pPr>
    </w:p>
    <w:p w14:paraId="63A9F6F9" w14:textId="24EF4CCF" w:rsidR="00596C3E" w:rsidRPr="00155028" w:rsidRDefault="00191201" w:rsidP="00191201">
      <w:pPr>
        <w:pStyle w:val="Naslov2"/>
        <w:rPr>
          <w:rFonts w:ascii="Arial" w:eastAsia="Times New Roman" w:hAnsi="Arial" w:cs="Arial"/>
          <w:lang w:eastAsia="en-GB"/>
        </w:rPr>
      </w:pPr>
      <w:bookmarkStart w:id="91" w:name="_Toc86826500"/>
      <w:r w:rsidRPr="00155028">
        <w:rPr>
          <w:rFonts w:ascii="Arial" w:eastAsia="Times New Roman" w:hAnsi="Arial" w:cs="Arial"/>
          <w:lang w:eastAsia="en-GB"/>
        </w:rPr>
        <w:t>4.3</w:t>
      </w:r>
      <w:r w:rsidR="00333DE0" w:rsidRPr="00155028">
        <w:rPr>
          <w:rFonts w:ascii="Arial" w:eastAsia="Times New Roman" w:hAnsi="Arial" w:cs="Arial"/>
          <w:lang w:eastAsia="en-GB"/>
        </w:rPr>
        <w:t xml:space="preserve"> </w:t>
      </w:r>
      <w:r w:rsidR="00596C3E" w:rsidRPr="00155028">
        <w:rPr>
          <w:rFonts w:ascii="Arial" w:eastAsia="Times New Roman" w:hAnsi="Arial" w:cs="Arial"/>
          <w:lang w:eastAsia="en-GB"/>
        </w:rPr>
        <w:t>U</w:t>
      </w:r>
      <w:r w:rsidR="00CF0FC8" w:rsidRPr="00155028">
        <w:rPr>
          <w:rFonts w:ascii="Arial" w:eastAsia="Times New Roman" w:hAnsi="Arial" w:cs="Arial"/>
          <w:lang w:eastAsia="en-GB"/>
        </w:rPr>
        <w:t>krep Dobrobit</w:t>
      </w:r>
      <w:r w:rsidR="00EF7A3F">
        <w:rPr>
          <w:rFonts w:ascii="Arial" w:eastAsia="Times New Roman" w:hAnsi="Arial" w:cs="Arial"/>
          <w:lang w:eastAsia="en-GB"/>
        </w:rPr>
        <w:t xml:space="preserve"> živali</w:t>
      </w:r>
      <w:r w:rsidR="00CF0FC8" w:rsidRPr="00155028">
        <w:rPr>
          <w:rFonts w:ascii="Arial" w:eastAsia="Times New Roman" w:hAnsi="Arial" w:cs="Arial"/>
          <w:lang w:eastAsia="en-GB"/>
        </w:rPr>
        <w:t xml:space="preserve"> v Sloveniji</w:t>
      </w:r>
      <w:bookmarkEnd w:id="91"/>
    </w:p>
    <w:p w14:paraId="2B94D477" w14:textId="656CF31D" w:rsidR="00CA6808" w:rsidRPr="00155028" w:rsidRDefault="00CA6808" w:rsidP="00CA6808">
      <w:pPr>
        <w:tabs>
          <w:tab w:val="left" w:pos="0"/>
        </w:tabs>
        <w:spacing w:before="120" w:after="0" w:line="240" w:lineRule="auto"/>
        <w:jc w:val="both"/>
        <w:textAlignment w:val="baseline"/>
        <w:rPr>
          <w:rFonts w:eastAsia="Times New Roman"/>
          <w:sz w:val="20"/>
          <w:lang w:eastAsia="en-GB"/>
        </w:rPr>
      </w:pPr>
      <w:r w:rsidRPr="00155028">
        <w:rPr>
          <w:rFonts w:eastAsia="Times New Roman"/>
          <w:sz w:val="20"/>
          <w:lang w:eastAsia="en-GB"/>
        </w:rPr>
        <w:t>Z letom 2014 se je prvič v Sloveniji, v okviru P</w:t>
      </w:r>
      <w:r w:rsidR="007E1E59" w:rsidRPr="00155028">
        <w:rPr>
          <w:rFonts w:eastAsia="Times New Roman"/>
          <w:sz w:val="20"/>
          <w:lang w:eastAsia="en-GB"/>
        </w:rPr>
        <w:t>RP</w:t>
      </w:r>
      <w:r w:rsidRPr="00155028">
        <w:rPr>
          <w:rFonts w:eastAsia="Times New Roman"/>
          <w:sz w:val="20"/>
          <w:lang w:eastAsia="en-GB"/>
        </w:rPr>
        <w:t xml:space="preserve"> 2014–2020, začel izvajati ukrep Dobrobit živali (v nadaljevanju</w:t>
      </w:r>
      <w:r w:rsidR="007E1E59" w:rsidRPr="00155028">
        <w:rPr>
          <w:rFonts w:eastAsia="Times New Roman"/>
          <w:sz w:val="20"/>
          <w:lang w:eastAsia="en-GB"/>
        </w:rPr>
        <w:t xml:space="preserve"> besedila</w:t>
      </w:r>
      <w:r w:rsidRPr="00155028">
        <w:rPr>
          <w:rFonts w:eastAsia="Times New Roman"/>
          <w:sz w:val="20"/>
          <w:lang w:eastAsia="en-GB"/>
        </w:rPr>
        <w:t xml:space="preserve">: ukrep DŽ). Ukrep DŽ se je postopoma uvajal za posamezne vrste </w:t>
      </w:r>
      <w:proofErr w:type="spellStart"/>
      <w:r w:rsidRPr="00155028">
        <w:rPr>
          <w:rFonts w:eastAsia="Times New Roman"/>
          <w:sz w:val="20"/>
          <w:lang w:eastAsia="en-GB"/>
        </w:rPr>
        <w:t>rejnih</w:t>
      </w:r>
      <w:proofErr w:type="spellEnd"/>
      <w:r w:rsidRPr="00155028">
        <w:rPr>
          <w:rFonts w:eastAsia="Times New Roman"/>
          <w:sz w:val="20"/>
          <w:lang w:eastAsia="en-GB"/>
        </w:rPr>
        <w:t xml:space="preserve"> živali. V letu 2014 se je začel izvajati v prašičereji, v letu 2016 se je razširil na govedorejo in v letu 2017 še na rejo drobnice.</w:t>
      </w:r>
    </w:p>
    <w:p w14:paraId="471A9062" w14:textId="370030CA" w:rsidR="00CA6808" w:rsidRPr="00155028" w:rsidRDefault="00CA6808" w:rsidP="007E1E59">
      <w:pPr>
        <w:tabs>
          <w:tab w:val="left" w:pos="0"/>
        </w:tabs>
        <w:spacing w:before="120" w:after="0" w:line="240" w:lineRule="auto"/>
        <w:jc w:val="both"/>
        <w:textAlignment w:val="baseline"/>
        <w:rPr>
          <w:rFonts w:eastAsia="Times New Roman"/>
          <w:sz w:val="20"/>
          <w:lang w:eastAsia="sl-SI"/>
        </w:rPr>
      </w:pPr>
      <w:r w:rsidRPr="00155028">
        <w:rPr>
          <w:rFonts w:eastAsia="Times New Roman"/>
          <w:sz w:val="20"/>
          <w:lang w:eastAsia="en-GB"/>
        </w:rPr>
        <w:t>Ukrep DŽ se torej od leta 2017 izvaja v treh operacijah, in sicer za prašiče (v nadaljevanju</w:t>
      </w:r>
      <w:r w:rsidR="007E1E59" w:rsidRPr="00155028">
        <w:rPr>
          <w:rFonts w:eastAsia="Times New Roman"/>
          <w:sz w:val="20"/>
          <w:lang w:eastAsia="en-GB"/>
        </w:rPr>
        <w:t xml:space="preserve"> besedila</w:t>
      </w:r>
      <w:r w:rsidRPr="00155028">
        <w:rPr>
          <w:rFonts w:eastAsia="Times New Roman"/>
          <w:sz w:val="20"/>
          <w:lang w:eastAsia="en-GB"/>
        </w:rPr>
        <w:t>: DŽ – prašiči), govedo (v nadaljevanju</w:t>
      </w:r>
      <w:r w:rsidR="007E1E59" w:rsidRPr="00155028">
        <w:rPr>
          <w:rFonts w:eastAsia="Times New Roman"/>
          <w:sz w:val="20"/>
          <w:lang w:eastAsia="en-GB"/>
        </w:rPr>
        <w:t xml:space="preserve"> besedila</w:t>
      </w:r>
      <w:r w:rsidRPr="00155028">
        <w:rPr>
          <w:rFonts w:eastAsia="Times New Roman"/>
          <w:sz w:val="20"/>
          <w:lang w:eastAsia="en-GB"/>
        </w:rPr>
        <w:t>: DŽ – govedo) in drobnico (v nadaljevanju</w:t>
      </w:r>
      <w:r w:rsidR="007E1E59" w:rsidRPr="00155028">
        <w:rPr>
          <w:rFonts w:eastAsia="Times New Roman"/>
          <w:sz w:val="20"/>
          <w:lang w:eastAsia="en-GB"/>
        </w:rPr>
        <w:t xml:space="preserve"> besedila</w:t>
      </w:r>
      <w:r w:rsidRPr="00155028">
        <w:rPr>
          <w:rFonts w:eastAsia="Times New Roman"/>
          <w:sz w:val="20"/>
          <w:lang w:eastAsia="en-GB"/>
        </w:rPr>
        <w:t>: DŽ – drobnica). Trajanje obveznosti za ukrep DŽ je eno leto. Namen ukrepa DŽ je spodbujanje kmetijskih gospodarstev k izvajanju zahtev za dobrobit živali, ki presegajo zahteve ravnanja iz navzkrižne skladnosti, ter običajno rejsko prakso. Za pridobitev plačil za DŽ – prašiči mora upravičenec izpolnjevati vsaj eno zahtevo iz nabora zahtev za plemenske svinje in pleme</w:t>
      </w:r>
      <w:r w:rsidRPr="00155028">
        <w:rPr>
          <w:rFonts w:eastAsia="Times New Roman"/>
          <w:sz w:val="20"/>
          <w:lang w:eastAsia="sl-SI"/>
        </w:rPr>
        <w:t>nske mladice, tekače in prašiče pitance. Za pridobitev plačil za DŽ – govedo oziroma DŽ – drobnica pa mora upravičenec izvajati pašo goveda oziroma drobnice.</w:t>
      </w:r>
      <w:r w:rsidRPr="00155028">
        <w:rPr>
          <w:rFonts w:eastAsia="Times New Roman"/>
          <w:sz w:val="20"/>
          <w:vertAlign w:val="superscript"/>
          <w:lang w:eastAsia="sl-SI"/>
        </w:rPr>
        <w:t xml:space="preserve"> </w:t>
      </w:r>
    </w:p>
    <w:p w14:paraId="6121E461" w14:textId="77777777" w:rsidR="00CA6808" w:rsidRPr="00155028" w:rsidRDefault="00CA6808" w:rsidP="00CA6808">
      <w:pPr>
        <w:spacing w:after="0" w:line="240" w:lineRule="auto"/>
        <w:jc w:val="both"/>
        <w:rPr>
          <w:rFonts w:eastAsia="Times New Roman"/>
          <w:bCs/>
          <w:sz w:val="20"/>
          <w:lang w:eastAsia="sl-SI"/>
        </w:rPr>
      </w:pPr>
    </w:p>
    <w:p w14:paraId="0187FF8C" w14:textId="4AD9CC8A" w:rsidR="007E1E59" w:rsidRPr="00155028" w:rsidRDefault="00CA6808" w:rsidP="00CA6808">
      <w:pPr>
        <w:spacing w:after="0" w:line="240" w:lineRule="auto"/>
        <w:jc w:val="both"/>
        <w:rPr>
          <w:rFonts w:eastAsia="Times New Roman"/>
          <w:bCs/>
          <w:i/>
          <w:sz w:val="20"/>
          <w:lang w:eastAsia="sl-SI"/>
        </w:rPr>
      </w:pPr>
      <w:r w:rsidRPr="00155028">
        <w:rPr>
          <w:rFonts w:eastAsia="Times New Roman"/>
          <w:bCs/>
          <w:sz w:val="20"/>
          <w:lang w:eastAsia="sl-SI"/>
        </w:rPr>
        <w:t xml:space="preserve">Delež živali vključenih v ukrep DŽ je razviden iz </w:t>
      </w:r>
      <w:r w:rsidR="00237DB1" w:rsidRPr="00155028">
        <w:rPr>
          <w:rFonts w:eastAsia="Times New Roman"/>
          <w:bCs/>
          <w:sz w:val="20"/>
          <w:lang w:eastAsia="sl-SI"/>
        </w:rPr>
        <w:t>Tabel</w:t>
      </w:r>
      <w:r w:rsidR="007E1E59" w:rsidRPr="00155028">
        <w:rPr>
          <w:rFonts w:eastAsia="Times New Roman"/>
          <w:bCs/>
          <w:sz w:val="20"/>
          <w:lang w:eastAsia="sl-SI"/>
        </w:rPr>
        <w:t xml:space="preserve">e </w:t>
      </w:r>
      <w:r w:rsidR="00CF0FC8" w:rsidRPr="00155028">
        <w:rPr>
          <w:rFonts w:eastAsia="Times New Roman"/>
          <w:bCs/>
          <w:sz w:val="20"/>
          <w:lang w:eastAsia="sl-SI"/>
        </w:rPr>
        <w:t>10</w:t>
      </w:r>
      <w:r w:rsidRPr="00155028">
        <w:rPr>
          <w:rFonts w:eastAsia="Times New Roman"/>
          <w:bCs/>
          <w:sz w:val="20"/>
          <w:lang w:eastAsia="sl-SI"/>
        </w:rPr>
        <w:t xml:space="preserve">. Pri operaciji DŽ – govedo se število GVŽ vključenih v ukrep DŽ med leti skoraj enakomerno povečuje in dosega pričakovano vrednost. Tudi pri operaciji DŽ – drobnica se število vključenih GVŽ rahlo povečuje vendar pa je nizka vključenost v operacijo DŽ – drobnica predvsem odraz velikostne strukture kmetijskih gospodarstev, ki redijo </w:t>
      </w:r>
      <w:r w:rsidRPr="00155028">
        <w:rPr>
          <w:rFonts w:eastAsia="Times New Roman"/>
          <w:bCs/>
          <w:sz w:val="20"/>
          <w:lang w:eastAsia="sl-SI"/>
        </w:rPr>
        <w:lastRenderedPageBreak/>
        <w:t>drobnico. Skupaj je drobnico v povprečju let 2016-2018 redilo 7.149 KMG-jev, ki so redili 14.903 GVŽ drobnice. Razred do pod 5 GVŽ drobnice predstavljata 93% KMG-jev in 63% GVŽ drobnice. Pri operaciji DŽ – prašiči se je število GVŽ vključenih v ukrep povečevalo do leta 2017, ko se je začetni trend rasti ustavil in je v letu 2018 celo nekoliko padel. Za prašičerejo je značilno ciklično nihanje števila živali, kar se odraža tudi na številu vključenih GVŽ v ukrep, predvsem pa se pozna trend zmanjševanja staleža prašičev v Sloveniji, ki se od leta 2006 še vedno ni popolnoma ustavil.</w:t>
      </w:r>
    </w:p>
    <w:p w14:paraId="5498665E" w14:textId="77777777" w:rsidR="007E1E59" w:rsidRPr="00155028" w:rsidRDefault="007E1E59" w:rsidP="00CA6808">
      <w:pPr>
        <w:spacing w:after="0" w:line="240" w:lineRule="auto"/>
        <w:jc w:val="both"/>
        <w:rPr>
          <w:rFonts w:eastAsia="Times New Roman"/>
          <w:bCs/>
          <w:i/>
          <w:sz w:val="20"/>
          <w:lang w:eastAsia="sl-SI"/>
        </w:rPr>
      </w:pPr>
    </w:p>
    <w:p w14:paraId="5253DF89" w14:textId="4C7CD54A" w:rsidR="00237DB1" w:rsidRPr="00155028" w:rsidRDefault="00237DB1" w:rsidP="00237DB1">
      <w:pPr>
        <w:pStyle w:val="Napis"/>
        <w:jc w:val="both"/>
        <w:rPr>
          <w:szCs w:val="20"/>
        </w:rPr>
      </w:pPr>
      <w:bookmarkStart w:id="92" w:name="_Toc86826529"/>
      <w:r w:rsidRPr="00155028">
        <w:rPr>
          <w:szCs w:val="20"/>
        </w:rPr>
        <w:t xml:space="preserve">Tabela </w:t>
      </w:r>
      <w:r w:rsidR="004270C0" w:rsidRPr="00155028">
        <w:rPr>
          <w:szCs w:val="20"/>
        </w:rPr>
        <w:fldChar w:fldCharType="begin"/>
      </w:r>
      <w:r w:rsidR="004270C0" w:rsidRPr="00155028">
        <w:rPr>
          <w:szCs w:val="20"/>
        </w:rPr>
        <w:instrText xml:space="preserve"> SEQ Tabela \* ARABIC </w:instrText>
      </w:r>
      <w:r w:rsidR="004270C0" w:rsidRPr="00155028">
        <w:rPr>
          <w:szCs w:val="20"/>
        </w:rPr>
        <w:fldChar w:fldCharType="separate"/>
      </w:r>
      <w:r w:rsidR="00F25B09">
        <w:rPr>
          <w:noProof/>
          <w:szCs w:val="20"/>
        </w:rPr>
        <w:t>10</w:t>
      </w:r>
      <w:r w:rsidR="004270C0" w:rsidRPr="00155028">
        <w:rPr>
          <w:noProof/>
          <w:szCs w:val="20"/>
        </w:rPr>
        <w:fldChar w:fldCharType="end"/>
      </w:r>
      <w:r w:rsidRPr="00155028">
        <w:rPr>
          <w:szCs w:val="20"/>
        </w:rPr>
        <w:t xml:space="preserve">: Število živali na KMG na 1. februar iz obrazca Stalež živali po vrstah in kategorijah </w:t>
      </w:r>
      <w:proofErr w:type="spellStart"/>
      <w:r w:rsidRPr="00155028">
        <w:rPr>
          <w:szCs w:val="20"/>
        </w:rPr>
        <w:t>rejnih</w:t>
      </w:r>
      <w:proofErr w:type="spellEnd"/>
      <w:r w:rsidRPr="00155028">
        <w:rPr>
          <w:szCs w:val="20"/>
        </w:rPr>
        <w:t xml:space="preserve"> živali ter število in delež živali vključenih v ukrep DŽ</w:t>
      </w:r>
      <w:bookmarkEnd w:id="92"/>
    </w:p>
    <w:p w14:paraId="59CAB0B8" w14:textId="77777777" w:rsidR="00CA6808" w:rsidRPr="00155028" w:rsidRDefault="00CA6808" w:rsidP="00CA6808">
      <w:pPr>
        <w:spacing w:after="0" w:line="240" w:lineRule="auto"/>
        <w:jc w:val="both"/>
        <w:rPr>
          <w:rFonts w:eastAsia="Calibri"/>
          <w:b/>
          <w:szCs w:val="24"/>
          <w:lang w:eastAsia="en-GB"/>
        </w:rPr>
      </w:pPr>
    </w:p>
    <w:tbl>
      <w:tblPr>
        <w:tblW w:w="8646" w:type="dxa"/>
        <w:jc w:val="center"/>
        <w:tblLayout w:type="fixed"/>
        <w:tblCellMar>
          <w:left w:w="70" w:type="dxa"/>
          <w:right w:w="70" w:type="dxa"/>
        </w:tblCellMar>
        <w:tblLook w:val="04A0" w:firstRow="1" w:lastRow="0" w:firstColumn="1" w:lastColumn="0" w:noHBand="0" w:noVBand="1"/>
      </w:tblPr>
      <w:tblGrid>
        <w:gridCol w:w="2434"/>
        <w:gridCol w:w="1035"/>
        <w:gridCol w:w="1035"/>
        <w:gridCol w:w="1036"/>
        <w:gridCol w:w="1035"/>
        <w:gridCol w:w="1035"/>
        <w:gridCol w:w="1036"/>
      </w:tblGrid>
      <w:tr w:rsidR="00CA6808" w:rsidRPr="00155028" w14:paraId="6258B9F5" w14:textId="77777777" w:rsidTr="00CF43DE">
        <w:trPr>
          <w:trHeight w:val="284"/>
          <w:jc w:val="center"/>
        </w:trPr>
        <w:tc>
          <w:tcPr>
            <w:tcW w:w="2434" w:type="dxa"/>
            <w:tcBorders>
              <w:top w:val="single" w:sz="8" w:space="0" w:color="auto"/>
              <w:left w:val="single" w:sz="8" w:space="0" w:color="auto"/>
              <w:bottom w:val="single" w:sz="8" w:space="0" w:color="auto"/>
              <w:right w:val="single" w:sz="8" w:space="0" w:color="auto"/>
            </w:tcBorders>
            <w:shd w:val="clear" w:color="auto" w:fill="D9EEF3"/>
            <w:noWrap/>
            <w:vAlign w:val="center"/>
            <w:hideMark/>
          </w:tcPr>
          <w:p w14:paraId="4FEA64ED" w14:textId="77777777" w:rsidR="00CA6808" w:rsidRPr="00155028" w:rsidRDefault="00CA6808" w:rsidP="00CA6808">
            <w:pPr>
              <w:spacing w:before="120" w:after="0" w:line="240" w:lineRule="auto"/>
              <w:jc w:val="both"/>
              <w:rPr>
                <w:rFonts w:eastAsia="Times New Roman"/>
                <w:b/>
                <w:bCs/>
                <w:color w:val="000000"/>
                <w:sz w:val="16"/>
                <w:szCs w:val="16"/>
                <w:lang w:eastAsia="sl-SI"/>
              </w:rPr>
            </w:pPr>
            <w:r w:rsidRPr="00155028">
              <w:rPr>
                <w:rFonts w:eastAsia="Times New Roman"/>
                <w:b/>
                <w:bCs/>
                <w:color w:val="000000"/>
                <w:sz w:val="16"/>
                <w:szCs w:val="16"/>
                <w:lang w:eastAsia="sl-SI"/>
              </w:rPr>
              <w:t>Vrsta in kategorija  živali</w:t>
            </w:r>
          </w:p>
        </w:tc>
        <w:tc>
          <w:tcPr>
            <w:tcW w:w="1035" w:type="dxa"/>
            <w:tcBorders>
              <w:top w:val="single" w:sz="8" w:space="0" w:color="auto"/>
              <w:left w:val="nil"/>
              <w:bottom w:val="single" w:sz="8" w:space="0" w:color="auto"/>
              <w:right w:val="single" w:sz="8" w:space="0" w:color="auto"/>
            </w:tcBorders>
            <w:shd w:val="clear" w:color="auto" w:fill="D9EEF3"/>
            <w:vAlign w:val="center"/>
            <w:hideMark/>
          </w:tcPr>
          <w:p w14:paraId="6E2EA905" w14:textId="77777777" w:rsidR="00CA6808" w:rsidRPr="00155028" w:rsidRDefault="00CA6808" w:rsidP="00CA6808">
            <w:pPr>
              <w:spacing w:before="120" w:after="0" w:line="240" w:lineRule="auto"/>
              <w:jc w:val="center"/>
              <w:rPr>
                <w:rFonts w:eastAsia="Times New Roman"/>
                <w:b/>
                <w:bCs/>
                <w:color w:val="000000"/>
                <w:sz w:val="16"/>
                <w:szCs w:val="16"/>
                <w:lang w:eastAsia="sl-SI"/>
              </w:rPr>
            </w:pPr>
            <w:r w:rsidRPr="00155028">
              <w:rPr>
                <w:rFonts w:eastAsia="Times New Roman"/>
                <w:b/>
                <w:bCs/>
                <w:color w:val="000000"/>
                <w:sz w:val="16"/>
                <w:szCs w:val="16"/>
                <w:lang w:eastAsia="sl-SI"/>
              </w:rPr>
              <w:t>2014</w:t>
            </w:r>
          </w:p>
        </w:tc>
        <w:tc>
          <w:tcPr>
            <w:tcW w:w="1035" w:type="dxa"/>
            <w:tcBorders>
              <w:top w:val="single" w:sz="8" w:space="0" w:color="auto"/>
              <w:left w:val="nil"/>
              <w:bottom w:val="single" w:sz="8" w:space="0" w:color="auto"/>
              <w:right w:val="single" w:sz="8" w:space="0" w:color="auto"/>
            </w:tcBorders>
            <w:shd w:val="clear" w:color="auto" w:fill="D9EEF3"/>
            <w:vAlign w:val="center"/>
            <w:hideMark/>
          </w:tcPr>
          <w:p w14:paraId="0F170541" w14:textId="77777777" w:rsidR="00CA6808" w:rsidRPr="00155028" w:rsidRDefault="00CA6808" w:rsidP="00CA6808">
            <w:pPr>
              <w:spacing w:before="120" w:after="0" w:line="240" w:lineRule="auto"/>
              <w:jc w:val="center"/>
              <w:rPr>
                <w:rFonts w:eastAsia="Times New Roman"/>
                <w:b/>
                <w:bCs/>
                <w:color w:val="000000"/>
                <w:sz w:val="16"/>
                <w:szCs w:val="16"/>
                <w:lang w:eastAsia="sl-SI"/>
              </w:rPr>
            </w:pPr>
            <w:r w:rsidRPr="00155028">
              <w:rPr>
                <w:rFonts w:eastAsia="Times New Roman"/>
                <w:b/>
                <w:bCs/>
                <w:color w:val="000000"/>
                <w:sz w:val="16"/>
                <w:szCs w:val="16"/>
                <w:lang w:eastAsia="sl-SI"/>
              </w:rPr>
              <w:t>2015</w:t>
            </w:r>
          </w:p>
        </w:tc>
        <w:tc>
          <w:tcPr>
            <w:tcW w:w="1036" w:type="dxa"/>
            <w:tcBorders>
              <w:top w:val="single" w:sz="8" w:space="0" w:color="auto"/>
              <w:left w:val="nil"/>
              <w:bottom w:val="single" w:sz="8" w:space="0" w:color="auto"/>
              <w:right w:val="single" w:sz="8" w:space="0" w:color="auto"/>
            </w:tcBorders>
            <w:shd w:val="clear" w:color="auto" w:fill="D9EEF3"/>
            <w:vAlign w:val="center"/>
            <w:hideMark/>
          </w:tcPr>
          <w:p w14:paraId="01313967" w14:textId="77777777" w:rsidR="00CA6808" w:rsidRPr="00155028" w:rsidRDefault="00CA6808" w:rsidP="00CA6808">
            <w:pPr>
              <w:spacing w:before="120" w:after="0" w:line="240" w:lineRule="auto"/>
              <w:jc w:val="center"/>
              <w:rPr>
                <w:rFonts w:eastAsia="Times New Roman"/>
                <w:b/>
                <w:bCs/>
                <w:color w:val="000000"/>
                <w:sz w:val="16"/>
                <w:szCs w:val="16"/>
                <w:lang w:eastAsia="sl-SI"/>
              </w:rPr>
            </w:pPr>
            <w:r w:rsidRPr="00155028">
              <w:rPr>
                <w:rFonts w:eastAsia="Times New Roman"/>
                <w:b/>
                <w:bCs/>
                <w:color w:val="000000"/>
                <w:sz w:val="16"/>
                <w:szCs w:val="16"/>
                <w:lang w:eastAsia="sl-SI"/>
              </w:rPr>
              <w:t>2016</w:t>
            </w:r>
          </w:p>
        </w:tc>
        <w:tc>
          <w:tcPr>
            <w:tcW w:w="1035" w:type="dxa"/>
            <w:tcBorders>
              <w:top w:val="single" w:sz="8" w:space="0" w:color="auto"/>
              <w:left w:val="nil"/>
              <w:bottom w:val="single" w:sz="8" w:space="0" w:color="auto"/>
              <w:right w:val="single" w:sz="8" w:space="0" w:color="auto"/>
            </w:tcBorders>
            <w:shd w:val="clear" w:color="auto" w:fill="D9EEF3"/>
            <w:vAlign w:val="center"/>
            <w:hideMark/>
          </w:tcPr>
          <w:p w14:paraId="5873CD07" w14:textId="77777777" w:rsidR="00CA6808" w:rsidRPr="00155028" w:rsidRDefault="00CA6808" w:rsidP="00CA6808">
            <w:pPr>
              <w:spacing w:before="120" w:after="0" w:line="240" w:lineRule="auto"/>
              <w:jc w:val="center"/>
              <w:rPr>
                <w:rFonts w:eastAsia="Times New Roman"/>
                <w:b/>
                <w:bCs/>
                <w:color w:val="000000"/>
                <w:sz w:val="16"/>
                <w:szCs w:val="16"/>
                <w:lang w:eastAsia="sl-SI"/>
              </w:rPr>
            </w:pPr>
            <w:r w:rsidRPr="00155028">
              <w:rPr>
                <w:rFonts w:eastAsia="Times New Roman"/>
                <w:b/>
                <w:bCs/>
                <w:color w:val="000000"/>
                <w:sz w:val="16"/>
                <w:szCs w:val="16"/>
                <w:lang w:eastAsia="sl-SI"/>
              </w:rPr>
              <w:t>2017</w:t>
            </w:r>
          </w:p>
        </w:tc>
        <w:tc>
          <w:tcPr>
            <w:tcW w:w="1035" w:type="dxa"/>
            <w:tcBorders>
              <w:top w:val="single" w:sz="8" w:space="0" w:color="auto"/>
              <w:left w:val="nil"/>
              <w:bottom w:val="single" w:sz="8" w:space="0" w:color="auto"/>
              <w:right w:val="single" w:sz="8" w:space="0" w:color="auto"/>
            </w:tcBorders>
            <w:shd w:val="clear" w:color="auto" w:fill="D9EEF3"/>
            <w:vAlign w:val="center"/>
            <w:hideMark/>
          </w:tcPr>
          <w:p w14:paraId="6D8D709D" w14:textId="77777777" w:rsidR="00CA6808" w:rsidRPr="00155028" w:rsidRDefault="00CA6808" w:rsidP="00CA6808">
            <w:pPr>
              <w:spacing w:before="120" w:after="0" w:line="240" w:lineRule="auto"/>
              <w:jc w:val="center"/>
              <w:rPr>
                <w:rFonts w:eastAsia="Times New Roman"/>
                <w:b/>
                <w:bCs/>
                <w:color w:val="000000"/>
                <w:sz w:val="16"/>
                <w:szCs w:val="16"/>
                <w:lang w:eastAsia="sl-SI"/>
              </w:rPr>
            </w:pPr>
            <w:r w:rsidRPr="00155028">
              <w:rPr>
                <w:rFonts w:eastAsia="Times New Roman"/>
                <w:b/>
                <w:bCs/>
                <w:color w:val="000000"/>
                <w:sz w:val="16"/>
                <w:szCs w:val="16"/>
                <w:lang w:eastAsia="sl-SI"/>
              </w:rPr>
              <w:t>2018</w:t>
            </w:r>
          </w:p>
        </w:tc>
        <w:tc>
          <w:tcPr>
            <w:tcW w:w="1036" w:type="dxa"/>
            <w:tcBorders>
              <w:top w:val="single" w:sz="4" w:space="0" w:color="auto"/>
              <w:left w:val="nil"/>
              <w:bottom w:val="single" w:sz="8" w:space="0" w:color="auto"/>
              <w:right w:val="single" w:sz="8" w:space="0" w:color="auto"/>
            </w:tcBorders>
            <w:shd w:val="clear" w:color="auto" w:fill="D9EEF3"/>
            <w:vAlign w:val="center"/>
            <w:hideMark/>
          </w:tcPr>
          <w:p w14:paraId="662631FE" w14:textId="77777777" w:rsidR="00CA6808" w:rsidRPr="00155028" w:rsidRDefault="00CA6808" w:rsidP="00CA6808">
            <w:pPr>
              <w:spacing w:before="120" w:after="0" w:line="240" w:lineRule="auto"/>
              <w:jc w:val="center"/>
              <w:rPr>
                <w:rFonts w:eastAsia="Times New Roman"/>
                <w:b/>
                <w:bCs/>
                <w:color w:val="000000"/>
                <w:sz w:val="16"/>
                <w:szCs w:val="16"/>
                <w:lang w:eastAsia="sl-SI"/>
              </w:rPr>
            </w:pPr>
            <w:r w:rsidRPr="00155028">
              <w:rPr>
                <w:rFonts w:eastAsia="Times New Roman"/>
                <w:b/>
                <w:bCs/>
                <w:color w:val="000000"/>
                <w:sz w:val="16"/>
                <w:szCs w:val="16"/>
                <w:lang w:eastAsia="sl-SI"/>
              </w:rPr>
              <w:t>2019</w:t>
            </w:r>
            <w:r w:rsidRPr="00155028">
              <w:rPr>
                <w:rFonts w:eastAsia="Times New Roman"/>
                <w:bCs/>
                <w:color w:val="000000"/>
                <w:sz w:val="16"/>
                <w:szCs w:val="16"/>
                <w:vertAlign w:val="superscript"/>
                <w:lang w:eastAsia="sl-SI"/>
              </w:rPr>
              <w:t>4</w:t>
            </w:r>
          </w:p>
        </w:tc>
      </w:tr>
      <w:tr w:rsidR="00CA6808" w:rsidRPr="00155028" w14:paraId="274CCD60" w14:textId="77777777" w:rsidTr="00CA6808">
        <w:trPr>
          <w:trHeight w:val="284"/>
          <w:jc w:val="center"/>
        </w:trPr>
        <w:tc>
          <w:tcPr>
            <w:tcW w:w="2434" w:type="dxa"/>
            <w:tcBorders>
              <w:top w:val="nil"/>
              <w:left w:val="nil"/>
              <w:bottom w:val="nil"/>
              <w:right w:val="nil"/>
            </w:tcBorders>
            <w:shd w:val="clear" w:color="auto" w:fill="auto"/>
            <w:noWrap/>
            <w:vAlign w:val="bottom"/>
            <w:hideMark/>
          </w:tcPr>
          <w:p w14:paraId="00E2E04C" w14:textId="77777777" w:rsidR="00CA6808" w:rsidRPr="00155028" w:rsidRDefault="00CA6808" w:rsidP="00CA6808">
            <w:pPr>
              <w:spacing w:before="120" w:after="0" w:line="240" w:lineRule="auto"/>
              <w:jc w:val="both"/>
              <w:rPr>
                <w:rFonts w:eastAsia="Times New Roman"/>
                <w:color w:val="000000"/>
                <w:sz w:val="16"/>
                <w:szCs w:val="16"/>
                <w:lang w:eastAsia="sl-SI"/>
              </w:rPr>
            </w:pPr>
          </w:p>
        </w:tc>
        <w:tc>
          <w:tcPr>
            <w:tcW w:w="1035" w:type="dxa"/>
            <w:tcBorders>
              <w:top w:val="nil"/>
              <w:left w:val="nil"/>
              <w:bottom w:val="nil"/>
              <w:right w:val="nil"/>
            </w:tcBorders>
            <w:shd w:val="clear" w:color="auto" w:fill="auto"/>
            <w:noWrap/>
            <w:vAlign w:val="bottom"/>
            <w:hideMark/>
          </w:tcPr>
          <w:p w14:paraId="1AC3737E" w14:textId="77777777" w:rsidR="00CA6808" w:rsidRPr="00155028" w:rsidRDefault="00CA6808" w:rsidP="00CA6808">
            <w:pPr>
              <w:spacing w:before="120" w:after="0" w:line="240" w:lineRule="auto"/>
              <w:jc w:val="both"/>
              <w:rPr>
                <w:rFonts w:eastAsia="Times New Roman"/>
                <w:color w:val="000000"/>
                <w:sz w:val="16"/>
                <w:szCs w:val="16"/>
                <w:lang w:eastAsia="sl-SI"/>
              </w:rPr>
            </w:pPr>
          </w:p>
        </w:tc>
        <w:tc>
          <w:tcPr>
            <w:tcW w:w="1035" w:type="dxa"/>
            <w:tcBorders>
              <w:top w:val="nil"/>
              <w:left w:val="nil"/>
              <w:bottom w:val="nil"/>
              <w:right w:val="nil"/>
            </w:tcBorders>
            <w:shd w:val="clear" w:color="auto" w:fill="auto"/>
            <w:noWrap/>
            <w:vAlign w:val="bottom"/>
            <w:hideMark/>
          </w:tcPr>
          <w:p w14:paraId="57325EDF" w14:textId="77777777" w:rsidR="00CA6808" w:rsidRPr="00155028" w:rsidRDefault="00CA6808" w:rsidP="00CA6808">
            <w:pPr>
              <w:spacing w:before="120" w:after="0" w:line="240" w:lineRule="auto"/>
              <w:jc w:val="both"/>
              <w:rPr>
                <w:rFonts w:eastAsia="Times New Roman"/>
                <w:color w:val="000000"/>
                <w:sz w:val="16"/>
                <w:szCs w:val="16"/>
                <w:lang w:eastAsia="sl-SI"/>
              </w:rPr>
            </w:pPr>
          </w:p>
        </w:tc>
        <w:tc>
          <w:tcPr>
            <w:tcW w:w="1036" w:type="dxa"/>
            <w:tcBorders>
              <w:top w:val="nil"/>
              <w:left w:val="nil"/>
              <w:bottom w:val="nil"/>
              <w:right w:val="nil"/>
            </w:tcBorders>
            <w:shd w:val="clear" w:color="auto" w:fill="auto"/>
            <w:noWrap/>
            <w:vAlign w:val="bottom"/>
            <w:hideMark/>
          </w:tcPr>
          <w:p w14:paraId="426E7BE6" w14:textId="77777777" w:rsidR="00CA6808" w:rsidRPr="00155028" w:rsidRDefault="00CA6808" w:rsidP="00CA6808">
            <w:pPr>
              <w:spacing w:before="120" w:after="0" w:line="240" w:lineRule="auto"/>
              <w:jc w:val="both"/>
              <w:rPr>
                <w:rFonts w:eastAsia="Times New Roman"/>
                <w:color w:val="000000"/>
                <w:sz w:val="16"/>
                <w:szCs w:val="16"/>
                <w:lang w:eastAsia="sl-SI"/>
              </w:rPr>
            </w:pPr>
          </w:p>
        </w:tc>
        <w:tc>
          <w:tcPr>
            <w:tcW w:w="1035" w:type="dxa"/>
            <w:tcBorders>
              <w:top w:val="nil"/>
              <w:left w:val="nil"/>
              <w:bottom w:val="nil"/>
              <w:right w:val="nil"/>
            </w:tcBorders>
            <w:shd w:val="clear" w:color="auto" w:fill="auto"/>
            <w:noWrap/>
            <w:vAlign w:val="bottom"/>
            <w:hideMark/>
          </w:tcPr>
          <w:p w14:paraId="2393F17C" w14:textId="77777777" w:rsidR="00CA6808" w:rsidRPr="00155028" w:rsidRDefault="00CA6808" w:rsidP="00CA6808">
            <w:pPr>
              <w:spacing w:before="120" w:after="0" w:line="240" w:lineRule="auto"/>
              <w:jc w:val="both"/>
              <w:rPr>
                <w:rFonts w:eastAsia="Times New Roman"/>
                <w:color w:val="000000"/>
                <w:sz w:val="16"/>
                <w:szCs w:val="16"/>
                <w:lang w:eastAsia="sl-SI"/>
              </w:rPr>
            </w:pPr>
          </w:p>
        </w:tc>
        <w:tc>
          <w:tcPr>
            <w:tcW w:w="1035" w:type="dxa"/>
            <w:tcBorders>
              <w:top w:val="nil"/>
              <w:left w:val="nil"/>
              <w:bottom w:val="nil"/>
              <w:right w:val="nil"/>
            </w:tcBorders>
            <w:shd w:val="clear" w:color="auto" w:fill="auto"/>
            <w:noWrap/>
            <w:vAlign w:val="bottom"/>
            <w:hideMark/>
          </w:tcPr>
          <w:p w14:paraId="7DA3EE18" w14:textId="77777777" w:rsidR="00CA6808" w:rsidRPr="00155028" w:rsidRDefault="00CA6808" w:rsidP="00CA6808">
            <w:pPr>
              <w:spacing w:before="120" w:after="0" w:line="240" w:lineRule="auto"/>
              <w:jc w:val="both"/>
              <w:rPr>
                <w:rFonts w:eastAsia="Times New Roman"/>
                <w:color w:val="000000"/>
                <w:sz w:val="16"/>
                <w:szCs w:val="16"/>
                <w:lang w:eastAsia="sl-SI"/>
              </w:rPr>
            </w:pPr>
          </w:p>
        </w:tc>
        <w:tc>
          <w:tcPr>
            <w:tcW w:w="1036" w:type="dxa"/>
            <w:tcBorders>
              <w:top w:val="nil"/>
              <w:left w:val="nil"/>
              <w:bottom w:val="nil"/>
              <w:right w:val="nil"/>
            </w:tcBorders>
            <w:shd w:val="clear" w:color="auto" w:fill="auto"/>
            <w:noWrap/>
            <w:vAlign w:val="bottom"/>
            <w:hideMark/>
          </w:tcPr>
          <w:p w14:paraId="14F21CF0" w14:textId="77777777" w:rsidR="00CA6808" w:rsidRPr="00155028" w:rsidRDefault="00CA6808" w:rsidP="00CA6808">
            <w:pPr>
              <w:spacing w:before="120" w:after="0" w:line="240" w:lineRule="auto"/>
              <w:jc w:val="both"/>
              <w:rPr>
                <w:rFonts w:eastAsia="Times New Roman"/>
                <w:color w:val="000000"/>
                <w:sz w:val="16"/>
                <w:szCs w:val="16"/>
                <w:lang w:eastAsia="sl-SI"/>
              </w:rPr>
            </w:pPr>
          </w:p>
        </w:tc>
      </w:tr>
      <w:tr w:rsidR="00CA6808" w:rsidRPr="00155028" w14:paraId="67E4369C" w14:textId="77777777" w:rsidTr="00CF43DE">
        <w:trPr>
          <w:trHeight w:val="284"/>
          <w:jc w:val="center"/>
        </w:trPr>
        <w:tc>
          <w:tcPr>
            <w:tcW w:w="2434" w:type="dxa"/>
            <w:tcBorders>
              <w:top w:val="single" w:sz="8" w:space="0" w:color="auto"/>
              <w:left w:val="single" w:sz="8" w:space="0" w:color="auto"/>
              <w:bottom w:val="nil"/>
              <w:right w:val="single" w:sz="8" w:space="0" w:color="auto"/>
            </w:tcBorders>
            <w:shd w:val="clear" w:color="auto" w:fill="D9EEF3"/>
            <w:vAlign w:val="center"/>
            <w:hideMark/>
          </w:tcPr>
          <w:p w14:paraId="486F9977" w14:textId="77777777" w:rsidR="00CA6808" w:rsidRPr="00155028" w:rsidRDefault="00CA6808" w:rsidP="00CA6808">
            <w:pPr>
              <w:spacing w:before="120" w:after="0" w:line="240" w:lineRule="auto"/>
              <w:jc w:val="both"/>
              <w:rPr>
                <w:rFonts w:eastAsia="Times New Roman"/>
                <w:b/>
                <w:bCs/>
                <w:color w:val="000000"/>
                <w:sz w:val="16"/>
                <w:szCs w:val="16"/>
                <w:lang w:eastAsia="sl-SI"/>
              </w:rPr>
            </w:pPr>
            <w:r w:rsidRPr="00155028">
              <w:rPr>
                <w:rFonts w:eastAsia="Times New Roman"/>
                <w:b/>
                <w:bCs/>
                <w:color w:val="000000"/>
                <w:sz w:val="16"/>
                <w:szCs w:val="16"/>
                <w:lang w:eastAsia="sl-SI"/>
              </w:rPr>
              <w:t>GOVEDO</w:t>
            </w:r>
          </w:p>
        </w:tc>
        <w:tc>
          <w:tcPr>
            <w:tcW w:w="1035" w:type="dxa"/>
            <w:tcBorders>
              <w:top w:val="nil"/>
              <w:left w:val="nil"/>
              <w:bottom w:val="nil"/>
              <w:right w:val="nil"/>
            </w:tcBorders>
            <w:shd w:val="clear" w:color="auto" w:fill="auto"/>
            <w:vAlign w:val="bottom"/>
            <w:hideMark/>
          </w:tcPr>
          <w:p w14:paraId="7C5F4FE8" w14:textId="77777777" w:rsidR="00CA6808" w:rsidRPr="00155028" w:rsidRDefault="00CA6808" w:rsidP="00CA6808">
            <w:pPr>
              <w:spacing w:before="120" w:after="0" w:line="240" w:lineRule="auto"/>
              <w:jc w:val="both"/>
              <w:rPr>
                <w:rFonts w:eastAsia="Times New Roman"/>
                <w:color w:val="000000"/>
                <w:sz w:val="16"/>
                <w:szCs w:val="16"/>
                <w:lang w:eastAsia="sl-SI"/>
              </w:rPr>
            </w:pPr>
          </w:p>
        </w:tc>
        <w:tc>
          <w:tcPr>
            <w:tcW w:w="1035" w:type="dxa"/>
            <w:tcBorders>
              <w:top w:val="nil"/>
              <w:left w:val="nil"/>
              <w:bottom w:val="single" w:sz="8" w:space="0" w:color="auto"/>
              <w:right w:val="nil"/>
            </w:tcBorders>
            <w:shd w:val="clear" w:color="auto" w:fill="auto"/>
            <w:vAlign w:val="bottom"/>
            <w:hideMark/>
          </w:tcPr>
          <w:p w14:paraId="6F8963C6" w14:textId="77777777" w:rsidR="00CA6808" w:rsidRPr="00155028" w:rsidRDefault="00CA6808" w:rsidP="00CA6808">
            <w:pPr>
              <w:spacing w:before="120" w:after="0" w:line="240" w:lineRule="auto"/>
              <w:jc w:val="both"/>
              <w:rPr>
                <w:rFonts w:eastAsia="Times New Roman"/>
                <w:color w:val="000000"/>
                <w:sz w:val="16"/>
                <w:szCs w:val="16"/>
                <w:lang w:eastAsia="sl-SI"/>
              </w:rPr>
            </w:pPr>
          </w:p>
        </w:tc>
        <w:tc>
          <w:tcPr>
            <w:tcW w:w="1036" w:type="dxa"/>
            <w:tcBorders>
              <w:top w:val="nil"/>
              <w:left w:val="nil"/>
              <w:bottom w:val="single" w:sz="8" w:space="0" w:color="auto"/>
              <w:right w:val="nil"/>
            </w:tcBorders>
            <w:shd w:val="clear" w:color="auto" w:fill="auto"/>
            <w:vAlign w:val="bottom"/>
            <w:hideMark/>
          </w:tcPr>
          <w:p w14:paraId="04C5A3BC" w14:textId="77777777" w:rsidR="00CA6808" w:rsidRPr="00155028" w:rsidRDefault="00CA6808" w:rsidP="00CA6808">
            <w:pPr>
              <w:spacing w:before="120" w:after="0" w:line="240" w:lineRule="auto"/>
              <w:jc w:val="both"/>
              <w:rPr>
                <w:rFonts w:eastAsia="Times New Roman"/>
                <w:color w:val="000000"/>
                <w:sz w:val="16"/>
                <w:szCs w:val="16"/>
                <w:lang w:eastAsia="sl-SI"/>
              </w:rPr>
            </w:pPr>
          </w:p>
        </w:tc>
        <w:tc>
          <w:tcPr>
            <w:tcW w:w="1035" w:type="dxa"/>
            <w:tcBorders>
              <w:top w:val="nil"/>
              <w:left w:val="nil"/>
              <w:bottom w:val="nil"/>
              <w:right w:val="nil"/>
            </w:tcBorders>
            <w:shd w:val="clear" w:color="auto" w:fill="auto"/>
            <w:vAlign w:val="bottom"/>
            <w:hideMark/>
          </w:tcPr>
          <w:p w14:paraId="2D272011" w14:textId="77777777" w:rsidR="00CA6808" w:rsidRPr="00155028" w:rsidRDefault="00CA6808" w:rsidP="00CA6808">
            <w:pPr>
              <w:spacing w:before="120" w:after="0" w:line="240" w:lineRule="auto"/>
              <w:jc w:val="both"/>
              <w:rPr>
                <w:rFonts w:eastAsia="Times New Roman"/>
                <w:color w:val="000000"/>
                <w:sz w:val="16"/>
                <w:szCs w:val="16"/>
                <w:lang w:eastAsia="sl-SI"/>
              </w:rPr>
            </w:pPr>
          </w:p>
        </w:tc>
        <w:tc>
          <w:tcPr>
            <w:tcW w:w="1035" w:type="dxa"/>
            <w:tcBorders>
              <w:top w:val="nil"/>
              <w:left w:val="nil"/>
              <w:bottom w:val="nil"/>
              <w:right w:val="nil"/>
            </w:tcBorders>
            <w:shd w:val="clear" w:color="auto" w:fill="auto"/>
            <w:vAlign w:val="bottom"/>
            <w:hideMark/>
          </w:tcPr>
          <w:p w14:paraId="5105EB90" w14:textId="77777777" w:rsidR="00CA6808" w:rsidRPr="00155028" w:rsidRDefault="00CA6808" w:rsidP="00CA6808">
            <w:pPr>
              <w:spacing w:before="120" w:after="0" w:line="240" w:lineRule="auto"/>
              <w:jc w:val="both"/>
              <w:rPr>
                <w:rFonts w:eastAsia="Times New Roman"/>
                <w:color w:val="000000"/>
                <w:sz w:val="16"/>
                <w:szCs w:val="16"/>
                <w:lang w:eastAsia="sl-SI"/>
              </w:rPr>
            </w:pPr>
          </w:p>
        </w:tc>
        <w:tc>
          <w:tcPr>
            <w:tcW w:w="1036" w:type="dxa"/>
            <w:tcBorders>
              <w:top w:val="nil"/>
              <w:left w:val="nil"/>
              <w:bottom w:val="single" w:sz="8" w:space="0" w:color="auto"/>
              <w:right w:val="nil"/>
            </w:tcBorders>
            <w:shd w:val="clear" w:color="auto" w:fill="auto"/>
            <w:vAlign w:val="bottom"/>
            <w:hideMark/>
          </w:tcPr>
          <w:p w14:paraId="6B2AE6C6" w14:textId="77777777" w:rsidR="00CA6808" w:rsidRPr="00155028" w:rsidRDefault="00CA6808" w:rsidP="00CA6808">
            <w:pPr>
              <w:spacing w:before="120" w:after="0" w:line="240" w:lineRule="auto"/>
              <w:jc w:val="both"/>
              <w:rPr>
                <w:rFonts w:eastAsia="Times New Roman"/>
                <w:color w:val="000000"/>
                <w:sz w:val="16"/>
                <w:szCs w:val="16"/>
                <w:lang w:eastAsia="sl-SI"/>
              </w:rPr>
            </w:pPr>
          </w:p>
        </w:tc>
      </w:tr>
      <w:tr w:rsidR="00CA6808" w:rsidRPr="00155028" w14:paraId="3063DEED" w14:textId="77777777" w:rsidTr="00CA6808">
        <w:trPr>
          <w:trHeight w:val="284"/>
          <w:jc w:val="center"/>
        </w:trPr>
        <w:tc>
          <w:tcPr>
            <w:tcW w:w="2434"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390FE21A"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Teleta do 6 mesecev</w:t>
            </w:r>
          </w:p>
        </w:tc>
        <w:tc>
          <w:tcPr>
            <w:tcW w:w="1035" w:type="dxa"/>
            <w:tcBorders>
              <w:top w:val="single" w:sz="8" w:space="0" w:color="auto"/>
              <w:left w:val="nil"/>
              <w:bottom w:val="single" w:sz="8" w:space="0" w:color="auto"/>
              <w:right w:val="single" w:sz="8" w:space="0" w:color="auto"/>
            </w:tcBorders>
            <w:shd w:val="clear" w:color="auto" w:fill="auto"/>
            <w:noWrap/>
            <w:vAlign w:val="center"/>
          </w:tcPr>
          <w:p w14:paraId="3161DAB6"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66.015</w:t>
            </w:r>
          </w:p>
        </w:tc>
        <w:tc>
          <w:tcPr>
            <w:tcW w:w="1035" w:type="dxa"/>
            <w:tcBorders>
              <w:top w:val="single" w:sz="8" w:space="0" w:color="auto"/>
              <w:left w:val="nil"/>
              <w:bottom w:val="single" w:sz="4" w:space="0" w:color="auto"/>
              <w:right w:val="single" w:sz="8" w:space="0" w:color="auto"/>
            </w:tcBorders>
            <w:shd w:val="clear" w:color="000000" w:fill="FFFFFF"/>
            <w:noWrap/>
            <w:vAlign w:val="center"/>
          </w:tcPr>
          <w:p w14:paraId="121034BD"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65.114</w:t>
            </w:r>
          </w:p>
        </w:tc>
        <w:tc>
          <w:tcPr>
            <w:tcW w:w="1036" w:type="dxa"/>
            <w:tcBorders>
              <w:top w:val="single" w:sz="8" w:space="0" w:color="auto"/>
              <w:left w:val="single" w:sz="4" w:space="0" w:color="auto"/>
              <w:bottom w:val="single" w:sz="4" w:space="0" w:color="auto"/>
              <w:right w:val="single" w:sz="8" w:space="0" w:color="auto"/>
            </w:tcBorders>
            <w:shd w:val="clear" w:color="auto" w:fill="auto"/>
            <w:noWrap/>
            <w:vAlign w:val="center"/>
          </w:tcPr>
          <w:p w14:paraId="12C3E81E"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66.480</w:t>
            </w:r>
          </w:p>
        </w:tc>
        <w:tc>
          <w:tcPr>
            <w:tcW w:w="1035" w:type="dxa"/>
            <w:tcBorders>
              <w:top w:val="single" w:sz="8" w:space="0" w:color="auto"/>
              <w:left w:val="nil"/>
              <w:bottom w:val="single" w:sz="4" w:space="0" w:color="auto"/>
              <w:right w:val="single" w:sz="8" w:space="0" w:color="auto"/>
            </w:tcBorders>
            <w:shd w:val="clear" w:color="auto" w:fill="auto"/>
            <w:noWrap/>
            <w:vAlign w:val="center"/>
          </w:tcPr>
          <w:p w14:paraId="00AC75E2"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67.683</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73330E4E"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66.051</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08B8B0D0"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63.348</w:t>
            </w:r>
          </w:p>
        </w:tc>
      </w:tr>
      <w:tr w:rsidR="00CA6808" w:rsidRPr="00155028" w14:paraId="7CE53808"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026BE8E4"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Mlado govedo od 6 mesecev do 1 leta</w:t>
            </w:r>
          </w:p>
        </w:tc>
        <w:tc>
          <w:tcPr>
            <w:tcW w:w="1035" w:type="dxa"/>
            <w:tcBorders>
              <w:top w:val="nil"/>
              <w:left w:val="nil"/>
              <w:bottom w:val="single" w:sz="4" w:space="0" w:color="auto"/>
              <w:right w:val="single" w:sz="8" w:space="0" w:color="auto"/>
            </w:tcBorders>
            <w:shd w:val="clear" w:color="auto" w:fill="auto"/>
            <w:vAlign w:val="center"/>
          </w:tcPr>
          <w:p w14:paraId="00D22E8D"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73.370</w:t>
            </w:r>
          </w:p>
        </w:tc>
        <w:tc>
          <w:tcPr>
            <w:tcW w:w="1035" w:type="dxa"/>
            <w:tcBorders>
              <w:top w:val="nil"/>
              <w:left w:val="nil"/>
              <w:bottom w:val="single" w:sz="4" w:space="0" w:color="auto"/>
              <w:right w:val="single" w:sz="8" w:space="0" w:color="auto"/>
            </w:tcBorders>
            <w:shd w:val="clear" w:color="000000" w:fill="FFFFFF"/>
            <w:vAlign w:val="center"/>
          </w:tcPr>
          <w:p w14:paraId="1A5081C9"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78.507</w:t>
            </w:r>
          </w:p>
        </w:tc>
        <w:tc>
          <w:tcPr>
            <w:tcW w:w="1036" w:type="dxa"/>
            <w:tcBorders>
              <w:top w:val="single" w:sz="4" w:space="0" w:color="auto"/>
              <w:left w:val="single" w:sz="4" w:space="0" w:color="auto"/>
              <w:bottom w:val="single" w:sz="4" w:space="0" w:color="auto"/>
              <w:right w:val="single" w:sz="8" w:space="0" w:color="auto"/>
            </w:tcBorders>
            <w:shd w:val="clear" w:color="auto" w:fill="auto"/>
            <w:vAlign w:val="center"/>
          </w:tcPr>
          <w:p w14:paraId="1D8FCD17"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81.072</w:t>
            </w:r>
          </w:p>
        </w:tc>
        <w:tc>
          <w:tcPr>
            <w:tcW w:w="1035" w:type="dxa"/>
            <w:tcBorders>
              <w:top w:val="nil"/>
              <w:left w:val="nil"/>
              <w:bottom w:val="single" w:sz="4" w:space="0" w:color="auto"/>
              <w:right w:val="single" w:sz="8" w:space="0" w:color="auto"/>
            </w:tcBorders>
            <w:shd w:val="clear" w:color="auto" w:fill="auto"/>
            <w:vAlign w:val="center"/>
          </w:tcPr>
          <w:p w14:paraId="30BBA03D"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82.733</w:t>
            </w:r>
          </w:p>
        </w:tc>
        <w:tc>
          <w:tcPr>
            <w:tcW w:w="1035" w:type="dxa"/>
            <w:tcBorders>
              <w:top w:val="nil"/>
              <w:left w:val="nil"/>
              <w:bottom w:val="single" w:sz="4" w:space="0" w:color="auto"/>
              <w:right w:val="single" w:sz="4" w:space="0" w:color="auto"/>
            </w:tcBorders>
            <w:shd w:val="clear" w:color="auto" w:fill="auto"/>
            <w:vAlign w:val="center"/>
          </w:tcPr>
          <w:p w14:paraId="28FF08A5"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82.801</w:t>
            </w:r>
          </w:p>
        </w:tc>
        <w:tc>
          <w:tcPr>
            <w:tcW w:w="1036" w:type="dxa"/>
            <w:tcBorders>
              <w:top w:val="nil"/>
              <w:left w:val="nil"/>
              <w:bottom w:val="single" w:sz="4" w:space="0" w:color="auto"/>
              <w:right w:val="single" w:sz="4" w:space="0" w:color="auto"/>
            </w:tcBorders>
            <w:shd w:val="clear" w:color="auto" w:fill="auto"/>
            <w:vAlign w:val="center"/>
          </w:tcPr>
          <w:p w14:paraId="5AFB7C87"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86.491</w:t>
            </w:r>
          </w:p>
        </w:tc>
      </w:tr>
      <w:tr w:rsidR="00CA6808" w:rsidRPr="00155028" w14:paraId="2A554794"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00A387D1"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Mlado govedo od 1 do 2 let</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1C9E089D"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116.760</w:t>
            </w:r>
          </w:p>
        </w:tc>
        <w:tc>
          <w:tcPr>
            <w:tcW w:w="1035" w:type="dxa"/>
            <w:tcBorders>
              <w:top w:val="nil"/>
              <w:left w:val="nil"/>
              <w:bottom w:val="single" w:sz="4" w:space="0" w:color="auto"/>
              <w:right w:val="single" w:sz="8" w:space="0" w:color="auto"/>
            </w:tcBorders>
            <w:shd w:val="clear" w:color="000000" w:fill="FFFFFF"/>
            <w:noWrap/>
            <w:vAlign w:val="center"/>
          </w:tcPr>
          <w:p w14:paraId="75BD1E8A"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118.199</w:t>
            </w:r>
          </w:p>
        </w:tc>
        <w:tc>
          <w:tcPr>
            <w:tcW w:w="103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3497F9D"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124.772</w:t>
            </w:r>
          </w:p>
        </w:tc>
        <w:tc>
          <w:tcPr>
            <w:tcW w:w="1035" w:type="dxa"/>
            <w:tcBorders>
              <w:top w:val="nil"/>
              <w:left w:val="nil"/>
              <w:bottom w:val="single" w:sz="4" w:space="0" w:color="auto"/>
              <w:right w:val="single" w:sz="8" w:space="0" w:color="auto"/>
            </w:tcBorders>
            <w:shd w:val="clear" w:color="auto" w:fill="auto"/>
            <w:noWrap/>
            <w:vAlign w:val="center"/>
          </w:tcPr>
          <w:p w14:paraId="65B1ACC8"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126.040</w:t>
            </w:r>
          </w:p>
        </w:tc>
        <w:tc>
          <w:tcPr>
            <w:tcW w:w="1035" w:type="dxa"/>
            <w:tcBorders>
              <w:top w:val="nil"/>
              <w:left w:val="nil"/>
              <w:bottom w:val="single" w:sz="4" w:space="0" w:color="auto"/>
              <w:right w:val="single" w:sz="4" w:space="0" w:color="auto"/>
            </w:tcBorders>
            <w:shd w:val="clear" w:color="auto" w:fill="auto"/>
            <w:noWrap/>
            <w:vAlign w:val="center"/>
          </w:tcPr>
          <w:p w14:paraId="6C3E7382"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122.867</w:t>
            </w:r>
          </w:p>
        </w:tc>
        <w:tc>
          <w:tcPr>
            <w:tcW w:w="1036" w:type="dxa"/>
            <w:tcBorders>
              <w:top w:val="nil"/>
              <w:left w:val="nil"/>
              <w:bottom w:val="single" w:sz="4" w:space="0" w:color="auto"/>
              <w:right w:val="single" w:sz="4" w:space="0" w:color="auto"/>
            </w:tcBorders>
            <w:shd w:val="clear" w:color="auto" w:fill="auto"/>
            <w:noWrap/>
            <w:vAlign w:val="center"/>
          </w:tcPr>
          <w:p w14:paraId="32E22FEC"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122.643</w:t>
            </w:r>
          </w:p>
        </w:tc>
      </w:tr>
      <w:tr w:rsidR="00CA6808" w:rsidRPr="00155028" w14:paraId="7031CAF5"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24A7C040"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Govedo nad 2 leti</w:t>
            </w:r>
          </w:p>
        </w:tc>
        <w:tc>
          <w:tcPr>
            <w:tcW w:w="1035" w:type="dxa"/>
            <w:tcBorders>
              <w:top w:val="single" w:sz="4" w:space="0" w:color="auto"/>
              <w:left w:val="nil"/>
              <w:bottom w:val="single" w:sz="8" w:space="0" w:color="auto"/>
              <w:right w:val="single" w:sz="8" w:space="0" w:color="auto"/>
            </w:tcBorders>
            <w:shd w:val="clear" w:color="auto" w:fill="auto"/>
            <w:noWrap/>
            <w:vAlign w:val="center"/>
          </w:tcPr>
          <w:p w14:paraId="528715AA"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187.033</w:t>
            </w:r>
          </w:p>
        </w:tc>
        <w:tc>
          <w:tcPr>
            <w:tcW w:w="1035" w:type="dxa"/>
            <w:tcBorders>
              <w:top w:val="nil"/>
              <w:left w:val="nil"/>
              <w:bottom w:val="single" w:sz="4" w:space="0" w:color="auto"/>
              <w:right w:val="single" w:sz="8" w:space="0" w:color="auto"/>
            </w:tcBorders>
            <w:shd w:val="clear" w:color="000000" w:fill="FFFFFF"/>
            <w:noWrap/>
            <w:vAlign w:val="center"/>
          </w:tcPr>
          <w:p w14:paraId="2357005D"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192.627</w:t>
            </w:r>
          </w:p>
        </w:tc>
        <w:tc>
          <w:tcPr>
            <w:tcW w:w="103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BB5AEF3"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197.042</w:t>
            </w:r>
          </w:p>
        </w:tc>
        <w:tc>
          <w:tcPr>
            <w:tcW w:w="1035" w:type="dxa"/>
            <w:tcBorders>
              <w:top w:val="nil"/>
              <w:left w:val="nil"/>
              <w:bottom w:val="single" w:sz="4" w:space="0" w:color="auto"/>
              <w:right w:val="single" w:sz="8" w:space="0" w:color="auto"/>
            </w:tcBorders>
            <w:shd w:val="clear" w:color="auto" w:fill="auto"/>
            <w:noWrap/>
            <w:vAlign w:val="center"/>
          </w:tcPr>
          <w:p w14:paraId="64057ED6"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197.312</w:t>
            </w:r>
          </w:p>
        </w:tc>
        <w:tc>
          <w:tcPr>
            <w:tcW w:w="1035" w:type="dxa"/>
            <w:tcBorders>
              <w:top w:val="nil"/>
              <w:left w:val="nil"/>
              <w:bottom w:val="single" w:sz="4" w:space="0" w:color="auto"/>
              <w:right w:val="single" w:sz="4" w:space="0" w:color="auto"/>
            </w:tcBorders>
            <w:shd w:val="clear" w:color="auto" w:fill="auto"/>
            <w:noWrap/>
            <w:vAlign w:val="center"/>
          </w:tcPr>
          <w:p w14:paraId="41DFBA6C"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191.621</w:t>
            </w:r>
          </w:p>
        </w:tc>
        <w:tc>
          <w:tcPr>
            <w:tcW w:w="1036" w:type="dxa"/>
            <w:tcBorders>
              <w:top w:val="nil"/>
              <w:left w:val="nil"/>
              <w:bottom w:val="single" w:sz="4" w:space="0" w:color="auto"/>
              <w:right w:val="single" w:sz="4" w:space="0" w:color="auto"/>
            </w:tcBorders>
            <w:shd w:val="clear" w:color="auto" w:fill="auto"/>
            <w:noWrap/>
            <w:vAlign w:val="center"/>
          </w:tcPr>
          <w:p w14:paraId="3EFFA38A"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190.390</w:t>
            </w:r>
          </w:p>
        </w:tc>
      </w:tr>
      <w:tr w:rsidR="00CA6808" w:rsidRPr="00155028" w14:paraId="1C0E9981"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41441370"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Pritlikavi zebu do 2 let</w:t>
            </w:r>
          </w:p>
        </w:tc>
        <w:tc>
          <w:tcPr>
            <w:tcW w:w="1035" w:type="dxa"/>
            <w:tcBorders>
              <w:top w:val="nil"/>
              <w:left w:val="nil"/>
              <w:bottom w:val="single" w:sz="8" w:space="0" w:color="auto"/>
              <w:right w:val="single" w:sz="8" w:space="0" w:color="auto"/>
            </w:tcBorders>
            <w:shd w:val="clear" w:color="auto" w:fill="auto"/>
            <w:noWrap/>
            <w:vAlign w:val="center"/>
          </w:tcPr>
          <w:p w14:paraId="6BAA8208"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9</w:t>
            </w:r>
          </w:p>
        </w:tc>
        <w:tc>
          <w:tcPr>
            <w:tcW w:w="1035" w:type="dxa"/>
            <w:tcBorders>
              <w:top w:val="nil"/>
              <w:left w:val="nil"/>
              <w:bottom w:val="single" w:sz="4" w:space="0" w:color="auto"/>
              <w:right w:val="single" w:sz="8" w:space="0" w:color="auto"/>
            </w:tcBorders>
            <w:shd w:val="clear" w:color="000000" w:fill="FFFFFF"/>
            <w:noWrap/>
            <w:vAlign w:val="center"/>
          </w:tcPr>
          <w:p w14:paraId="074B5EA7"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15</w:t>
            </w:r>
          </w:p>
        </w:tc>
        <w:tc>
          <w:tcPr>
            <w:tcW w:w="103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17AD5F3"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14</w:t>
            </w:r>
          </w:p>
        </w:tc>
        <w:tc>
          <w:tcPr>
            <w:tcW w:w="1035" w:type="dxa"/>
            <w:tcBorders>
              <w:top w:val="nil"/>
              <w:left w:val="nil"/>
              <w:bottom w:val="single" w:sz="4" w:space="0" w:color="auto"/>
              <w:right w:val="single" w:sz="8" w:space="0" w:color="auto"/>
            </w:tcBorders>
            <w:shd w:val="clear" w:color="auto" w:fill="auto"/>
            <w:noWrap/>
            <w:vAlign w:val="center"/>
          </w:tcPr>
          <w:p w14:paraId="106ECEB4"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20</w:t>
            </w:r>
          </w:p>
        </w:tc>
        <w:tc>
          <w:tcPr>
            <w:tcW w:w="1035" w:type="dxa"/>
            <w:tcBorders>
              <w:top w:val="nil"/>
              <w:left w:val="nil"/>
              <w:bottom w:val="single" w:sz="4" w:space="0" w:color="auto"/>
              <w:right w:val="single" w:sz="4" w:space="0" w:color="auto"/>
            </w:tcBorders>
            <w:shd w:val="clear" w:color="auto" w:fill="auto"/>
            <w:noWrap/>
            <w:vAlign w:val="center"/>
          </w:tcPr>
          <w:p w14:paraId="05FC99F3"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23</w:t>
            </w:r>
          </w:p>
        </w:tc>
        <w:tc>
          <w:tcPr>
            <w:tcW w:w="1036" w:type="dxa"/>
            <w:tcBorders>
              <w:top w:val="nil"/>
              <w:left w:val="nil"/>
              <w:bottom w:val="single" w:sz="4" w:space="0" w:color="auto"/>
              <w:right w:val="single" w:sz="4" w:space="0" w:color="auto"/>
            </w:tcBorders>
            <w:shd w:val="clear" w:color="auto" w:fill="auto"/>
            <w:noWrap/>
            <w:vAlign w:val="center"/>
          </w:tcPr>
          <w:p w14:paraId="46AAA87D"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10</w:t>
            </w:r>
          </w:p>
        </w:tc>
      </w:tr>
      <w:tr w:rsidR="00CA6808" w:rsidRPr="00155028" w14:paraId="596B0AC3"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hideMark/>
          </w:tcPr>
          <w:p w14:paraId="7723B863"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Pritlikavi zebu nad 2 leti</w:t>
            </w:r>
          </w:p>
        </w:tc>
        <w:tc>
          <w:tcPr>
            <w:tcW w:w="1035" w:type="dxa"/>
            <w:tcBorders>
              <w:top w:val="nil"/>
              <w:left w:val="nil"/>
              <w:bottom w:val="single" w:sz="8" w:space="0" w:color="auto"/>
              <w:right w:val="single" w:sz="8" w:space="0" w:color="auto"/>
            </w:tcBorders>
            <w:shd w:val="clear" w:color="auto" w:fill="auto"/>
            <w:noWrap/>
            <w:vAlign w:val="center"/>
          </w:tcPr>
          <w:p w14:paraId="30659598"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36</w:t>
            </w:r>
          </w:p>
        </w:tc>
        <w:tc>
          <w:tcPr>
            <w:tcW w:w="1035" w:type="dxa"/>
            <w:tcBorders>
              <w:top w:val="nil"/>
              <w:left w:val="nil"/>
              <w:bottom w:val="single" w:sz="8" w:space="0" w:color="auto"/>
              <w:right w:val="single" w:sz="8" w:space="0" w:color="auto"/>
            </w:tcBorders>
            <w:shd w:val="clear" w:color="000000" w:fill="FFFFFF"/>
            <w:noWrap/>
            <w:vAlign w:val="center"/>
          </w:tcPr>
          <w:p w14:paraId="4428A3C9"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39</w:t>
            </w:r>
          </w:p>
        </w:tc>
        <w:tc>
          <w:tcPr>
            <w:tcW w:w="1036"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6203F5E"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41</w:t>
            </w:r>
          </w:p>
        </w:tc>
        <w:tc>
          <w:tcPr>
            <w:tcW w:w="1035" w:type="dxa"/>
            <w:tcBorders>
              <w:top w:val="nil"/>
              <w:left w:val="nil"/>
              <w:bottom w:val="single" w:sz="8" w:space="0" w:color="auto"/>
              <w:right w:val="single" w:sz="8" w:space="0" w:color="auto"/>
            </w:tcBorders>
            <w:shd w:val="clear" w:color="auto" w:fill="auto"/>
            <w:noWrap/>
            <w:vAlign w:val="center"/>
          </w:tcPr>
          <w:p w14:paraId="7E2BE1D2"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42</w:t>
            </w:r>
          </w:p>
        </w:tc>
        <w:tc>
          <w:tcPr>
            <w:tcW w:w="1035" w:type="dxa"/>
            <w:tcBorders>
              <w:top w:val="nil"/>
              <w:left w:val="nil"/>
              <w:bottom w:val="single" w:sz="4" w:space="0" w:color="auto"/>
              <w:right w:val="single" w:sz="4" w:space="0" w:color="auto"/>
            </w:tcBorders>
            <w:shd w:val="clear" w:color="auto" w:fill="auto"/>
            <w:noWrap/>
            <w:vAlign w:val="center"/>
          </w:tcPr>
          <w:p w14:paraId="74832BF9"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50</w:t>
            </w:r>
          </w:p>
        </w:tc>
        <w:tc>
          <w:tcPr>
            <w:tcW w:w="1036" w:type="dxa"/>
            <w:tcBorders>
              <w:top w:val="nil"/>
              <w:left w:val="nil"/>
              <w:bottom w:val="single" w:sz="4" w:space="0" w:color="auto"/>
              <w:right w:val="single" w:sz="4" w:space="0" w:color="auto"/>
            </w:tcBorders>
            <w:shd w:val="clear" w:color="auto" w:fill="auto"/>
            <w:noWrap/>
            <w:vAlign w:val="center"/>
          </w:tcPr>
          <w:p w14:paraId="673AE4DE"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39</w:t>
            </w:r>
          </w:p>
        </w:tc>
      </w:tr>
      <w:tr w:rsidR="00CA6808" w:rsidRPr="00155028" w14:paraId="7BF5ADCE"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tcPr>
          <w:p w14:paraId="7A88CD2D" w14:textId="77777777" w:rsidR="00CA6808" w:rsidRPr="00155028" w:rsidRDefault="00CA6808" w:rsidP="00CA6808">
            <w:pPr>
              <w:spacing w:before="120" w:after="0" w:line="240" w:lineRule="auto"/>
              <w:jc w:val="both"/>
              <w:rPr>
                <w:rFonts w:eastAsia="Times New Roman"/>
                <w:b/>
                <w:color w:val="000000"/>
                <w:sz w:val="16"/>
                <w:szCs w:val="16"/>
                <w:lang w:eastAsia="sl-SI"/>
              </w:rPr>
            </w:pPr>
            <w:r w:rsidRPr="00155028">
              <w:rPr>
                <w:rFonts w:eastAsia="Times New Roman"/>
                <w:b/>
                <w:color w:val="000000"/>
                <w:sz w:val="16"/>
                <w:szCs w:val="16"/>
                <w:lang w:eastAsia="sl-SI"/>
              </w:rPr>
              <w:t>GVŽ</w:t>
            </w:r>
            <w:r w:rsidRPr="00155028">
              <w:rPr>
                <w:rFonts w:eastAsia="Times New Roman"/>
                <w:color w:val="000000"/>
                <w:sz w:val="16"/>
                <w:szCs w:val="16"/>
                <w:vertAlign w:val="superscript"/>
                <w:lang w:eastAsia="sl-SI"/>
              </w:rPr>
              <w:t>3</w:t>
            </w:r>
          </w:p>
        </w:tc>
        <w:tc>
          <w:tcPr>
            <w:tcW w:w="1035" w:type="dxa"/>
            <w:tcBorders>
              <w:top w:val="nil"/>
              <w:left w:val="nil"/>
              <w:bottom w:val="single" w:sz="8" w:space="0" w:color="auto"/>
              <w:right w:val="single" w:sz="8" w:space="0" w:color="auto"/>
            </w:tcBorders>
            <w:shd w:val="clear" w:color="auto" w:fill="auto"/>
            <w:noWrap/>
            <w:vAlign w:val="center"/>
          </w:tcPr>
          <w:p w14:paraId="6D343E97"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327.558,40</w:t>
            </w:r>
          </w:p>
        </w:tc>
        <w:tc>
          <w:tcPr>
            <w:tcW w:w="1035" w:type="dxa"/>
            <w:tcBorders>
              <w:top w:val="nil"/>
              <w:left w:val="nil"/>
              <w:bottom w:val="single" w:sz="8" w:space="0" w:color="auto"/>
              <w:right w:val="single" w:sz="8" w:space="0" w:color="auto"/>
            </w:tcBorders>
            <w:shd w:val="clear" w:color="000000" w:fill="FFFFFF"/>
            <w:noWrap/>
            <w:vAlign w:val="center"/>
          </w:tcPr>
          <w:p w14:paraId="085221D1"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336.744,20</w:t>
            </w:r>
          </w:p>
        </w:tc>
        <w:tc>
          <w:tcPr>
            <w:tcW w:w="1036"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1E8053F"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347.189,80</w:t>
            </w:r>
          </w:p>
        </w:tc>
        <w:tc>
          <w:tcPr>
            <w:tcW w:w="1035" w:type="dxa"/>
            <w:tcBorders>
              <w:top w:val="nil"/>
              <w:left w:val="nil"/>
              <w:bottom w:val="single" w:sz="8" w:space="0" w:color="auto"/>
              <w:right w:val="single" w:sz="8" w:space="0" w:color="auto"/>
            </w:tcBorders>
            <w:shd w:val="clear" w:color="auto" w:fill="auto"/>
            <w:noWrap/>
            <w:vAlign w:val="center"/>
          </w:tcPr>
          <w:p w14:paraId="4D1E362D"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349.703,00</w:t>
            </w:r>
          </w:p>
        </w:tc>
        <w:tc>
          <w:tcPr>
            <w:tcW w:w="1035" w:type="dxa"/>
            <w:tcBorders>
              <w:top w:val="nil"/>
              <w:left w:val="nil"/>
              <w:bottom w:val="single" w:sz="4" w:space="0" w:color="auto"/>
              <w:right w:val="single" w:sz="4" w:space="0" w:color="auto"/>
            </w:tcBorders>
            <w:shd w:val="clear" w:color="auto" w:fill="auto"/>
            <w:noWrap/>
            <w:vAlign w:val="center"/>
          </w:tcPr>
          <w:p w14:paraId="1B113298"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341.506,00</w:t>
            </w:r>
          </w:p>
        </w:tc>
        <w:tc>
          <w:tcPr>
            <w:tcW w:w="1036" w:type="dxa"/>
            <w:tcBorders>
              <w:top w:val="nil"/>
              <w:left w:val="nil"/>
              <w:bottom w:val="single" w:sz="4" w:space="0" w:color="auto"/>
              <w:right w:val="single" w:sz="4" w:space="0" w:color="auto"/>
            </w:tcBorders>
            <w:shd w:val="clear" w:color="auto" w:fill="auto"/>
            <w:noWrap/>
            <w:vAlign w:val="center"/>
          </w:tcPr>
          <w:p w14:paraId="7DCEA750"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341.254,60</w:t>
            </w:r>
          </w:p>
        </w:tc>
      </w:tr>
      <w:tr w:rsidR="00CA6808" w:rsidRPr="00155028" w14:paraId="39722183"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tcPr>
          <w:p w14:paraId="1B19C0E2" w14:textId="77777777" w:rsidR="00CA6808" w:rsidRPr="00155028" w:rsidRDefault="00CA6808" w:rsidP="00CA6808">
            <w:pPr>
              <w:spacing w:before="120" w:after="0" w:line="240" w:lineRule="auto"/>
              <w:jc w:val="both"/>
              <w:rPr>
                <w:rFonts w:eastAsia="Times New Roman"/>
                <w:b/>
                <w:color w:val="000000"/>
                <w:sz w:val="16"/>
                <w:szCs w:val="16"/>
                <w:lang w:eastAsia="sl-SI"/>
              </w:rPr>
            </w:pPr>
            <w:r w:rsidRPr="00155028">
              <w:rPr>
                <w:rFonts w:eastAsia="Times New Roman"/>
                <w:b/>
                <w:color w:val="000000"/>
                <w:sz w:val="16"/>
                <w:szCs w:val="16"/>
                <w:lang w:eastAsia="sl-SI"/>
              </w:rPr>
              <w:t>GVŽ v DŽ</w:t>
            </w:r>
          </w:p>
        </w:tc>
        <w:tc>
          <w:tcPr>
            <w:tcW w:w="1035" w:type="dxa"/>
            <w:tcBorders>
              <w:top w:val="nil"/>
              <w:left w:val="nil"/>
              <w:bottom w:val="single" w:sz="8" w:space="0" w:color="auto"/>
              <w:right w:val="single" w:sz="8" w:space="0" w:color="auto"/>
            </w:tcBorders>
            <w:shd w:val="clear" w:color="auto" w:fill="auto"/>
            <w:noWrap/>
            <w:vAlign w:val="center"/>
          </w:tcPr>
          <w:p w14:paraId="46095A1E"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w:t>
            </w:r>
          </w:p>
        </w:tc>
        <w:tc>
          <w:tcPr>
            <w:tcW w:w="1035" w:type="dxa"/>
            <w:tcBorders>
              <w:top w:val="nil"/>
              <w:left w:val="nil"/>
              <w:bottom w:val="single" w:sz="8" w:space="0" w:color="auto"/>
              <w:right w:val="single" w:sz="8" w:space="0" w:color="auto"/>
            </w:tcBorders>
            <w:shd w:val="clear" w:color="000000" w:fill="FFFFFF"/>
            <w:noWrap/>
            <w:vAlign w:val="center"/>
          </w:tcPr>
          <w:p w14:paraId="6FD31DB1"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w:t>
            </w:r>
          </w:p>
        </w:tc>
        <w:tc>
          <w:tcPr>
            <w:tcW w:w="1036"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127059E"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71.036</w:t>
            </w:r>
          </w:p>
        </w:tc>
        <w:tc>
          <w:tcPr>
            <w:tcW w:w="1035" w:type="dxa"/>
            <w:tcBorders>
              <w:top w:val="nil"/>
              <w:left w:val="nil"/>
              <w:bottom w:val="single" w:sz="8" w:space="0" w:color="auto"/>
              <w:right w:val="single" w:sz="8" w:space="0" w:color="auto"/>
            </w:tcBorders>
            <w:shd w:val="clear" w:color="auto" w:fill="auto"/>
            <w:noWrap/>
            <w:vAlign w:val="center"/>
          </w:tcPr>
          <w:p w14:paraId="210F2AAF"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83.745</w:t>
            </w:r>
          </w:p>
        </w:tc>
        <w:tc>
          <w:tcPr>
            <w:tcW w:w="1035" w:type="dxa"/>
            <w:tcBorders>
              <w:top w:val="nil"/>
              <w:left w:val="nil"/>
              <w:bottom w:val="single" w:sz="4" w:space="0" w:color="auto"/>
              <w:right w:val="single" w:sz="4" w:space="0" w:color="auto"/>
            </w:tcBorders>
            <w:shd w:val="clear" w:color="auto" w:fill="auto"/>
            <w:noWrap/>
            <w:vAlign w:val="center"/>
          </w:tcPr>
          <w:p w14:paraId="5DE53C76"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86.118</w:t>
            </w:r>
          </w:p>
        </w:tc>
        <w:tc>
          <w:tcPr>
            <w:tcW w:w="1036" w:type="dxa"/>
            <w:tcBorders>
              <w:top w:val="nil"/>
              <w:left w:val="nil"/>
              <w:bottom w:val="single" w:sz="4" w:space="0" w:color="auto"/>
              <w:right w:val="single" w:sz="4" w:space="0" w:color="auto"/>
            </w:tcBorders>
            <w:shd w:val="clear" w:color="auto" w:fill="auto"/>
            <w:noWrap/>
            <w:vAlign w:val="center"/>
          </w:tcPr>
          <w:p w14:paraId="3E4D603F"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95.743</w:t>
            </w:r>
          </w:p>
        </w:tc>
      </w:tr>
      <w:tr w:rsidR="00CA6808" w:rsidRPr="00155028" w14:paraId="77017389"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tcPr>
          <w:p w14:paraId="6A7C6326" w14:textId="77777777" w:rsidR="00CA6808" w:rsidRPr="00155028" w:rsidRDefault="00CA6808" w:rsidP="00CA6808">
            <w:pPr>
              <w:spacing w:before="120" w:after="0" w:line="240" w:lineRule="auto"/>
              <w:jc w:val="both"/>
              <w:rPr>
                <w:rFonts w:eastAsia="Times New Roman"/>
                <w:b/>
                <w:color w:val="000000"/>
                <w:sz w:val="16"/>
                <w:szCs w:val="16"/>
                <w:lang w:eastAsia="sl-SI"/>
              </w:rPr>
            </w:pPr>
            <w:r w:rsidRPr="00155028">
              <w:rPr>
                <w:rFonts w:eastAsia="Times New Roman"/>
                <w:b/>
                <w:color w:val="000000"/>
                <w:sz w:val="16"/>
                <w:szCs w:val="16"/>
                <w:lang w:eastAsia="sl-SI"/>
              </w:rPr>
              <w:t>Delež GVŽ v DŽ (%)</w:t>
            </w:r>
          </w:p>
        </w:tc>
        <w:tc>
          <w:tcPr>
            <w:tcW w:w="1035" w:type="dxa"/>
            <w:tcBorders>
              <w:top w:val="nil"/>
              <w:left w:val="nil"/>
              <w:bottom w:val="single" w:sz="8" w:space="0" w:color="auto"/>
              <w:right w:val="single" w:sz="8" w:space="0" w:color="auto"/>
            </w:tcBorders>
            <w:shd w:val="clear" w:color="auto" w:fill="auto"/>
            <w:noWrap/>
            <w:vAlign w:val="center"/>
          </w:tcPr>
          <w:p w14:paraId="40F48A5D"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w:t>
            </w:r>
          </w:p>
        </w:tc>
        <w:tc>
          <w:tcPr>
            <w:tcW w:w="1035" w:type="dxa"/>
            <w:tcBorders>
              <w:top w:val="nil"/>
              <w:left w:val="nil"/>
              <w:bottom w:val="single" w:sz="8" w:space="0" w:color="auto"/>
              <w:right w:val="single" w:sz="8" w:space="0" w:color="auto"/>
            </w:tcBorders>
            <w:shd w:val="clear" w:color="000000" w:fill="FFFFFF"/>
            <w:noWrap/>
            <w:vAlign w:val="center"/>
          </w:tcPr>
          <w:p w14:paraId="006CD84C"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w:t>
            </w:r>
          </w:p>
        </w:tc>
        <w:tc>
          <w:tcPr>
            <w:tcW w:w="1036"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AB28C29" w14:textId="77777777" w:rsidR="00CA6808" w:rsidRPr="00155028" w:rsidRDefault="00CA6808" w:rsidP="00CA6808">
            <w:pPr>
              <w:spacing w:before="120" w:after="0" w:line="240" w:lineRule="auto"/>
              <w:jc w:val="right"/>
              <w:rPr>
                <w:rFonts w:eastAsia="Times New Roman"/>
                <w:b/>
                <w:bCs/>
                <w:color w:val="000000"/>
                <w:sz w:val="16"/>
                <w:szCs w:val="16"/>
                <w:lang w:eastAsia="sl-SI"/>
              </w:rPr>
            </w:pPr>
            <w:r w:rsidRPr="00155028">
              <w:rPr>
                <w:rFonts w:eastAsia="Times New Roman"/>
                <w:b/>
                <w:bCs/>
                <w:color w:val="000000"/>
                <w:sz w:val="16"/>
                <w:szCs w:val="16"/>
                <w:lang w:eastAsia="sl-SI"/>
              </w:rPr>
              <w:t>20,46</w:t>
            </w:r>
          </w:p>
        </w:tc>
        <w:tc>
          <w:tcPr>
            <w:tcW w:w="1035" w:type="dxa"/>
            <w:tcBorders>
              <w:top w:val="nil"/>
              <w:left w:val="nil"/>
              <w:bottom w:val="single" w:sz="8" w:space="0" w:color="auto"/>
              <w:right w:val="single" w:sz="8" w:space="0" w:color="auto"/>
            </w:tcBorders>
            <w:shd w:val="clear" w:color="auto" w:fill="auto"/>
            <w:noWrap/>
            <w:vAlign w:val="center"/>
          </w:tcPr>
          <w:p w14:paraId="5EB7F5B5" w14:textId="77777777" w:rsidR="00CA6808" w:rsidRPr="00155028" w:rsidRDefault="00CA6808" w:rsidP="00CA6808">
            <w:pPr>
              <w:spacing w:before="120" w:after="0" w:line="240" w:lineRule="auto"/>
              <w:jc w:val="right"/>
              <w:rPr>
                <w:rFonts w:eastAsia="Times New Roman"/>
                <w:b/>
                <w:bCs/>
                <w:color w:val="000000"/>
                <w:sz w:val="16"/>
                <w:szCs w:val="16"/>
                <w:lang w:eastAsia="sl-SI"/>
              </w:rPr>
            </w:pPr>
            <w:r w:rsidRPr="00155028">
              <w:rPr>
                <w:rFonts w:eastAsia="Times New Roman"/>
                <w:b/>
                <w:bCs/>
                <w:color w:val="000000"/>
                <w:sz w:val="16"/>
                <w:szCs w:val="16"/>
                <w:lang w:eastAsia="sl-SI"/>
              </w:rPr>
              <w:t>23,95</w:t>
            </w:r>
          </w:p>
        </w:tc>
        <w:tc>
          <w:tcPr>
            <w:tcW w:w="1035" w:type="dxa"/>
            <w:tcBorders>
              <w:top w:val="nil"/>
              <w:left w:val="nil"/>
              <w:bottom w:val="single" w:sz="4" w:space="0" w:color="auto"/>
              <w:right w:val="single" w:sz="4" w:space="0" w:color="auto"/>
            </w:tcBorders>
            <w:shd w:val="clear" w:color="auto" w:fill="auto"/>
            <w:noWrap/>
            <w:vAlign w:val="center"/>
          </w:tcPr>
          <w:p w14:paraId="525A0CE0" w14:textId="77777777" w:rsidR="00CA6808" w:rsidRPr="00155028" w:rsidRDefault="00CA6808" w:rsidP="00CA6808">
            <w:pPr>
              <w:spacing w:before="120" w:after="0" w:line="240" w:lineRule="auto"/>
              <w:jc w:val="right"/>
              <w:rPr>
                <w:rFonts w:eastAsia="Times New Roman"/>
                <w:b/>
                <w:bCs/>
                <w:color w:val="000000"/>
                <w:sz w:val="16"/>
                <w:szCs w:val="16"/>
                <w:lang w:eastAsia="sl-SI"/>
              </w:rPr>
            </w:pPr>
            <w:r w:rsidRPr="00155028">
              <w:rPr>
                <w:rFonts w:eastAsia="Times New Roman"/>
                <w:b/>
                <w:bCs/>
                <w:color w:val="000000"/>
                <w:sz w:val="16"/>
                <w:szCs w:val="16"/>
                <w:lang w:eastAsia="sl-SI"/>
              </w:rPr>
              <w:t>25,22</w:t>
            </w:r>
          </w:p>
        </w:tc>
        <w:tc>
          <w:tcPr>
            <w:tcW w:w="1036" w:type="dxa"/>
            <w:tcBorders>
              <w:top w:val="nil"/>
              <w:left w:val="nil"/>
              <w:bottom w:val="single" w:sz="4" w:space="0" w:color="auto"/>
              <w:right w:val="single" w:sz="4" w:space="0" w:color="auto"/>
            </w:tcBorders>
            <w:shd w:val="clear" w:color="auto" w:fill="auto"/>
            <w:noWrap/>
            <w:vAlign w:val="center"/>
          </w:tcPr>
          <w:p w14:paraId="63ACCB55" w14:textId="77777777" w:rsidR="00CA6808" w:rsidRPr="00155028" w:rsidRDefault="00CA6808" w:rsidP="00CA6808">
            <w:pPr>
              <w:spacing w:before="120" w:after="0" w:line="240" w:lineRule="auto"/>
              <w:jc w:val="right"/>
              <w:rPr>
                <w:rFonts w:eastAsia="Times New Roman"/>
                <w:b/>
                <w:bCs/>
                <w:color w:val="000000"/>
                <w:sz w:val="16"/>
                <w:szCs w:val="16"/>
                <w:lang w:eastAsia="sl-SI"/>
              </w:rPr>
            </w:pPr>
            <w:r w:rsidRPr="00155028">
              <w:rPr>
                <w:rFonts w:eastAsia="Times New Roman"/>
                <w:b/>
                <w:bCs/>
                <w:color w:val="000000"/>
                <w:sz w:val="16"/>
                <w:szCs w:val="16"/>
                <w:lang w:eastAsia="sl-SI"/>
              </w:rPr>
              <w:t>28,06</w:t>
            </w:r>
          </w:p>
        </w:tc>
      </w:tr>
      <w:tr w:rsidR="00CA6808" w:rsidRPr="00155028" w14:paraId="5B9A30AD" w14:textId="77777777" w:rsidTr="00CA6808">
        <w:trPr>
          <w:trHeight w:val="284"/>
          <w:jc w:val="center"/>
        </w:trPr>
        <w:tc>
          <w:tcPr>
            <w:tcW w:w="2434" w:type="dxa"/>
            <w:tcBorders>
              <w:top w:val="nil"/>
              <w:left w:val="nil"/>
              <w:bottom w:val="nil"/>
              <w:right w:val="nil"/>
            </w:tcBorders>
            <w:shd w:val="clear" w:color="000000" w:fill="FFFFFF"/>
            <w:vAlign w:val="center"/>
            <w:hideMark/>
          </w:tcPr>
          <w:p w14:paraId="0DBA520C" w14:textId="77777777" w:rsidR="00CA6808" w:rsidRPr="00155028" w:rsidRDefault="00CA6808" w:rsidP="00CA6808">
            <w:pPr>
              <w:spacing w:before="120" w:after="0" w:line="240" w:lineRule="auto"/>
              <w:jc w:val="both"/>
              <w:rPr>
                <w:rFonts w:eastAsia="Times New Roman"/>
                <w:color w:val="000000"/>
                <w:sz w:val="16"/>
                <w:szCs w:val="16"/>
                <w:lang w:eastAsia="sl-SI"/>
              </w:rPr>
            </w:pPr>
          </w:p>
        </w:tc>
        <w:tc>
          <w:tcPr>
            <w:tcW w:w="1035" w:type="dxa"/>
            <w:tcBorders>
              <w:top w:val="nil"/>
              <w:left w:val="nil"/>
              <w:bottom w:val="nil"/>
              <w:right w:val="nil"/>
            </w:tcBorders>
            <w:shd w:val="clear" w:color="000000" w:fill="FFFFFF"/>
            <w:vAlign w:val="center"/>
          </w:tcPr>
          <w:p w14:paraId="3FEA52D4" w14:textId="77777777" w:rsidR="00CA6808" w:rsidRPr="00155028" w:rsidRDefault="00CA6808" w:rsidP="00CA6808">
            <w:pPr>
              <w:spacing w:before="120" w:after="0" w:line="240" w:lineRule="auto"/>
              <w:jc w:val="right"/>
              <w:rPr>
                <w:rFonts w:eastAsia="Times New Roman"/>
                <w:color w:val="000000"/>
                <w:sz w:val="16"/>
                <w:szCs w:val="16"/>
                <w:lang w:eastAsia="sl-SI"/>
              </w:rPr>
            </w:pPr>
          </w:p>
        </w:tc>
        <w:tc>
          <w:tcPr>
            <w:tcW w:w="1035" w:type="dxa"/>
            <w:tcBorders>
              <w:top w:val="nil"/>
              <w:left w:val="nil"/>
              <w:bottom w:val="nil"/>
              <w:right w:val="nil"/>
            </w:tcBorders>
            <w:shd w:val="clear" w:color="000000" w:fill="FFFFFF"/>
            <w:vAlign w:val="center"/>
          </w:tcPr>
          <w:p w14:paraId="1B7858E6"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 </w:t>
            </w:r>
          </w:p>
        </w:tc>
        <w:tc>
          <w:tcPr>
            <w:tcW w:w="1036" w:type="dxa"/>
            <w:tcBorders>
              <w:top w:val="nil"/>
              <w:left w:val="nil"/>
              <w:bottom w:val="nil"/>
              <w:right w:val="nil"/>
            </w:tcBorders>
            <w:shd w:val="clear" w:color="000000" w:fill="FFFFFF"/>
            <w:vAlign w:val="center"/>
          </w:tcPr>
          <w:p w14:paraId="72F726C6" w14:textId="77777777" w:rsidR="00CA6808" w:rsidRPr="00155028" w:rsidRDefault="00CA6808" w:rsidP="00CA6808">
            <w:pPr>
              <w:spacing w:before="120" w:after="0" w:line="240" w:lineRule="auto"/>
              <w:jc w:val="right"/>
              <w:rPr>
                <w:rFonts w:eastAsia="Times New Roman"/>
                <w:bCs/>
                <w:color w:val="000000"/>
                <w:sz w:val="16"/>
                <w:szCs w:val="16"/>
                <w:lang w:eastAsia="sl-SI"/>
              </w:rPr>
            </w:pPr>
          </w:p>
        </w:tc>
        <w:tc>
          <w:tcPr>
            <w:tcW w:w="1035" w:type="dxa"/>
            <w:tcBorders>
              <w:top w:val="nil"/>
              <w:left w:val="nil"/>
              <w:bottom w:val="nil"/>
              <w:right w:val="nil"/>
            </w:tcBorders>
            <w:shd w:val="clear" w:color="000000" w:fill="FFFFFF"/>
            <w:vAlign w:val="center"/>
          </w:tcPr>
          <w:p w14:paraId="0E97751D" w14:textId="77777777" w:rsidR="00CA6808" w:rsidRPr="00155028" w:rsidRDefault="00CA6808" w:rsidP="00CA6808">
            <w:pPr>
              <w:spacing w:before="120" w:after="0" w:line="240" w:lineRule="auto"/>
              <w:jc w:val="right"/>
              <w:rPr>
                <w:rFonts w:eastAsia="Times New Roman"/>
                <w:bCs/>
                <w:color w:val="000000" w:themeColor="text1"/>
                <w:sz w:val="16"/>
                <w:szCs w:val="16"/>
                <w:lang w:eastAsia="sl-SI"/>
              </w:rPr>
            </w:pPr>
          </w:p>
        </w:tc>
        <w:tc>
          <w:tcPr>
            <w:tcW w:w="1035" w:type="dxa"/>
            <w:tcBorders>
              <w:top w:val="nil"/>
              <w:left w:val="nil"/>
              <w:bottom w:val="nil"/>
              <w:right w:val="nil"/>
            </w:tcBorders>
            <w:shd w:val="clear" w:color="000000" w:fill="FFFFFF"/>
            <w:vAlign w:val="center"/>
          </w:tcPr>
          <w:p w14:paraId="6374A4B0"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 </w:t>
            </w:r>
          </w:p>
        </w:tc>
        <w:tc>
          <w:tcPr>
            <w:tcW w:w="1036" w:type="dxa"/>
            <w:tcBorders>
              <w:top w:val="nil"/>
              <w:left w:val="nil"/>
              <w:bottom w:val="nil"/>
              <w:right w:val="nil"/>
            </w:tcBorders>
            <w:shd w:val="clear" w:color="000000" w:fill="FFFFFF"/>
            <w:vAlign w:val="center"/>
          </w:tcPr>
          <w:p w14:paraId="0CDED4E6"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 </w:t>
            </w:r>
          </w:p>
        </w:tc>
      </w:tr>
      <w:tr w:rsidR="00CA6808" w:rsidRPr="00155028" w14:paraId="2AAD5630" w14:textId="77777777" w:rsidTr="00CF43DE">
        <w:trPr>
          <w:trHeight w:val="284"/>
          <w:jc w:val="center"/>
        </w:trPr>
        <w:tc>
          <w:tcPr>
            <w:tcW w:w="2434" w:type="dxa"/>
            <w:tcBorders>
              <w:top w:val="single" w:sz="8" w:space="0" w:color="auto"/>
              <w:left w:val="single" w:sz="8" w:space="0" w:color="auto"/>
              <w:bottom w:val="nil"/>
              <w:right w:val="single" w:sz="8" w:space="0" w:color="auto"/>
            </w:tcBorders>
            <w:shd w:val="clear" w:color="auto" w:fill="D9EEF3"/>
            <w:vAlign w:val="center"/>
            <w:hideMark/>
          </w:tcPr>
          <w:p w14:paraId="454A54BC" w14:textId="10B4B12E" w:rsidR="00CA6808" w:rsidRPr="00155028" w:rsidRDefault="00CA6808" w:rsidP="00CA6808">
            <w:pPr>
              <w:spacing w:before="120" w:after="0" w:line="240" w:lineRule="auto"/>
              <w:jc w:val="both"/>
              <w:rPr>
                <w:rFonts w:eastAsia="Times New Roman"/>
                <w:b/>
                <w:bCs/>
                <w:color w:val="000000"/>
                <w:sz w:val="16"/>
                <w:szCs w:val="16"/>
                <w:lang w:eastAsia="sl-SI"/>
              </w:rPr>
            </w:pPr>
            <w:r w:rsidRPr="00155028">
              <w:rPr>
                <w:rFonts w:eastAsia="Times New Roman"/>
                <w:b/>
                <w:bCs/>
                <w:color w:val="000000"/>
                <w:sz w:val="16"/>
                <w:szCs w:val="16"/>
                <w:lang w:eastAsia="sl-SI"/>
              </w:rPr>
              <w:t xml:space="preserve">DROBNICA </w:t>
            </w:r>
            <w:r w:rsidR="003F0C47" w:rsidRPr="00155028">
              <w:rPr>
                <w:rFonts w:eastAsia="Times New Roman"/>
                <w:b/>
                <w:bCs/>
                <w:color w:val="000000"/>
                <w:sz w:val="16"/>
                <w:szCs w:val="16"/>
                <w:lang w:eastAsia="sl-SI"/>
              </w:rPr>
              <w:t>–</w:t>
            </w:r>
            <w:r w:rsidRPr="00155028">
              <w:rPr>
                <w:rFonts w:eastAsia="Times New Roman"/>
                <w:b/>
                <w:bCs/>
                <w:color w:val="000000"/>
                <w:sz w:val="16"/>
                <w:szCs w:val="16"/>
                <w:lang w:eastAsia="sl-SI"/>
              </w:rPr>
              <w:t xml:space="preserve"> OVCE</w:t>
            </w:r>
          </w:p>
        </w:tc>
        <w:tc>
          <w:tcPr>
            <w:tcW w:w="1035" w:type="dxa"/>
            <w:tcBorders>
              <w:top w:val="nil"/>
              <w:left w:val="nil"/>
              <w:bottom w:val="single" w:sz="8" w:space="0" w:color="auto"/>
              <w:right w:val="nil"/>
            </w:tcBorders>
            <w:shd w:val="clear" w:color="000000" w:fill="FFFFFF"/>
            <w:vAlign w:val="center"/>
          </w:tcPr>
          <w:p w14:paraId="4FA17BC0" w14:textId="77777777" w:rsidR="00CA6808" w:rsidRPr="00155028" w:rsidRDefault="00CA6808" w:rsidP="00CA6808">
            <w:pPr>
              <w:spacing w:before="120" w:after="0" w:line="240" w:lineRule="auto"/>
              <w:jc w:val="right"/>
              <w:rPr>
                <w:rFonts w:eastAsia="Times New Roman"/>
                <w:color w:val="000000"/>
                <w:sz w:val="16"/>
                <w:szCs w:val="16"/>
                <w:lang w:eastAsia="sl-SI"/>
              </w:rPr>
            </w:pPr>
          </w:p>
        </w:tc>
        <w:tc>
          <w:tcPr>
            <w:tcW w:w="1035" w:type="dxa"/>
            <w:tcBorders>
              <w:top w:val="nil"/>
              <w:left w:val="nil"/>
              <w:bottom w:val="nil"/>
              <w:right w:val="nil"/>
            </w:tcBorders>
            <w:shd w:val="clear" w:color="000000" w:fill="FFFFFF"/>
            <w:vAlign w:val="center"/>
          </w:tcPr>
          <w:p w14:paraId="01154B39"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 </w:t>
            </w:r>
          </w:p>
        </w:tc>
        <w:tc>
          <w:tcPr>
            <w:tcW w:w="1036" w:type="dxa"/>
            <w:tcBorders>
              <w:top w:val="nil"/>
              <w:left w:val="nil"/>
              <w:bottom w:val="nil"/>
              <w:right w:val="nil"/>
            </w:tcBorders>
            <w:shd w:val="clear" w:color="000000" w:fill="FFFFFF"/>
            <w:vAlign w:val="center"/>
          </w:tcPr>
          <w:p w14:paraId="28F36E59" w14:textId="77777777" w:rsidR="00CA6808" w:rsidRPr="00155028" w:rsidRDefault="00CA6808" w:rsidP="00CA6808">
            <w:pPr>
              <w:spacing w:before="120" w:after="0" w:line="240" w:lineRule="auto"/>
              <w:jc w:val="right"/>
              <w:rPr>
                <w:rFonts w:eastAsia="Times New Roman"/>
                <w:color w:val="000000"/>
                <w:sz w:val="16"/>
                <w:szCs w:val="16"/>
                <w:lang w:eastAsia="sl-SI"/>
              </w:rPr>
            </w:pPr>
          </w:p>
        </w:tc>
        <w:tc>
          <w:tcPr>
            <w:tcW w:w="1035" w:type="dxa"/>
            <w:tcBorders>
              <w:top w:val="nil"/>
              <w:left w:val="nil"/>
              <w:bottom w:val="nil"/>
              <w:right w:val="nil"/>
            </w:tcBorders>
            <w:shd w:val="clear" w:color="000000" w:fill="FFFFFF"/>
            <w:vAlign w:val="center"/>
          </w:tcPr>
          <w:p w14:paraId="1DDD1F5B"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p>
        </w:tc>
        <w:tc>
          <w:tcPr>
            <w:tcW w:w="1035" w:type="dxa"/>
            <w:tcBorders>
              <w:top w:val="nil"/>
              <w:left w:val="nil"/>
              <w:bottom w:val="nil"/>
              <w:right w:val="nil"/>
            </w:tcBorders>
            <w:shd w:val="clear" w:color="000000" w:fill="FFFFFF"/>
            <w:vAlign w:val="center"/>
          </w:tcPr>
          <w:p w14:paraId="4708AEED"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 </w:t>
            </w:r>
          </w:p>
        </w:tc>
        <w:tc>
          <w:tcPr>
            <w:tcW w:w="1036" w:type="dxa"/>
            <w:tcBorders>
              <w:top w:val="nil"/>
              <w:left w:val="nil"/>
              <w:bottom w:val="nil"/>
              <w:right w:val="nil"/>
            </w:tcBorders>
            <w:shd w:val="clear" w:color="000000" w:fill="FFFFFF"/>
            <w:vAlign w:val="center"/>
          </w:tcPr>
          <w:p w14:paraId="332B9985"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 </w:t>
            </w:r>
          </w:p>
        </w:tc>
      </w:tr>
      <w:tr w:rsidR="00CA6808" w:rsidRPr="00155028" w14:paraId="6CD49F61" w14:textId="77777777" w:rsidTr="00CA6808">
        <w:trPr>
          <w:trHeight w:val="284"/>
          <w:jc w:val="center"/>
        </w:trPr>
        <w:tc>
          <w:tcPr>
            <w:tcW w:w="2434"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56D0453B"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Jagnjeta do 1 leta</w:t>
            </w:r>
          </w:p>
        </w:tc>
        <w:tc>
          <w:tcPr>
            <w:tcW w:w="1035" w:type="dxa"/>
            <w:tcBorders>
              <w:top w:val="single" w:sz="8" w:space="0" w:color="auto"/>
              <w:left w:val="nil"/>
              <w:bottom w:val="single" w:sz="8" w:space="0" w:color="auto"/>
              <w:right w:val="single" w:sz="8" w:space="0" w:color="auto"/>
            </w:tcBorders>
            <w:shd w:val="clear" w:color="auto" w:fill="auto"/>
            <w:noWrap/>
            <w:vAlign w:val="center"/>
          </w:tcPr>
          <w:p w14:paraId="0EFCC174"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30.766</w:t>
            </w:r>
          </w:p>
        </w:tc>
        <w:tc>
          <w:tcPr>
            <w:tcW w:w="1035" w:type="dxa"/>
            <w:tcBorders>
              <w:top w:val="single" w:sz="8" w:space="0" w:color="auto"/>
              <w:left w:val="single" w:sz="4" w:space="0" w:color="auto"/>
              <w:bottom w:val="single" w:sz="4" w:space="0" w:color="auto"/>
              <w:right w:val="single" w:sz="8" w:space="0" w:color="auto"/>
            </w:tcBorders>
            <w:shd w:val="clear" w:color="000000" w:fill="FFFFFF"/>
            <w:noWrap/>
            <w:vAlign w:val="center"/>
          </w:tcPr>
          <w:p w14:paraId="11962A87"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29.412</w:t>
            </w:r>
          </w:p>
        </w:tc>
        <w:tc>
          <w:tcPr>
            <w:tcW w:w="1036" w:type="dxa"/>
            <w:tcBorders>
              <w:top w:val="single" w:sz="8" w:space="0" w:color="auto"/>
              <w:left w:val="single" w:sz="8" w:space="0" w:color="auto"/>
              <w:bottom w:val="single" w:sz="4" w:space="0" w:color="auto"/>
              <w:right w:val="single" w:sz="8" w:space="0" w:color="auto"/>
            </w:tcBorders>
            <w:shd w:val="clear" w:color="auto" w:fill="auto"/>
            <w:noWrap/>
            <w:vAlign w:val="center"/>
          </w:tcPr>
          <w:p w14:paraId="48EA370A"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30.544</w:t>
            </w:r>
          </w:p>
        </w:tc>
        <w:tc>
          <w:tcPr>
            <w:tcW w:w="103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C4E44BC"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31.212</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41AFD2CA"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32.850</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113657D7"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31.255</w:t>
            </w:r>
          </w:p>
        </w:tc>
      </w:tr>
      <w:tr w:rsidR="00CA6808" w:rsidRPr="00155028" w14:paraId="013FFF5F"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33F348FF"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 xml:space="preserve">Starejše od 1 leta oz. so že </w:t>
            </w:r>
            <w:proofErr w:type="spellStart"/>
            <w:r w:rsidRPr="00155028">
              <w:rPr>
                <w:rFonts w:eastAsia="Times New Roman"/>
                <w:color w:val="000000"/>
                <w:sz w:val="16"/>
                <w:szCs w:val="16"/>
                <w:lang w:eastAsia="sl-SI"/>
              </w:rPr>
              <w:t>jagnjile</w:t>
            </w:r>
            <w:proofErr w:type="spellEnd"/>
            <w:r w:rsidRPr="00155028">
              <w:rPr>
                <w:rFonts w:eastAsia="Times New Roman"/>
                <w:color w:val="000000"/>
                <w:sz w:val="16"/>
                <w:szCs w:val="16"/>
                <w:lang w:eastAsia="sl-SI"/>
              </w:rPr>
              <w:t xml:space="preserve"> – mlečne</w:t>
            </w:r>
          </w:p>
        </w:tc>
        <w:tc>
          <w:tcPr>
            <w:tcW w:w="1035" w:type="dxa"/>
            <w:tcBorders>
              <w:top w:val="nil"/>
              <w:left w:val="nil"/>
              <w:bottom w:val="single" w:sz="8" w:space="0" w:color="auto"/>
              <w:right w:val="single" w:sz="8" w:space="0" w:color="auto"/>
            </w:tcBorders>
            <w:shd w:val="clear" w:color="auto" w:fill="auto"/>
            <w:vAlign w:val="center"/>
          </w:tcPr>
          <w:p w14:paraId="174422C0"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w:t>
            </w:r>
          </w:p>
        </w:tc>
        <w:tc>
          <w:tcPr>
            <w:tcW w:w="1035" w:type="dxa"/>
            <w:tcBorders>
              <w:top w:val="nil"/>
              <w:left w:val="single" w:sz="4" w:space="0" w:color="auto"/>
              <w:bottom w:val="single" w:sz="4" w:space="0" w:color="auto"/>
              <w:right w:val="single" w:sz="8" w:space="0" w:color="auto"/>
            </w:tcBorders>
            <w:shd w:val="clear" w:color="000000" w:fill="FFFFFF"/>
            <w:vAlign w:val="center"/>
          </w:tcPr>
          <w:p w14:paraId="2BF5D780"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4.768</w:t>
            </w:r>
          </w:p>
        </w:tc>
        <w:tc>
          <w:tcPr>
            <w:tcW w:w="1036" w:type="dxa"/>
            <w:tcBorders>
              <w:top w:val="nil"/>
              <w:left w:val="single" w:sz="8" w:space="0" w:color="auto"/>
              <w:bottom w:val="single" w:sz="4" w:space="0" w:color="auto"/>
              <w:right w:val="single" w:sz="8" w:space="0" w:color="auto"/>
            </w:tcBorders>
            <w:shd w:val="clear" w:color="auto" w:fill="auto"/>
            <w:vAlign w:val="center"/>
          </w:tcPr>
          <w:p w14:paraId="11590260"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5.024</w:t>
            </w:r>
          </w:p>
        </w:tc>
        <w:tc>
          <w:tcPr>
            <w:tcW w:w="1035" w:type="dxa"/>
            <w:tcBorders>
              <w:top w:val="nil"/>
              <w:left w:val="single" w:sz="8" w:space="0" w:color="auto"/>
              <w:bottom w:val="single" w:sz="4" w:space="0" w:color="auto"/>
              <w:right w:val="single" w:sz="8" w:space="0" w:color="auto"/>
            </w:tcBorders>
            <w:shd w:val="clear" w:color="auto" w:fill="auto"/>
            <w:vAlign w:val="center"/>
          </w:tcPr>
          <w:p w14:paraId="1EBCCB2F"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4.849</w:t>
            </w:r>
          </w:p>
        </w:tc>
        <w:tc>
          <w:tcPr>
            <w:tcW w:w="1035" w:type="dxa"/>
            <w:tcBorders>
              <w:top w:val="nil"/>
              <w:left w:val="nil"/>
              <w:bottom w:val="single" w:sz="4" w:space="0" w:color="auto"/>
              <w:right w:val="single" w:sz="4" w:space="0" w:color="auto"/>
            </w:tcBorders>
            <w:shd w:val="clear" w:color="auto" w:fill="auto"/>
            <w:vAlign w:val="center"/>
          </w:tcPr>
          <w:p w14:paraId="4BCB874A"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4.892</w:t>
            </w:r>
          </w:p>
        </w:tc>
        <w:tc>
          <w:tcPr>
            <w:tcW w:w="1036" w:type="dxa"/>
            <w:tcBorders>
              <w:top w:val="nil"/>
              <w:left w:val="nil"/>
              <w:bottom w:val="single" w:sz="4" w:space="0" w:color="auto"/>
              <w:right w:val="single" w:sz="4" w:space="0" w:color="auto"/>
            </w:tcBorders>
            <w:shd w:val="clear" w:color="auto" w:fill="auto"/>
            <w:vAlign w:val="center"/>
          </w:tcPr>
          <w:p w14:paraId="5A120B15"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5.115</w:t>
            </w:r>
          </w:p>
        </w:tc>
      </w:tr>
      <w:tr w:rsidR="00CA6808" w:rsidRPr="00155028" w14:paraId="4870E93F"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0F3491B8"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 xml:space="preserve">Starejše od 1 leta oz. so že </w:t>
            </w:r>
            <w:proofErr w:type="spellStart"/>
            <w:r w:rsidRPr="00155028">
              <w:rPr>
                <w:rFonts w:eastAsia="Times New Roman"/>
                <w:color w:val="000000"/>
                <w:sz w:val="16"/>
                <w:szCs w:val="16"/>
                <w:lang w:eastAsia="sl-SI"/>
              </w:rPr>
              <w:t>jagnjile</w:t>
            </w:r>
            <w:proofErr w:type="spellEnd"/>
            <w:r w:rsidRPr="00155028">
              <w:rPr>
                <w:rFonts w:eastAsia="Times New Roman"/>
                <w:color w:val="000000"/>
                <w:sz w:val="16"/>
                <w:szCs w:val="16"/>
                <w:lang w:eastAsia="sl-SI"/>
              </w:rPr>
              <w:t xml:space="preserve"> – mesne</w:t>
            </w:r>
            <w:r w:rsidRPr="00155028">
              <w:rPr>
                <w:rFonts w:eastAsia="Times New Roman"/>
                <w:color w:val="000000"/>
                <w:sz w:val="16"/>
                <w:szCs w:val="16"/>
                <w:vertAlign w:val="superscript"/>
                <w:lang w:eastAsia="sl-SI"/>
              </w:rPr>
              <w:t>1</w:t>
            </w:r>
          </w:p>
        </w:tc>
        <w:tc>
          <w:tcPr>
            <w:tcW w:w="1035" w:type="dxa"/>
            <w:tcBorders>
              <w:top w:val="nil"/>
              <w:left w:val="nil"/>
              <w:bottom w:val="single" w:sz="8" w:space="0" w:color="auto"/>
              <w:right w:val="single" w:sz="8" w:space="0" w:color="auto"/>
            </w:tcBorders>
            <w:shd w:val="clear" w:color="auto" w:fill="auto"/>
            <w:vAlign w:val="center"/>
          </w:tcPr>
          <w:p w14:paraId="6EC6E7C7"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71.140</w:t>
            </w:r>
          </w:p>
        </w:tc>
        <w:tc>
          <w:tcPr>
            <w:tcW w:w="1035" w:type="dxa"/>
            <w:tcBorders>
              <w:top w:val="nil"/>
              <w:left w:val="single" w:sz="4" w:space="0" w:color="auto"/>
              <w:bottom w:val="single" w:sz="4" w:space="0" w:color="auto"/>
              <w:right w:val="single" w:sz="8" w:space="0" w:color="auto"/>
            </w:tcBorders>
            <w:shd w:val="clear" w:color="000000" w:fill="FFFFFF"/>
            <w:vAlign w:val="center"/>
          </w:tcPr>
          <w:p w14:paraId="5FB6C1E1"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66.873</w:t>
            </w:r>
          </w:p>
        </w:tc>
        <w:tc>
          <w:tcPr>
            <w:tcW w:w="1036" w:type="dxa"/>
            <w:tcBorders>
              <w:top w:val="nil"/>
              <w:left w:val="single" w:sz="8" w:space="0" w:color="auto"/>
              <w:bottom w:val="single" w:sz="4" w:space="0" w:color="auto"/>
              <w:right w:val="single" w:sz="8" w:space="0" w:color="auto"/>
            </w:tcBorders>
            <w:shd w:val="clear" w:color="auto" w:fill="auto"/>
            <w:vAlign w:val="center"/>
          </w:tcPr>
          <w:p w14:paraId="0138AB49"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67.370</w:t>
            </w:r>
          </w:p>
        </w:tc>
        <w:tc>
          <w:tcPr>
            <w:tcW w:w="1035" w:type="dxa"/>
            <w:tcBorders>
              <w:top w:val="nil"/>
              <w:left w:val="single" w:sz="8" w:space="0" w:color="auto"/>
              <w:bottom w:val="single" w:sz="4" w:space="0" w:color="auto"/>
              <w:right w:val="single" w:sz="8" w:space="0" w:color="auto"/>
            </w:tcBorders>
            <w:shd w:val="clear" w:color="auto" w:fill="auto"/>
            <w:vAlign w:val="center"/>
          </w:tcPr>
          <w:p w14:paraId="760FBB20"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70.722</w:t>
            </w:r>
          </w:p>
        </w:tc>
        <w:tc>
          <w:tcPr>
            <w:tcW w:w="1035" w:type="dxa"/>
            <w:tcBorders>
              <w:top w:val="nil"/>
              <w:left w:val="nil"/>
              <w:bottom w:val="single" w:sz="4" w:space="0" w:color="auto"/>
              <w:right w:val="single" w:sz="4" w:space="0" w:color="auto"/>
            </w:tcBorders>
            <w:shd w:val="clear" w:color="auto" w:fill="auto"/>
            <w:vAlign w:val="center"/>
          </w:tcPr>
          <w:p w14:paraId="548AAFE3"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70.471</w:t>
            </w:r>
          </w:p>
        </w:tc>
        <w:tc>
          <w:tcPr>
            <w:tcW w:w="1036" w:type="dxa"/>
            <w:tcBorders>
              <w:top w:val="nil"/>
              <w:left w:val="nil"/>
              <w:bottom w:val="single" w:sz="4" w:space="0" w:color="auto"/>
              <w:right w:val="single" w:sz="4" w:space="0" w:color="auto"/>
            </w:tcBorders>
            <w:shd w:val="clear" w:color="auto" w:fill="auto"/>
            <w:vAlign w:val="center"/>
          </w:tcPr>
          <w:p w14:paraId="678A872E"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68.947</w:t>
            </w:r>
          </w:p>
        </w:tc>
      </w:tr>
      <w:tr w:rsidR="00CA6808" w:rsidRPr="00155028" w14:paraId="0D8D3296"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hideMark/>
          </w:tcPr>
          <w:p w14:paraId="2EB0E131"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Ovni starejši od 1 leta</w:t>
            </w:r>
          </w:p>
        </w:tc>
        <w:tc>
          <w:tcPr>
            <w:tcW w:w="1035" w:type="dxa"/>
            <w:tcBorders>
              <w:top w:val="nil"/>
              <w:left w:val="nil"/>
              <w:bottom w:val="single" w:sz="8" w:space="0" w:color="auto"/>
              <w:right w:val="single" w:sz="8" w:space="0" w:color="auto"/>
            </w:tcBorders>
            <w:shd w:val="clear" w:color="auto" w:fill="auto"/>
            <w:noWrap/>
            <w:vAlign w:val="center"/>
          </w:tcPr>
          <w:p w14:paraId="52BBDD55"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3.754</w:t>
            </w:r>
          </w:p>
        </w:tc>
        <w:tc>
          <w:tcPr>
            <w:tcW w:w="1035" w:type="dxa"/>
            <w:tcBorders>
              <w:top w:val="nil"/>
              <w:left w:val="single" w:sz="4" w:space="0" w:color="auto"/>
              <w:bottom w:val="single" w:sz="8" w:space="0" w:color="auto"/>
              <w:right w:val="single" w:sz="8" w:space="0" w:color="auto"/>
            </w:tcBorders>
            <w:shd w:val="clear" w:color="000000" w:fill="FFFFFF"/>
            <w:noWrap/>
            <w:vAlign w:val="center"/>
          </w:tcPr>
          <w:p w14:paraId="0C26D921"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3.857</w:t>
            </w:r>
          </w:p>
        </w:tc>
        <w:tc>
          <w:tcPr>
            <w:tcW w:w="1036" w:type="dxa"/>
            <w:tcBorders>
              <w:top w:val="nil"/>
              <w:left w:val="single" w:sz="8" w:space="0" w:color="auto"/>
              <w:bottom w:val="single" w:sz="8" w:space="0" w:color="auto"/>
              <w:right w:val="single" w:sz="8" w:space="0" w:color="auto"/>
            </w:tcBorders>
            <w:shd w:val="clear" w:color="auto" w:fill="auto"/>
            <w:noWrap/>
            <w:vAlign w:val="center"/>
          </w:tcPr>
          <w:p w14:paraId="496472E5"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3.913</w:t>
            </w:r>
          </w:p>
        </w:tc>
        <w:tc>
          <w:tcPr>
            <w:tcW w:w="1035" w:type="dxa"/>
            <w:tcBorders>
              <w:top w:val="nil"/>
              <w:left w:val="single" w:sz="8" w:space="0" w:color="auto"/>
              <w:bottom w:val="single" w:sz="8" w:space="0" w:color="auto"/>
              <w:right w:val="single" w:sz="8" w:space="0" w:color="auto"/>
            </w:tcBorders>
            <w:shd w:val="clear" w:color="auto" w:fill="auto"/>
            <w:noWrap/>
            <w:vAlign w:val="center"/>
          </w:tcPr>
          <w:p w14:paraId="2D98A5F7"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4.183</w:t>
            </w:r>
          </w:p>
        </w:tc>
        <w:tc>
          <w:tcPr>
            <w:tcW w:w="1035" w:type="dxa"/>
            <w:tcBorders>
              <w:top w:val="nil"/>
              <w:left w:val="nil"/>
              <w:bottom w:val="single" w:sz="4" w:space="0" w:color="auto"/>
              <w:right w:val="single" w:sz="4" w:space="0" w:color="auto"/>
            </w:tcBorders>
            <w:shd w:val="clear" w:color="auto" w:fill="auto"/>
            <w:noWrap/>
            <w:vAlign w:val="center"/>
          </w:tcPr>
          <w:p w14:paraId="5423C859"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4.245</w:t>
            </w:r>
          </w:p>
        </w:tc>
        <w:tc>
          <w:tcPr>
            <w:tcW w:w="1036" w:type="dxa"/>
            <w:tcBorders>
              <w:top w:val="nil"/>
              <w:left w:val="nil"/>
              <w:bottom w:val="single" w:sz="4" w:space="0" w:color="auto"/>
              <w:right w:val="single" w:sz="4" w:space="0" w:color="auto"/>
            </w:tcBorders>
            <w:shd w:val="clear" w:color="auto" w:fill="auto"/>
            <w:noWrap/>
            <w:vAlign w:val="center"/>
          </w:tcPr>
          <w:p w14:paraId="7BC9F371"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4.147</w:t>
            </w:r>
          </w:p>
        </w:tc>
      </w:tr>
      <w:tr w:rsidR="00CA6808" w:rsidRPr="00155028" w14:paraId="58F63F46"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tcPr>
          <w:p w14:paraId="7CDA53C5" w14:textId="77777777" w:rsidR="00CA6808" w:rsidRPr="00155028" w:rsidRDefault="00CA6808" w:rsidP="00CA6808">
            <w:pPr>
              <w:spacing w:before="120" w:after="0" w:line="240" w:lineRule="auto"/>
              <w:jc w:val="both"/>
              <w:rPr>
                <w:rFonts w:eastAsia="Times New Roman"/>
                <w:b/>
                <w:color w:val="000000"/>
                <w:sz w:val="16"/>
                <w:szCs w:val="16"/>
                <w:lang w:eastAsia="sl-SI"/>
              </w:rPr>
            </w:pPr>
            <w:r w:rsidRPr="00155028">
              <w:rPr>
                <w:rFonts w:eastAsia="Times New Roman"/>
                <w:b/>
                <w:color w:val="000000"/>
                <w:sz w:val="16"/>
                <w:szCs w:val="16"/>
                <w:lang w:eastAsia="sl-SI"/>
              </w:rPr>
              <w:t>GVŽ</w:t>
            </w:r>
            <w:r w:rsidRPr="00155028">
              <w:rPr>
                <w:rFonts w:eastAsia="Times New Roman"/>
                <w:b/>
                <w:color w:val="000000"/>
                <w:sz w:val="16"/>
                <w:szCs w:val="16"/>
                <w:vertAlign w:val="superscript"/>
                <w:lang w:eastAsia="sl-SI"/>
              </w:rPr>
              <w:t>3</w:t>
            </w:r>
          </w:p>
        </w:tc>
        <w:tc>
          <w:tcPr>
            <w:tcW w:w="1035" w:type="dxa"/>
            <w:tcBorders>
              <w:top w:val="nil"/>
              <w:left w:val="nil"/>
              <w:bottom w:val="single" w:sz="8" w:space="0" w:color="auto"/>
              <w:right w:val="single" w:sz="8" w:space="0" w:color="auto"/>
            </w:tcBorders>
            <w:shd w:val="clear" w:color="auto" w:fill="auto"/>
            <w:noWrap/>
            <w:vAlign w:val="center"/>
          </w:tcPr>
          <w:p w14:paraId="5ECC9E02"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11.234,10</w:t>
            </w:r>
          </w:p>
        </w:tc>
        <w:tc>
          <w:tcPr>
            <w:tcW w:w="1035" w:type="dxa"/>
            <w:tcBorders>
              <w:top w:val="nil"/>
              <w:left w:val="single" w:sz="4" w:space="0" w:color="auto"/>
              <w:bottom w:val="single" w:sz="8" w:space="0" w:color="auto"/>
              <w:right w:val="single" w:sz="8" w:space="0" w:color="auto"/>
            </w:tcBorders>
            <w:shd w:val="clear" w:color="000000" w:fill="FFFFFF"/>
            <w:noWrap/>
            <w:vAlign w:val="center"/>
          </w:tcPr>
          <w:p w14:paraId="6AD68CDD"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11.324,70</w:t>
            </w:r>
          </w:p>
        </w:tc>
        <w:tc>
          <w:tcPr>
            <w:tcW w:w="1036" w:type="dxa"/>
            <w:tcBorders>
              <w:top w:val="nil"/>
              <w:left w:val="single" w:sz="8" w:space="0" w:color="auto"/>
              <w:bottom w:val="single" w:sz="8" w:space="0" w:color="auto"/>
              <w:right w:val="single" w:sz="8" w:space="0" w:color="auto"/>
            </w:tcBorders>
            <w:shd w:val="clear" w:color="auto" w:fill="auto"/>
            <w:noWrap/>
            <w:vAlign w:val="center"/>
          </w:tcPr>
          <w:p w14:paraId="43E6E7D5"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11.446,05</w:t>
            </w:r>
          </w:p>
        </w:tc>
        <w:tc>
          <w:tcPr>
            <w:tcW w:w="1035" w:type="dxa"/>
            <w:tcBorders>
              <w:top w:val="nil"/>
              <w:left w:val="single" w:sz="8" w:space="0" w:color="auto"/>
              <w:bottom w:val="single" w:sz="8" w:space="0" w:color="auto"/>
              <w:right w:val="single" w:sz="8" w:space="0" w:color="auto"/>
            </w:tcBorders>
            <w:shd w:val="clear" w:color="auto" w:fill="auto"/>
            <w:noWrap/>
            <w:vAlign w:val="center"/>
          </w:tcPr>
          <w:p w14:paraId="0C589F70"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11.963,10</w:t>
            </w:r>
          </w:p>
        </w:tc>
        <w:tc>
          <w:tcPr>
            <w:tcW w:w="1035" w:type="dxa"/>
            <w:tcBorders>
              <w:top w:val="nil"/>
              <w:left w:val="nil"/>
              <w:bottom w:val="single" w:sz="4" w:space="0" w:color="auto"/>
              <w:right w:val="single" w:sz="4" w:space="0" w:color="auto"/>
            </w:tcBorders>
            <w:shd w:val="clear" w:color="auto" w:fill="auto"/>
            <w:noWrap/>
            <w:vAlign w:val="center"/>
          </w:tcPr>
          <w:p w14:paraId="3EE942FC"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11.941,20</w:t>
            </w:r>
          </w:p>
        </w:tc>
        <w:tc>
          <w:tcPr>
            <w:tcW w:w="1036" w:type="dxa"/>
            <w:tcBorders>
              <w:top w:val="nil"/>
              <w:left w:val="nil"/>
              <w:bottom w:val="single" w:sz="4" w:space="0" w:color="auto"/>
              <w:right w:val="single" w:sz="4" w:space="0" w:color="auto"/>
            </w:tcBorders>
            <w:shd w:val="clear" w:color="auto" w:fill="auto"/>
            <w:noWrap/>
            <w:vAlign w:val="center"/>
          </w:tcPr>
          <w:p w14:paraId="15BB9956"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11.731,35</w:t>
            </w:r>
          </w:p>
        </w:tc>
      </w:tr>
      <w:tr w:rsidR="00CA6808" w:rsidRPr="00155028" w14:paraId="05DC872C" w14:textId="77777777" w:rsidTr="00CA6808">
        <w:trPr>
          <w:trHeight w:val="284"/>
          <w:jc w:val="center"/>
        </w:trPr>
        <w:tc>
          <w:tcPr>
            <w:tcW w:w="2434" w:type="dxa"/>
            <w:tcBorders>
              <w:top w:val="nil"/>
              <w:left w:val="nil"/>
              <w:bottom w:val="nil"/>
              <w:right w:val="nil"/>
            </w:tcBorders>
            <w:shd w:val="clear" w:color="000000" w:fill="FFFFFF"/>
            <w:vAlign w:val="center"/>
            <w:hideMark/>
          </w:tcPr>
          <w:p w14:paraId="79E641C2"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 </w:t>
            </w:r>
          </w:p>
        </w:tc>
        <w:tc>
          <w:tcPr>
            <w:tcW w:w="2070" w:type="dxa"/>
            <w:gridSpan w:val="2"/>
            <w:tcBorders>
              <w:top w:val="nil"/>
              <w:left w:val="nil"/>
              <w:bottom w:val="nil"/>
            </w:tcBorders>
            <w:shd w:val="clear" w:color="000000" w:fill="FFFFFF"/>
            <w:vAlign w:val="center"/>
          </w:tcPr>
          <w:p w14:paraId="1175ADCF"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 </w:t>
            </w:r>
          </w:p>
        </w:tc>
        <w:tc>
          <w:tcPr>
            <w:tcW w:w="1036" w:type="dxa"/>
            <w:tcBorders>
              <w:top w:val="nil"/>
              <w:left w:val="nil"/>
              <w:bottom w:val="nil"/>
              <w:right w:val="nil"/>
            </w:tcBorders>
            <w:shd w:val="clear" w:color="000000" w:fill="FFFFFF"/>
            <w:vAlign w:val="center"/>
          </w:tcPr>
          <w:p w14:paraId="6A999B43"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 </w:t>
            </w:r>
          </w:p>
        </w:tc>
        <w:tc>
          <w:tcPr>
            <w:tcW w:w="1035" w:type="dxa"/>
            <w:tcBorders>
              <w:top w:val="nil"/>
              <w:left w:val="nil"/>
              <w:bottom w:val="nil"/>
              <w:right w:val="nil"/>
            </w:tcBorders>
            <w:shd w:val="clear" w:color="000000" w:fill="FFFFFF"/>
            <w:vAlign w:val="center"/>
          </w:tcPr>
          <w:p w14:paraId="21E65AF8"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 </w:t>
            </w:r>
          </w:p>
        </w:tc>
        <w:tc>
          <w:tcPr>
            <w:tcW w:w="1035" w:type="dxa"/>
            <w:tcBorders>
              <w:top w:val="nil"/>
              <w:left w:val="nil"/>
              <w:bottom w:val="nil"/>
              <w:right w:val="nil"/>
            </w:tcBorders>
            <w:shd w:val="clear" w:color="000000" w:fill="FFFFFF"/>
            <w:vAlign w:val="center"/>
          </w:tcPr>
          <w:p w14:paraId="1D3C98B7"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 </w:t>
            </w:r>
          </w:p>
        </w:tc>
        <w:tc>
          <w:tcPr>
            <w:tcW w:w="1036" w:type="dxa"/>
            <w:tcBorders>
              <w:top w:val="nil"/>
              <w:left w:val="nil"/>
              <w:bottom w:val="nil"/>
              <w:right w:val="nil"/>
            </w:tcBorders>
            <w:shd w:val="clear" w:color="000000" w:fill="FFFFFF"/>
            <w:vAlign w:val="center"/>
          </w:tcPr>
          <w:p w14:paraId="38BB55EF"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 </w:t>
            </w:r>
          </w:p>
        </w:tc>
      </w:tr>
      <w:tr w:rsidR="00CA6808" w:rsidRPr="00155028" w14:paraId="6561B889" w14:textId="77777777" w:rsidTr="00CF43DE">
        <w:trPr>
          <w:trHeight w:val="284"/>
          <w:jc w:val="center"/>
        </w:trPr>
        <w:tc>
          <w:tcPr>
            <w:tcW w:w="2434" w:type="dxa"/>
            <w:tcBorders>
              <w:top w:val="single" w:sz="8" w:space="0" w:color="auto"/>
              <w:left w:val="single" w:sz="8" w:space="0" w:color="auto"/>
              <w:bottom w:val="nil"/>
              <w:right w:val="single" w:sz="8" w:space="0" w:color="auto"/>
            </w:tcBorders>
            <w:shd w:val="clear" w:color="auto" w:fill="D9EEF3"/>
            <w:vAlign w:val="center"/>
            <w:hideMark/>
          </w:tcPr>
          <w:p w14:paraId="783A5230" w14:textId="6EACE454" w:rsidR="00CA6808" w:rsidRPr="00155028" w:rsidRDefault="00CA6808" w:rsidP="00CA6808">
            <w:pPr>
              <w:spacing w:before="120" w:after="0" w:line="240" w:lineRule="auto"/>
              <w:jc w:val="both"/>
              <w:rPr>
                <w:rFonts w:eastAsia="Times New Roman"/>
                <w:b/>
                <w:bCs/>
                <w:color w:val="000000"/>
                <w:sz w:val="16"/>
                <w:szCs w:val="16"/>
                <w:lang w:eastAsia="sl-SI"/>
              </w:rPr>
            </w:pPr>
            <w:r w:rsidRPr="00155028">
              <w:rPr>
                <w:rFonts w:eastAsia="Times New Roman"/>
                <w:b/>
                <w:bCs/>
                <w:color w:val="000000"/>
                <w:sz w:val="16"/>
                <w:szCs w:val="16"/>
                <w:lang w:eastAsia="sl-SI"/>
              </w:rPr>
              <w:t xml:space="preserve">DROBNICA </w:t>
            </w:r>
            <w:r w:rsidR="003F0C47" w:rsidRPr="00155028">
              <w:rPr>
                <w:rFonts w:eastAsia="Times New Roman"/>
                <w:b/>
                <w:bCs/>
                <w:color w:val="000000"/>
                <w:sz w:val="16"/>
                <w:szCs w:val="16"/>
                <w:lang w:eastAsia="sl-SI"/>
              </w:rPr>
              <w:t>–</w:t>
            </w:r>
            <w:r w:rsidRPr="00155028">
              <w:rPr>
                <w:rFonts w:eastAsia="Times New Roman"/>
                <w:b/>
                <w:bCs/>
                <w:color w:val="000000"/>
                <w:sz w:val="16"/>
                <w:szCs w:val="16"/>
                <w:lang w:eastAsia="sl-SI"/>
              </w:rPr>
              <w:t xml:space="preserve"> KOZE</w:t>
            </w:r>
          </w:p>
        </w:tc>
        <w:tc>
          <w:tcPr>
            <w:tcW w:w="2070" w:type="dxa"/>
            <w:gridSpan w:val="2"/>
            <w:tcBorders>
              <w:top w:val="nil"/>
              <w:left w:val="nil"/>
              <w:bottom w:val="nil"/>
            </w:tcBorders>
            <w:shd w:val="clear" w:color="000000" w:fill="FFFFFF"/>
            <w:vAlign w:val="center"/>
          </w:tcPr>
          <w:p w14:paraId="706FE5E8"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 </w:t>
            </w:r>
          </w:p>
        </w:tc>
        <w:tc>
          <w:tcPr>
            <w:tcW w:w="1036" w:type="dxa"/>
            <w:tcBorders>
              <w:top w:val="nil"/>
              <w:left w:val="nil"/>
              <w:bottom w:val="nil"/>
              <w:right w:val="nil"/>
            </w:tcBorders>
            <w:shd w:val="clear" w:color="000000" w:fill="FFFFFF"/>
            <w:vAlign w:val="center"/>
          </w:tcPr>
          <w:p w14:paraId="0FD3F9D5"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 </w:t>
            </w:r>
          </w:p>
        </w:tc>
        <w:tc>
          <w:tcPr>
            <w:tcW w:w="1035" w:type="dxa"/>
            <w:tcBorders>
              <w:top w:val="nil"/>
              <w:left w:val="nil"/>
              <w:bottom w:val="nil"/>
              <w:right w:val="nil"/>
            </w:tcBorders>
            <w:shd w:val="clear" w:color="000000" w:fill="FFFFFF"/>
            <w:vAlign w:val="center"/>
          </w:tcPr>
          <w:p w14:paraId="5224204B"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 </w:t>
            </w:r>
          </w:p>
        </w:tc>
        <w:tc>
          <w:tcPr>
            <w:tcW w:w="1035" w:type="dxa"/>
            <w:tcBorders>
              <w:top w:val="nil"/>
              <w:left w:val="nil"/>
              <w:bottom w:val="nil"/>
              <w:right w:val="nil"/>
            </w:tcBorders>
            <w:shd w:val="clear" w:color="000000" w:fill="FFFFFF"/>
            <w:vAlign w:val="center"/>
          </w:tcPr>
          <w:p w14:paraId="4EF7B4C3"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 </w:t>
            </w:r>
          </w:p>
        </w:tc>
        <w:tc>
          <w:tcPr>
            <w:tcW w:w="1036" w:type="dxa"/>
            <w:tcBorders>
              <w:top w:val="nil"/>
              <w:left w:val="nil"/>
              <w:bottom w:val="nil"/>
              <w:right w:val="nil"/>
            </w:tcBorders>
            <w:shd w:val="clear" w:color="000000" w:fill="FFFFFF"/>
            <w:vAlign w:val="center"/>
          </w:tcPr>
          <w:p w14:paraId="0FDE7CAD"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 </w:t>
            </w:r>
          </w:p>
        </w:tc>
      </w:tr>
      <w:tr w:rsidR="00CA6808" w:rsidRPr="00155028" w14:paraId="1980550B" w14:textId="77777777" w:rsidTr="00CA6808">
        <w:trPr>
          <w:trHeight w:val="284"/>
          <w:jc w:val="center"/>
        </w:trPr>
        <w:tc>
          <w:tcPr>
            <w:tcW w:w="2434"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70F148BE"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Kozlički do 1 leta</w:t>
            </w:r>
          </w:p>
        </w:tc>
        <w:tc>
          <w:tcPr>
            <w:tcW w:w="1035" w:type="dxa"/>
            <w:tcBorders>
              <w:top w:val="single" w:sz="8" w:space="0" w:color="auto"/>
              <w:left w:val="nil"/>
              <w:bottom w:val="single" w:sz="8" w:space="0" w:color="auto"/>
              <w:right w:val="single" w:sz="8" w:space="0" w:color="auto"/>
            </w:tcBorders>
            <w:shd w:val="clear" w:color="auto" w:fill="auto"/>
            <w:noWrap/>
            <w:vAlign w:val="center"/>
          </w:tcPr>
          <w:p w14:paraId="73808D38"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5.200</w:t>
            </w:r>
          </w:p>
        </w:tc>
        <w:tc>
          <w:tcPr>
            <w:tcW w:w="1035" w:type="dxa"/>
            <w:tcBorders>
              <w:top w:val="single" w:sz="8" w:space="0" w:color="auto"/>
              <w:left w:val="single" w:sz="4" w:space="0" w:color="auto"/>
              <w:bottom w:val="single" w:sz="4" w:space="0" w:color="auto"/>
              <w:right w:val="single" w:sz="8" w:space="0" w:color="auto"/>
            </w:tcBorders>
            <w:shd w:val="clear" w:color="000000" w:fill="FFFFFF"/>
            <w:noWrap/>
            <w:vAlign w:val="center"/>
          </w:tcPr>
          <w:p w14:paraId="25B68246"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5.070</w:t>
            </w:r>
          </w:p>
        </w:tc>
        <w:tc>
          <w:tcPr>
            <w:tcW w:w="1036" w:type="dxa"/>
            <w:tcBorders>
              <w:top w:val="single" w:sz="8" w:space="0" w:color="auto"/>
              <w:left w:val="single" w:sz="8" w:space="0" w:color="auto"/>
              <w:bottom w:val="single" w:sz="4" w:space="0" w:color="auto"/>
              <w:right w:val="single" w:sz="8" w:space="0" w:color="auto"/>
            </w:tcBorders>
            <w:shd w:val="clear" w:color="auto" w:fill="auto"/>
            <w:noWrap/>
            <w:vAlign w:val="center"/>
          </w:tcPr>
          <w:p w14:paraId="65B084AE"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5.422</w:t>
            </w:r>
          </w:p>
        </w:tc>
        <w:tc>
          <w:tcPr>
            <w:tcW w:w="103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3FDEEB77"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5.213</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65FC0F6B"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5.156</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11E857E3"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4.876</w:t>
            </w:r>
          </w:p>
        </w:tc>
      </w:tr>
      <w:tr w:rsidR="00CA6808" w:rsidRPr="00155028" w14:paraId="3512AB3D"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6B4B3599"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Starejše od 1 leta oz. so že jarile – mlečne</w:t>
            </w:r>
          </w:p>
        </w:tc>
        <w:tc>
          <w:tcPr>
            <w:tcW w:w="1035" w:type="dxa"/>
            <w:tcBorders>
              <w:top w:val="nil"/>
              <w:left w:val="nil"/>
              <w:bottom w:val="single" w:sz="4" w:space="0" w:color="auto"/>
              <w:right w:val="single" w:sz="8" w:space="0" w:color="auto"/>
            </w:tcBorders>
            <w:shd w:val="clear" w:color="auto" w:fill="auto"/>
            <w:vAlign w:val="center"/>
          </w:tcPr>
          <w:p w14:paraId="3F542E09"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w:t>
            </w:r>
          </w:p>
        </w:tc>
        <w:tc>
          <w:tcPr>
            <w:tcW w:w="1035" w:type="dxa"/>
            <w:tcBorders>
              <w:top w:val="nil"/>
              <w:left w:val="single" w:sz="4" w:space="0" w:color="auto"/>
              <w:bottom w:val="single" w:sz="4" w:space="0" w:color="auto"/>
              <w:right w:val="single" w:sz="8" w:space="0" w:color="auto"/>
            </w:tcBorders>
            <w:shd w:val="clear" w:color="000000" w:fill="FFFFFF"/>
            <w:vAlign w:val="center"/>
          </w:tcPr>
          <w:p w14:paraId="1B76E810"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4.616</w:t>
            </w:r>
          </w:p>
        </w:tc>
        <w:tc>
          <w:tcPr>
            <w:tcW w:w="1036" w:type="dxa"/>
            <w:tcBorders>
              <w:top w:val="nil"/>
              <w:left w:val="single" w:sz="8" w:space="0" w:color="auto"/>
              <w:bottom w:val="single" w:sz="4" w:space="0" w:color="auto"/>
              <w:right w:val="single" w:sz="8" w:space="0" w:color="auto"/>
            </w:tcBorders>
            <w:shd w:val="clear" w:color="auto" w:fill="auto"/>
            <w:vAlign w:val="center"/>
          </w:tcPr>
          <w:p w14:paraId="3BB16AA8"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4.464</w:t>
            </w:r>
          </w:p>
        </w:tc>
        <w:tc>
          <w:tcPr>
            <w:tcW w:w="1035" w:type="dxa"/>
            <w:tcBorders>
              <w:top w:val="nil"/>
              <w:left w:val="single" w:sz="8" w:space="0" w:color="auto"/>
              <w:bottom w:val="single" w:sz="4" w:space="0" w:color="auto"/>
              <w:right w:val="single" w:sz="8" w:space="0" w:color="auto"/>
            </w:tcBorders>
            <w:shd w:val="clear" w:color="auto" w:fill="auto"/>
            <w:vAlign w:val="center"/>
          </w:tcPr>
          <w:p w14:paraId="20557564"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4.806</w:t>
            </w:r>
          </w:p>
        </w:tc>
        <w:tc>
          <w:tcPr>
            <w:tcW w:w="1035" w:type="dxa"/>
            <w:tcBorders>
              <w:top w:val="nil"/>
              <w:left w:val="nil"/>
              <w:bottom w:val="single" w:sz="4" w:space="0" w:color="auto"/>
              <w:right w:val="single" w:sz="4" w:space="0" w:color="auto"/>
            </w:tcBorders>
            <w:shd w:val="clear" w:color="auto" w:fill="auto"/>
            <w:vAlign w:val="center"/>
          </w:tcPr>
          <w:p w14:paraId="09854650"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4.821</w:t>
            </w:r>
          </w:p>
        </w:tc>
        <w:tc>
          <w:tcPr>
            <w:tcW w:w="1036" w:type="dxa"/>
            <w:tcBorders>
              <w:top w:val="nil"/>
              <w:left w:val="nil"/>
              <w:bottom w:val="single" w:sz="4" w:space="0" w:color="auto"/>
              <w:right w:val="single" w:sz="4" w:space="0" w:color="auto"/>
            </w:tcBorders>
            <w:shd w:val="clear" w:color="auto" w:fill="auto"/>
            <w:vAlign w:val="center"/>
          </w:tcPr>
          <w:p w14:paraId="58E71B64"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5.415</w:t>
            </w:r>
          </w:p>
        </w:tc>
      </w:tr>
      <w:tr w:rsidR="00CA6808" w:rsidRPr="00155028" w14:paraId="6078A217"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284009D2"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Starejše od 1 leta oz. so že jarile – mesne</w:t>
            </w:r>
            <w:r w:rsidRPr="00155028">
              <w:rPr>
                <w:rFonts w:eastAsia="Times New Roman"/>
                <w:color w:val="000000"/>
                <w:sz w:val="16"/>
                <w:szCs w:val="16"/>
                <w:vertAlign w:val="superscript"/>
                <w:lang w:eastAsia="sl-SI"/>
              </w:rPr>
              <w:t>1</w:t>
            </w:r>
          </w:p>
        </w:tc>
        <w:tc>
          <w:tcPr>
            <w:tcW w:w="1035" w:type="dxa"/>
            <w:tcBorders>
              <w:top w:val="single" w:sz="4" w:space="0" w:color="auto"/>
              <w:left w:val="nil"/>
              <w:bottom w:val="single" w:sz="4" w:space="0" w:color="auto"/>
              <w:right w:val="single" w:sz="4" w:space="0" w:color="auto"/>
            </w:tcBorders>
            <w:shd w:val="clear" w:color="auto" w:fill="auto"/>
            <w:vAlign w:val="center"/>
          </w:tcPr>
          <w:p w14:paraId="3BC57BC8"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17.415</w:t>
            </w:r>
          </w:p>
        </w:tc>
        <w:tc>
          <w:tcPr>
            <w:tcW w:w="1035" w:type="dxa"/>
            <w:tcBorders>
              <w:top w:val="nil"/>
              <w:left w:val="single" w:sz="4" w:space="0" w:color="auto"/>
              <w:bottom w:val="single" w:sz="4" w:space="0" w:color="auto"/>
              <w:right w:val="single" w:sz="8" w:space="0" w:color="auto"/>
            </w:tcBorders>
            <w:shd w:val="clear" w:color="000000" w:fill="FFFFFF"/>
            <w:vAlign w:val="center"/>
          </w:tcPr>
          <w:p w14:paraId="222A6DDE"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12.691</w:t>
            </w:r>
          </w:p>
        </w:tc>
        <w:tc>
          <w:tcPr>
            <w:tcW w:w="1036" w:type="dxa"/>
            <w:tcBorders>
              <w:top w:val="nil"/>
              <w:left w:val="single" w:sz="8" w:space="0" w:color="auto"/>
              <w:bottom w:val="single" w:sz="4" w:space="0" w:color="auto"/>
              <w:right w:val="single" w:sz="8" w:space="0" w:color="auto"/>
            </w:tcBorders>
            <w:shd w:val="clear" w:color="auto" w:fill="auto"/>
            <w:vAlign w:val="center"/>
          </w:tcPr>
          <w:p w14:paraId="50C598B1"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13.035</w:t>
            </w:r>
          </w:p>
        </w:tc>
        <w:tc>
          <w:tcPr>
            <w:tcW w:w="1035" w:type="dxa"/>
            <w:tcBorders>
              <w:top w:val="nil"/>
              <w:left w:val="single" w:sz="8" w:space="0" w:color="auto"/>
              <w:bottom w:val="single" w:sz="4" w:space="0" w:color="auto"/>
              <w:right w:val="single" w:sz="8" w:space="0" w:color="auto"/>
            </w:tcBorders>
            <w:shd w:val="clear" w:color="auto" w:fill="auto"/>
            <w:vAlign w:val="center"/>
          </w:tcPr>
          <w:p w14:paraId="477F9D3C"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14.362</w:t>
            </w:r>
          </w:p>
        </w:tc>
        <w:tc>
          <w:tcPr>
            <w:tcW w:w="1035" w:type="dxa"/>
            <w:tcBorders>
              <w:top w:val="nil"/>
              <w:left w:val="nil"/>
              <w:bottom w:val="single" w:sz="4" w:space="0" w:color="auto"/>
              <w:right w:val="single" w:sz="4" w:space="0" w:color="auto"/>
            </w:tcBorders>
            <w:shd w:val="clear" w:color="auto" w:fill="auto"/>
            <w:vAlign w:val="center"/>
          </w:tcPr>
          <w:p w14:paraId="05BFE5F6"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14.336</w:t>
            </w:r>
          </w:p>
        </w:tc>
        <w:tc>
          <w:tcPr>
            <w:tcW w:w="1036" w:type="dxa"/>
            <w:tcBorders>
              <w:top w:val="nil"/>
              <w:left w:val="nil"/>
              <w:bottom w:val="single" w:sz="4" w:space="0" w:color="auto"/>
              <w:right w:val="single" w:sz="4" w:space="0" w:color="auto"/>
            </w:tcBorders>
            <w:shd w:val="clear" w:color="auto" w:fill="auto"/>
            <w:vAlign w:val="center"/>
          </w:tcPr>
          <w:p w14:paraId="2DE5B5B5"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13.038</w:t>
            </w:r>
          </w:p>
        </w:tc>
      </w:tr>
      <w:tr w:rsidR="00CA6808" w:rsidRPr="00155028" w14:paraId="1F96D621"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hideMark/>
          </w:tcPr>
          <w:p w14:paraId="0EEF352F"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Kozli starejši od 1 leta</w:t>
            </w:r>
          </w:p>
        </w:tc>
        <w:tc>
          <w:tcPr>
            <w:tcW w:w="1035" w:type="dxa"/>
            <w:tcBorders>
              <w:top w:val="nil"/>
              <w:left w:val="nil"/>
              <w:bottom w:val="single" w:sz="8" w:space="0" w:color="auto"/>
              <w:right w:val="single" w:sz="4" w:space="0" w:color="auto"/>
            </w:tcBorders>
            <w:shd w:val="clear" w:color="auto" w:fill="auto"/>
            <w:noWrap/>
            <w:vAlign w:val="center"/>
          </w:tcPr>
          <w:p w14:paraId="09D803F9"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bCs/>
                <w:color w:val="000000"/>
                <w:sz w:val="16"/>
                <w:szCs w:val="16"/>
                <w:lang w:eastAsia="sl-SI"/>
              </w:rPr>
              <w:t>1.642</w:t>
            </w:r>
          </w:p>
        </w:tc>
        <w:tc>
          <w:tcPr>
            <w:tcW w:w="1035" w:type="dxa"/>
            <w:tcBorders>
              <w:top w:val="nil"/>
              <w:left w:val="single" w:sz="4" w:space="0" w:color="auto"/>
              <w:bottom w:val="single" w:sz="8" w:space="0" w:color="auto"/>
              <w:right w:val="single" w:sz="8" w:space="0" w:color="auto"/>
            </w:tcBorders>
            <w:shd w:val="clear" w:color="000000" w:fill="FFFFFF"/>
            <w:noWrap/>
            <w:vAlign w:val="center"/>
          </w:tcPr>
          <w:p w14:paraId="3F1D2E44"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1.610</w:t>
            </w:r>
          </w:p>
        </w:tc>
        <w:tc>
          <w:tcPr>
            <w:tcW w:w="1036" w:type="dxa"/>
            <w:tcBorders>
              <w:top w:val="nil"/>
              <w:left w:val="single" w:sz="8" w:space="0" w:color="auto"/>
              <w:bottom w:val="single" w:sz="8" w:space="0" w:color="auto"/>
              <w:right w:val="single" w:sz="8" w:space="0" w:color="auto"/>
            </w:tcBorders>
            <w:shd w:val="clear" w:color="auto" w:fill="auto"/>
            <w:noWrap/>
            <w:vAlign w:val="center"/>
          </w:tcPr>
          <w:p w14:paraId="5D84B321"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1.739</w:t>
            </w:r>
          </w:p>
        </w:tc>
        <w:tc>
          <w:tcPr>
            <w:tcW w:w="1035" w:type="dxa"/>
            <w:tcBorders>
              <w:top w:val="nil"/>
              <w:left w:val="single" w:sz="8" w:space="0" w:color="auto"/>
              <w:bottom w:val="single" w:sz="8" w:space="0" w:color="auto"/>
              <w:right w:val="single" w:sz="8" w:space="0" w:color="auto"/>
            </w:tcBorders>
            <w:shd w:val="clear" w:color="auto" w:fill="auto"/>
            <w:noWrap/>
            <w:vAlign w:val="center"/>
          </w:tcPr>
          <w:p w14:paraId="46D8DD51"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1.920</w:t>
            </w:r>
          </w:p>
        </w:tc>
        <w:tc>
          <w:tcPr>
            <w:tcW w:w="1035" w:type="dxa"/>
            <w:tcBorders>
              <w:top w:val="nil"/>
              <w:left w:val="nil"/>
              <w:bottom w:val="single" w:sz="4" w:space="0" w:color="auto"/>
              <w:right w:val="single" w:sz="4" w:space="0" w:color="auto"/>
            </w:tcBorders>
            <w:shd w:val="clear" w:color="auto" w:fill="auto"/>
            <w:noWrap/>
            <w:vAlign w:val="center"/>
          </w:tcPr>
          <w:p w14:paraId="08AF4E96"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1.945</w:t>
            </w:r>
          </w:p>
        </w:tc>
        <w:tc>
          <w:tcPr>
            <w:tcW w:w="1036" w:type="dxa"/>
            <w:tcBorders>
              <w:top w:val="nil"/>
              <w:left w:val="nil"/>
              <w:bottom w:val="single" w:sz="4" w:space="0" w:color="auto"/>
              <w:right w:val="single" w:sz="4" w:space="0" w:color="auto"/>
            </w:tcBorders>
            <w:shd w:val="clear" w:color="auto" w:fill="auto"/>
            <w:noWrap/>
            <w:vAlign w:val="center"/>
          </w:tcPr>
          <w:p w14:paraId="48668205"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1.840</w:t>
            </w:r>
          </w:p>
        </w:tc>
      </w:tr>
      <w:tr w:rsidR="00CA6808" w:rsidRPr="00155028" w14:paraId="1EF0301D"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tcPr>
          <w:p w14:paraId="78A1816F" w14:textId="77777777" w:rsidR="00CA6808" w:rsidRPr="00155028" w:rsidRDefault="00CA6808" w:rsidP="00CA6808">
            <w:pPr>
              <w:spacing w:before="120" w:after="0" w:line="240" w:lineRule="auto"/>
              <w:jc w:val="both"/>
              <w:rPr>
                <w:rFonts w:eastAsia="Times New Roman"/>
                <w:b/>
                <w:color w:val="000000"/>
                <w:sz w:val="16"/>
                <w:szCs w:val="16"/>
                <w:lang w:eastAsia="sl-SI"/>
              </w:rPr>
            </w:pPr>
            <w:r w:rsidRPr="00155028">
              <w:rPr>
                <w:rFonts w:eastAsia="Times New Roman"/>
                <w:b/>
                <w:color w:val="000000"/>
                <w:sz w:val="16"/>
                <w:szCs w:val="16"/>
                <w:lang w:eastAsia="sl-SI"/>
              </w:rPr>
              <w:t>GVŽ</w:t>
            </w:r>
            <w:r w:rsidRPr="00155028">
              <w:rPr>
                <w:rFonts w:eastAsia="Times New Roman"/>
                <w:b/>
                <w:color w:val="000000"/>
                <w:sz w:val="16"/>
                <w:szCs w:val="16"/>
                <w:vertAlign w:val="superscript"/>
                <w:lang w:eastAsia="sl-SI"/>
              </w:rPr>
              <w:t>3</w:t>
            </w:r>
          </w:p>
        </w:tc>
        <w:tc>
          <w:tcPr>
            <w:tcW w:w="1035" w:type="dxa"/>
            <w:tcBorders>
              <w:top w:val="nil"/>
              <w:left w:val="nil"/>
              <w:bottom w:val="single" w:sz="8" w:space="0" w:color="auto"/>
              <w:right w:val="single" w:sz="4" w:space="0" w:color="auto"/>
            </w:tcBorders>
            <w:shd w:val="clear" w:color="auto" w:fill="auto"/>
            <w:noWrap/>
            <w:vAlign w:val="center"/>
          </w:tcPr>
          <w:p w14:paraId="66EF6A2C"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2.858,55</w:t>
            </w:r>
          </w:p>
        </w:tc>
        <w:tc>
          <w:tcPr>
            <w:tcW w:w="1035" w:type="dxa"/>
            <w:tcBorders>
              <w:top w:val="nil"/>
              <w:left w:val="single" w:sz="4" w:space="0" w:color="auto"/>
              <w:bottom w:val="single" w:sz="8" w:space="0" w:color="auto"/>
              <w:right w:val="single" w:sz="8" w:space="0" w:color="auto"/>
            </w:tcBorders>
            <w:shd w:val="clear" w:color="000000" w:fill="FFFFFF"/>
            <w:noWrap/>
            <w:vAlign w:val="center"/>
          </w:tcPr>
          <w:p w14:paraId="09C8F4BA"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2.837,55</w:t>
            </w:r>
          </w:p>
        </w:tc>
        <w:tc>
          <w:tcPr>
            <w:tcW w:w="1036" w:type="dxa"/>
            <w:tcBorders>
              <w:top w:val="nil"/>
              <w:left w:val="single" w:sz="8" w:space="0" w:color="auto"/>
              <w:bottom w:val="single" w:sz="8" w:space="0" w:color="auto"/>
              <w:right w:val="single" w:sz="8" w:space="0" w:color="auto"/>
            </w:tcBorders>
            <w:shd w:val="clear" w:color="auto" w:fill="auto"/>
            <w:noWrap/>
            <w:vAlign w:val="center"/>
          </w:tcPr>
          <w:p w14:paraId="7D6135C5"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2.885,70</w:t>
            </w:r>
          </w:p>
        </w:tc>
        <w:tc>
          <w:tcPr>
            <w:tcW w:w="1035" w:type="dxa"/>
            <w:tcBorders>
              <w:top w:val="nil"/>
              <w:left w:val="single" w:sz="8" w:space="0" w:color="auto"/>
              <w:bottom w:val="single" w:sz="8" w:space="0" w:color="auto"/>
              <w:right w:val="single" w:sz="8" w:space="0" w:color="auto"/>
            </w:tcBorders>
            <w:shd w:val="clear" w:color="auto" w:fill="auto"/>
            <w:noWrap/>
            <w:vAlign w:val="center"/>
          </w:tcPr>
          <w:p w14:paraId="1558BB3C"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3.163,20</w:t>
            </w:r>
          </w:p>
        </w:tc>
        <w:tc>
          <w:tcPr>
            <w:tcW w:w="1035" w:type="dxa"/>
            <w:tcBorders>
              <w:top w:val="nil"/>
              <w:left w:val="nil"/>
              <w:bottom w:val="single" w:sz="4" w:space="0" w:color="auto"/>
              <w:right w:val="single" w:sz="4" w:space="0" w:color="auto"/>
            </w:tcBorders>
            <w:shd w:val="clear" w:color="auto" w:fill="auto"/>
            <w:noWrap/>
            <w:vAlign w:val="center"/>
          </w:tcPr>
          <w:p w14:paraId="0813993C"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3.165,30</w:t>
            </w:r>
          </w:p>
        </w:tc>
        <w:tc>
          <w:tcPr>
            <w:tcW w:w="1036" w:type="dxa"/>
            <w:tcBorders>
              <w:top w:val="nil"/>
              <w:left w:val="nil"/>
              <w:bottom w:val="single" w:sz="4" w:space="0" w:color="auto"/>
              <w:right w:val="single" w:sz="4" w:space="0" w:color="auto"/>
            </w:tcBorders>
            <w:shd w:val="clear" w:color="auto" w:fill="auto"/>
            <w:noWrap/>
            <w:vAlign w:val="center"/>
          </w:tcPr>
          <w:p w14:paraId="72EA3B41"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3.043,95</w:t>
            </w:r>
          </w:p>
        </w:tc>
      </w:tr>
      <w:tr w:rsidR="00CA6808" w:rsidRPr="00155028" w14:paraId="5200810F" w14:textId="77777777" w:rsidTr="00CA6808">
        <w:trPr>
          <w:trHeight w:val="284"/>
          <w:jc w:val="center"/>
        </w:trPr>
        <w:tc>
          <w:tcPr>
            <w:tcW w:w="2434" w:type="dxa"/>
            <w:tcBorders>
              <w:top w:val="nil"/>
              <w:left w:val="nil"/>
              <w:bottom w:val="single" w:sz="4" w:space="0" w:color="auto"/>
              <w:right w:val="nil"/>
            </w:tcBorders>
            <w:shd w:val="clear" w:color="000000" w:fill="FFFFFF"/>
            <w:vAlign w:val="center"/>
            <w:hideMark/>
          </w:tcPr>
          <w:p w14:paraId="7F7299FB"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 </w:t>
            </w:r>
          </w:p>
        </w:tc>
        <w:tc>
          <w:tcPr>
            <w:tcW w:w="2070" w:type="dxa"/>
            <w:gridSpan w:val="2"/>
            <w:tcBorders>
              <w:top w:val="nil"/>
              <w:left w:val="nil"/>
              <w:bottom w:val="nil"/>
            </w:tcBorders>
            <w:shd w:val="clear" w:color="000000" w:fill="FFFFFF"/>
            <w:vAlign w:val="center"/>
          </w:tcPr>
          <w:p w14:paraId="6A8A1D07"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 </w:t>
            </w:r>
          </w:p>
        </w:tc>
        <w:tc>
          <w:tcPr>
            <w:tcW w:w="1036" w:type="dxa"/>
            <w:tcBorders>
              <w:top w:val="nil"/>
              <w:left w:val="nil"/>
              <w:bottom w:val="nil"/>
              <w:right w:val="nil"/>
            </w:tcBorders>
            <w:shd w:val="clear" w:color="000000" w:fill="FFFFFF"/>
            <w:vAlign w:val="center"/>
          </w:tcPr>
          <w:p w14:paraId="4F8896A5"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 </w:t>
            </w:r>
          </w:p>
        </w:tc>
        <w:tc>
          <w:tcPr>
            <w:tcW w:w="1035" w:type="dxa"/>
            <w:tcBorders>
              <w:top w:val="nil"/>
              <w:left w:val="nil"/>
              <w:bottom w:val="nil"/>
              <w:right w:val="nil"/>
            </w:tcBorders>
            <w:shd w:val="clear" w:color="000000" w:fill="FFFFFF"/>
            <w:vAlign w:val="center"/>
          </w:tcPr>
          <w:p w14:paraId="46081082"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 </w:t>
            </w:r>
          </w:p>
        </w:tc>
        <w:tc>
          <w:tcPr>
            <w:tcW w:w="1035" w:type="dxa"/>
            <w:tcBorders>
              <w:top w:val="nil"/>
              <w:left w:val="nil"/>
              <w:bottom w:val="nil"/>
              <w:right w:val="nil"/>
            </w:tcBorders>
            <w:shd w:val="clear" w:color="000000" w:fill="FFFFFF"/>
            <w:vAlign w:val="center"/>
          </w:tcPr>
          <w:p w14:paraId="3E6E1987"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 </w:t>
            </w:r>
          </w:p>
        </w:tc>
        <w:tc>
          <w:tcPr>
            <w:tcW w:w="1036" w:type="dxa"/>
            <w:tcBorders>
              <w:top w:val="nil"/>
              <w:left w:val="nil"/>
              <w:bottom w:val="nil"/>
              <w:right w:val="nil"/>
            </w:tcBorders>
            <w:shd w:val="clear" w:color="000000" w:fill="FFFFFF"/>
            <w:vAlign w:val="center"/>
          </w:tcPr>
          <w:p w14:paraId="20D622C4"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 </w:t>
            </w:r>
          </w:p>
        </w:tc>
      </w:tr>
      <w:tr w:rsidR="00CA6808" w:rsidRPr="00155028" w14:paraId="33846A50" w14:textId="77777777" w:rsidTr="00CF43DE">
        <w:trPr>
          <w:trHeight w:val="284"/>
          <w:jc w:val="center"/>
        </w:trPr>
        <w:tc>
          <w:tcPr>
            <w:tcW w:w="2434" w:type="dxa"/>
            <w:tcBorders>
              <w:top w:val="single" w:sz="4" w:space="0" w:color="auto"/>
              <w:left w:val="single" w:sz="4" w:space="0" w:color="auto"/>
              <w:bottom w:val="single" w:sz="4" w:space="0" w:color="auto"/>
              <w:right w:val="single" w:sz="4" w:space="0" w:color="auto"/>
            </w:tcBorders>
            <w:shd w:val="clear" w:color="auto" w:fill="D9EEF3"/>
            <w:vAlign w:val="center"/>
          </w:tcPr>
          <w:p w14:paraId="7863FDB4" w14:textId="651E6E59" w:rsidR="00CA6808" w:rsidRPr="00155028" w:rsidRDefault="00CA6808" w:rsidP="00CA6808">
            <w:pPr>
              <w:spacing w:before="120" w:after="0" w:line="240" w:lineRule="auto"/>
              <w:jc w:val="both"/>
              <w:rPr>
                <w:rFonts w:eastAsia="Times New Roman"/>
                <w:b/>
                <w:bCs/>
                <w:color w:val="000000"/>
                <w:sz w:val="16"/>
                <w:szCs w:val="16"/>
                <w:lang w:eastAsia="sl-SI"/>
              </w:rPr>
            </w:pPr>
            <w:r w:rsidRPr="00155028">
              <w:rPr>
                <w:rFonts w:eastAsia="Times New Roman"/>
                <w:b/>
                <w:bCs/>
                <w:color w:val="000000"/>
                <w:sz w:val="16"/>
                <w:szCs w:val="16"/>
                <w:lang w:eastAsia="sl-SI"/>
              </w:rPr>
              <w:t xml:space="preserve">DROBNICA </w:t>
            </w:r>
            <w:r w:rsidR="003F0C47" w:rsidRPr="00155028">
              <w:rPr>
                <w:rFonts w:eastAsia="Times New Roman"/>
                <w:b/>
                <w:bCs/>
                <w:color w:val="000000"/>
                <w:sz w:val="16"/>
                <w:szCs w:val="16"/>
                <w:lang w:eastAsia="sl-SI"/>
              </w:rPr>
              <w:t>–</w:t>
            </w:r>
            <w:r w:rsidRPr="00155028">
              <w:rPr>
                <w:rFonts w:eastAsia="Times New Roman"/>
                <w:b/>
                <w:bCs/>
                <w:color w:val="000000"/>
                <w:sz w:val="16"/>
                <w:szCs w:val="16"/>
                <w:lang w:eastAsia="sl-SI"/>
              </w:rPr>
              <w:t xml:space="preserve"> skupaj</w:t>
            </w:r>
          </w:p>
        </w:tc>
        <w:tc>
          <w:tcPr>
            <w:tcW w:w="2070" w:type="dxa"/>
            <w:gridSpan w:val="2"/>
            <w:tcBorders>
              <w:top w:val="nil"/>
              <w:left w:val="single" w:sz="4" w:space="0" w:color="auto"/>
              <w:bottom w:val="single" w:sz="4" w:space="0" w:color="auto"/>
            </w:tcBorders>
            <w:shd w:val="clear" w:color="000000" w:fill="FFFFFF"/>
            <w:vAlign w:val="center"/>
          </w:tcPr>
          <w:p w14:paraId="2F08D9C1" w14:textId="77777777" w:rsidR="00CA6808" w:rsidRPr="00155028" w:rsidRDefault="00CA6808" w:rsidP="00CA6808">
            <w:pPr>
              <w:spacing w:before="120" w:after="0" w:line="240" w:lineRule="auto"/>
              <w:jc w:val="right"/>
              <w:rPr>
                <w:rFonts w:eastAsia="Times New Roman"/>
                <w:sz w:val="16"/>
                <w:szCs w:val="16"/>
                <w:lang w:eastAsia="sl-SI"/>
              </w:rPr>
            </w:pPr>
          </w:p>
        </w:tc>
        <w:tc>
          <w:tcPr>
            <w:tcW w:w="1036" w:type="dxa"/>
            <w:tcBorders>
              <w:top w:val="nil"/>
              <w:left w:val="nil"/>
              <w:bottom w:val="single" w:sz="4" w:space="0" w:color="auto"/>
              <w:right w:val="nil"/>
            </w:tcBorders>
            <w:shd w:val="clear" w:color="000000" w:fill="FFFFFF"/>
            <w:vAlign w:val="center"/>
          </w:tcPr>
          <w:p w14:paraId="0196823B" w14:textId="77777777" w:rsidR="00CA6808" w:rsidRPr="00155028" w:rsidRDefault="00CA6808" w:rsidP="00CA6808">
            <w:pPr>
              <w:spacing w:before="120" w:after="0" w:line="240" w:lineRule="auto"/>
              <w:jc w:val="right"/>
              <w:rPr>
                <w:rFonts w:eastAsia="Times New Roman"/>
                <w:color w:val="000000"/>
                <w:sz w:val="16"/>
                <w:szCs w:val="16"/>
                <w:lang w:eastAsia="sl-SI"/>
              </w:rPr>
            </w:pPr>
          </w:p>
        </w:tc>
        <w:tc>
          <w:tcPr>
            <w:tcW w:w="1035" w:type="dxa"/>
            <w:tcBorders>
              <w:top w:val="nil"/>
              <w:left w:val="nil"/>
              <w:bottom w:val="single" w:sz="4" w:space="0" w:color="auto"/>
              <w:right w:val="nil"/>
            </w:tcBorders>
            <w:shd w:val="clear" w:color="000000" w:fill="FFFFFF"/>
            <w:vAlign w:val="center"/>
          </w:tcPr>
          <w:p w14:paraId="060EBEFE"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p>
        </w:tc>
        <w:tc>
          <w:tcPr>
            <w:tcW w:w="1035" w:type="dxa"/>
            <w:tcBorders>
              <w:top w:val="nil"/>
              <w:left w:val="nil"/>
              <w:bottom w:val="single" w:sz="4" w:space="0" w:color="auto"/>
              <w:right w:val="nil"/>
            </w:tcBorders>
            <w:shd w:val="clear" w:color="000000" w:fill="FFFFFF"/>
            <w:vAlign w:val="center"/>
          </w:tcPr>
          <w:p w14:paraId="7EC1DA88" w14:textId="77777777" w:rsidR="00CA6808" w:rsidRPr="00155028" w:rsidRDefault="00CA6808" w:rsidP="00CA6808">
            <w:pPr>
              <w:spacing w:before="120" w:after="0" w:line="240" w:lineRule="auto"/>
              <w:jc w:val="right"/>
              <w:rPr>
                <w:rFonts w:eastAsia="Times New Roman"/>
                <w:color w:val="000000"/>
                <w:sz w:val="16"/>
                <w:szCs w:val="16"/>
                <w:lang w:eastAsia="sl-SI"/>
              </w:rPr>
            </w:pPr>
          </w:p>
        </w:tc>
        <w:tc>
          <w:tcPr>
            <w:tcW w:w="1036" w:type="dxa"/>
            <w:tcBorders>
              <w:top w:val="nil"/>
              <w:left w:val="nil"/>
              <w:bottom w:val="single" w:sz="4" w:space="0" w:color="auto"/>
              <w:right w:val="nil"/>
            </w:tcBorders>
            <w:shd w:val="clear" w:color="000000" w:fill="FFFFFF"/>
            <w:vAlign w:val="center"/>
          </w:tcPr>
          <w:p w14:paraId="6DE98AF2" w14:textId="77777777" w:rsidR="00CA6808" w:rsidRPr="00155028" w:rsidRDefault="00CA6808" w:rsidP="00CA6808">
            <w:pPr>
              <w:spacing w:before="120" w:after="0" w:line="240" w:lineRule="auto"/>
              <w:jc w:val="right"/>
              <w:rPr>
                <w:rFonts w:eastAsia="Times New Roman"/>
                <w:sz w:val="16"/>
                <w:szCs w:val="16"/>
                <w:lang w:eastAsia="sl-SI"/>
              </w:rPr>
            </w:pPr>
          </w:p>
        </w:tc>
      </w:tr>
      <w:tr w:rsidR="00CA6808" w:rsidRPr="00155028" w14:paraId="02EE1A42" w14:textId="77777777" w:rsidTr="00CA6808">
        <w:trPr>
          <w:trHeight w:val="284"/>
          <w:jc w:val="center"/>
        </w:trPr>
        <w:tc>
          <w:tcPr>
            <w:tcW w:w="2434" w:type="dxa"/>
            <w:tcBorders>
              <w:top w:val="single" w:sz="4" w:space="0" w:color="auto"/>
              <w:left w:val="single" w:sz="4" w:space="0" w:color="auto"/>
              <w:bottom w:val="single" w:sz="4" w:space="0" w:color="auto"/>
              <w:right w:val="single" w:sz="4" w:space="0" w:color="auto"/>
            </w:tcBorders>
            <w:shd w:val="clear" w:color="000000" w:fill="FFFFFF"/>
            <w:vAlign w:val="center"/>
          </w:tcPr>
          <w:p w14:paraId="79EF5766" w14:textId="77777777" w:rsidR="00CA6808" w:rsidRPr="00155028" w:rsidRDefault="00CA6808" w:rsidP="00CA6808">
            <w:pPr>
              <w:spacing w:before="120" w:after="0" w:line="240" w:lineRule="auto"/>
              <w:jc w:val="both"/>
              <w:rPr>
                <w:rFonts w:eastAsia="Times New Roman"/>
                <w:b/>
                <w:color w:val="000000"/>
                <w:sz w:val="16"/>
                <w:szCs w:val="16"/>
                <w:lang w:eastAsia="sl-SI"/>
              </w:rPr>
            </w:pPr>
            <w:r w:rsidRPr="00155028">
              <w:rPr>
                <w:rFonts w:eastAsia="Times New Roman"/>
                <w:b/>
                <w:color w:val="000000"/>
                <w:sz w:val="16"/>
                <w:szCs w:val="16"/>
                <w:lang w:eastAsia="sl-SI"/>
              </w:rPr>
              <w:t>GVŽ</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6DF8EA2D"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14092,65</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013C9F96"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14162,25</w:t>
            </w:r>
          </w:p>
        </w:tc>
        <w:tc>
          <w:tcPr>
            <w:tcW w:w="1036" w:type="dxa"/>
            <w:tcBorders>
              <w:top w:val="single" w:sz="4" w:space="0" w:color="auto"/>
              <w:left w:val="single" w:sz="4" w:space="0" w:color="auto"/>
              <w:bottom w:val="single" w:sz="4" w:space="0" w:color="auto"/>
              <w:right w:val="single" w:sz="4" w:space="0" w:color="auto"/>
            </w:tcBorders>
            <w:shd w:val="clear" w:color="000000" w:fill="FFFFFF"/>
            <w:vAlign w:val="center"/>
          </w:tcPr>
          <w:p w14:paraId="0DC2EBE0"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14331,75</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09DFB491"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15126,30</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661EC287"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15106,50</w:t>
            </w:r>
          </w:p>
        </w:tc>
        <w:tc>
          <w:tcPr>
            <w:tcW w:w="1036" w:type="dxa"/>
            <w:tcBorders>
              <w:top w:val="single" w:sz="4" w:space="0" w:color="auto"/>
              <w:left w:val="single" w:sz="4" w:space="0" w:color="auto"/>
              <w:bottom w:val="single" w:sz="4" w:space="0" w:color="auto"/>
              <w:right w:val="single" w:sz="4" w:space="0" w:color="auto"/>
            </w:tcBorders>
            <w:shd w:val="clear" w:color="000000" w:fill="FFFFFF"/>
            <w:vAlign w:val="center"/>
          </w:tcPr>
          <w:p w14:paraId="45199ECE"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14775,30</w:t>
            </w:r>
          </w:p>
        </w:tc>
      </w:tr>
      <w:tr w:rsidR="00CA6808" w:rsidRPr="00155028" w14:paraId="3683344E"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tcPr>
          <w:p w14:paraId="03720C27" w14:textId="77777777" w:rsidR="00CA6808" w:rsidRPr="00155028" w:rsidRDefault="00CA6808" w:rsidP="00CA6808">
            <w:pPr>
              <w:spacing w:before="120" w:after="0" w:line="240" w:lineRule="auto"/>
              <w:jc w:val="both"/>
              <w:rPr>
                <w:rFonts w:eastAsia="Times New Roman"/>
                <w:b/>
                <w:color w:val="000000"/>
                <w:sz w:val="16"/>
                <w:szCs w:val="16"/>
                <w:lang w:eastAsia="sl-SI"/>
              </w:rPr>
            </w:pPr>
            <w:r w:rsidRPr="00155028">
              <w:rPr>
                <w:rFonts w:eastAsia="Times New Roman"/>
                <w:b/>
                <w:color w:val="000000"/>
                <w:sz w:val="16"/>
                <w:szCs w:val="16"/>
                <w:lang w:eastAsia="sl-SI"/>
              </w:rPr>
              <w:t>GVŽ v DŽ</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4948F429"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0ECB9803"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w:t>
            </w:r>
          </w:p>
        </w:tc>
        <w:tc>
          <w:tcPr>
            <w:tcW w:w="1036" w:type="dxa"/>
            <w:tcBorders>
              <w:top w:val="single" w:sz="4" w:space="0" w:color="auto"/>
              <w:left w:val="single" w:sz="4" w:space="0" w:color="auto"/>
              <w:bottom w:val="single" w:sz="4" w:space="0" w:color="auto"/>
              <w:right w:val="single" w:sz="4" w:space="0" w:color="auto"/>
            </w:tcBorders>
            <w:shd w:val="clear" w:color="000000" w:fill="FFFFFF"/>
            <w:vAlign w:val="center"/>
          </w:tcPr>
          <w:p w14:paraId="33936E74"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3A0116EE"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3.791</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56D98A8A"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3.925</w:t>
            </w:r>
          </w:p>
        </w:tc>
        <w:tc>
          <w:tcPr>
            <w:tcW w:w="1036" w:type="dxa"/>
            <w:tcBorders>
              <w:top w:val="single" w:sz="4" w:space="0" w:color="auto"/>
              <w:left w:val="single" w:sz="4" w:space="0" w:color="auto"/>
              <w:bottom w:val="single" w:sz="4" w:space="0" w:color="auto"/>
              <w:right w:val="single" w:sz="4" w:space="0" w:color="auto"/>
            </w:tcBorders>
            <w:shd w:val="clear" w:color="000000" w:fill="FFFFFF"/>
            <w:vAlign w:val="center"/>
          </w:tcPr>
          <w:p w14:paraId="72A4C76A" w14:textId="77777777" w:rsidR="00CA6808" w:rsidRPr="00155028" w:rsidRDefault="00CA6808" w:rsidP="00CA6808">
            <w:pPr>
              <w:spacing w:before="120" w:after="0" w:line="240" w:lineRule="auto"/>
              <w:jc w:val="right"/>
              <w:rPr>
                <w:rFonts w:eastAsia="Times New Roman"/>
                <w:bCs/>
                <w:color w:val="000000"/>
                <w:sz w:val="16"/>
                <w:szCs w:val="16"/>
                <w:lang w:eastAsia="sl-SI"/>
              </w:rPr>
            </w:pPr>
            <w:r w:rsidRPr="00155028">
              <w:rPr>
                <w:rFonts w:eastAsia="Times New Roman"/>
                <w:bCs/>
                <w:color w:val="000000"/>
                <w:sz w:val="16"/>
                <w:szCs w:val="16"/>
                <w:lang w:eastAsia="sl-SI"/>
              </w:rPr>
              <w:t>4.059</w:t>
            </w:r>
          </w:p>
        </w:tc>
      </w:tr>
      <w:tr w:rsidR="00CA6808" w:rsidRPr="00155028" w14:paraId="7E60BF17"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tcPr>
          <w:p w14:paraId="627A657B" w14:textId="77777777" w:rsidR="00CA6808" w:rsidRPr="00155028" w:rsidRDefault="00CA6808" w:rsidP="00CA6808">
            <w:pPr>
              <w:spacing w:before="120" w:after="0" w:line="240" w:lineRule="auto"/>
              <w:jc w:val="both"/>
              <w:rPr>
                <w:rFonts w:eastAsia="Times New Roman"/>
                <w:b/>
                <w:color w:val="000000"/>
                <w:sz w:val="16"/>
                <w:szCs w:val="16"/>
                <w:lang w:eastAsia="sl-SI"/>
              </w:rPr>
            </w:pPr>
            <w:r w:rsidRPr="00155028">
              <w:rPr>
                <w:rFonts w:eastAsia="Times New Roman"/>
                <w:b/>
                <w:color w:val="000000"/>
                <w:sz w:val="16"/>
                <w:szCs w:val="16"/>
                <w:lang w:eastAsia="sl-SI"/>
              </w:rPr>
              <w:t>Delež GVŽ v DŽ (%)</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0C941506"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27F74BE4"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w:t>
            </w:r>
          </w:p>
        </w:tc>
        <w:tc>
          <w:tcPr>
            <w:tcW w:w="1036" w:type="dxa"/>
            <w:tcBorders>
              <w:top w:val="single" w:sz="4" w:space="0" w:color="auto"/>
              <w:left w:val="single" w:sz="4" w:space="0" w:color="auto"/>
              <w:bottom w:val="single" w:sz="4" w:space="0" w:color="auto"/>
              <w:right w:val="single" w:sz="4" w:space="0" w:color="auto"/>
            </w:tcBorders>
            <w:shd w:val="clear" w:color="000000" w:fill="FFFFFF"/>
            <w:vAlign w:val="center"/>
          </w:tcPr>
          <w:p w14:paraId="552732F5"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5BDAC5A2" w14:textId="77777777" w:rsidR="00CA6808" w:rsidRPr="00155028" w:rsidRDefault="00CA6808" w:rsidP="00CA6808">
            <w:pPr>
              <w:spacing w:before="120" w:after="0" w:line="240" w:lineRule="auto"/>
              <w:jc w:val="right"/>
              <w:rPr>
                <w:rFonts w:eastAsia="Times New Roman"/>
                <w:b/>
                <w:bCs/>
                <w:color w:val="000000"/>
                <w:sz w:val="16"/>
                <w:szCs w:val="16"/>
                <w:lang w:eastAsia="sl-SI"/>
              </w:rPr>
            </w:pPr>
            <w:r w:rsidRPr="00155028">
              <w:rPr>
                <w:rFonts w:eastAsia="Times New Roman"/>
                <w:b/>
                <w:bCs/>
                <w:color w:val="000000"/>
                <w:sz w:val="16"/>
                <w:szCs w:val="16"/>
                <w:lang w:eastAsia="sl-SI"/>
              </w:rPr>
              <w:t>25,06</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72DCAF84" w14:textId="77777777" w:rsidR="00CA6808" w:rsidRPr="00155028" w:rsidRDefault="00CA6808" w:rsidP="00CA6808">
            <w:pPr>
              <w:spacing w:before="120" w:after="0" w:line="240" w:lineRule="auto"/>
              <w:jc w:val="right"/>
              <w:rPr>
                <w:rFonts w:eastAsia="Times New Roman"/>
                <w:b/>
                <w:bCs/>
                <w:color w:val="000000"/>
                <w:sz w:val="16"/>
                <w:szCs w:val="16"/>
                <w:lang w:eastAsia="sl-SI"/>
              </w:rPr>
            </w:pPr>
            <w:r w:rsidRPr="00155028">
              <w:rPr>
                <w:rFonts w:eastAsia="Times New Roman"/>
                <w:b/>
                <w:bCs/>
                <w:color w:val="000000"/>
                <w:sz w:val="16"/>
                <w:szCs w:val="16"/>
                <w:lang w:eastAsia="sl-SI"/>
              </w:rPr>
              <w:t>25,98</w:t>
            </w:r>
          </w:p>
        </w:tc>
        <w:tc>
          <w:tcPr>
            <w:tcW w:w="1036" w:type="dxa"/>
            <w:tcBorders>
              <w:top w:val="single" w:sz="4" w:space="0" w:color="auto"/>
              <w:left w:val="single" w:sz="4" w:space="0" w:color="auto"/>
              <w:bottom w:val="single" w:sz="4" w:space="0" w:color="auto"/>
              <w:right w:val="single" w:sz="4" w:space="0" w:color="auto"/>
            </w:tcBorders>
            <w:shd w:val="clear" w:color="000000" w:fill="FFFFFF"/>
            <w:vAlign w:val="center"/>
          </w:tcPr>
          <w:p w14:paraId="174648BA" w14:textId="77777777" w:rsidR="00CA6808" w:rsidRPr="00155028" w:rsidRDefault="00CA6808" w:rsidP="00CA6808">
            <w:pPr>
              <w:spacing w:before="120" w:after="0" w:line="240" w:lineRule="auto"/>
              <w:jc w:val="right"/>
              <w:rPr>
                <w:rFonts w:eastAsia="Times New Roman"/>
                <w:b/>
                <w:bCs/>
                <w:color w:val="000000"/>
                <w:sz w:val="16"/>
                <w:szCs w:val="16"/>
                <w:lang w:eastAsia="sl-SI"/>
              </w:rPr>
            </w:pPr>
            <w:r w:rsidRPr="00155028">
              <w:rPr>
                <w:rFonts w:eastAsia="Times New Roman"/>
                <w:b/>
                <w:bCs/>
                <w:color w:val="000000"/>
                <w:sz w:val="16"/>
                <w:szCs w:val="16"/>
                <w:lang w:eastAsia="sl-SI"/>
              </w:rPr>
              <w:t>27,47</w:t>
            </w:r>
          </w:p>
        </w:tc>
      </w:tr>
      <w:tr w:rsidR="00CA6808" w:rsidRPr="00155028" w14:paraId="58E6B33D" w14:textId="77777777" w:rsidTr="00CA6808">
        <w:trPr>
          <w:trHeight w:val="284"/>
          <w:jc w:val="center"/>
        </w:trPr>
        <w:tc>
          <w:tcPr>
            <w:tcW w:w="2434" w:type="dxa"/>
            <w:tcBorders>
              <w:top w:val="single" w:sz="4" w:space="0" w:color="auto"/>
              <w:left w:val="nil"/>
              <w:bottom w:val="single" w:sz="4" w:space="0" w:color="auto"/>
              <w:right w:val="nil"/>
            </w:tcBorders>
            <w:shd w:val="clear" w:color="000000" w:fill="FFFFFF"/>
            <w:vAlign w:val="center"/>
          </w:tcPr>
          <w:p w14:paraId="608FC60C" w14:textId="77777777" w:rsidR="00CA6808" w:rsidRPr="00155028" w:rsidRDefault="00CA6808" w:rsidP="00CA6808">
            <w:pPr>
              <w:spacing w:before="120" w:after="0" w:line="240" w:lineRule="auto"/>
              <w:jc w:val="both"/>
              <w:rPr>
                <w:rFonts w:eastAsia="Times New Roman"/>
                <w:color w:val="000000"/>
                <w:sz w:val="16"/>
                <w:szCs w:val="16"/>
                <w:lang w:eastAsia="sl-SI"/>
              </w:rPr>
            </w:pPr>
          </w:p>
        </w:tc>
        <w:tc>
          <w:tcPr>
            <w:tcW w:w="2070" w:type="dxa"/>
            <w:gridSpan w:val="2"/>
            <w:tcBorders>
              <w:top w:val="single" w:sz="4" w:space="0" w:color="auto"/>
              <w:left w:val="nil"/>
              <w:bottom w:val="nil"/>
            </w:tcBorders>
            <w:shd w:val="clear" w:color="000000" w:fill="FFFFFF"/>
            <w:vAlign w:val="center"/>
          </w:tcPr>
          <w:p w14:paraId="06AD9B65" w14:textId="77777777" w:rsidR="00CA6808" w:rsidRPr="00155028" w:rsidRDefault="00CA6808" w:rsidP="00CA6808">
            <w:pPr>
              <w:spacing w:before="120" w:after="0" w:line="240" w:lineRule="auto"/>
              <w:jc w:val="right"/>
              <w:rPr>
                <w:rFonts w:eastAsia="Times New Roman"/>
                <w:sz w:val="16"/>
                <w:szCs w:val="16"/>
                <w:lang w:eastAsia="sl-SI"/>
              </w:rPr>
            </w:pPr>
          </w:p>
        </w:tc>
        <w:tc>
          <w:tcPr>
            <w:tcW w:w="1036" w:type="dxa"/>
            <w:tcBorders>
              <w:top w:val="single" w:sz="4" w:space="0" w:color="auto"/>
              <w:left w:val="nil"/>
              <w:bottom w:val="nil"/>
              <w:right w:val="nil"/>
            </w:tcBorders>
            <w:shd w:val="clear" w:color="000000" w:fill="FFFFFF"/>
            <w:vAlign w:val="center"/>
          </w:tcPr>
          <w:p w14:paraId="4D2F2DC9" w14:textId="77777777" w:rsidR="00CA6808" w:rsidRPr="00155028" w:rsidRDefault="00CA6808" w:rsidP="00CA6808">
            <w:pPr>
              <w:spacing w:before="120" w:after="0" w:line="240" w:lineRule="auto"/>
              <w:jc w:val="right"/>
              <w:rPr>
                <w:rFonts w:eastAsia="Times New Roman"/>
                <w:color w:val="000000"/>
                <w:sz w:val="16"/>
                <w:szCs w:val="16"/>
                <w:lang w:eastAsia="sl-SI"/>
              </w:rPr>
            </w:pPr>
          </w:p>
        </w:tc>
        <w:tc>
          <w:tcPr>
            <w:tcW w:w="1035" w:type="dxa"/>
            <w:tcBorders>
              <w:top w:val="single" w:sz="4" w:space="0" w:color="auto"/>
              <w:left w:val="nil"/>
              <w:bottom w:val="nil"/>
              <w:right w:val="nil"/>
            </w:tcBorders>
            <w:shd w:val="clear" w:color="000000" w:fill="FFFFFF"/>
            <w:vAlign w:val="center"/>
          </w:tcPr>
          <w:p w14:paraId="25FC456C"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p>
        </w:tc>
        <w:tc>
          <w:tcPr>
            <w:tcW w:w="1035" w:type="dxa"/>
            <w:tcBorders>
              <w:top w:val="single" w:sz="4" w:space="0" w:color="auto"/>
              <w:left w:val="nil"/>
              <w:bottom w:val="nil"/>
              <w:right w:val="nil"/>
            </w:tcBorders>
            <w:shd w:val="clear" w:color="000000" w:fill="FFFFFF"/>
            <w:vAlign w:val="center"/>
          </w:tcPr>
          <w:p w14:paraId="5A000C0F" w14:textId="77777777" w:rsidR="00CA6808" w:rsidRPr="00155028" w:rsidRDefault="00CA6808" w:rsidP="00CA6808">
            <w:pPr>
              <w:spacing w:before="120" w:after="0" w:line="240" w:lineRule="auto"/>
              <w:jc w:val="right"/>
              <w:rPr>
                <w:rFonts w:eastAsia="Times New Roman"/>
                <w:color w:val="000000"/>
                <w:sz w:val="16"/>
                <w:szCs w:val="16"/>
                <w:lang w:eastAsia="sl-SI"/>
              </w:rPr>
            </w:pPr>
          </w:p>
        </w:tc>
        <w:tc>
          <w:tcPr>
            <w:tcW w:w="1036" w:type="dxa"/>
            <w:tcBorders>
              <w:top w:val="single" w:sz="4" w:space="0" w:color="auto"/>
              <w:left w:val="nil"/>
              <w:bottom w:val="nil"/>
              <w:right w:val="nil"/>
            </w:tcBorders>
            <w:shd w:val="clear" w:color="000000" w:fill="FFFFFF"/>
            <w:vAlign w:val="center"/>
          </w:tcPr>
          <w:p w14:paraId="4EDB94C2" w14:textId="77777777" w:rsidR="00CA6808" w:rsidRPr="00155028" w:rsidRDefault="00CA6808" w:rsidP="00CA6808">
            <w:pPr>
              <w:spacing w:before="120" w:after="0" w:line="240" w:lineRule="auto"/>
              <w:jc w:val="right"/>
              <w:rPr>
                <w:rFonts w:eastAsia="Times New Roman"/>
                <w:sz w:val="16"/>
                <w:szCs w:val="16"/>
                <w:lang w:eastAsia="sl-SI"/>
              </w:rPr>
            </w:pPr>
          </w:p>
        </w:tc>
      </w:tr>
      <w:tr w:rsidR="00CA6808" w:rsidRPr="00155028" w14:paraId="42B5CED5" w14:textId="77777777" w:rsidTr="00CF43DE">
        <w:trPr>
          <w:trHeight w:val="284"/>
          <w:jc w:val="center"/>
        </w:trPr>
        <w:tc>
          <w:tcPr>
            <w:tcW w:w="2434" w:type="dxa"/>
            <w:tcBorders>
              <w:top w:val="single" w:sz="4" w:space="0" w:color="auto"/>
              <w:left w:val="single" w:sz="8" w:space="0" w:color="auto"/>
              <w:bottom w:val="single" w:sz="8" w:space="0" w:color="auto"/>
              <w:right w:val="single" w:sz="8" w:space="0" w:color="auto"/>
            </w:tcBorders>
            <w:shd w:val="clear" w:color="auto" w:fill="D9EEF3"/>
            <w:vAlign w:val="center"/>
            <w:hideMark/>
          </w:tcPr>
          <w:p w14:paraId="2577000E" w14:textId="77777777" w:rsidR="00CA6808" w:rsidRPr="00155028" w:rsidRDefault="00CA6808" w:rsidP="00CA6808">
            <w:pPr>
              <w:spacing w:before="120" w:after="0" w:line="240" w:lineRule="auto"/>
              <w:jc w:val="both"/>
              <w:rPr>
                <w:rFonts w:eastAsia="Times New Roman"/>
                <w:b/>
                <w:bCs/>
                <w:color w:val="000000"/>
                <w:sz w:val="16"/>
                <w:szCs w:val="16"/>
                <w:lang w:eastAsia="sl-SI"/>
              </w:rPr>
            </w:pPr>
            <w:r w:rsidRPr="00155028">
              <w:rPr>
                <w:rFonts w:eastAsia="Times New Roman"/>
                <w:b/>
                <w:bCs/>
                <w:color w:val="000000"/>
                <w:sz w:val="16"/>
                <w:szCs w:val="16"/>
                <w:lang w:eastAsia="sl-SI"/>
              </w:rPr>
              <w:lastRenderedPageBreak/>
              <w:t>PRAŠIČI</w:t>
            </w:r>
          </w:p>
        </w:tc>
        <w:tc>
          <w:tcPr>
            <w:tcW w:w="2070" w:type="dxa"/>
            <w:gridSpan w:val="2"/>
            <w:tcBorders>
              <w:top w:val="nil"/>
              <w:left w:val="nil"/>
              <w:bottom w:val="nil"/>
            </w:tcBorders>
            <w:shd w:val="clear" w:color="000000" w:fill="FFFFFF"/>
            <w:vAlign w:val="center"/>
          </w:tcPr>
          <w:p w14:paraId="6149EB35"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 </w:t>
            </w:r>
          </w:p>
        </w:tc>
        <w:tc>
          <w:tcPr>
            <w:tcW w:w="1036" w:type="dxa"/>
            <w:tcBorders>
              <w:top w:val="nil"/>
              <w:left w:val="nil"/>
              <w:bottom w:val="nil"/>
              <w:right w:val="nil"/>
            </w:tcBorders>
            <w:shd w:val="clear" w:color="000000" w:fill="FFFFFF"/>
            <w:vAlign w:val="center"/>
          </w:tcPr>
          <w:p w14:paraId="6BD12D16"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 </w:t>
            </w:r>
          </w:p>
        </w:tc>
        <w:tc>
          <w:tcPr>
            <w:tcW w:w="1035" w:type="dxa"/>
            <w:tcBorders>
              <w:top w:val="nil"/>
              <w:left w:val="nil"/>
              <w:bottom w:val="nil"/>
              <w:right w:val="nil"/>
            </w:tcBorders>
            <w:shd w:val="clear" w:color="000000" w:fill="FFFFFF"/>
            <w:vAlign w:val="center"/>
          </w:tcPr>
          <w:p w14:paraId="52BBA737"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 </w:t>
            </w:r>
          </w:p>
        </w:tc>
        <w:tc>
          <w:tcPr>
            <w:tcW w:w="1035" w:type="dxa"/>
            <w:tcBorders>
              <w:top w:val="nil"/>
              <w:left w:val="nil"/>
              <w:bottom w:val="nil"/>
              <w:right w:val="nil"/>
            </w:tcBorders>
            <w:shd w:val="clear" w:color="000000" w:fill="FFFFFF"/>
            <w:vAlign w:val="center"/>
          </w:tcPr>
          <w:p w14:paraId="040ADD7F"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 </w:t>
            </w:r>
          </w:p>
        </w:tc>
        <w:tc>
          <w:tcPr>
            <w:tcW w:w="1036" w:type="dxa"/>
            <w:tcBorders>
              <w:top w:val="nil"/>
              <w:left w:val="nil"/>
              <w:bottom w:val="nil"/>
              <w:right w:val="nil"/>
            </w:tcBorders>
            <w:shd w:val="clear" w:color="000000" w:fill="FFFFFF"/>
            <w:vAlign w:val="center"/>
          </w:tcPr>
          <w:p w14:paraId="2FE015EC"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 </w:t>
            </w:r>
          </w:p>
        </w:tc>
      </w:tr>
      <w:tr w:rsidR="00CA6808" w:rsidRPr="00155028" w14:paraId="1AA60DEA" w14:textId="77777777" w:rsidTr="00CA6808">
        <w:trPr>
          <w:trHeight w:val="284"/>
          <w:jc w:val="center"/>
        </w:trPr>
        <w:tc>
          <w:tcPr>
            <w:tcW w:w="2434"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53CCA1E3"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Sesni pujski</w:t>
            </w:r>
          </w:p>
        </w:tc>
        <w:tc>
          <w:tcPr>
            <w:tcW w:w="1035" w:type="dxa"/>
            <w:tcBorders>
              <w:top w:val="single" w:sz="8" w:space="0" w:color="auto"/>
              <w:left w:val="nil"/>
              <w:bottom w:val="single" w:sz="4" w:space="0" w:color="auto"/>
              <w:right w:val="single" w:sz="4" w:space="0" w:color="auto"/>
            </w:tcBorders>
            <w:shd w:val="clear" w:color="auto" w:fill="auto"/>
            <w:noWrap/>
            <w:vAlign w:val="center"/>
          </w:tcPr>
          <w:p w14:paraId="6C6B5981"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w:t>
            </w:r>
          </w:p>
        </w:tc>
        <w:tc>
          <w:tcPr>
            <w:tcW w:w="1035" w:type="dxa"/>
            <w:tcBorders>
              <w:top w:val="single" w:sz="8" w:space="0" w:color="auto"/>
              <w:left w:val="single" w:sz="4" w:space="0" w:color="auto"/>
              <w:bottom w:val="single" w:sz="4" w:space="0" w:color="auto"/>
              <w:right w:val="single" w:sz="8" w:space="0" w:color="auto"/>
            </w:tcBorders>
            <w:shd w:val="clear" w:color="000000" w:fill="FFFFFF"/>
            <w:noWrap/>
            <w:vAlign w:val="center"/>
          </w:tcPr>
          <w:p w14:paraId="6D55941C"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34.192</w:t>
            </w:r>
          </w:p>
        </w:tc>
        <w:tc>
          <w:tcPr>
            <w:tcW w:w="1036"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71FE5E5"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33.903</w:t>
            </w:r>
          </w:p>
        </w:tc>
        <w:tc>
          <w:tcPr>
            <w:tcW w:w="103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6DC32F12"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33.023</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73F1BE2C"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42.418</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1C1988E9"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41.116</w:t>
            </w:r>
          </w:p>
        </w:tc>
      </w:tr>
      <w:tr w:rsidR="00CA6808" w:rsidRPr="00155028" w14:paraId="558963CD"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6F70977B"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Tekači do 30 kg</w:t>
            </w:r>
            <w:r w:rsidRPr="00155028">
              <w:rPr>
                <w:rFonts w:eastAsia="Times New Roman"/>
                <w:color w:val="000000"/>
                <w:sz w:val="16"/>
                <w:szCs w:val="16"/>
                <w:vertAlign w:val="superscript"/>
                <w:lang w:eastAsia="sl-SI"/>
              </w:rPr>
              <w:t>2</w:t>
            </w:r>
          </w:p>
        </w:tc>
        <w:tc>
          <w:tcPr>
            <w:tcW w:w="1035" w:type="dxa"/>
            <w:tcBorders>
              <w:top w:val="nil"/>
              <w:left w:val="nil"/>
              <w:bottom w:val="single" w:sz="4" w:space="0" w:color="auto"/>
              <w:right w:val="single" w:sz="4" w:space="0" w:color="auto"/>
            </w:tcBorders>
            <w:shd w:val="clear" w:color="auto" w:fill="auto"/>
            <w:noWrap/>
            <w:vAlign w:val="center"/>
          </w:tcPr>
          <w:p w14:paraId="4D7042D8"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39.000</w:t>
            </w:r>
          </w:p>
        </w:tc>
        <w:tc>
          <w:tcPr>
            <w:tcW w:w="1035" w:type="dxa"/>
            <w:tcBorders>
              <w:top w:val="nil"/>
              <w:left w:val="single" w:sz="4" w:space="0" w:color="auto"/>
              <w:bottom w:val="single" w:sz="4" w:space="0" w:color="auto"/>
              <w:right w:val="single" w:sz="8" w:space="0" w:color="auto"/>
            </w:tcBorders>
            <w:shd w:val="clear" w:color="000000" w:fill="FFFFFF"/>
            <w:noWrap/>
            <w:vAlign w:val="center"/>
          </w:tcPr>
          <w:p w14:paraId="66C1275E"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49.494</w:t>
            </w:r>
          </w:p>
        </w:tc>
        <w:tc>
          <w:tcPr>
            <w:tcW w:w="1036" w:type="dxa"/>
            <w:tcBorders>
              <w:top w:val="nil"/>
              <w:left w:val="single" w:sz="8" w:space="0" w:color="auto"/>
              <w:bottom w:val="single" w:sz="4" w:space="0" w:color="auto"/>
              <w:right w:val="single" w:sz="8" w:space="0" w:color="auto"/>
            </w:tcBorders>
            <w:shd w:val="clear" w:color="auto" w:fill="auto"/>
            <w:noWrap/>
            <w:vAlign w:val="center"/>
          </w:tcPr>
          <w:p w14:paraId="1B102541"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49.139</w:t>
            </w:r>
          </w:p>
        </w:tc>
        <w:tc>
          <w:tcPr>
            <w:tcW w:w="1035" w:type="dxa"/>
            <w:tcBorders>
              <w:top w:val="nil"/>
              <w:left w:val="single" w:sz="8" w:space="0" w:color="auto"/>
              <w:bottom w:val="single" w:sz="4" w:space="0" w:color="auto"/>
              <w:right w:val="single" w:sz="8" w:space="0" w:color="auto"/>
            </w:tcBorders>
            <w:shd w:val="clear" w:color="auto" w:fill="auto"/>
            <w:noWrap/>
            <w:vAlign w:val="center"/>
          </w:tcPr>
          <w:p w14:paraId="5571FBDD"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45.307</w:t>
            </w:r>
          </w:p>
        </w:tc>
        <w:tc>
          <w:tcPr>
            <w:tcW w:w="1035" w:type="dxa"/>
            <w:tcBorders>
              <w:top w:val="nil"/>
              <w:left w:val="nil"/>
              <w:bottom w:val="single" w:sz="4" w:space="0" w:color="auto"/>
              <w:right w:val="single" w:sz="4" w:space="0" w:color="auto"/>
            </w:tcBorders>
            <w:shd w:val="clear" w:color="auto" w:fill="auto"/>
            <w:noWrap/>
            <w:vAlign w:val="center"/>
          </w:tcPr>
          <w:p w14:paraId="10D8318B"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29.978</w:t>
            </w:r>
          </w:p>
        </w:tc>
        <w:tc>
          <w:tcPr>
            <w:tcW w:w="1036" w:type="dxa"/>
            <w:tcBorders>
              <w:top w:val="nil"/>
              <w:left w:val="nil"/>
              <w:bottom w:val="single" w:sz="4" w:space="0" w:color="auto"/>
              <w:right w:val="single" w:sz="4" w:space="0" w:color="auto"/>
            </w:tcBorders>
            <w:shd w:val="clear" w:color="auto" w:fill="auto"/>
            <w:noWrap/>
            <w:vAlign w:val="center"/>
          </w:tcPr>
          <w:p w14:paraId="50F15652"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29.670</w:t>
            </w:r>
          </w:p>
        </w:tc>
      </w:tr>
      <w:tr w:rsidR="00CA6808" w:rsidRPr="00155028" w14:paraId="56500AD0"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12C68B6A"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Prašiči pitanci in plemenski prašiči od 30 do 110 kg</w:t>
            </w:r>
          </w:p>
        </w:tc>
        <w:tc>
          <w:tcPr>
            <w:tcW w:w="1035" w:type="dxa"/>
            <w:tcBorders>
              <w:top w:val="nil"/>
              <w:left w:val="nil"/>
              <w:bottom w:val="single" w:sz="4" w:space="0" w:color="auto"/>
              <w:right w:val="single" w:sz="4" w:space="0" w:color="auto"/>
            </w:tcBorders>
            <w:shd w:val="clear" w:color="auto" w:fill="auto"/>
            <w:vAlign w:val="center"/>
          </w:tcPr>
          <w:p w14:paraId="65DF101C"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167.923</w:t>
            </w:r>
          </w:p>
        </w:tc>
        <w:tc>
          <w:tcPr>
            <w:tcW w:w="1035" w:type="dxa"/>
            <w:tcBorders>
              <w:top w:val="nil"/>
              <w:left w:val="single" w:sz="4" w:space="0" w:color="auto"/>
              <w:bottom w:val="single" w:sz="4" w:space="0" w:color="auto"/>
              <w:right w:val="single" w:sz="8" w:space="0" w:color="auto"/>
            </w:tcBorders>
            <w:shd w:val="clear" w:color="000000" w:fill="FFFFFF"/>
            <w:vAlign w:val="center"/>
          </w:tcPr>
          <w:p w14:paraId="397A01A0"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110.007</w:t>
            </w:r>
          </w:p>
        </w:tc>
        <w:tc>
          <w:tcPr>
            <w:tcW w:w="1036" w:type="dxa"/>
            <w:tcBorders>
              <w:top w:val="nil"/>
              <w:left w:val="single" w:sz="8" w:space="0" w:color="auto"/>
              <w:bottom w:val="single" w:sz="4" w:space="0" w:color="auto"/>
              <w:right w:val="single" w:sz="8" w:space="0" w:color="auto"/>
            </w:tcBorders>
            <w:shd w:val="clear" w:color="auto" w:fill="auto"/>
            <w:vAlign w:val="center"/>
          </w:tcPr>
          <w:p w14:paraId="189D2FD8"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92.787</w:t>
            </w:r>
          </w:p>
        </w:tc>
        <w:tc>
          <w:tcPr>
            <w:tcW w:w="1035" w:type="dxa"/>
            <w:tcBorders>
              <w:top w:val="nil"/>
              <w:left w:val="single" w:sz="8" w:space="0" w:color="auto"/>
              <w:bottom w:val="single" w:sz="4" w:space="0" w:color="auto"/>
              <w:right w:val="single" w:sz="8" w:space="0" w:color="auto"/>
            </w:tcBorders>
            <w:shd w:val="clear" w:color="auto" w:fill="auto"/>
            <w:vAlign w:val="center"/>
          </w:tcPr>
          <w:p w14:paraId="61412757"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95.061</w:t>
            </w:r>
          </w:p>
        </w:tc>
        <w:tc>
          <w:tcPr>
            <w:tcW w:w="1035" w:type="dxa"/>
            <w:tcBorders>
              <w:top w:val="nil"/>
              <w:left w:val="nil"/>
              <w:bottom w:val="single" w:sz="4" w:space="0" w:color="auto"/>
              <w:right w:val="single" w:sz="4" w:space="0" w:color="auto"/>
            </w:tcBorders>
            <w:shd w:val="clear" w:color="auto" w:fill="auto"/>
            <w:vAlign w:val="center"/>
          </w:tcPr>
          <w:p w14:paraId="1B8F2573"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47.742</w:t>
            </w:r>
          </w:p>
        </w:tc>
        <w:tc>
          <w:tcPr>
            <w:tcW w:w="1036" w:type="dxa"/>
            <w:tcBorders>
              <w:top w:val="nil"/>
              <w:left w:val="nil"/>
              <w:bottom w:val="single" w:sz="4" w:space="0" w:color="auto"/>
              <w:right w:val="single" w:sz="4" w:space="0" w:color="auto"/>
            </w:tcBorders>
            <w:shd w:val="clear" w:color="auto" w:fill="auto"/>
            <w:vAlign w:val="center"/>
          </w:tcPr>
          <w:p w14:paraId="5D9C7562"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49.226</w:t>
            </w:r>
          </w:p>
        </w:tc>
      </w:tr>
      <w:tr w:rsidR="00CA6808" w:rsidRPr="00155028" w14:paraId="094A2A7C"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57BBC213"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Mladi prašiči od 30 do 150 kg (kmečka reja)</w:t>
            </w:r>
          </w:p>
        </w:tc>
        <w:tc>
          <w:tcPr>
            <w:tcW w:w="1035" w:type="dxa"/>
            <w:tcBorders>
              <w:top w:val="nil"/>
              <w:left w:val="nil"/>
              <w:bottom w:val="single" w:sz="4" w:space="0" w:color="auto"/>
              <w:right w:val="single" w:sz="4" w:space="0" w:color="auto"/>
            </w:tcBorders>
            <w:shd w:val="clear" w:color="auto" w:fill="auto"/>
            <w:vAlign w:val="center"/>
          </w:tcPr>
          <w:p w14:paraId="59113E0C"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w:t>
            </w:r>
          </w:p>
        </w:tc>
        <w:tc>
          <w:tcPr>
            <w:tcW w:w="1035" w:type="dxa"/>
            <w:tcBorders>
              <w:top w:val="nil"/>
              <w:left w:val="single" w:sz="4" w:space="0" w:color="auto"/>
              <w:bottom w:val="single" w:sz="4" w:space="0" w:color="auto"/>
              <w:right w:val="single" w:sz="8" w:space="0" w:color="auto"/>
            </w:tcBorders>
            <w:shd w:val="clear" w:color="000000" w:fill="FFFFFF"/>
            <w:vAlign w:val="center"/>
          </w:tcPr>
          <w:p w14:paraId="058648D3"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44.135</w:t>
            </w:r>
          </w:p>
        </w:tc>
        <w:tc>
          <w:tcPr>
            <w:tcW w:w="1036" w:type="dxa"/>
            <w:tcBorders>
              <w:top w:val="nil"/>
              <w:left w:val="single" w:sz="8" w:space="0" w:color="auto"/>
              <w:bottom w:val="single" w:sz="4" w:space="0" w:color="auto"/>
              <w:right w:val="single" w:sz="8" w:space="0" w:color="auto"/>
            </w:tcBorders>
            <w:shd w:val="clear" w:color="auto" w:fill="auto"/>
            <w:vAlign w:val="center"/>
          </w:tcPr>
          <w:p w14:paraId="0BA480CD"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54.237</w:t>
            </w:r>
          </w:p>
        </w:tc>
        <w:tc>
          <w:tcPr>
            <w:tcW w:w="1035" w:type="dxa"/>
            <w:tcBorders>
              <w:top w:val="nil"/>
              <w:left w:val="single" w:sz="8" w:space="0" w:color="auto"/>
              <w:bottom w:val="single" w:sz="4" w:space="0" w:color="auto"/>
              <w:right w:val="single" w:sz="8" w:space="0" w:color="auto"/>
            </w:tcBorders>
            <w:shd w:val="clear" w:color="auto" w:fill="auto"/>
            <w:vAlign w:val="center"/>
          </w:tcPr>
          <w:p w14:paraId="40EDEA26"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43.234</w:t>
            </w:r>
          </w:p>
        </w:tc>
        <w:tc>
          <w:tcPr>
            <w:tcW w:w="1035" w:type="dxa"/>
            <w:tcBorders>
              <w:top w:val="nil"/>
              <w:left w:val="nil"/>
              <w:bottom w:val="single" w:sz="4" w:space="0" w:color="auto"/>
              <w:right w:val="single" w:sz="4" w:space="0" w:color="auto"/>
            </w:tcBorders>
            <w:shd w:val="clear" w:color="auto" w:fill="auto"/>
            <w:vAlign w:val="center"/>
          </w:tcPr>
          <w:p w14:paraId="023C9E0F"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96.446</w:t>
            </w:r>
          </w:p>
        </w:tc>
        <w:tc>
          <w:tcPr>
            <w:tcW w:w="1036" w:type="dxa"/>
            <w:tcBorders>
              <w:top w:val="nil"/>
              <w:left w:val="nil"/>
              <w:bottom w:val="single" w:sz="4" w:space="0" w:color="auto"/>
              <w:right w:val="single" w:sz="4" w:space="0" w:color="auto"/>
            </w:tcBorders>
            <w:shd w:val="clear" w:color="auto" w:fill="auto"/>
            <w:vAlign w:val="center"/>
          </w:tcPr>
          <w:p w14:paraId="6A88484A"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98.136</w:t>
            </w:r>
          </w:p>
        </w:tc>
      </w:tr>
      <w:tr w:rsidR="00CA6808" w:rsidRPr="00155028" w14:paraId="2AA5A087"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7D4C9B3A"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Plemenski merjasci</w:t>
            </w:r>
          </w:p>
        </w:tc>
        <w:tc>
          <w:tcPr>
            <w:tcW w:w="1035" w:type="dxa"/>
            <w:tcBorders>
              <w:top w:val="nil"/>
              <w:left w:val="nil"/>
              <w:bottom w:val="single" w:sz="4" w:space="0" w:color="auto"/>
              <w:right w:val="single" w:sz="4" w:space="0" w:color="auto"/>
            </w:tcBorders>
            <w:shd w:val="clear" w:color="auto" w:fill="auto"/>
            <w:noWrap/>
            <w:vAlign w:val="center"/>
          </w:tcPr>
          <w:p w14:paraId="7EEC0B82"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890</w:t>
            </w:r>
          </w:p>
        </w:tc>
        <w:tc>
          <w:tcPr>
            <w:tcW w:w="1035" w:type="dxa"/>
            <w:tcBorders>
              <w:top w:val="nil"/>
              <w:left w:val="single" w:sz="4" w:space="0" w:color="auto"/>
              <w:bottom w:val="single" w:sz="4" w:space="0" w:color="auto"/>
              <w:right w:val="single" w:sz="8" w:space="0" w:color="auto"/>
            </w:tcBorders>
            <w:shd w:val="clear" w:color="000000" w:fill="FFFFFF"/>
            <w:noWrap/>
            <w:vAlign w:val="center"/>
          </w:tcPr>
          <w:p w14:paraId="40827BC7"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898</w:t>
            </w:r>
          </w:p>
        </w:tc>
        <w:tc>
          <w:tcPr>
            <w:tcW w:w="1036" w:type="dxa"/>
            <w:tcBorders>
              <w:top w:val="nil"/>
              <w:left w:val="single" w:sz="8" w:space="0" w:color="auto"/>
              <w:bottom w:val="single" w:sz="4" w:space="0" w:color="auto"/>
              <w:right w:val="single" w:sz="8" w:space="0" w:color="auto"/>
            </w:tcBorders>
            <w:shd w:val="clear" w:color="auto" w:fill="auto"/>
            <w:noWrap/>
            <w:vAlign w:val="center"/>
          </w:tcPr>
          <w:p w14:paraId="68D35D61"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888</w:t>
            </w:r>
          </w:p>
        </w:tc>
        <w:tc>
          <w:tcPr>
            <w:tcW w:w="1035" w:type="dxa"/>
            <w:tcBorders>
              <w:top w:val="nil"/>
              <w:left w:val="single" w:sz="8" w:space="0" w:color="auto"/>
              <w:bottom w:val="single" w:sz="4" w:space="0" w:color="auto"/>
              <w:right w:val="single" w:sz="8" w:space="0" w:color="auto"/>
            </w:tcBorders>
            <w:shd w:val="clear" w:color="auto" w:fill="auto"/>
            <w:noWrap/>
            <w:vAlign w:val="center"/>
          </w:tcPr>
          <w:p w14:paraId="0FB23526"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831</w:t>
            </w:r>
          </w:p>
        </w:tc>
        <w:tc>
          <w:tcPr>
            <w:tcW w:w="1035" w:type="dxa"/>
            <w:tcBorders>
              <w:top w:val="nil"/>
              <w:left w:val="nil"/>
              <w:bottom w:val="single" w:sz="4" w:space="0" w:color="auto"/>
              <w:right w:val="single" w:sz="4" w:space="0" w:color="auto"/>
            </w:tcBorders>
            <w:shd w:val="clear" w:color="auto" w:fill="auto"/>
            <w:noWrap/>
            <w:vAlign w:val="center"/>
          </w:tcPr>
          <w:p w14:paraId="42AD9D4A"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820</w:t>
            </w:r>
          </w:p>
        </w:tc>
        <w:tc>
          <w:tcPr>
            <w:tcW w:w="1036" w:type="dxa"/>
            <w:tcBorders>
              <w:top w:val="nil"/>
              <w:left w:val="nil"/>
              <w:bottom w:val="single" w:sz="4" w:space="0" w:color="auto"/>
              <w:right w:val="single" w:sz="4" w:space="0" w:color="auto"/>
            </w:tcBorders>
            <w:shd w:val="clear" w:color="auto" w:fill="auto"/>
            <w:noWrap/>
            <w:vAlign w:val="center"/>
          </w:tcPr>
          <w:p w14:paraId="1977F95A"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751</w:t>
            </w:r>
          </w:p>
        </w:tc>
      </w:tr>
      <w:tr w:rsidR="00CA6808" w:rsidRPr="00155028" w14:paraId="6DEF1C92"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2F0C22AD"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Plemenske mladice</w:t>
            </w:r>
          </w:p>
        </w:tc>
        <w:tc>
          <w:tcPr>
            <w:tcW w:w="1035" w:type="dxa"/>
            <w:tcBorders>
              <w:top w:val="nil"/>
              <w:left w:val="nil"/>
              <w:bottom w:val="single" w:sz="4" w:space="0" w:color="auto"/>
              <w:right w:val="single" w:sz="4" w:space="0" w:color="auto"/>
            </w:tcBorders>
            <w:shd w:val="clear" w:color="auto" w:fill="auto"/>
            <w:noWrap/>
            <w:vAlign w:val="center"/>
          </w:tcPr>
          <w:p w14:paraId="7F9B1332"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6.137</w:t>
            </w:r>
          </w:p>
        </w:tc>
        <w:tc>
          <w:tcPr>
            <w:tcW w:w="1035" w:type="dxa"/>
            <w:tcBorders>
              <w:top w:val="nil"/>
              <w:left w:val="single" w:sz="4" w:space="0" w:color="auto"/>
              <w:bottom w:val="single" w:sz="4" w:space="0" w:color="auto"/>
              <w:right w:val="single" w:sz="8" w:space="0" w:color="auto"/>
            </w:tcBorders>
            <w:shd w:val="clear" w:color="000000" w:fill="FFFFFF"/>
            <w:noWrap/>
            <w:vAlign w:val="center"/>
          </w:tcPr>
          <w:p w14:paraId="7B3C68E2"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5.185</w:t>
            </w:r>
          </w:p>
        </w:tc>
        <w:tc>
          <w:tcPr>
            <w:tcW w:w="1036" w:type="dxa"/>
            <w:tcBorders>
              <w:top w:val="nil"/>
              <w:left w:val="single" w:sz="8" w:space="0" w:color="auto"/>
              <w:bottom w:val="single" w:sz="4" w:space="0" w:color="auto"/>
              <w:right w:val="single" w:sz="8" w:space="0" w:color="auto"/>
            </w:tcBorders>
            <w:shd w:val="clear" w:color="auto" w:fill="auto"/>
            <w:noWrap/>
            <w:vAlign w:val="center"/>
          </w:tcPr>
          <w:p w14:paraId="5790B2E4"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5.131</w:t>
            </w:r>
          </w:p>
        </w:tc>
        <w:tc>
          <w:tcPr>
            <w:tcW w:w="1035" w:type="dxa"/>
            <w:tcBorders>
              <w:top w:val="nil"/>
              <w:left w:val="single" w:sz="8" w:space="0" w:color="auto"/>
              <w:bottom w:val="single" w:sz="4" w:space="0" w:color="auto"/>
              <w:right w:val="single" w:sz="8" w:space="0" w:color="auto"/>
            </w:tcBorders>
            <w:shd w:val="clear" w:color="auto" w:fill="auto"/>
            <w:noWrap/>
            <w:vAlign w:val="center"/>
          </w:tcPr>
          <w:p w14:paraId="652BBA5B"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4.753</w:t>
            </w:r>
          </w:p>
        </w:tc>
        <w:tc>
          <w:tcPr>
            <w:tcW w:w="1035" w:type="dxa"/>
            <w:tcBorders>
              <w:top w:val="nil"/>
              <w:left w:val="nil"/>
              <w:bottom w:val="single" w:sz="4" w:space="0" w:color="auto"/>
              <w:right w:val="single" w:sz="4" w:space="0" w:color="auto"/>
            </w:tcBorders>
            <w:shd w:val="clear" w:color="auto" w:fill="auto"/>
            <w:noWrap/>
            <w:vAlign w:val="center"/>
          </w:tcPr>
          <w:p w14:paraId="5999139E"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4.977</w:t>
            </w:r>
          </w:p>
        </w:tc>
        <w:tc>
          <w:tcPr>
            <w:tcW w:w="1036" w:type="dxa"/>
            <w:tcBorders>
              <w:top w:val="nil"/>
              <w:left w:val="nil"/>
              <w:bottom w:val="single" w:sz="4" w:space="0" w:color="auto"/>
              <w:right w:val="single" w:sz="4" w:space="0" w:color="auto"/>
            </w:tcBorders>
            <w:shd w:val="clear" w:color="auto" w:fill="auto"/>
            <w:noWrap/>
            <w:vAlign w:val="center"/>
          </w:tcPr>
          <w:p w14:paraId="60927714"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4.570</w:t>
            </w:r>
          </w:p>
        </w:tc>
      </w:tr>
      <w:tr w:rsidR="00CA6808" w:rsidRPr="00155028" w14:paraId="48D660DD" w14:textId="77777777" w:rsidTr="00CA6808">
        <w:trPr>
          <w:trHeight w:val="284"/>
          <w:jc w:val="center"/>
        </w:trPr>
        <w:tc>
          <w:tcPr>
            <w:tcW w:w="2434"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927F2DF" w14:textId="77777777" w:rsidR="00CA6808" w:rsidRPr="00155028" w:rsidRDefault="00CA6808" w:rsidP="00CA6808">
            <w:pPr>
              <w:spacing w:before="120" w:after="0" w:line="240" w:lineRule="auto"/>
              <w:jc w:val="both"/>
              <w:rPr>
                <w:rFonts w:eastAsia="Times New Roman"/>
                <w:color w:val="000000"/>
                <w:sz w:val="16"/>
                <w:szCs w:val="16"/>
                <w:lang w:eastAsia="sl-SI"/>
              </w:rPr>
            </w:pPr>
            <w:r w:rsidRPr="00155028">
              <w:rPr>
                <w:rFonts w:eastAsia="Times New Roman"/>
                <w:color w:val="000000"/>
                <w:sz w:val="16"/>
                <w:szCs w:val="16"/>
                <w:lang w:eastAsia="sl-SI"/>
              </w:rPr>
              <w:t>Plemenske svinje</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5C9D02CB"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20.349</w:t>
            </w:r>
          </w:p>
        </w:tc>
        <w:tc>
          <w:tcPr>
            <w:tcW w:w="1035" w:type="dxa"/>
            <w:tcBorders>
              <w:top w:val="single" w:sz="4" w:space="0" w:color="auto"/>
              <w:left w:val="single" w:sz="4" w:space="0" w:color="auto"/>
              <w:bottom w:val="single" w:sz="4" w:space="0" w:color="auto"/>
              <w:right w:val="single" w:sz="8" w:space="0" w:color="auto"/>
            </w:tcBorders>
            <w:shd w:val="clear" w:color="000000" w:fill="FFFFFF"/>
            <w:noWrap/>
            <w:vAlign w:val="center"/>
          </w:tcPr>
          <w:p w14:paraId="0E80FEEA"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19.871</w:t>
            </w:r>
          </w:p>
        </w:tc>
        <w:tc>
          <w:tcPr>
            <w:tcW w:w="10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5C01055"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19.392</w:t>
            </w:r>
          </w:p>
        </w:tc>
        <w:tc>
          <w:tcPr>
            <w:tcW w:w="103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43F3EA2" w14:textId="77777777" w:rsidR="00CA6808" w:rsidRPr="00155028" w:rsidRDefault="00CA6808" w:rsidP="00CA6808">
            <w:pPr>
              <w:spacing w:before="120" w:after="0" w:line="240" w:lineRule="auto"/>
              <w:jc w:val="right"/>
              <w:rPr>
                <w:rFonts w:eastAsia="Times New Roman"/>
                <w:color w:val="000000" w:themeColor="text1"/>
                <w:sz w:val="16"/>
                <w:szCs w:val="16"/>
                <w:lang w:eastAsia="sl-SI"/>
              </w:rPr>
            </w:pPr>
            <w:r w:rsidRPr="00155028">
              <w:rPr>
                <w:rFonts w:eastAsia="Times New Roman"/>
                <w:color w:val="000000" w:themeColor="text1"/>
                <w:sz w:val="16"/>
                <w:szCs w:val="16"/>
                <w:lang w:eastAsia="sl-SI"/>
              </w:rPr>
              <w:t>1.867</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795297B4" w14:textId="77777777" w:rsidR="00CA6808" w:rsidRPr="00155028" w:rsidRDefault="00CA6808" w:rsidP="00CA6808">
            <w:pPr>
              <w:spacing w:before="120" w:after="0" w:line="240" w:lineRule="auto"/>
              <w:jc w:val="right"/>
              <w:rPr>
                <w:rFonts w:eastAsia="Times New Roman"/>
                <w:color w:val="000000"/>
                <w:sz w:val="16"/>
                <w:szCs w:val="16"/>
                <w:lang w:eastAsia="sl-SI"/>
              </w:rPr>
            </w:pPr>
            <w:r w:rsidRPr="00155028">
              <w:rPr>
                <w:rFonts w:eastAsia="Times New Roman"/>
                <w:color w:val="000000"/>
                <w:sz w:val="16"/>
                <w:szCs w:val="16"/>
                <w:lang w:eastAsia="sl-SI"/>
              </w:rPr>
              <w:t>18.003</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7092BFD6" w14:textId="77777777" w:rsidR="00CA6808" w:rsidRPr="00155028" w:rsidRDefault="00CA6808" w:rsidP="00CA6808">
            <w:pPr>
              <w:spacing w:before="120" w:after="0" w:line="240" w:lineRule="auto"/>
              <w:jc w:val="right"/>
              <w:rPr>
                <w:rFonts w:eastAsia="Times New Roman"/>
                <w:bCs/>
                <w:sz w:val="16"/>
                <w:szCs w:val="16"/>
                <w:lang w:eastAsia="sl-SI"/>
              </w:rPr>
            </w:pPr>
            <w:r w:rsidRPr="00155028">
              <w:rPr>
                <w:rFonts w:eastAsia="Times New Roman"/>
                <w:bCs/>
                <w:sz w:val="16"/>
                <w:szCs w:val="16"/>
                <w:lang w:eastAsia="sl-SI"/>
              </w:rPr>
              <w:t>17.283</w:t>
            </w:r>
          </w:p>
        </w:tc>
      </w:tr>
      <w:tr w:rsidR="00CA6808" w:rsidRPr="00155028" w14:paraId="6F8D5B77" w14:textId="77777777" w:rsidTr="00CA6808">
        <w:trPr>
          <w:trHeight w:val="284"/>
          <w:jc w:val="center"/>
        </w:trPr>
        <w:tc>
          <w:tcPr>
            <w:tcW w:w="2434" w:type="dxa"/>
            <w:tcBorders>
              <w:top w:val="single" w:sz="4" w:space="0" w:color="auto"/>
              <w:left w:val="single" w:sz="4" w:space="0" w:color="auto"/>
              <w:bottom w:val="single" w:sz="4" w:space="0" w:color="auto"/>
              <w:right w:val="single" w:sz="8" w:space="0" w:color="auto"/>
            </w:tcBorders>
            <w:shd w:val="clear" w:color="000000" w:fill="FFFFFF"/>
            <w:vAlign w:val="center"/>
          </w:tcPr>
          <w:p w14:paraId="634EDC51" w14:textId="77777777" w:rsidR="00CA6808" w:rsidRPr="00155028" w:rsidRDefault="00CA6808" w:rsidP="00CA6808">
            <w:pPr>
              <w:spacing w:before="120" w:after="0" w:line="240" w:lineRule="auto"/>
              <w:jc w:val="both"/>
              <w:rPr>
                <w:rFonts w:eastAsia="Times New Roman"/>
                <w:b/>
                <w:color w:val="000000"/>
                <w:sz w:val="16"/>
                <w:szCs w:val="16"/>
                <w:lang w:eastAsia="sl-SI"/>
              </w:rPr>
            </w:pPr>
            <w:r w:rsidRPr="00155028">
              <w:rPr>
                <w:rFonts w:eastAsia="Times New Roman"/>
                <w:b/>
                <w:color w:val="000000"/>
                <w:sz w:val="16"/>
                <w:szCs w:val="16"/>
                <w:lang w:eastAsia="sl-SI"/>
              </w:rPr>
              <w:t>GVŽ</w:t>
            </w:r>
            <w:r w:rsidRPr="00155028">
              <w:rPr>
                <w:rFonts w:eastAsia="Times New Roman"/>
                <w:color w:val="000000"/>
                <w:sz w:val="16"/>
                <w:szCs w:val="16"/>
                <w:vertAlign w:val="superscript"/>
                <w:lang w:eastAsia="sl-SI"/>
              </w:rPr>
              <w:t>3</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63670E0E"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75319,90</w:t>
            </w:r>
          </w:p>
        </w:tc>
        <w:tc>
          <w:tcPr>
            <w:tcW w:w="1035" w:type="dxa"/>
            <w:tcBorders>
              <w:top w:val="single" w:sz="4" w:space="0" w:color="auto"/>
              <w:left w:val="single" w:sz="4" w:space="0" w:color="auto"/>
              <w:bottom w:val="single" w:sz="4" w:space="0" w:color="auto"/>
              <w:right w:val="single" w:sz="8" w:space="0" w:color="auto"/>
            </w:tcBorders>
            <w:shd w:val="clear" w:color="000000" w:fill="FFFFFF"/>
            <w:noWrap/>
            <w:vAlign w:val="center"/>
          </w:tcPr>
          <w:p w14:paraId="039307E1"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73.618,80</w:t>
            </w:r>
          </w:p>
        </w:tc>
        <w:tc>
          <w:tcPr>
            <w:tcW w:w="10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AA1FF95"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71.110,40</w:t>
            </w:r>
          </w:p>
        </w:tc>
        <w:tc>
          <w:tcPr>
            <w:tcW w:w="103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3D6BD7C"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58.390,60</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10302D65"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63.739,80</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234A2C2C"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64.036,10</w:t>
            </w:r>
          </w:p>
        </w:tc>
      </w:tr>
      <w:tr w:rsidR="00CA6808" w:rsidRPr="00155028" w14:paraId="503191AE"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tcPr>
          <w:p w14:paraId="1CFAC903" w14:textId="77777777" w:rsidR="00CA6808" w:rsidRPr="00155028" w:rsidRDefault="00CA6808" w:rsidP="00CA6808">
            <w:pPr>
              <w:spacing w:before="120" w:after="0" w:line="240" w:lineRule="auto"/>
              <w:jc w:val="both"/>
              <w:rPr>
                <w:rFonts w:eastAsia="Times New Roman"/>
                <w:b/>
                <w:color w:val="000000"/>
                <w:sz w:val="16"/>
                <w:szCs w:val="16"/>
                <w:lang w:eastAsia="sl-SI"/>
              </w:rPr>
            </w:pPr>
            <w:r w:rsidRPr="00155028">
              <w:rPr>
                <w:rFonts w:eastAsia="Times New Roman"/>
                <w:b/>
                <w:color w:val="000000"/>
                <w:sz w:val="16"/>
                <w:szCs w:val="16"/>
                <w:lang w:eastAsia="sl-SI"/>
              </w:rPr>
              <w:t>GVŽ v DŽ</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5BFE3767"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28.564</w:t>
            </w:r>
          </w:p>
        </w:tc>
        <w:tc>
          <w:tcPr>
            <w:tcW w:w="1035" w:type="dxa"/>
            <w:tcBorders>
              <w:top w:val="single" w:sz="4" w:space="0" w:color="auto"/>
              <w:left w:val="single" w:sz="4" w:space="0" w:color="auto"/>
              <w:bottom w:val="single" w:sz="4" w:space="0" w:color="auto"/>
              <w:right w:val="single" w:sz="8" w:space="0" w:color="auto"/>
            </w:tcBorders>
            <w:shd w:val="clear" w:color="000000" w:fill="FFFFFF"/>
            <w:noWrap/>
            <w:vAlign w:val="center"/>
          </w:tcPr>
          <w:p w14:paraId="42A056EA"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27.446</w:t>
            </w:r>
          </w:p>
        </w:tc>
        <w:tc>
          <w:tcPr>
            <w:tcW w:w="10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C332973"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30.362</w:t>
            </w:r>
          </w:p>
        </w:tc>
        <w:tc>
          <w:tcPr>
            <w:tcW w:w="103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1C9DD77"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30.486</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68422360" w14:textId="77777777" w:rsidR="00CA6808" w:rsidRPr="00155028" w:rsidRDefault="00CA6808" w:rsidP="00CA6808">
            <w:pPr>
              <w:spacing w:before="120" w:after="0" w:line="240" w:lineRule="auto"/>
              <w:jc w:val="right"/>
              <w:rPr>
                <w:rFonts w:eastAsia="Times New Roman"/>
                <w:sz w:val="16"/>
                <w:szCs w:val="16"/>
                <w:lang w:eastAsia="sl-SI"/>
              </w:rPr>
            </w:pPr>
            <w:r w:rsidRPr="00155028">
              <w:rPr>
                <w:rFonts w:eastAsia="Times New Roman"/>
                <w:sz w:val="16"/>
                <w:szCs w:val="16"/>
                <w:lang w:eastAsia="sl-SI"/>
              </w:rPr>
              <w:t>31.975</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4C541189" w14:textId="0AFF5B37" w:rsidR="00CA6808" w:rsidRPr="00155028" w:rsidRDefault="006A05BA" w:rsidP="00CA6808">
            <w:pPr>
              <w:spacing w:before="120" w:after="0" w:line="240" w:lineRule="auto"/>
              <w:jc w:val="right"/>
              <w:rPr>
                <w:rFonts w:eastAsia="Times New Roman"/>
                <w:sz w:val="16"/>
                <w:szCs w:val="16"/>
                <w:lang w:eastAsia="sl-SI"/>
              </w:rPr>
            </w:pPr>
            <w:r w:rsidRPr="006A05BA">
              <w:rPr>
                <w:rFonts w:eastAsia="Times New Roman"/>
                <w:sz w:val="16"/>
                <w:szCs w:val="16"/>
                <w:lang w:eastAsia="sl-SI"/>
              </w:rPr>
              <w:t>32.435</w:t>
            </w:r>
          </w:p>
        </w:tc>
      </w:tr>
      <w:tr w:rsidR="00CA6808" w:rsidRPr="00155028" w14:paraId="4816249F"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tcPr>
          <w:p w14:paraId="18AEA30B" w14:textId="77777777" w:rsidR="00CA6808" w:rsidRPr="00155028" w:rsidRDefault="00CA6808" w:rsidP="00CA6808">
            <w:pPr>
              <w:spacing w:before="120" w:after="0" w:line="240" w:lineRule="auto"/>
              <w:jc w:val="both"/>
              <w:rPr>
                <w:rFonts w:eastAsia="Times New Roman"/>
                <w:b/>
                <w:color w:val="000000"/>
                <w:sz w:val="16"/>
                <w:szCs w:val="16"/>
                <w:lang w:eastAsia="sl-SI"/>
              </w:rPr>
            </w:pPr>
            <w:r w:rsidRPr="00155028">
              <w:rPr>
                <w:rFonts w:eastAsia="Times New Roman"/>
                <w:b/>
                <w:color w:val="000000"/>
                <w:sz w:val="16"/>
                <w:szCs w:val="16"/>
                <w:lang w:eastAsia="sl-SI"/>
              </w:rPr>
              <w:t>Delež GVŽ v DŽ (%)</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7EB1A6DF" w14:textId="77777777" w:rsidR="00CA6808" w:rsidRPr="00155028" w:rsidRDefault="00CA6808" w:rsidP="00CA6808">
            <w:pPr>
              <w:spacing w:before="120" w:after="0" w:line="240" w:lineRule="auto"/>
              <w:jc w:val="right"/>
              <w:rPr>
                <w:rFonts w:eastAsia="Times New Roman"/>
                <w:b/>
                <w:sz w:val="16"/>
                <w:szCs w:val="16"/>
                <w:lang w:eastAsia="sl-SI"/>
              </w:rPr>
            </w:pPr>
            <w:r w:rsidRPr="00155028">
              <w:rPr>
                <w:rFonts w:eastAsia="Times New Roman"/>
                <w:b/>
                <w:sz w:val="16"/>
                <w:szCs w:val="16"/>
                <w:lang w:eastAsia="sl-SI"/>
              </w:rPr>
              <w:t>37,92</w:t>
            </w:r>
          </w:p>
        </w:tc>
        <w:tc>
          <w:tcPr>
            <w:tcW w:w="1035" w:type="dxa"/>
            <w:tcBorders>
              <w:top w:val="single" w:sz="4" w:space="0" w:color="auto"/>
              <w:left w:val="single" w:sz="4" w:space="0" w:color="auto"/>
              <w:bottom w:val="single" w:sz="8" w:space="0" w:color="auto"/>
              <w:right w:val="single" w:sz="8" w:space="0" w:color="auto"/>
            </w:tcBorders>
            <w:shd w:val="clear" w:color="000000" w:fill="FFFFFF"/>
            <w:noWrap/>
            <w:vAlign w:val="center"/>
          </w:tcPr>
          <w:p w14:paraId="005BBCF7" w14:textId="77777777" w:rsidR="00CA6808" w:rsidRPr="00155028" w:rsidRDefault="00CA6808" w:rsidP="00CA6808">
            <w:pPr>
              <w:spacing w:before="120" w:after="0" w:line="240" w:lineRule="auto"/>
              <w:jc w:val="right"/>
              <w:rPr>
                <w:rFonts w:eastAsia="Times New Roman"/>
                <w:b/>
                <w:sz w:val="16"/>
                <w:szCs w:val="16"/>
                <w:lang w:eastAsia="sl-SI"/>
              </w:rPr>
            </w:pPr>
            <w:r w:rsidRPr="00155028">
              <w:rPr>
                <w:rFonts w:eastAsia="Times New Roman"/>
                <w:b/>
                <w:sz w:val="16"/>
                <w:szCs w:val="16"/>
                <w:lang w:eastAsia="sl-SI"/>
              </w:rPr>
              <w:t>37,28</w:t>
            </w:r>
          </w:p>
        </w:tc>
        <w:tc>
          <w:tcPr>
            <w:tcW w:w="10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A6CFE42" w14:textId="77777777" w:rsidR="00CA6808" w:rsidRPr="00155028" w:rsidRDefault="00CA6808" w:rsidP="00CA6808">
            <w:pPr>
              <w:spacing w:before="120" w:after="0" w:line="240" w:lineRule="auto"/>
              <w:jc w:val="right"/>
              <w:rPr>
                <w:rFonts w:eastAsia="Times New Roman"/>
                <w:b/>
                <w:sz w:val="16"/>
                <w:szCs w:val="16"/>
                <w:lang w:eastAsia="sl-SI"/>
              </w:rPr>
            </w:pPr>
            <w:r w:rsidRPr="00155028">
              <w:rPr>
                <w:rFonts w:eastAsia="Times New Roman"/>
                <w:b/>
                <w:sz w:val="16"/>
                <w:szCs w:val="16"/>
                <w:lang w:eastAsia="sl-SI"/>
              </w:rPr>
              <w:t>42,70</w:t>
            </w:r>
          </w:p>
        </w:tc>
        <w:tc>
          <w:tcPr>
            <w:tcW w:w="103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2632277" w14:textId="77777777" w:rsidR="00CA6808" w:rsidRPr="00155028" w:rsidRDefault="00CA6808" w:rsidP="00CA6808">
            <w:pPr>
              <w:spacing w:before="120" w:after="0" w:line="240" w:lineRule="auto"/>
              <w:jc w:val="right"/>
              <w:rPr>
                <w:rFonts w:eastAsia="Times New Roman"/>
                <w:b/>
                <w:sz w:val="16"/>
                <w:szCs w:val="16"/>
                <w:lang w:eastAsia="sl-SI"/>
              </w:rPr>
            </w:pPr>
            <w:r w:rsidRPr="00155028">
              <w:rPr>
                <w:rFonts w:eastAsia="Times New Roman"/>
                <w:b/>
                <w:sz w:val="16"/>
                <w:szCs w:val="16"/>
                <w:lang w:eastAsia="sl-SI"/>
              </w:rPr>
              <w:t>52,21</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502DF417" w14:textId="77777777" w:rsidR="00CA6808" w:rsidRPr="00155028" w:rsidRDefault="00CA6808" w:rsidP="00CA6808">
            <w:pPr>
              <w:spacing w:before="120" w:after="0" w:line="240" w:lineRule="auto"/>
              <w:jc w:val="right"/>
              <w:rPr>
                <w:rFonts w:eastAsia="Times New Roman"/>
                <w:b/>
                <w:sz w:val="16"/>
                <w:szCs w:val="16"/>
                <w:lang w:eastAsia="sl-SI"/>
              </w:rPr>
            </w:pPr>
            <w:r w:rsidRPr="00155028">
              <w:rPr>
                <w:rFonts w:eastAsia="Times New Roman"/>
                <w:b/>
                <w:sz w:val="16"/>
                <w:szCs w:val="16"/>
                <w:lang w:eastAsia="sl-SI"/>
              </w:rPr>
              <w:t>50,16</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0DF9ED6D" w14:textId="52B27BE0" w:rsidR="00CA6808" w:rsidRPr="002C1857" w:rsidRDefault="006A05BA" w:rsidP="00CA6808">
            <w:pPr>
              <w:spacing w:before="120" w:after="0" w:line="240" w:lineRule="auto"/>
              <w:jc w:val="right"/>
              <w:rPr>
                <w:rFonts w:eastAsia="Times New Roman"/>
                <w:b/>
                <w:sz w:val="16"/>
                <w:szCs w:val="16"/>
                <w:lang w:eastAsia="sl-SI"/>
              </w:rPr>
            </w:pPr>
            <w:r w:rsidRPr="002C1857">
              <w:rPr>
                <w:rFonts w:eastAsia="Times New Roman"/>
                <w:b/>
                <w:sz w:val="16"/>
                <w:szCs w:val="16"/>
                <w:lang w:eastAsia="sl-SI"/>
              </w:rPr>
              <w:t>50,65</w:t>
            </w:r>
          </w:p>
        </w:tc>
      </w:tr>
    </w:tbl>
    <w:p w14:paraId="1487C02E" w14:textId="43F06862" w:rsidR="00CA6808" w:rsidRPr="00155028" w:rsidRDefault="00CA6808" w:rsidP="00CA6808">
      <w:pPr>
        <w:spacing w:before="120" w:after="0" w:line="240" w:lineRule="auto"/>
        <w:jc w:val="both"/>
        <w:rPr>
          <w:rFonts w:eastAsia="Times New Roman"/>
          <w:i/>
          <w:sz w:val="16"/>
          <w:szCs w:val="16"/>
          <w:lang w:eastAsia="en-GB"/>
        </w:rPr>
      </w:pPr>
      <w:r w:rsidRPr="00155028">
        <w:rPr>
          <w:rFonts w:eastAsia="Times New Roman"/>
          <w:i/>
          <w:sz w:val="16"/>
          <w:szCs w:val="16"/>
          <w:lang w:eastAsia="en-GB"/>
        </w:rPr>
        <w:t>Vir: MKGP in ARSKTRP</w:t>
      </w:r>
      <w:r w:rsidR="004437D6" w:rsidRPr="00155028">
        <w:rPr>
          <w:rFonts w:eastAsia="Times New Roman"/>
          <w:i/>
          <w:sz w:val="16"/>
          <w:szCs w:val="16"/>
          <w:lang w:eastAsia="en-GB"/>
        </w:rPr>
        <w:t>; opomba: podatki SURS se zaradi boljše razčlenitve nekoliko razlikujejo od EUROSTAT-</w:t>
      </w:r>
      <w:proofErr w:type="spellStart"/>
      <w:r w:rsidR="004437D6" w:rsidRPr="00155028">
        <w:rPr>
          <w:rFonts w:eastAsia="Times New Roman"/>
          <w:i/>
          <w:sz w:val="16"/>
          <w:szCs w:val="16"/>
          <w:lang w:eastAsia="en-GB"/>
        </w:rPr>
        <w:t>ovih</w:t>
      </w:r>
      <w:proofErr w:type="spellEnd"/>
      <w:r w:rsidR="004437D6" w:rsidRPr="00155028">
        <w:rPr>
          <w:rFonts w:eastAsia="Times New Roman"/>
          <w:i/>
          <w:sz w:val="16"/>
          <w:szCs w:val="16"/>
          <w:lang w:eastAsia="en-GB"/>
        </w:rPr>
        <w:t>.</w:t>
      </w:r>
    </w:p>
    <w:p w14:paraId="36E46513" w14:textId="77777777" w:rsidR="00CA6808" w:rsidRPr="00155028" w:rsidRDefault="00CA6808" w:rsidP="00CA6808">
      <w:pPr>
        <w:spacing w:after="0" w:line="240" w:lineRule="auto"/>
        <w:jc w:val="both"/>
        <w:rPr>
          <w:rFonts w:eastAsia="Times New Roman"/>
          <w:sz w:val="20"/>
          <w:lang w:eastAsia="en-GB"/>
        </w:rPr>
      </w:pPr>
    </w:p>
    <w:p w14:paraId="730664DD" w14:textId="77777777" w:rsidR="00CA6808" w:rsidRPr="00155028" w:rsidRDefault="00CA6808" w:rsidP="00CA6808">
      <w:pPr>
        <w:spacing w:after="0" w:line="240" w:lineRule="auto"/>
        <w:jc w:val="both"/>
        <w:rPr>
          <w:rFonts w:eastAsia="Times New Roman"/>
          <w:i/>
          <w:sz w:val="20"/>
          <w:lang w:eastAsia="en-GB"/>
        </w:rPr>
      </w:pPr>
      <w:r w:rsidRPr="00155028">
        <w:rPr>
          <w:rFonts w:eastAsia="Times New Roman"/>
          <w:i/>
          <w:sz w:val="20"/>
          <w:vertAlign w:val="superscript"/>
          <w:lang w:eastAsia="en-GB"/>
        </w:rPr>
        <w:t>1</w:t>
      </w:r>
      <w:r w:rsidRPr="00155028">
        <w:rPr>
          <w:rFonts w:eastAsia="Times New Roman"/>
          <w:i/>
          <w:sz w:val="20"/>
          <w:lang w:eastAsia="en-GB"/>
        </w:rPr>
        <w:t xml:space="preserve"> Za leto 2014 je na voljo le podatek o skupnem številu ovc oziroma koz, ne glede ali gre za mlečne ali mesne pasme.</w:t>
      </w:r>
    </w:p>
    <w:p w14:paraId="57585FC1" w14:textId="77777777" w:rsidR="00CA6808" w:rsidRPr="00155028" w:rsidRDefault="00CA6808" w:rsidP="00CA6808">
      <w:pPr>
        <w:spacing w:after="0" w:line="240" w:lineRule="auto"/>
        <w:jc w:val="both"/>
        <w:rPr>
          <w:rFonts w:eastAsia="Times New Roman"/>
          <w:i/>
          <w:sz w:val="20"/>
          <w:lang w:eastAsia="en-GB"/>
        </w:rPr>
      </w:pPr>
      <w:r w:rsidRPr="00155028">
        <w:rPr>
          <w:rFonts w:eastAsia="Times New Roman"/>
          <w:i/>
          <w:sz w:val="20"/>
          <w:vertAlign w:val="superscript"/>
          <w:lang w:eastAsia="en-GB"/>
        </w:rPr>
        <w:t>2</w:t>
      </w:r>
      <w:r w:rsidRPr="00155028">
        <w:rPr>
          <w:rFonts w:eastAsia="Times New Roman"/>
          <w:i/>
          <w:sz w:val="20"/>
          <w:lang w:eastAsia="en-GB"/>
        </w:rPr>
        <w:t xml:space="preserve"> V letu 2014 so podatki o staležu prašičev navedeni za kategorije prašičev določene v Prilogi 1 Uredbe o izvedbi ukrepov kmetijske politike za leto 2014 (Uradni list RS, št. </w:t>
      </w:r>
      <w:hyperlink r:id="rId37" w:tgtFrame="_blank" w:tooltip="Uredba o izvedbi ukrepov kmetijske politike za leto 2014" w:history="1">
        <w:r w:rsidRPr="00155028">
          <w:rPr>
            <w:rFonts w:eastAsia="Times New Roman"/>
            <w:i/>
            <w:sz w:val="20"/>
            <w:lang w:eastAsia="en-GB"/>
          </w:rPr>
          <w:t>113/13</w:t>
        </w:r>
      </w:hyperlink>
      <w:r w:rsidRPr="00155028">
        <w:rPr>
          <w:rFonts w:eastAsia="Times New Roman"/>
          <w:i/>
          <w:sz w:val="20"/>
          <w:lang w:eastAsia="en-GB"/>
        </w:rPr>
        <w:t xml:space="preserve">), ki se nekoliko razlikujejo od kategorij določenih v Prilogi 1 Pravilnika o Evidenci imetnikov </w:t>
      </w:r>
      <w:proofErr w:type="spellStart"/>
      <w:r w:rsidRPr="00155028">
        <w:rPr>
          <w:rFonts w:eastAsia="Times New Roman"/>
          <w:i/>
          <w:sz w:val="20"/>
          <w:lang w:eastAsia="en-GB"/>
        </w:rPr>
        <w:t>rejnih</w:t>
      </w:r>
      <w:proofErr w:type="spellEnd"/>
      <w:r w:rsidRPr="00155028">
        <w:rPr>
          <w:rFonts w:eastAsia="Times New Roman"/>
          <w:i/>
          <w:sz w:val="20"/>
          <w:lang w:eastAsia="en-GB"/>
        </w:rPr>
        <w:t xml:space="preserve"> živali in Evidenci </w:t>
      </w:r>
      <w:proofErr w:type="spellStart"/>
      <w:r w:rsidRPr="00155028">
        <w:rPr>
          <w:rFonts w:eastAsia="Times New Roman"/>
          <w:i/>
          <w:sz w:val="20"/>
          <w:lang w:eastAsia="en-GB"/>
        </w:rPr>
        <w:t>rejnih</w:t>
      </w:r>
      <w:proofErr w:type="spellEnd"/>
      <w:r w:rsidRPr="00155028">
        <w:rPr>
          <w:rFonts w:eastAsia="Times New Roman"/>
          <w:i/>
          <w:sz w:val="20"/>
          <w:lang w:eastAsia="en-GB"/>
        </w:rPr>
        <w:t xml:space="preserve"> živali (Uradni list RS, št. </w:t>
      </w:r>
      <w:hyperlink r:id="rId38" w:tgtFrame="_blank" w:tooltip="Pravilnik o Evidenci imetnikov rejnih živali in Evidenci rejnih živali" w:history="1">
        <w:r w:rsidRPr="00155028">
          <w:rPr>
            <w:rFonts w:eastAsia="Times New Roman"/>
            <w:i/>
            <w:sz w:val="20"/>
            <w:lang w:eastAsia="en-GB"/>
          </w:rPr>
          <w:t>87/14</w:t>
        </w:r>
      </w:hyperlink>
      <w:r w:rsidRPr="00155028">
        <w:rPr>
          <w:rFonts w:eastAsia="Times New Roman"/>
          <w:i/>
          <w:sz w:val="20"/>
          <w:lang w:eastAsia="en-GB"/>
        </w:rPr>
        <w:t>, </w:t>
      </w:r>
      <w:hyperlink r:id="rId39" w:tgtFrame="_blank" w:tooltip="Pravilnik o spremembah in dopolnitvah Pravilnika o Evidenci imetnikov rejnih živali in Evidenci rejnih živali" w:history="1">
        <w:r w:rsidRPr="00155028">
          <w:rPr>
            <w:rFonts w:eastAsia="Times New Roman"/>
            <w:i/>
            <w:sz w:val="20"/>
            <w:lang w:eastAsia="en-GB"/>
          </w:rPr>
          <w:t>15/16</w:t>
        </w:r>
      </w:hyperlink>
      <w:r w:rsidRPr="00155028">
        <w:rPr>
          <w:rFonts w:eastAsia="Times New Roman"/>
          <w:i/>
          <w:sz w:val="20"/>
          <w:lang w:eastAsia="en-GB"/>
        </w:rPr>
        <w:t> in </w:t>
      </w:r>
      <w:hyperlink r:id="rId40" w:tgtFrame="_blank" w:tooltip="Pravilnik o spremembah in dopolnitvah Pravilnika o Evidenci imetnikov rejnih živali in Evidenci rejnih živali" w:history="1">
        <w:r w:rsidRPr="00155028">
          <w:rPr>
            <w:rFonts w:eastAsia="Times New Roman"/>
            <w:i/>
            <w:sz w:val="20"/>
            <w:lang w:eastAsia="en-GB"/>
          </w:rPr>
          <w:t>78/18</w:t>
        </w:r>
      </w:hyperlink>
      <w:r w:rsidRPr="00155028">
        <w:rPr>
          <w:rFonts w:eastAsia="Times New Roman"/>
          <w:i/>
          <w:sz w:val="20"/>
          <w:lang w:eastAsia="en-GB"/>
        </w:rPr>
        <w:t>), zato je za število tekačev podana le ocena.</w:t>
      </w:r>
    </w:p>
    <w:p w14:paraId="745E577C" w14:textId="77777777" w:rsidR="00CA6808" w:rsidRPr="00155028" w:rsidRDefault="00CA6808" w:rsidP="00CA6808">
      <w:pPr>
        <w:spacing w:after="0" w:line="240" w:lineRule="auto"/>
        <w:jc w:val="both"/>
        <w:rPr>
          <w:rFonts w:eastAsia="Times New Roman"/>
          <w:i/>
          <w:sz w:val="20"/>
          <w:lang w:eastAsia="en-GB"/>
        </w:rPr>
      </w:pPr>
      <w:r w:rsidRPr="00155028">
        <w:rPr>
          <w:rFonts w:eastAsia="Times New Roman"/>
          <w:i/>
          <w:sz w:val="20"/>
          <w:vertAlign w:val="superscript"/>
          <w:lang w:eastAsia="en-GB"/>
        </w:rPr>
        <w:t>3</w:t>
      </w:r>
      <w:r w:rsidRPr="00155028">
        <w:rPr>
          <w:rFonts w:eastAsia="Times New Roman"/>
          <w:i/>
          <w:sz w:val="20"/>
          <w:lang w:eastAsia="sl-SI"/>
        </w:rPr>
        <w:t xml:space="preserve"> </w:t>
      </w:r>
      <w:r w:rsidRPr="00155028">
        <w:rPr>
          <w:rFonts w:eastAsia="Times New Roman"/>
          <w:i/>
          <w:sz w:val="20"/>
          <w:lang w:eastAsia="en-GB"/>
        </w:rPr>
        <w:t>Za preračun števila živali v GVŽ se upoštevajo koeficienti iz priloge II Uredbe 808/2014/EU</w:t>
      </w:r>
    </w:p>
    <w:p w14:paraId="624F3139" w14:textId="77777777" w:rsidR="00CA6808" w:rsidRPr="00155028" w:rsidRDefault="00CA6808" w:rsidP="00CA6808">
      <w:pPr>
        <w:spacing w:after="0" w:line="240" w:lineRule="auto"/>
        <w:jc w:val="both"/>
        <w:rPr>
          <w:rFonts w:eastAsia="Times New Roman"/>
          <w:i/>
          <w:sz w:val="20"/>
          <w:lang w:eastAsia="en-GB"/>
        </w:rPr>
      </w:pPr>
      <w:r w:rsidRPr="00155028">
        <w:rPr>
          <w:rFonts w:eastAsia="Times New Roman"/>
          <w:i/>
          <w:sz w:val="20"/>
          <w:vertAlign w:val="superscript"/>
          <w:lang w:eastAsia="en-GB"/>
        </w:rPr>
        <w:t xml:space="preserve">4 </w:t>
      </w:r>
      <w:r w:rsidRPr="00155028">
        <w:rPr>
          <w:rFonts w:eastAsia="Times New Roman"/>
          <w:i/>
          <w:sz w:val="20"/>
          <w:lang w:eastAsia="en-GB"/>
        </w:rPr>
        <w:t xml:space="preserve"> Podatki o številu vključenih GVŽ v DŽ so iz zajema zbirnih vlog 2019</w:t>
      </w:r>
    </w:p>
    <w:p w14:paraId="55F40FB4" w14:textId="77777777" w:rsidR="00CA6808" w:rsidRPr="00155028" w:rsidRDefault="00CA6808" w:rsidP="00CA6808">
      <w:pPr>
        <w:spacing w:after="0" w:line="240" w:lineRule="auto"/>
        <w:jc w:val="both"/>
        <w:rPr>
          <w:rFonts w:eastAsia="Times New Roman"/>
          <w:sz w:val="20"/>
          <w:lang w:eastAsia="sl-SI"/>
        </w:rPr>
      </w:pPr>
    </w:p>
    <w:p w14:paraId="0F0B3F7D" w14:textId="76A1EAD6" w:rsidR="00CA6808" w:rsidRPr="00155028" w:rsidRDefault="00CA6808" w:rsidP="00CA6808">
      <w:pPr>
        <w:jc w:val="both"/>
        <w:rPr>
          <w:rFonts w:eastAsia="Arial"/>
          <w:sz w:val="20"/>
        </w:rPr>
      </w:pPr>
      <w:r w:rsidRPr="00155028">
        <w:rPr>
          <w:rFonts w:eastAsia="Times New Roman"/>
          <w:sz w:val="20"/>
          <w:lang w:eastAsia="sl-SI"/>
        </w:rPr>
        <w:t>Podatki so grafično predstavljeni na spodnjih grafikonih (Slika 1</w:t>
      </w:r>
      <w:r w:rsidR="004437D6" w:rsidRPr="00155028">
        <w:rPr>
          <w:rFonts w:eastAsia="Times New Roman"/>
          <w:sz w:val="20"/>
          <w:lang w:eastAsia="sl-SI"/>
        </w:rPr>
        <w:t>1</w:t>
      </w:r>
      <w:r w:rsidRPr="00155028">
        <w:rPr>
          <w:rFonts w:eastAsia="Times New Roman"/>
          <w:sz w:val="20"/>
          <w:lang w:eastAsia="sl-SI"/>
        </w:rPr>
        <w:t>, Slika 1</w:t>
      </w:r>
      <w:r w:rsidR="004437D6" w:rsidRPr="00155028">
        <w:rPr>
          <w:rFonts w:eastAsia="Times New Roman"/>
          <w:sz w:val="20"/>
          <w:lang w:eastAsia="sl-SI"/>
        </w:rPr>
        <w:t>2</w:t>
      </w:r>
      <w:r w:rsidRPr="00155028">
        <w:rPr>
          <w:rFonts w:eastAsia="Times New Roman"/>
          <w:sz w:val="20"/>
          <w:lang w:eastAsia="sl-SI"/>
        </w:rPr>
        <w:t>, Slika 1</w:t>
      </w:r>
      <w:r w:rsidR="004437D6" w:rsidRPr="00155028">
        <w:rPr>
          <w:rFonts w:eastAsia="Times New Roman"/>
          <w:sz w:val="20"/>
          <w:lang w:eastAsia="sl-SI"/>
        </w:rPr>
        <w:t>3</w:t>
      </w:r>
      <w:r w:rsidRPr="00155028">
        <w:rPr>
          <w:rFonts w:eastAsia="Times New Roman"/>
          <w:sz w:val="20"/>
          <w:lang w:eastAsia="sl-SI"/>
        </w:rPr>
        <w:t>).</w:t>
      </w:r>
    </w:p>
    <w:p w14:paraId="0A1EAAA9" w14:textId="5D6622F5" w:rsidR="00CA6808" w:rsidRPr="00155028" w:rsidRDefault="00237DB1" w:rsidP="00237DB1">
      <w:pPr>
        <w:pStyle w:val="Napis"/>
        <w:jc w:val="both"/>
        <w:rPr>
          <w:szCs w:val="20"/>
        </w:rPr>
      </w:pPr>
      <w:bookmarkStart w:id="93" w:name="_Toc86826516"/>
      <w:r w:rsidRPr="00155028">
        <w:rPr>
          <w:szCs w:val="20"/>
        </w:rPr>
        <w:t xml:space="preserve">Slika </w:t>
      </w:r>
      <w:r w:rsidR="004270C0" w:rsidRPr="00155028">
        <w:rPr>
          <w:szCs w:val="20"/>
        </w:rPr>
        <w:fldChar w:fldCharType="begin"/>
      </w:r>
      <w:r w:rsidR="004270C0" w:rsidRPr="00155028">
        <w:rPr>
          <w:szCs w:val="20"/>
        </w:rPr>
        <w:instrText xml:space="preserve"> SEQ Slika \* ARABIC </w:instrText>
      </w:r>
      <w:r w:rsidR="004270C0" w:rsidRPr="00155028">
        <w:rPr>
          <w:szCs w:val="20"/>
        </w:rPr>
        <w:fldChar w:fldCharType="separate"/>
      </w:r>
      <w:r w:rsidR="00F25B09">
        <w:rPr>
          <w:noProof/>
          <w:szCs w:val="20"/>
        </w:rPr>
        <w:t>11</w:t>
      </w:r>
      <w:r w:rsidR="004270C0" w:rsidRPr="00155028">
        <w:rPr>
          <w:noProof/>
          <w:szCs w:val="20"/>
        </w:rPr>
        <w:fldChar w:fldCharType="end"/>
      </w:r>
      <w:r w:rsidRPr="00155028">
        <w:rPr>
          <w:szCs w:val="20"/>
        </w:rPr>
        <w:t>: Število GVŽ in delež prašičev vključenih v ukrep DŽ glede na celoten stalež prašičev v GVŽ</w:t>
      </w:r>
      <w:bookmarkEnd w:id="93"/>
    </w:p>
    <w:p w14:paraId="5585C81F" w14:textId="77777777" w:rsidR="00CA6808" w:rsidRPr="00155028" w:rsidRDefault="00CA6808" w:rsidP="00CA6808">
      <w:pPr>
        <w:spacing w:before="80" w:after="80" w:line="240" w:lineRule="auto"/>
        <w:jc w:val="center"/>
        <w:rPr>
          <w:rFonts w:eastAsia="Times New Roman"/>
          <w:noProof/>
          <w:sz w:val="20"/>
          <w:szCs w:val="24"/>
          <w:lang w:eastAsia="sl-SI"/>
        </w:rPr>
      </w:pPr>
      <w:r w:rsidRPr="00155028">
        <w:rPr>
          <w:rFonts w:eastAsia="Times New Roman"/>
          <w:noProof/>
          <w:sz w:val="20"/>
          <w:szCs w:val="24"/>
          <w:lang w:eastAsia="sl-SI"/>
        </w:rPr>
        <w:drawing>
          <wp:inline distT="0" distB="0" distL="0" distR="0" wp14:anchorId="06FD0218" wp14:editId="797BAF5F">
            <wp:extent cx="4572000" cy="2743200"/>
            <wp:effectExtent l="0" t="0" r="0" b="0"/>
            <wp:docPr id="21" name="Grafikon 21" descr="Delež prašičev vključenih v ukrep DŽ je v primerjavi z 2017 leta 2018 malenkost padlo. Kljub temu je okrog 50 %"/>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85B25FB" w14:textId="2D318468" w:rsidR="00CA6808" w:rsidRPr="00155028" w:rsidRDefault="00CA6808" w:rsidP="00CA6808">
      <w:pPr>
        <w:spacing w:after="0" w:line="240" w:lineRule="auto"/>
        <w:jc w:val="center"/>
        <w:rPr>
          <w:rFonts w:eastAsia="Times New Roman"/>
          <w:sz w:val="20"/>
          <w:szCs w:val="24"/>
          <w:lang w:eastAsia="sl-SI"/>
        </w:rPr>
      </w:pPr>
    </w:p>
    <w:p w14:paraId="5FB14DF7" w14:textId="3008E1CF" w:rsidR="00237DB1" w:rsidRPr="00155028" w:rsidRDefault="00237DB1" w:rsidP="00CA6808">
      <w:pPr>
        <w:spacing w:after="0" w:line="240" w:lineRule="auto"/>
        <w:jc w:val="center"/>
        <w:rPr>
          <w:rFonts w:eastAsia="Times New Roman"/>
          <w:sz w:val="20"/>
          <w:szCs w:val="24"/>
          <w:lang w:eastAsia="sl-SI"/>
        </w:rPr>
      </w:pPr>
    </w:p>
    <w:p w14:paraId="6E7B4982" w14:textId="0ABFFA70" w:rsidR="00237DB1" w:rsidRPr="00155028" w:rsidRDefault="00237DB1" w:rsidP="00CA6808">
      <w:pPr>
        <w:spacing w:after="0" w:line="240" w:lineRule="auto"/>
        <w:jc w:val="center"/>
        <w:rPr>
          <w:rFonts w:eastAsia="Times New Roman"/>
          <w:sz w:val="20"/>
          <w:szCs w:val="24"/>
          <w:lang w:eastAsia="sl-SI"/>
        </w:rPr>
      </w:pPr>
    </w:p>
    <w:p w14:paraId="755A876B" w14:textId="77777777" w:rsidR="00237DB1" w:rsidRPr="00155028" w:rsidRDefault="00237DB1" w:rsidP="007940FC">
      <w:pPr>
        <w:pStyle w:val="SCslika"/>
      </w:pPr>
    </w:p>
    <w:p w14:paraId="2BCCC40F" w14:textId="058ED607" w:rsidR="00CA6808" w:rsidRPr="00155028" w:rsidRDefault="00237DB1" w:rsidP="00237DB1">
      <w:pPr>
        <w:pStyle w:val="Napis"/>
        <w:jc w:val="both"/>
        <w:rPr>
          <w:szCs w:val="20"/>
        </w:rPr>
      </w:pPr>
      <w:bookmarkStart w:id="94" w:name="_Toc86826517"/>
      <w:r w:rsidRPr="00155028">
        <w:rPr>
          <w:szCs w:val="20"/>
        </w:rPr>
        <w:t xml:space="preserve">Slika </w:t>
      </w:r>
      <w:r w:rsidR="004270C0" w:rsidRPr="00155028">
        <w:rPr>
          <w:szCs w:val="20"/>
        </w:rPr>
        <w:fldChar w:fldCharType="begin"/>
      </w:r>
      <w:r w:rsidR="004270C0" w:rsidRPr="00155028">
        <w:rPr>
          <w:szCs w:val="20"/>
        </w:rPr>
        <w:instrText xml:space="preserve"> SEQ Slika \* ARABIC </w:instrText>
      </w:r>
      <w:r w:rsidR="004270C0" w:rsidRPr="00155028">
        <w:rPr>
          <w:szCs w:val="20"/>
        </w:rPr>
        <w:fldChar w:fldCharType="separate"/>
      </w:r>
      <w:r w:rsidR="00F25B09">
        <w:rPr>
          <w:noProof/>
          <w:szCs w:val="20"/>
        </w:rPr>
        <w:t>12</w:t>
      </w:r>
      <w:r w:rsidR="004270C0" w:rsidRPr="00155028">
        <w:rPr>
          <w:noProof/>
          <w:szCs w:val="20"/>
        </w:rPr>
        <w:fldChar w:fldCharType="end"/>
      </w:r>
      <w:r w:rsidRPr="00155028">
        <w:rPr>
          <w:szCs w:val="20"/>
        </w:rPr>
        <w:t>: Število GVŽ in delež goveda vključenega v ukrep DŽ glede na celoten stalež goveda v GVŽ</w:t>
      </w:r>
      <w:bookmarkEnd w:id="94"/>
    </w:p>
    <w:p w14:paraId="698A3DED" w14:textId="77777777" w:rsidR="00CA6808" w:rsidRPr="00155028" w:rsidRDefault="00CA6808" w:rsidP="00CA6808">
      <w:pPr>
        <w:spacing w:before="80" w:after="80" w:line="240" w:lineRule="auto"/>
        <w:rPr>
          <w:rFonts w:eastAsia="Times New Roman"/>
          <w:noProof/>
          <w:sz w:val="20"/>
          <w:szCs w:val="24"/>
          <w:lang w:eastAsia="sl-SI"/>
        </w:rPr>
      </w:pPr>
    </w:p>
    <w:p w14:paraId="77769C10" w14:textId="77777777" w:rsidR="00CA6808" w:rsidRPr="00155028" w:rsidRDefault="00CA6808" w:rsidP="00CA6808">
      <w:pPr>
        <w:spacing w:before="80" w:after="80" w:line="240" w:lineRule="auto"/>
        <w:jc w:val="center"/>
        <w:rPr>
          <w:rFonts w:eastAsia="Times New Roman"/>
          <w:noProof/>
          <w:sz w:val="20"/>
          <w:szCs w:val="24"/>
          <w:lang w:eastAsia="sl-SI"/>
        </w:rPr>
      </w:pPr>
      <w:r w:rsidRPr="00155028">
        <w:rPr>
          <w:rFonts w:eastAsia="Times New Roman"/>
          <w:noProof/>
          <w:sz w:val="20"/>
          <w:szCs w:val="24"/>
          <w:lang w:eastAsia="sl-SI"/>
        </w:rPr>
        <w:lastRenderedPageBreak/>
        <w:drawing>
          <wp:inline distT="0" distB="0" distL="0" distR="0" wp14:anchorId="2142F402" wp14:editId="44EE0856">
            <wp:extent cx="4572000" cy="2743200"/>
            <wp:effectExtent l="0" t="0" r="0" b="0"/>
            <wp:docPr id="22" name="Grafikon 22" descr="Delež GVŽ goveda vključenega v DŽ se z leti viša. Leta 2019 je bilo vključenih malo manj kot 10 000 GVŽ, oziroma 27,5 %.">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C4E1264" w14:textId="77777777" w:rsidR="00CA6808" w:rsidRPr="00155028" w:rsidRDefault="00CA6808" w:rsidP="00CA6808">
      <w:pPr>
        <w:spacing w:after="0" w:line="240" w:lineRule="auto"/>
        <w:jc w:val="center"/>
        <w:rPr>
          <w:rFonts w:eastAsia="Times New Roman"/>
          <w:sz w:val="20"/>
          <w:szCs w:val="24"/>
          <w:lang w:eastAsia="sl-SI"/>
        </w:rPr>
      </w:pPr>
    </w:p>
    <w:p w14:paraId="5EC9B777" w14:textId="2F1F36EF" w:rsidR="00CA6808" w:rsidRPr="00155028" w:rsidRDefault="00237DB1" w:rsidP="00237DB1">
      <w:pPr>
        <w:pStyle w:val="Napis"/>
        <w:jc w:val="both"/>
        <w:rPr>
          <w:szCs w:val="20"/>
        </w:rPr>
      </w:pPr>
      <w:bookmarkStart w:id="95" w:name="_Toc86826518"/>
      <w:r w:rsidRPr="00155028">
        <w:rPr>
          <w:szCs w:val="20"/>
        </w:rPr>
        <w:t xml:space="preserve">Slika </w:t>
      </w:r>
      <w:r w:rsidR="004270C0" w:rsidRPr="00155028">
        <w:rPr>
          <w:szCs w:val="20"/>
        </w:rPr>
        <w:fldChar w:fldCharType="begin"/>
      </w:r>
      <w:r w:rsidR="004270C0" w:rsidRPr="00155028">
        <w:rPr>
          <w:szCs w:val="20"/>
        </w:rPr>
        <w:instrText xml:space="preserve"> SEQ Slika \* ARABIC </w:instrText>
      </w:r>
      <w:r w:rsidR="004270C0" w:rsidRPr="00155028">
        <w:rPr>
          <w:szCs w:val="20"/>
        </w:rPr>
        <w:fldChar w:fldCharType="separate"/>
      </w:r>
      <w:r w:rsidR="00F25B09">
        <w:rPr>
          <w:noProof/>
          <w:szCs w:val="20"/>
        </w:rPr>
        <w:t>13</w:t>
      </w:r>
      <w:r w:rsidR="004270C0" w:rsidRPr="00155028">
        <w:rPr>
          <w:noProof/>
          <w:szCs w:val="20"/>
        </w:rPr>
        <w:fldChar w:fldCharType="end"/>
      </w:r>
      <w:r w:rsidRPr="00155028">
        <w:rPr>
          <w:szCs w:val="20"/>
        </w:rPr>
        <w:t>: Število GVŽ in delež drobnice vključene v ukrep DŽ glede na celoten stalež drobnice v GVŽ</w:t>
      </w:r>
      <w:bookmarkEnd w:id="95"/>
    </w:p>
    <w:p w14:paraId="7B9046D7" w14:textId="77777777" w:rsidR="00CA6808" w:rsidRPr="00155028" w:rsidRDefault="00CA6808" w:rsidP="00CA6808">
      <w:pPr>
        <w:spacing w:before="80" w:after="80" w:line="240" w:lineRule="auto"/>
        <w:jc w:val="center"/>
        <w:rPr>
          <w:rFonts w:eastAsia="Times New Roman"/>
          <w:noProof/>
          <w:sz w:val="20"/>
          <w:szCs w:val="24"/>
          <w:lang w:eastAsia="sl-SI"/>
        </w:rPr>
      </w:pPr>
      <w:r w:rsidRPr="00155028">
        <w:rPr>
          <w:rFonts w:eastAsia="Times New Roman"/>
          <w:noProof/>
          <w:sz w:val="20"/>
          <w:szCs w:val="24"/>
          <w:lang w:eastAsia="sl-SI"/>
        </w:rPr>
        <w:drawing>
          <wp:inline distT="0" distB="0" distL="0" distR="0" wp14:anchorId="794039FC" wp14:editId="2BA9E1F5">
            <wp:extent cx="4572000" cy="2743200"/>
            <wp:effectExtent l="0" t="0" r="0" b="0"/>
            <wp:docPr id="23" name="Grafikon 23" descr="Delež drobnice vključene v DŽ z leti narašča. Leta 2019 je bil delež 27.5 %"/>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3ADD385" w14:textId="77777777" w:rsidR="00191201" w:rsidRPr="00155028" w:rsidRDefault="00191201" w:rsidP="00CA6808">
      <w:pPr>
        <w:spacing w:before="80" w:after="80" w:line="240" w:lineRule="auto"/>
        <w:jc w:val="center"/>
        <w:rPr>
          <w:rFonts w:eastAsia="Times New Roman"/>
          <w:noProof/>
          <w:sz w:val="20"/>
          <w:szCs w:val="24"/>
          <w:lang w:eastAsia="sl-SI"/>
        </w:rPr>
      </w:pPr>
    </w:p>
    <w:p w14:paraId="7021B52B" w14:textId="28109649" w:rsidR="00CA6808" w:rsidRPr="00155028" w:rsidRDefault="007940FC" w:rsidP="007940FC">
      <w:pPr>
        <w:pStyle w:val="Naslov2"/>
        <w:ind w:firstLine="708"/>
        <w:rPr>
          <w:rFonts w:ascii="Arial" w:eastAsia="Times New Roman" w:hAnsi="Arial" w:cs="Arial"/>
          <w:smallCaps/>
          <w:color w:val="365F91" w:themeColor="accent1" w:themeShade="BF"/>
          <w:sz w:val="24"/>
          <w:szCs w:val="24"/>
          <w:lang w:eastAsia="en-GB"/>
        </w:rPr>
      </w:pPr>
      <w:bookmarkStart w:id="96" w:name="_Toc86826501"/>
      <w:r w:rsidRPr="00155028">
        <w:rPr>
          <w:rFonts w:ascii="Arial" w:eastAsia="Times New Roman" w:hAnsi="Arial" w:cs="Arial"/>
          <w:color w:val="365F91" w:themeColor="accent1" w:themeShade="BF"/>
          <w:sz w:val="24"/>
          <w:szCs w:val="24"/>
          <w:lang w:eastAsia="en-GB"/>
        </w:rPr>
        <w:t>4</w:t>
      </w:r>
      <w:r w:rsidR="00D03AD9" w:rsidRPr="00155028">
        <w:rPr>
          <w:rFonts w:ascii="Arial" w:eastAsia="Times New Roman" w:hAnsi="Arial" w:cs="Arial"/>
          <w:color w:val="365F91" w:themeColor="accent1" w:themeShade="BF"/>
          <w:sz w:val="24"/>
          <w:szCs w:val="24"/>
          <w:lang w:eastAsia="en-GB"/>
        </w:rPr>
        <w:t>.4</w:t>
      </w:r>
      <w:r w:rsidR="00C76DA8" w:rsidRPr="00155028">
        <w:rPr>
          <w:rFonts w:ascii="Arial" w:eastAsia="Times New Roman" w:hAnsi="Arial" w:cs="Arial"/>
          <w:color w:val="365F91" w:themeColor="accent1" w:themeShade="BF"/>
          <w:sz w:val="24"/>
          <w:szCs w:val="24"/>
          <w:lang w:eastAsia="en-GB"/>
        </w:rPr>
        <w:t xml:space="preserve"> </w:t>
      </w:r>
      <w:r w:rsidR="00CA6808" w:rsidRPr="00155028">
        <w:rPr>
          <w:rFonts w:ascii="Arial" w:eastAsia="Times New Roman" w:hAnsi="Arial" w:cs="Arial"/>
          <w:color w:val="365F91" w:themeColor="accent1" w:themeShade="BF"/>
          <w:sz w:val="24"/>
          <w:szCs w:val="24"/>
          <w:lang w:eastAsia="en-GB"/>
        </w:rPr>
        <w:t>Ključne ugotovitve</w:t>
      </w:r>
      <w:bookmarkEnd w:id="96"/>
    </w:p>
    <w:p w14:paraId="50247251" w14:textId="42D4BE07" w:rsidR="00C76DA8" w:rsidRPr="00155028" w:rsidRDefault="00CA6808" w:rsidP="00C76DA8">
      <w:pPr>
        <w:spacing w:before="100" w:beforeAutospacing="1" w:after="0" w:line="240" w:lineRule="auto"/>
        <w:jc w:val="both"/>
        <w:rPr>
          <w:rFonts w:eastAsia="Times New Roman"/>
          <w:sz w:val="20"/>
          <w:lang w:eastAsia="sl-SI"/>
        </w:rPr>
      </w:pPr>
      <w:r w:rsidRPr="00155028">
        <w:rPr>
          <w:rFonts w:eastAsia="Times New Roman"/>
          <w:sz w:val="20"/>
          <w:lang w:eastAsia="sl-SI"/>
        </w:rPr>
        <w:t>V Sloveniji se rejci zaradi različnih razlogov v premajhnem obsegu odločajo za nadstandardne načine reje živali, ki upoštevajo vidike dobrobiti živali in presegajo predpisane zahteve ravnanja ali običajno rejsko prakso</w:t>
      </w:r>
      <w:r w:rsidR="00251624" w:rsidRPr="00155028">
        <w:rPr>
          <w:rFonts w:eastAsia="Times New Roman"/>
          <w:sz w:val="20"/>
          <w:lang w:eastAsia="sl-SI"/>
        </w:rPr>
        <w:t xml:space="preserve">, čeprav bi Slovenija  z vidika velikostne strukture kmetijskih gospodarstev morala glede skrbi za dobrobit živali biti v prednosti, ker nima res množičnih sistemov rej. </w:t>
      </w:r>
      <w:r w:rsidRPr="00155028">
        <w:rPr>
          <w:rFonts w:eastAsia="Times New Roman"/>
          <w:sz w:val="20"/>
          <w:lang w:eastAsia="sl-SI"/>
        </w:rPr>
        <w:t>Pomembni razlogi so neugodna posestna struktura kmetijskih gospodarstev in starostna struktura rejcev ter v veliko primerih tudi lokacija kmetijskega gospodarstva znotraj strnjenega vaškega naselja brez možnosti za povečanje in prilagoditev hlevov višjim standardom dobrobiti. Poleg tega rejce od nadstandardnih načinov reje, ki so praviloma dražji, odvrača predvsem ekonomika, zato zagotavljanje višjih standardov od minimalnih, predpisanih z zakonodajo, še vedno v večini primerov vidijo kot dodaten strošek, namesto da bi ga izkoristili kot tržno priložnost v okviru shem kakovosti. V Sloveniji, razen pri prireji perutninskega mesa, še ni vzpostavljenih nadstandardnih shem, ki bi potrošnikom zagotavljale, da so bile živali vzrejene v skladu z višjimi standardi dobrobiti živali.</w:t>
      </w:r>
    </w:p>
    <w:p w14:paraId="138AB21C" w14:textId="0E28E29E" w:rsidR="00C76DA8" w:rsidRPr="00155028" w:rsidRDefault="00CA6808" w:rsidP="00C76DA8">
      <w:pPr>
        <w:spacing w:before="100" w:beforeAutospacing="1" w:after="100" w:afterAutospacing="1" w:line="240" w:lineRule="auto"/>
        <w:jc w:val="both"/>
        <w:rPr>
          <w:rFonts w:ascii="Times New Roman" w:eastAsia="Times New Roman" w:hAnsi="Times New Roman"/>
          <w:sz w:val="20"/>
          <w:lang w:eastAsia="sl-SI"/>
        </w:rPr>
      </w:pPr>
      <w:r w:rsidRPr="00155028">
        <w:rPr>
          <w:rFonts w:eastAsia="Times New Roman"/>
          <w:sz w:val="20"/>
          <w:lang w:eastAsia="sl-SI"/>
        </w:rPr>
        <w:lastRenderedPageBreak/>
        <w:t xml:space="preserve">Dobrobit živali je zelo pomemben dejavnik pri konceptu kakovosti hrane, saj potrošniki pričakujejo, da bo njihova hrana živalskega izvora pridelana na karseda živalim in okolju prijazen način. Predpogoj za vključitev dobrobiti živali v koncept kakovostne hrane pa je razvoj sistema za ocenjevanje dobrobiti živali, ki temelji na znanstvenih utemeljitvah in metodah. Eden takih sistemov, ki je bil razvit v okviru programa </w:t>
      </w:r>
      <w:proofErr w:type="spellStart"/>
      <w:r w:rsidRPr="00155028">
        <w:rPr>
          <w:rFonts w:eastAsia="Times New Roman"/>
          <w:sz w:val="20"/>
          <w:lang w:eastAsia="sl-SI"/>
        </w:rPr>
        <w:t>Welfare</w:t>
      </w:r>
      <w:proofErr w:type="spellEnd"/>
      <w:r w:rsidRPr="00155028">
        <w:rPr>
          <w:rFonts w:eastAsia="Times New Roman"/>
          <w:sz w:val="20"/>
          <w:lang w:eastAsia="sl-SI"/>
        </w:rPr>
        <w:t xml:space="preserve"> </w:t>
      </w:r>
      <w:proofErr w:type="spellStart"/>
      <w:r w:rsidRPr="00155028">
        <w:rPr>
          <w:rFonts w:eastAsia="Times New Roman"/>
          <w:sz w:val="20"/>
          <w:lang w:eastAsia="sl-SI"/>
        </w:rPr>
        <w:t>Quality</w:t>
      </w:r>
      <w:proofErr w:type="spellEnd"/>
      <w:r w:rsidRPr="00155028">
        <w:rPr>
          <w:rFonts w:eastAsia="Times New Roman"/>
          <w:sz w:val="20"/>
          <w:lang w:eastAsia="sl-SI"/>
        </w:rPr>
        <w:t xml:space="preserve"> s strani Evropske komisije, se v Sloveniji v okviru ciljnih raziskovalnih projektov še preizkuša in prilagaja za uporabo v slovenskih rejah prašičev, perutnine in krav molznic. Zato trenutno še ni uveljavljen enoten sistem ocenjevanja in obstajajo le posamezne parcialne ocene o stanju dobrobiti v slovenskih rejah. Predpisi, ki urejajo zaščito živali, določajo minimalne pogoje, nadgradnjo pa predstavljajo nadstandardne sheme zagotavljanja dobrobiti živali, pri katerih gre za prostovoljno prevzemanje nadstandardnih zahtev za rejo živali. V Sloveniji so težava »standardi«, saj trenutno po posameznih usmeritvah in vrstah reje, predvsem za tiste vrste in kategorije </w:t>
      </w:r>
      <w:proofErr w:type="spellStart"/>
      <w:r w:rsidRPr="00155028">
        <w:rPr>
          <w:rFonts w:eastAsia="Times New Roman"/>
          <w:sz w:val="20"/>
          <w:lang w:eastAsia="sl-SI"/>
        </w:rPr>
        <w:t>rejnih</w:t>
      </w:r>
      <w:proofErr w:type="spellEnd"/>
      <w:r w:rsidRPr="00155028">
        <w:rPr>
          <w:rFonts w:eastAsia="Times New Roman"/>
          <w:sz w:val="20"/>
          <w:lang w:eastAsia="sl-SI"/>
        </w:rPr>
        <w:t xml:space="preserve"> živali za katere ni predpisanih minimalnih zahtev, še ni opredeljenih standardiziranih načinov reje oziroma običajne rejske prakse. </w:t>
      </w:r>
    </w:p>
    <w:p w14:paraId="7AC87CE5" w14:textId="12C75D44" w:rsidR="007F41C6" w:rsidRPr="00155028" w:rsidRDefault="007940FC" w:rsidP="007940FC">
      <w:pPr>
        <w:pStyle w:val="Naslov1"/>
        <w:rPr>
          <w:rFonts w:ascii="Arial" w:eastAsia="Calibri" w:hAnsi="Arial" w:cs="Arial"/>
          <w:b/>
          <w:bCs/>
          <w:lang w:eastAsia="en-GB"/>
        </w:rPr>
      </w:pPr>
      <w:bookmarkStart w:id="97" w:name="_Toc86826502"/>
      <w:bookmarkEnd w:id="81"/>
      <w:bookmarkEnd w:id="82"/>
      <w:r w:rsidRPr="00155028">
        <w:rPr>
          <w:rFonts w:ascii="Arial" w:eastAsia="Calibri" w:hAnsi="Arial" w:cs="Arial"/>
          <w:b/>
          <w:bCs/>
          <w:lang w:eastAsia="en-GB"/>
        </w:rPr>
        <w:t>5</w:t>
      </w:r>
      <w:r w:rsidR="00AC5261" w:rsidRPr="00155028">
        <w:rPr>
          <w:rFonts w:ascii="Arial" w:eastAsia="Calibri" w:hAnsi="Arial" w:cs="Arial"/>
          <w:b/>
          <w:bCs/>
          <w:lang w:eastAsia="en-GB"/>
        </w:rPr>
        <w:t>.</w:t>
      </w:r>
      <w:r w:rsidR="00C76DA8" w:rsidRPr="00155028">
        <w:rPr>
          <w:rFonts w:ascii="Arial" w:eastAsia="Calibri" w:hAnsi="Arial" w:cs="Arial"/>
          <w:b/>
          <w:bCs/>
          <w:lang w:eastAsia="en-GB"/>
        </w:rPr>
        <w:t xml:space="preserve"> ODPADNA HRANA</w:t>
      </w:r>
      <w:bookmarkEnd w:id="97"/>
    </w:p>
    <w:p w14:paraId="29354621" w14:textId="1AD52B10" w:rsidR="001E6A32" w:rsidRPr="00155028" w:rsidRDefault="001E6A32" w:rsidP="001E6A32">
      <w:pPr>
        <w:tabs>
          <w:tab w:val="left" w:pos="0"/>
        </w:tabs>
        <w:spacing w:before="120" w:after="0" w:line="240" w:lineRule="auto"/>
        <w:jc w:val="both"/>
        <w:rPr>
          <w:rFonts w:eastAsia="Calibri"/>
          <w:sz w:val="20"/>
          <w:shd w:val="clear" w:color="auto" w:fill="FFFFFF"/>
          <w:lang w:bidi="sl-SI"/>
        </w:rPr>
      </w:pPr>
      <w:r w:rsidRPr="00155028">
        <w:rPr>
          <w:rFonts w:eastAsia="Calibri"/>
          <w:sz w:val="20"/>
          <w:shd w:val="clear" w:color="auto" w:fill="FFFFFF"/>
          <w:lang w:bidi="sl-SI"/>
        </w:rPr>
        <w:t>Odpadna hrana je v Evropi in Sloveniji naraščajoča težava, še posebej odpadna hrana, ki je še užitna. Zavržemo vsak šesti krožnik (obrok) oziroma 16% kupljene hrane (SURS,</w:t>
      </w:r>
      <w:r w:rsidR="00AC5261" w:rsidRPr="00155028">
        <w:rPr>
          <w:rFonts w:eastAsia="Calibri"/>
          <w:sz w:val="20"/>
          <w:shd w:val="clear" w:color="auto" w:fill="FFFFFF"/>
          <w:lang w:bidi="sl-SI"/>
        </w:rPr>
        <w:t xml:space="preserve"> </w:t>
      </w:r>
      <w:r w:rsidRPr="00155028">
        <w:rPr>
          <w:rFonts w:eastAsia="Calibri"/>
          <w:sz w:val="20"/>
          <w:shd w:val="clear" w:color="auto" w:fill="FFFFFF"/>
          <w:lang w:bidi="sl-SI"/>
        </w:rPr>
        <w:t xml:space="preserve">2016). Ta povečuje negativne učinke na okolje in potrošnika ter gospodarstvu povzroča finančne izgube ter zmanjšuje učinkovitost rabe virov. </w:t>
      </w:r>
    </w:p>
    <w:p w14:paraId="7BD0316F" w14:textId="77777777" w:rsidR="001E6A32" w:rsidRPr="00155028" w:rsidRDefault="001E6A32" w:rsidP="001E6A32">
      <w:pPr>
        <w:tabs>
          <w:tab w:val="left" w:pos="0"/>
        </w:tabs>
        <w:spacing w:before="120" w:after="0" w:line="240" w:lineRule="auto"/>
        <w:jc w:val="both"/>
        <w:rPr>
          <w:rFonts w:eastAsia="Times New Roman"/>
          <w:sz w:val="20"/>
          <w:lang w:eastAsia="en-GB"/>
        </w:rPr>
      </w:pPr>
      <w:r w:rsidRPr="00155028">
        <w:rPr>
          <w:rFonts w:eastAsia="Times New Roman"/>
          <w:sz w:val="20"/>
          <w:lang w:eastAsia="en-GB"/>
        </w:rPr>
        <w:t xml:space="preserve">Problematika izgub in odpadne hrane je večplastna in se odvija v vseh členih verige preskrbe s hrano. Izgube hrane in odpadna hrana nastajajo v primarni proizvodnji (kmetijstvu), živilsko predelovalni industriji, v distribuciji hrane in trgovini, gostinstvu in strežbi hrane ter v gospodinjstvih. Polovica vse zavržene hrane izhaja iz gospodinjstev, v EU pa 70% (SURS, 2016 in BIOEAST, 2020) </w:t>
      </w:r>
    </w:p>
    <w:p w14:paraId="7D055A2B" w14:textId="77777777" w:rsidR="001E6A32" w:rsidRPr="00155028" w:rsidRDefault="001E6A32" w:rsidP="001E6A32">
      <w:pPr>
        <w:tabs>
          <w:tab w:val="left" w:pos="0"/>
        </w:tabs>
        <w:spacing w:before="120" w:after="0" w:line="240" w:lineRule="auto"/>
        <w:jc w:val="both"/>
        <w:rPr>
          <w:rFonts w:eastAsia="Times New Roman"/>
          <w:sz w:val="20"/>
          <w:shd w:val="clear" w:color="auto" w:fill="FFFFFF"/>
          <w:lang w:eastAsia="en-GB"/>
        </w:rPr>
      </w:pPr>
      <w:r w:rsidRPr="00155028">
        <w:rPr>
          <w:rFonts w:eastAsia="Times New Roman"/>
          <w:sz w:val="20"/>
          <w:lang w:eastAsia="en-GB"/>
        </w:rPr>
        <w:t xml:space="preserve">Podatki o odpadni hrani v Sloveniji temeljijo na dejansko poročanih podatkih komunalnih služb, specialnih zbiralcev in obdelovalcev odpadkov in ne temeljijo na ocenah (razen del, ki se nanaša na mešane frakcije odpadkov). </w:t>
      </w:r>
      <w:r w:rsidRPr="00155028">
        <w:rPr>
          <w:rFonts w:eastAsia="Times New Roman"/>
          <w:sz w:val="20"/>
          <w:shd w:val="clear" w:color="auto" w:fill="FFFFFF"/>
          <w:lang w:eastAsia="en-GB"/>
        </w:rPr>
        <w:t xml:space="preserve">V metodološki okvir SURS za spremljanje nastajanja odpadne hrane na nacionalni ravni je zajeta vsa odpadna hrana, ki konča v sistemu ravnanja z odpadki. V ta okvir ni zajeta odpadna hrana, ki se obdela zunaj sistema ravnanja z odpadki. Gre za odpadno hrano, ki se obdela na kraju nastanka (npr. v gospodinjstvih v hišnih kompostnikih), in za odpadno hrano, ki se spušča v kanalizacijski odtok. V metodološki okvir SURS prav tako nista zajeta hrana, ki se porabi kot krma za živali, ter pridelek, ki zaradi slabe kakovosti ali presežka v pridelavi in posledično nizke vrednosti ostane na kmetijskih pridelovalnih površinah in se ne pobere. Zato bi bilo ta del spremljanja potrebno nadgraditi, saj predstavlja velik potencial za </w:t>
      </w:r>
      <w:proofErr w:type="spellStart"/>
      <w:r w:rsidRPr="00155028">
        <w:rPr>
          <w:rFonts w:eastAsia="Times New Roman"/>
          <w:sz w:val="20"/>
          <w:shd w:val="clear" w:color="auto" w:fill="FFFFFF"/>
          <w:lang w:eastAsia="en-GB"/>
        </w:rPr>
        <w:t>biogospodarstvo</w:t>
      </w:r>
      <w:proofErr w:type="spellEnd"/>
      <w:r w:rsidRPr="00155028">
        <w:rPr>
          <w:rFonts w:eastAsia="Times New Roman"/>
          <w:sz w:val="20"/>
          <w:shd w:val="clear" w:color="auto" w:fill="FFFFFF"/>
          <w:lang w:eastAsia="en-GB"/>
        </w:rPr>
        <w:t>.</w:t>
      </w:r>
    </w:p>
    <w:p w14:paraId="516124B9" w14:textId="2B755BB2" w:rsidR="001E6A32" w:rsidRPr="00155028" w:rsidRDefault="001E6A32" w:rsidP="001E6A32">
      <w:pPr>
        <w:tabs>
          <w:tab w:val="left" w:pos="0"/>
        </w:tabs>
        <w:spacing w:before="120" w:after="0" w:line="240" w:lineRule="auto"/>
        <w:jc w:val="both"/>
        <w:rPr>
          <w:rFonts w:eastAsia="Times New Roman"/>
          <w:sz w:val="20"/>
          <w:lang w:eastAsia="en-GB"/>
        </w:rPr>
      </w:pPr>
      <w:r w:rsidRPr="00155028">
        <w:rPr>
          <w:rFonts w:eastAsia="Times New Roman"/>
          <w:sz w:val="20"/>
          <w:lang w:eastAsia="en-GB"/>
        </w:rPr>
        <w:t xml:space="preserve">V primarni proizvodnji na količino presežkov sadja in zelenjave vpliva tudi namerno </w:t>
      </w:r>
      <w:proofErr w:type="spellStart"/>
      <w:r w:rsidRPr="00155028">
        <w:rPr>
          <w:rFonts w:eastAsia="Times New Roman"/>
          <w:sz w:val="20"/>
          <w:lang w:eastAsia="en-GB"/>
        </w:rPr>
        <w:t>zasnovanje</w:t>
      </w:r>
      <w:proofErr w:type="spellEnd"/>
      <w:r w:rsidRPr="00155028">
        <w:rPr>
          <w:rFonts w:eastAsia="Times New Roman"/>
          <w:sz w:val="20"/>
          <w:lang w:eastAsia="en-GB"/>
        </w:rPr>
        <w:t xml:space="preserve"> pridelkov v nekoliko večjih količinah, saj so lahko zaradi naravnih razmer (vreme, škodljivci) veliki izpadi. Prav tako je težje prodati pridelke drugačnih oblik ali velikosti od standardov, predpisanih s strani kupca. Zaradi nezmožnosti prodaje presežnih pridelkov na kmetiji, ostajajo nekateri pridelki, ki nimajo dolgega roka trajanja, zato propadejo in predstavljajo ostanek, ki ni primeren za nadaljnjo prodajo oziroma zaužitje. Dogaja se tudi, da kmetija zaradi prenizkih odkupnih cen ne more pokriti stroškov spravila pridelka ter ga tako pusti na njivi in zaorje v tla (</w:t>
      </w:r>
      <w:proofErr w:type="spellStart"/>
      <w:r w:rsidRPr="00155028">
        <w:rPr>
          <w:rFonts w:eastAsia="Times New Roman"/>
          <w:sz w:val="20"/>
          <w:lang w:eastAsia="en-GB"/>
        </w:rPr>
        <w:t>Ayalon</w:t>
      </w:r>
      <w:proofErr w:type="spellEnd"/>
      <w:r w:rsidRPr="00155028">
        <w:rPr>
          <w:rFonts w:eastAsia="Times New Roman"/>
          <w:sz w:val="20"/>
          <w:lang w:eastAsia="en-GB"/>
        </w:rPr>
        <w:t xml:space="preserve"> in sod., 2017). V Sloveniji je bilo </w:t>
      </w:r>
      <w:r w:rsidRPr="00155028">
        <w:rPr>
          <w:rFonts w:eastAsia="Times New Roman" w:hint="eastAsia"/>
          <w:sz w:val="20"/>
          <w:lang w:eastAsia="en-GB"/>
        </w:rPr>
        <w:t>ž</w:t>
      </w:r>
      <w:r w:rsidRPr="00155028">
        <w:rPr>
          <w:rFonts w:eastAsia="Times New Roman"/>
          <w:sz w:val="20"/>
          <w:lang w:eastAsia="en-GB"/>
        </w:rPr>
        <w:t>e ve</w:t>
      </w:r>
      <w:r w:rsidRPr="00155028">
        <w:rPr>
          <w:rFonts w:eastAsia="Times New Roman" w:hint="eastAsia"/>
          <w:sz w:val="20"/>
          <w:lang w:eastAsia="en-GB"/>
        </w:rPr>
        <w:t>č</w:t>
      </w:r>
      <w:r w:rsidRPr="00155028">
        <w:rPr>
          <w:rFonts w:eastAsia="Times New Roman"/>
          <w:sz w:val="20"/>
          <w:lang w:eastAsia="en-GB"/>
        </w:rPr>
        <w:t xml:space="preserve"> akcij, s katerimi bi zmanj</w:t>
      </w:r>
      <w:r w:rsidRPr="00155028">
        <w:rPr>
          <w:rFonts w:eastAsia="Times New Roman" w:hint="eastAsia"/>
          <w:sz w:val="20"/>
          <w:lang w:eastAsia="en-GB"/>
        </w:rPr>
        <w:t>š</w:t>
      </w:r>
      <w:r w:rsidRPr="00155028">
        <w:rPr>
          <w:rFonts w:eastAsia="Times New Roman"/>
          <w:sz w:val="20"/>
          <w:lang w:eastAsia="en-GB"/>
        </w:rPr>
        <w:t>ali količine pridelkov, ki bi sicer propadli. Ena izmed akcij je bila »Rešimo slovenske pridelke« (2015), s katero so spodbudili kmete, da prodajajo svoje pridelke, ki jih niso mogli prodati, po ni</w:t>
      </w:r>
      <w:r w:rsidRPr="00155028">
        <w:rPr>
          <w:rFonts w:eastAsia="Times New Roman" w:hint="eastAsia"/>
          <w:sz w:val="20"/>
          <w:lang w:eastAsia="en-GB"/>
        </w:rPr>
        <w:t>ž</w:t>
      </w:r>
      <w:r w:rsidRPr="00155028">
        <w:rPr>
          <w:rFonts w:eastAsia="Times New Roman"/>
          <w:sz w:val="20"/>
          <w:lang w:eastAsia="en-GB"/>
        </w:rPr>
        <w:t>ji ceni kar pred gasilskimi domovi (Zaplotnik, 2015). Projekt Oskrbimo Ljubljano prav tako podpira kmete pri prodaji pridelkov na tr</w:t>
      </w:r>
      <w:r w:rsidRPr="00155028">
        <w:rPr>
          <w:rFonts w:eastAsia="Times New Roman" w:hint="eastAsia"/>
          <w:sz w:val="20"/>
          <w:lang w:eastAsia="en-GB"/>
        </w:rPr>
        <w:t>ž</w:t>
      </w:r>
      <w:r w:rsidRPr="00155028">
        <w:rPr>
          <w:rFonts w:eastAsia="Times New Roman"/>
          <w:sz w:val="20"/>
          <w:lang w:eastAsia="en-GB"/>
        </w:rPr>
        <w:t>nicah (</w:t>
      </w:r>
      <w:r w:rsidRPr="00155028">
        <w:rPr>
          <w:rFonts w:eastAsia="Times New Roman" w:hint="eastAsia"/>
          <w:sz w:val="20"/>
          <w:lang w:eastAsia="en-GB"/>
        </w:rPr>
        <w:t>Š</w:t>
      </w:r>
      <w:r w:rsidRPr="00155028">
        <w:rPr>
          <w:rFonts w:eastAsia="Times New Roman"/>
          <w:sz w:val="20"/>
          <w:lang w:eastAsia="en-GB"/>
        </w:rPr>
        <w:t>vab, 2019).Pospravljene pridelke, ki propadejo, je mogo</w:t>
      </w:r>
      <w:r w:rsidRPr="00155028">
        <w:rPr>
          <w:rFonts w:eastAsia="Times New Roman" w:hint="eastAsia"/>
          <w:sz w:val="20"/>
          <w:lang w:eastAsia="en-GB"/>
        </w:rPr>
        <w:t>č</w:t>
      </w:r>
      <w:r w:rsidRPr="00155028">
        <w:rPr>
          <w:rFonts w:eastAsia="Times New Roman"/>
          <w:sz w:val="20"/>
          <w:lang w:eastAsia="en-GB"/>
        </w:rPr>
        <w:t xml:space="preserve">e nameniti v proizvodnjo komposta ali bioplina. Raziskava </w:t>
      </w:r>
      <w:proofErr w:type="spellStart"/>
      <w:r w:rsidRPr="00155028">
        <w:rPr>
          <w:rFonts w:eastAsia="Times New Roman"/>
          <w:sz w:val="20"/>
          <w:lang w:eastAsia="en-GB"/>
        </w:rPr>
        <w:t>Deloitte</w:t>
      </w:r>
      <w:proofErr w:type="spellEnd"/>
      <w:r w:rsidRPr="00155028">
        <w:rPr>
          <w:rFonts w:eastAsia="Times New Roman"/>
          <w:sz w:val="20"/>
          <w:lang w:eastAsia="en-GB"/>
        </w:rPr>
        <w:t xml:space="preserve"> z ekspertnimi paneli v okviru EIT </w:t>
      </w:r>
      <w:proofErr w:type="spellStart"/>
      <w:r w:rsidRPr="00155028">
        <w:rPr>
          <w:rFonts w:eastAsia="Times New Roman"/>
          <w:sz w:val="20"/>
          <w:lang w:eastAsia="en-GB"/>
        </w:rPr>
        <w:t>Food</w:t>
      </w:r>
      <w:proofErr w:type="spellEnd"/>
      <w:r w:rsidRPr="00155028">
        <w:rPr>
          <w:rFonts w:eastAsia="Times New Roman"/>
          <w:sz w:val="20"/>
          <w:lang w:eastAsia="en-GB"/>
        </w:rPr>
        <w:t xml:space="preserve"> na področju prilagajanja pridelave in ŽPI med krizo COVID-19 je razkrila, da so ti viri – neobstojni pridelki in živila ter načini njihove hitre uporabe in predelave tudi ključni za večjo fleksibilnost osnovne pridelave/predelave in razvoj bolj stabilnih sistemov za hitro prilagajanje na spremembe, ki drastično vplivajo na konvencionalne dostavne sisteme. Neizrabljeni viri v smislu viškov in odpadne hrane tako močno vplivajo tudi na ta vidik.</w:t>
      </w:r>
    </w:p>
    <w:p w14:paraId="2C50B336" w14:textId="77777777" w:rsidR="007601E4" w:rsidRPr="00155028" w:rsidRDefault="001E6A32" w:rsidP="001E6A32">
      <w:pPr>
        <w:tabs>
          <w:tab w:val="left" w:pos="0"/>
        </w:tabs>
        <w:spacing w:before="120" w:after="0" w:line="240" w:lineRule="auto"/>
        <w:jc w:val="both"/>
        <w:rPr>
          <w:rFonts w:eastAsia="Times New Roman"/>
          <w:sz w:val="20"/>
          <w:lang w:eastAsia="en-GB"/>
        </w:rPr>
      </w:pPr>
      <w:r w:rsidRPr="00155028">
        <w:rPr>
          <w:rFonts w:eastAsia="Times New Roman"/>
          <w:sz w:val="20"/>
          <w:lang w:eastAsia="en-GB"/>
        </w:rPr>
        <w:t xml:space="preserve">Ostanki v živilskopredelovalni industriji lahko postanejo stranski proizvod ali odpadek. Ostanki v </w:t>
      </w:r>
      <w:r w:rsidRPr="00155028">
        <w:rPr>
          <w:rFonts w:eastAsia="Times New Roman" w:hint="eastAsia"/>
          <w:sz w:val="20"/>
          <w:lang w:eastAsia="en-GB"/>
        </w:rPr>
        <w:t>ž</w:t>
      </w:r>
      <w:r w:rsidRPr="00155028">
        <w:rPr>
          <w:rFonts w:eastAsia="Times New Roman"/>
          <w:sz w:val="20"/>
          <w:lang w:eastAsia="en-GB"/>
        </w:rPr>
        <w:t xml:space="preserve">ivilskopredelovalni industriji v glavnini prestavljajo biomaso, ki nastaja pri procesiranju organskih surovin v </w:t>
      </w:r>
      <w:r w:rsidRPr="00155028">
        <w:rPr>
          <w:rFonts w:eastAsia="Times New Roman" w:hint="eastAsia"/>
          <w:sz w:val="20"/>
          <w:lang w:eastAsia="en-GB"/>
        </w:rPr>
        <w:t>ž</w:t>
      </w:r>
      <w:r w:rsidRPr="00155028">
        <w:rPr>
          <w:rFonts w:eastAsia="Times New Roman"/>
          <w:sz w:val="20"/>
          <w:lang w:eastAsia="en-GB"/>
        </w:rPr>
        <w:t>ivila z lo</w:t>
      </w:r>
      <w:r w:rsidRPr="00155028">
        <w:rPr>
          <w:rFonts w:eastAsia="Times New Roman" w:hint="eastAsia"/>
          <w:sz w:val="20"/>
          <w:lang w:eastAsia="en-GB"/>
        </w:rPr>
        <w:t>č</w:t>
      </w:r>
      <w:r w:rsidRPr="00155028">
        <w:rPr>
          <w:rFonts w:eastAsia="Times New Roman"/>
          <w:sz w:val="20"/>
          <w:lang w:eastAsia="en-GB"/>
        </w:rPr>
        <w:t>evanjem in/ali ekstrakcijo frakcij z visoko hranilno vrednostjo iz osnovne surovine. Poglavitni viri ostankov so proizvodnja in predelava sadja, zelenjave, mesa, sladkorja, mleka, pekovskih in sla</w:t>
      </w:r>
      <w:r w:rsidRPr="00155028">
        <w:rPr>
          <w:rFonts w:eastAsia="Times New Roman" w:hint="eastAsia"/>
          <w:sz w:val="20"/>
          <w:lang w:eastAsia="en-GB"/>
        </w:rPr>
        <w:t>šč</w:t>
      </w:r>
      <w:r w:rsidRPr="00155028">
        <w:rPr>
          <w:rFonts w:eastAsia="Times New Roman"/>
          <w:sz w:val="20"/>
          <w:lang w:eastAsia="en-GB"/>
        </w:rPr>
        <w:t>i</w:t>
      </w:r>
      <w:r w:rsidRPr="00155028">
        <w:rPr>
          <w:rFonts w:eastAsia="Times New Roman" w:hint="eastAsia"/>
          <w:sz w:val="20"/>
          <w:lang w:eastAsia="en-GB"/>
        </w:rPr>
        <w:t>č</w:t>
      </w:r>
      <w:r w:rsidRPr="00155028">
        <w:rPr>
          <w:rFonts w:eastAsia="Times New Roman"/>
          <w:sz w:val="20"/>
          <w:lang w:eastAsia="en-GB"/>
        </w:rPr>
        <w:t>arskih izdelkov in alkoholnih ter brezalkoholnih pija</w:t>
      </w:r>
      <w:r w:rsidRPr="00155028">
        <w:rPr>
          <w:rFonts w:eastAsia="Times New Roman" w:hint="eastAsia"/>
          <w:sz w:val="20"/>
          <w:lang w:eastAsia="en-GB"/>
        </w:rPr>
        <w:t>č</w:t>
      </w:r>
      <w:r w:rsidRPr="00155028">
        <w:rPr>
          <w:rFonts w:eastAsia="Times New Roman"/>
          <w:sz w:val="20"/>
          <w:lang w:eastAsia="en-GB"/>
        </w:rPr>
        <w:t>, ki se lahko porabijo za stranske proizvode. Na ta način se lahko zmanjšuje tudi količina odpadne hrane.</w:t>
      </w:r>
    </w:p>
    <w:p w14:paraId="77494B19" w14:textId="51275EC4" w:rsidR="001E6A32" w:rsidRPr="00155028" w:rsidRDefault="00237DB1" w:rsidP="00237DB1">
      <w:pPr>
        <w:pStyle w:val="Napis"/>
        <w:jc w:val="both"/>
        <w:rPr>
          <w:szCs w:val="20"/>
        </w:rPr>
      </w:pPr>
      <w:bookmarkStart w:id="98" w:name="_Toc86826530"/>
      <w:r w:rsidRPr="00155028">
        <w:rPr>
          <w:szCs w:val="20"/>
        </w:rPr>
        <w:lastRenderedPageBreak/>
        <w:t xml:space="preserve">Tabela </w:t>
      </w:r>
      <w:r w:rsidR="004270C0" w:rsidRPr="00155028">
        <w:rPr>
          <w:szCs w:val="20"/>
        </w:rPr>
        <w:fldChar w:fldCharType="begin"/>
      </w:r>
      <w:r w:rsidR="004270C0" w:rsidRPr="00155028">
        <w:rPr>
          <w:szCs w:val="20"/>
        </w:rPr>
        <w:instrText xml:space="preserve"> SEQ Tabela \* ARABIC </w:instrText>
      </w:r>
      <w:r w:rsidR="004270C0" w:rsidRPr="00155028">
        <w:rPr>
          <w:szCs w:val="20"/>
        </w:rPr>
        <w:fldChar w:fldCharType="separate"/>
      </w:r>
      <w:r w:rsidR="00F25B09">
        <w:rPr>
          <w:noProof/>
          <w:szCs w:val="20"/>
        </w:rPr>
        <w:t>11</w:t>
      </w:r>
      <w:r w:rsidR="004270C0" w:rsidRPr="00155028">
        <w:rPr>
          <w:noProof/>
          <w:szCs w:val="20"/>
        </w:rPr>
        <w:fldChar w:fldCharType="end"/>
      </w:r>
      <w:r w:rsidRPr="00155028">
        <w:rPr>
          <w:szCs w:val="20"/>
        </w:rPr>
        <w:t>: Odpadki, nastali v proizvodnih in storitvenih dejavnostih iz kmetijstva, vrtnarstva, ribogojstva, gozdarstva, lova in ribištva ter proizvodnje hrane, kakor tudi izbrani povezani komunalni odpadki* (v tonah) za leta 2013–2018</w:t>
      </w:r>
      <w:bookmarkEnd w:id="98"/>
      <w:r w:rsidR="001E6A32" w:rsidRPr="00155028">
        <w:rPr>
          <w:b/>
          <w:szCs w:val="20"/>
          <w:lang w:eastAsia="sl-SI"/>
        </w:rPr>
        <w:t xml:space="preserve">  </w:t>
      </w:r>
    </w:p>
    <w:tbl>
      <w:tblPr>
        <w:tblStyle w:val="Tabelamrea2"/>
        <w:tblW w:w="5000" w:type="pct"/>
        <w:tblLook w:val="04A0" w:firstRow="1" w:lastRow="0" w:firstColumn="1" w:lastColumn="0" w:noHBand="0" w:noVBand="1"/>
      </w:tblPr>
      <w:tblGrid>
        <w:gridCol w:w="2631"/>
        <w:gridCol w:w="1241"/>
        <w:gridCol w:w="828"/>
        <w:gridCol w:w="939"/>
        <w:gridCol w:w="828"/>
        <w:gridCol w:w="939"/>
        <w:gridCol w:w="828"/>
        <w:gridCol w:w="828"/>
      </w:tblGrid>
      <w:tr w:rsidR="001E6A32" w:rsidRPr="00155028" w14:paraId="2D4C4F96" w14:textId="77777777" w:rsidTr="003C239F">
        <w:trPr>
          <w:trHeight w:val="301"/>
        </w:trPr>
        <w:tc>
          <w:tcPr>
            <w:tcW w:w="2978" w:type="dxa"/>
            <w:shd w:val="clear" w:color="auto" w:fill="D9EEF3"/>
            <w:hideMark/>
          </w:tcPr>
          <w:p w14:paraId="51D2F30B" w14:textId="0B8921B1" w:rsidR="001E6A32" w:rsidRPr="00155028" w:rsidRDefault="001E6A32" w:rsidP="001E6A32">
            <w:pPr>
              <w:keepNext/>
              <w:keepLines/>
              <w:rPr>
                <w:rFonts w:eastAsia="Times New Roman"/>
                <w:b/>
                <w:sz w:val="20"/>
                <w:lang w:eastAsia="sl-SI"/>
              </w:rPr>
            </w:pPr>
            <w:r w:rsidRPr="00155028">
              <w:rPr>
                <w:rFonts w:eastAsia="Times New Roman"/>
                <w:b/>
                <w:sz w:val="20"/>
                <w:lang w:eastAsia="sl-SI"/>
              </w:rPr>
              <w:t>Vir odpadka</w:t>
            </w:r>
          </w:p>
        </w:tc>
        <w:tc>
          <w:tcPr>
            <w:tcW w:w="1293" w:type="dxa"/>
            <w:shd w:val="clear" w:color="auto" w:fill="D9EEF3"/>
            <w:vAlign w:val="center"/>
            <w:hideMark/>
          </w:tcPr>
          <w:p w14:paraId="24C2DBAB" w14:textId="6CA0B95B" w:rsidR="001E6A32" w:rsidRPr="00155028" w:rsidRDefault="001E6A32" w:rsidP="003C239F">
            <w:pPr>
              <w:keepNext/>
              <w:keepLines/>
              <w:jc w:val="right"/>
              <w:rPr>
                <w:rFonts w:eastAsia="Times New Roman"/>
                <w:b/>
                <w:sz w:val="20"/>
                <w:lang w:eastAsia="sl-SI"/>
              </w:rPr>
            </w:pPr>
            <w:r w:rsidRPr="00155028">
              <w:rPr>
                <w:rFonts w:eastAsia="Times New Roman"/>
                <w:b/>
                <w:sz w:val="20"/>
                <w:lang w:eastAsia="sl-SI"/>
              </w:rPr>
              <w:t xml:space="preserve">Št. </w:t>
            </w:r>
            <w:r w:rsidR="00C76DA8" w:rsidRPr="00155028">
              <w:rPr>
                <w:rFonts w:eastAsia="Times New Roman"/>
                <w:b/>
                <w:sz w:val="20"/>
                <w:lang w:eastAsia="sl-SI"/>
              </w:rPr>
              <w:t>O</w:t>
            </w:r>
            <w:r w:rsidRPr="00155028">
              <w:rPr>
                <w:rFonts w:eastAsia="Times New Roman"/>
                <w:b/>
                <w:sz w:val="20"/>
                <w:lang w:eastAsia="sl-SI"/>
              </w:rPr>
              <w:t>dpadka</w:t>
            </w:r>
          </w:p>
        </w:tc>
        <w:tc>
          <w:tcPr>
            <w:tcW w:w="766" w:type="dxa"/>
            <w:shd w:val="clear" w:color="auto" w:fill="D9EEF3"/>
            <w:vAlign w:val="center"/>
            <w:hideMark/>
          </w:tcPr>
          <w:p w14:paraId="6271ED76" w14:textId="77777777" w:rsidR="001E6A32" w:rsidRPr="00155028" w:rsidRDefault="001E6A32" w:rsidP="003C239F">
            <w:pPr>
              <w:keepNext/>
              <w:keepLines/>
              <w:jc w:val="right"/>
              <w:rPr>
                <w:rFonts w:eastAsia="Times New Roman"/>
                <w:b/>
                <w:sz w:val="20"/>
                <w:lang w:eastAsia="sl-SI"/>
              </w:rPr>
            </w:pPr>
            <w:r w:rsidRPr="00155028">
              <w:rPr>
                <w:rFonts w:eastAsia="Times New Roman"/>
                <w:b/>
                <w:sz w:val="20"/>
                <w:lang w:eastAsia="sl-SI"/>
              </w:rPr>
              <w:t>2013</w:t>
            </w:r>
          </w:p>
        </w:tc>
        <w:tc>
          <w:tcPr>
            <w:tcW w:w="867" w:type="dxa"/>
            <w:shd w:val="clear" w:color="auto" w:fill="D9EEF3"/>
            <w:vAlign w:val="center"/>
            <w:hideMark/>
          </w:tcPr>
          <w:p w14:paraId="47AFA680" w14:textId="77777777" w:rsidR="001E6A32" w:rsidRPr="00155028" w:rsidRDefault="001E6A32" w:rsidP="003C239F">
            <w:pPr>
              <w:keepNext/>
              <w:keepLines/>
              <w:jc w:val="right"/>
              <w:rPr>
                <w:rFonts w:eastAsia="Times New Roman"/>
                <w:b/>
                <w:sz w:val="20"/>
                <w:lang w:eastAsia="sl-SI"/>
              </w:rPr>
            </w:pPr>
            <w:r w:rsidRPr="00155028">
              <w:rPr>
                <w:rFonts w:eastAsia="Times New Roman"/>
                <w:b/>
                <w:sz w:val="20"/>
                <w:lang w:eastAsia="sl-SI"/>
              </w:rPr>
              <w:t>2014</w:t>
            </w:r>
          </w:p>
        </w:tc>
        <w:tc>
          <w:tcPr>
            <w:tcW w:w="767" w:type="dxa"/>
            <w:shd w:val="clear" w:color="auto" w:fill="D9EEF3"/>
            <w:vAlign w:val="center"/>
            <w:hideMark/>
          </w:tcPr>
          <w:p w14:paraId="38936626" w14:textId="77777777" w:rsidR="001E6A32" w:rsidRPr="00155028" w:rsidRDefault="001E6A32" w:rsidP="003C239F">
            <w:pPr>
              <w:keepNext/>
              <w:keepLines/>
              <w:jc w:val="right"/>
              <w:rPr>
                <w:rFonts w:eastAsia="Times New Roman"/>
                <w:b/>
                <w:sz w:val="20"/>
                <w:lang w:eastAsia="sl-SI"/>
              </w:rPr>
            </w:pPr>
            <w:r w:rsidRPr="00155028">
              <w:rPr>
                <w:rFonts w:eastAsia="Times New Roman"/>
                <w:b/>
                <w:sz w:val="20"/>
                <w:lang w:eastAsia="sl-SI"/>
              </w:rPr>
              <w:t>2015</w:t>
            </w:r>
          </w:p>
        </w:tc>
        <w:tc>
          <w:tcPr>
            <w:tcW w:w="867" w:type="dxa"/>
            <w:shd w:val="clear" w:color="auto" w:fill="D9EEF3"/>
            <w:vAlign w:val="center"/>
            <w:hideMark/>
          </w:tcPr>
          <w:p w14:paraId="09C29DFE" w14:textId="77777777" w:rsidR="001E6A32" w:rsidRPr="00155028" w:rsidRDefault="001E6A32" w:rsidP="003C239F">
            <w:pPr>
              <w:keepNext/>
              <w:keepLines/>
              <w:jc w:val="right"/>
              <w:rPr>
                <w:rFonts w:eastAsia="Times New Roman"/>
                <w:b/>
                <w:sz w:val="20"/>
                <w:lang w:eastAsia="sl-SI"/>
              </w:rPr>
            </w:pPr>
            <w:r w:rsidRPr="00155028">
              <w:rPr>
                <w:rFonts w:eastAsia="Times New Roman"/>
                <w:b/>
                <w:sz w:val="20"/>
                <w:lang w:eastAsia="sl-SI"/>
              </w:rPr>
              <w:t>2016</w:t>
            </w:r>
          </w:p>
        </w:tc>
        <w:tc>
          <w:tcPr>
            <w:tcW w:w="767" w:type="dxa"/>
            <w:shd w:val="clear" w:color="auto" w:fill="D9EEF3"/>
            <w:vAlign w:val="center"/>
            <w:hideMark/>
          </w:tcPr>
          <w:p w14:paraId="0A33D91E" w14:textId="77777777" w:rsidR="001E6A32" w:rsidRPr="00155028" w:rsidRDefault="001E6A32" w:rsidP="003C239F">
            <w:pPr>
              <w:keepNext/>
              <w:keepLines/>
              <w:jc w:val="right"/>
              <w:rPr>
                <w:rFonts w:eastAsia="Times New Roman"/>
                <w:b/>
                <w:sz w:val="20"/>
                <w:lang w:eastAsia="sl-SI"/>
              </w:rPr>
            </w:pPr>
            <w:r w:rsidRPr="00155028">
              <w:rPr>
                <w:rFonts w:eastAsia="Times New Roman"/>
                <w:b/>
                <w:sz w:val="20"/>
                <w:lang w:eastAsia="sl-SI"/>
              </w:rPr>
              <w:t>2017</w:t>
            </w:r>
          </w:p>
        </w:tc>
        <w:tc>
          <w:tcPr>
            <w:tcW w:w="767" w:type="dxa"/>
            <w:shd w:val="clear" w:color="auto" w:fill="D9EEF3"/>
            <w:vAlign w:val="center"/>
            <w:hideMark/>
          </w:tcPr>
          <w:p w14:paraId="021CFE16" w14:textId="77777777" w:rsidR="001E6A32" w:rsidRPr="00155028" w:rsidRDefault="001E6A32" w:rsidP="003C239F">
            <w:pPr>
              <w:keepNext/>
              <w:keepLines/>
              <w:jc w:val="right"/>
              <w:rPr>
                <w:rFonts w:eastAsia="Times New Roman"/>
                <w:b/>
                <w:sz w:val="20"/>
                <w:lang w:eastAsia="sl-SI"/>
              </w:rPr>
            </w:pPr>
            <w:r w:rsidRPr="00155028">
              <w:rPr>
                <w:rFonts w:eastAsia="Times New Roman"/>
                <w:b/>
                <w:sz w:val="20"/>
                <w:lang w:eastAsia="sl-SI"/>
              </w:rPr>
              <w:t>2018</w:t>
            </w:r>
          </w:p>
        </w:tc>
      </w:tr>
      <w:tr w:rsidR="001E6A32" w:rsidRPr="00155028" w14:paraId="57198B36" w14:textId="77777777" w:rsidTr="003C239F">
        <w:trPr>
          <w:trHeight w:val="301"/>
        </w:trPr>
        <w:tc>
          <w:tcPr>
            <w:tcW w:w="2978" w:type="dxa"/>
            <w:hideMark/>
          </w:tcPr>
          <w:p w14:paraId="6395ECCF" w14:textId="77777777" w:rsidR="001E6A32" w:rsidRPr="00155028" w:rsidRDefault="001E6A32" w:rsidP="001E6A32">
            <w:pPr>
              <w:keepNext/>
              <w:keepLines/>
              <w:rPr>
                <w:rFonts w:eastAsia="Times New Roman"/>
                <w:sz w:val="20"/>
                <w:lang w:eastAsia="sl-SI"/>
              </w:rPr>
            </w:pPr>
            <w:r w:rsidRPr="00155028">
              <w:rPr>
                <w:rFonts w:eastAsia="Times New Roman"/>
                <w:sz w:val="20"/>
                <w:lang w:eastAsia="sl-SI"/>
              </w:rPr>
              <w:t>Kmetijstvo, vrtnarstvo, ribogojstvo, gozdarstvo, lov in ribištvo</w:t>
            </w:r>
          </w:p>
        </w:tc>
        <w:tc>
          <w:tcPr>
            <w:tcW w:w="1293" w:type="dxa"/>
            <w:vAlign w:val="center"/>
            <w:hideMark/>
          </w:tcPr>
          <w:p w14:paraId="09AA9E57" w14:textId="77777777" w:rsidR="001E6A32" w:rsidRPr="00155028" w:rsidRDefault="001E6A32" w:rsidP="003C239F">
            <w:pPr>
              <w:keepNext/>
              <w:keepLines/>
              <w:jc w:val="right"/>
              <w:rPr>
                <w:rFonts w:eastAsia="Times New Roman"/>
                <w:sz w:val="20"/>
                <w:lang w:eastAsia="sl-SI"/>
              </w:rPr>
            </w:pPr>
            <w:r w:rsidRPr="00155028">
              <w:rPr>
                <w:rFonts w:eastAsia="Times New Roman"/>
                <w:sz w:val="20"/>
                <w:lang w:eastAsia="sl-SI"/>
              </w:rPr>
              <w:t>02 01</w:t>
            </w:r>
          </w:p>
        </w:tc>
        <w:tc>
          <w:tcPr>
            <w:tcW w:w="766" w:type="dxa"/>
            <w:noWrap/>
            <w:vAlign w:val="center"/>
            <w:hideMark/>
          </w:tcPr>
          <w:p w14:paraId="71891A9D" w14:textId="77777777" w:rsidR="001E6A32" w:rsidRPr="00155028" w:rsidRDefault="001E6A32" w:rsidP="00AD420D">
            <w:pPr>
              <w:keepNext/>
              <w:keepLines/>
              <w:jc w:val="right"/>
              <w:rPr>
                <w:rFonts w:eastAsia="Times New Roman"/>
                <w:sz w:val="20"/>
                <w:lang w:eastAsia="sl-SI"/>
              </w:rPr>
            </w:pPr>
            <w:r w:rsidRPr="00155028">
              <w:rPr>
                <w:rFonts w:eastAsia="Times New Roman"/>
                <w:sz w:val="20"/>
                <w:lang w:eastAsia="sl-SI"/>
              </w:rPr>
              <w:t>55.123</w:t>
            </w:r>
          </w:p>
        </w:tc>
        <w:tc>
          <w:tcPr>
            <w:tcW w:w="867" w:type="dxa"/>
            <w:noWrap/>
            <w:vAlign w:val="center"/>
            <w:hideMark/>
          </w:tcPr>
          <w:p w14:paraId="33CEDCEA"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85.228</w:t>
            </w:r>
          </w:p>
        </w:tc>
        <w:tc>
          <w:tcPr>
            <w:tcW w:w="767" w:type="dxa"/>
            <w:noWrap/>
            <w:vAlign w:val="center"/>
            <w:hideMark/>
          </w:tcPr>
          <w:p w14:paraId="21FDDBCB"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52.547</w:t>
            </w:r>
          </w:p>
        </w:tc>
        <w:tc>
          <w:tcPr>
            <w:tcW w:w="867" w:type="dxa"/>
            <w:noWrap/>
            <w:vAlign w:val="center"/>
            <w:hideMark/>
          </w:tcPr>
          <w:p w14:paraId="22E5CBF8"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67.071</w:t>
            </w:r>
          </w:p>
        </w:tc>
        <w:tc>
          <w:tcPr>
            <w:tcW w:w="767" w:type="dxa"/>
            <w:noWrap/>
            <w:vAlign w:val="center"/>
            <w:hideMark/>
          </w:tcPr>
          <w:p w14:paraId="64CEBF09"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55.489</w:t>
            </w:r>
          </w:p>
        </w:tc>
        <w:tc>
          <w:tcPr>
            <w:tcW w:w="767" w:type="dxa"/>
            <w:noWrap/>
            <w:vAlign w:val="center"/>
            <w:hideMark/>
          </w:tcPr>
          <w:p w14:paraId="6A83A338"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67.320</w:t>
            </w:r>
          </w:p>
        </w:tc>
      </w:tr>
      <w:tr w:rsidR="001E6A32" w:rsidRPr="00155028" w14:paraId="6456AD0B" w14:textId="77777777" w:rsidTr="003C239F">
        <w:trPr>
          <w:trHeight w:val="301"/>
        </w:trPr>
        <w:tc>
          <w:tcPr>
            <w:tcW w:w="2978" w:type="dxa"/>
            <w:hideMark/>
          </w:tcPr>
          <w:p w14:paraId="09FE77BA" w14:textId="77777777" w:rsidR="001E6A32" w:rsidRPr="00155028" w:rsidRDefault="001E6A32" w:rsidP="001E6A32">
            <w:pPr>
              <w:keepNext/>
              <w:keepLines/>
              <w:rPr>
                <w:rFonts w:eastAsia="Times New Roman"/>
                <w:sz w:val="20"/>
                <w:lang w:eastAsia="sl-SI"/>
              </w:rPr>
            </w:pPr>
            <w:r w:rsidRPr="00155028">
              <w:rPr>
                <w:rFonts w:eastAsia="Times New Roman"/>
                <w:sz w:val="20"/>
                <w:lang w:eastAsia="sl-SI"/>
              </w:rPr>
              <w:t>Priprava in predelava mesa, rib in drugih živil živalskega izvora</w:t>
            </w:r>
          </w:p>
        </w:tc>
        <w:tc>
          <w:tcPr>
            <w:tcW w:w="1293" w:type="dxa"/>
            <w:vAlign w:val="center"/>
            <w:hideMark/>
          </w:tcPr>
          <w:p w14:paraId="0243DDA3" w14:textId="77777777" w:rsidR="001E6A32" w:rsidRPr="00155028" w:rsidRDefault="001E6A32" w:rsidP="003C239F">
            <w:pPr>
              <w:keepNext/>
              <w:keepLines/>
              <w:jc w:val="right"/>
              <w:rPr>
                <w:rFonts w:eastAsia="Times New Roman"/>
                <w:sz w:val="20"/>
                <w:lang w:eastAsia="sl-SI"/>
              </w:rPr>
            </w:pPr>
            <w:r w:rsidRPr="00155028">
              <w:rPr>
                <w:rFonts w:eastAsia="Times New Roman"/>
                <w:sz w:val="20"/>
                <w:lang w:eastAsia="sl-SI"/>
              </w:rPr>
              <w:t>02 02</w:t>
            </w:r>
          </w:p>
        </w:tc>
        <w:tc>
          <w:tcPr>
            <w:tcW w:w="766" w:type="dxa"/>
            <w:noWrap/>
            <w:vAlign w:val="center"/>
            <w:hideMark/>
          </w:tcPr>
          <w:p w14:paraId="009A5923" w14:textId="77777777" w:rsidR="001E6A32" w:rsidRPr="00155028" w:rsidRDefault="001E6A32" w:rsidP="00AD420D">
            <w:pPr>
              <w:keepNext/>
              <w:keepLines/>
              <w:jc w:val="right"/>
              <w:rPr>
                <w:rFonts w:eastAsia="Times New Roman"/>
                <w:sz w:val="20"/>
                <w:lang w:eastAsia="sl-SI"/>
              </w:rPr>
            </w:pPr>
            <w:r w:rsidRPr="00155028">
              <w:rPr>
                <w:rFonts w:eastAsia="Times New Roman"/>
                <w:sz w:val="20"/>
                <w:lang w:eastAsia="sl-SI"/>
              </w:rPr>
              <w:t>20.141</w:t>
            </w:r>
          </w:p>
        </w:tc>
        <w:tc>
          <w:tcPr>
            <w:tcW w:w="867" w:type="dxa"/>
            <w:noWrap/>
            <w:vAlign w:val="center"/>
            <w:hideMark/>
          </w:tcPr>
          <w:p w14:paraId="3C5A398E"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19.536</w:t>
            </w:r>
          </w:p>
        </w:tc>
        <w:tc>
          <w:tcPr>
            <w:tcW w:w="767" w:type="dxa"/>
            <w:noWrap/>
            <w:vAlign w:val="center"/>
            <w:hideMark/>
          </w:tcPr>
          <w:p w14:paraId="6C5EE301"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23.316</w:t>
            </w:r>
          </w:p>
        </w:tc>
        <w:tc>
          <w:tcPr>
            <w:tcW w:w="867" w:type="dxa"/>
            <w:noWrap/>
            <w:vAlign w:val="center"/>
            <w:hideMark/>
          </w:tcPr>
          <w:p w14:paraId="0F379613"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20.882</w:t>
            </w:r>
          </w:p>
        </w:tc>
        <w:tc>
          <w:tcPr>
            <w:tcW w:w="767" w:type="dxa"/>
            <w:noWrap/>
            <w:vAlign w:val="center"/>
            <w:hideMark/>
          </w:tcPr>
          <w:p w14:paraId="6285225A"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14.137</w:t>
            </w:r>
          </w:p>
        </w:tc>
        <w:tc>
          <w:tcPr>
            <w:tcW w:w="767" w:type="dxa"/>
            <w:noWrap/>
            <w:vAlign w:val="center"/>
            <w:hideMark/>
          </w:tcPr>
          <w:p w14:paraId="2883D387"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7.513</w:t>
            </w:r>
          </w:p>
        </w:tc>
      </w:tr>
      <w:tr w:rsidR="001E6A32" w:rsidRPr="00155028" w14:paraId="79EAB06B" w14:textId="77777777" w:rsidTr="003C239F">
        <w:trPr>
          <w:trHeight w:val="301"/>
        </w:trPr>
        <w:tc>
          <w:tcPr>
            <w:tcW w:w="2978" w:type="dxa"/>
            <w:hideMark/>
          </w:tcPr>
          <w:p w14:paraId="6C397861" w14:textId="52B4CEEE" w:rsidR="001E6A32" w:rsidRPr="00155028" w:rsidRDefault="001E6A32" w:rsidP="001E6A32">
            <w:pPr>
              <w:keepNext/>
              <w:keepLines/>
              <w:rPr>
                <w:rFonts w:eastAsia="Times New Roman"/>
                <w:sz w:val="20"/>
                <w:lang w:eastAsia="sl-SI"/>
              </w:rPr>
            </w:pPr>
            <w:r w:rsidRPr="00155028">
              <w:rPr>
                <w:rFonts w:eastAsia="Times New Roman"/>
                <w:sz w:val="20"/>
                <w:lang w:eastAsia="sl-SI"/>
              </w:rPr>
              <w:t>Priprava in predelava sadja, vrtnin, žitaric, jedilnih olj, kak</w:t>
            </w:r>
            <w:r w:rsidR="004C770E">
              <w:rPr>
                <w:rFonts w:eastAsia="Times New Roman"/>
                <w:sz w:val="20"/>
                <w:lang w:eastAsia="sl-SI"/>
              </w:rPr>
              <w:t>a</w:t>
            </w:r>
            <w:r w:rsidRPr="00155028">
              <w:rPr>
                <w:rFonts w:eastAsia="Times New Roman"/>
                <w:sz w:val="20"/>
                <w:lang w:eastAsia="sl-SI"/>
              </w:rPr>
              <w:t>va, kave, čaja in tobaka; konzerviranja; proizvodnje kvasa in kvasnega ekstrakta, priprave in fermentacije melase</w:t>
            </w:r>
          </w:p>
        </w:tc>
        <w:tc>
          <w:tcPr>
            <w:tcW w:w="1293" w:type="dxa"/>
            <w:vAlign w:val="center"/>
            <w:hideMark/>
          </w:tcPr>
          <w:p w14:paraId="73CC04F7" w14:textId="77777777" w:rsidR="001E6A32" w:rsidRPr="00155028" w:rsidRDefault="001E6A32" w:rsidP="003C239F">
            <w:pPr>
              <w:keepNext/>
              <w:keepLines/>
              <w:jc w:val="right"/>
              <w:rPr>
                <w:rFonts w:eastAsia="Times New Roman"/>
                <w:sz w:val="20"/>
                <w:lang w:eastAsia="sl-SI"/>
              </w:rPr>
            </w:pPr>
            <w:r w:rsidRPr="00155028">
              <w:rPr>
                <w:rFonts w:eastAsia="Times New Roman"/>
                <w:sz w:val="20"/>
                <w:lang w:eastAsia="sl-SI"/>
              </w:rPr>
              <w:t>02 03</w:t>
            </w:r>
          </w:p>
        </w:tc>
        <w:tc>
          <w:tcPr>
            <w:tcW w:w="766" w:type="dxa"/>
            <w:noWrap/>
            <w:vAlign w:val="center"/>
            <w:hideMark/>
          </w:tcPr>
          <w:p w14:paraId="74E76EF0" w14:textId="77777777" w:rsidR="001E6A32" w:rsidRPr="00155028" w:rsidRDefault="001E6A32" w:rsidP="00AD420D">
            <w:pPr>
              <w:keepNext/>
              <w:keepLines/>
              <w:jc w:val="right"/>
              <w:rPr>
                <w:rFonts w:eastAsia="Times New Roman"/>
                <w:sz w:val="20"/>
                <w:lang w:eastAsia="sl-SI"/>
              </w:rPr>
            </w:pPr>
            <w:r w:rsidRPr="00155028">
              <w:rPr>
                <w:rFonts w:eastAsia="Times New Roman"/>
                <w:sz w:val="20"/>
                <w:lang w:eastAsia="sl-SI"/>
              </w:rPr>
              <w:t>1.483</w:t>
            </w:r>
          </w:p>
        </w:tc>
        <w:tc>
          <w:tcPr>
            <w:tcW w:w="867" w:type="dxa"/>
            <w:noWrap/>
            <w:vAlign w:val="center"/>
            <w:hideMark/>
          </w:tcPr>
          <w:p w14:paraId="6D97ED16"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2.037</w:t>
            </w:r>
          </w:p>
        </w:tc>
        <w:tc>
          <w:tcPr>
            <w:tcW w:w="767" w:type="dxa"/>
            <w:noWrap/>
            <w:vAlign w:val="center"/>
            <w:hideMark/>
          </w:tcPr>
          <w:p w14:paraId="786F6797"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1.665</w:t>
            </w:r>
          </w:p>
        </w:tc>
        <w:tc>
          <w:tcPr>
            <w:tcW w:w="867" w:type="dxa"/>
            <w:noWrap/>
            <w:vAlign w:val="center"/>
            <w:hideMark/>
          </w:tcPr>
          <w:p w14:paraId="64E5FCC5"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4.082</w:t>
            </w:r>
          </w:p>
        </w:tc>
        <w:tc>
          <w:tcPr>
            <w:tcW w:w="767" w:type="dxa"/>
            <w:noWrap/>
            <w:vAlign w:val="center"/>
            <w:hideMark/>
          </w:tcPr>
          <w:p w14:paraId="661F0794"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2.591</w:t>
            </w:r>
          </w:p>
        </w:tc>
        <w:tc>
          <w:tcPr>
            <w:tcW w:w="767" w:type="dxa"/>
            <w:noWrap/>
            <w:vAlign w:val="center"/>
            <w:hideMark/>
          </w:tcPr>
          <w:p w14:paraId="4F7295D3"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2.507</w:t>
            </w:r>
          </w:p>
        </w:tc>
      </w:tr>
      <w:tr w:rsidR="001E6A32" w:rsidRPr="00155028" w14:paraId="2278406B" w14:textId="77777777" w:rsidTr="003C239F">
        <w:trPr>
          <w:trHeight w:val="301"/>
        </w:trPr>
        <w:tc>
          <w:tcPr>
            <w:tcW w:w="2978" w:type="dxa"/>
            <w:hideMark/>
          </w:tcPr>
          <w:p w14:paraId="3B7EE0DF" w14:textId="77777777" w:rsidR="001E6A32" w:rsidRPr="00155028" w:rsidRDefault="001E6A32" w:rsidP="001E6A32">
            <w:pPr>
              <w:keepNext/>
              <w:keepLines/>
              <w:rPr>
                <w:rFonts w:eastAsia="Times New Roman"/>
                <w:sz w:val="20"/>
                <w:lang w:eastAsia="sl-SI"/>
              </w:rPr>
            </w:pPr>
            <w:r w:rsidRPr="00155028">
              <w:rPr>
                <w:rFonts w:eastAsia="Times New Roman"/>
                <w:sz w:val="20"/>
                <w:lang w:eastAsia="sl-SI"/>
              </w:rPr>
              <w:t>Proizvodnja sladkorja</w:t>
            </w:r>
          </w:p>
        </w:tc>
        <w:tc>
          <w:tcPr>
            <w:tcW w:w="1293" w:type="dxa"/>
            <w:vAlign w:val="center"/>
            <w:hideMark/>
          </w:tcPr>
          <w:p w14:paraId="0D85A95A" w14:textId="77777777" w:rsidR="001E6A32" w:rsidRPr="00155028" w:rsidRDefault="001E6A32" w:rsidP="003C239F">
            <w:pPr>
              <w:keepNext/>
              <w:keepLines/>
              <w:jc w:val="right"/>
              <w:rPr>
                <w:rFonts w:eastAsia="Times New Roman"/>
                <w:sz w:val="20"/>
                <w:lang w:eastAsia="sl-SI"/>
              </w:rPr>
            </w:pPr>
            <w:r w:rsidRPr="00155028">
              <w:rPr>
                <w:rFonts w:eastAsia="Times New Roman"/>
                <w:sz w:val="20"/>
                <w:lang w:eastAsia="sl-SI"/>
              </w:rPr>
              <w:t>02 04</w:t>
            </w:r>
          </w:p>
        </w:tc>
        <w:tc>
          <w:tcPr>
            <w:tcW w:w="766" w:type="dxa"/>
            <w:noWrap/>
            <w:vAlign w:val="center"/>
            <w:hideMark/>
          </w:tcPr>
          <w:p w14:paraId="5BBE891B" w14:textId="77777777" w:rsidR="001E6A32" w:rsidRPr="00155028" w:rsidRDefault="001E6A32" w:rsidP="00AD420D">
            <w:pPr>
              <w:keepNext/>
              <w:keepLines/>
              <w:jc w:val="right"/>
              <w:rPr>
                <w:rFonts w:eastAsia="Times New Roman"/>
                <w:sz w:val="20"/>
                <w:lang w:eastAsia="sl-SI"/>
              </w:rPr>
            </w:pPr>
            <w:r w:rsidRPr="00155028">
              <w:rPr>
                <w:rFonts w:eastAsia="Times New Roman"/>
                <w:sz w:val="20"/>
                <w:lang w:eastAsia="sl-SI"/>
              </w:rPr>
              <w:t>0</w:t>
            </w:r>
          </w:p>
        </w:tc>
        <w:tc>
          <w:tcPr>
            <w:tcW w:w="867" w:type="dxa"/>
            <w:noWrap/>
            <w:vAlign w:val="center"/>
            <w:hideMark/>
          </w:tcPr>
          <w:p w14:paraId="379EBF7B"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185</w:t>
            </w:r>
          </w:p>
        </w:tc>
        <w:tc>
          <w:tcPr>
            <w:tcW w:w="767" w:type="dxa"/>
            <w:noWrap/>
            <w:vAlign w:val="center"/>
            <w:hideMark/>
          </w:tcPr>
          <w:p w14:paraId="60249006"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0</w:t>
            </w:r>
          </w:p>
        </w:tc>
        <w:tc>
          <w:tcPr>
            <w:tcW w:w="867" w:type="dxa"/>
            <w:noWrap/>
            <w:vAlign w:val="center"/>
            <w:hideMark/>
          </w:tcPr>
          <w:p w14:paraId="75B614D0"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534</w:t>
            </w:r>
          </w:p>
        </w:tc>
        <w:tc>
          <w:tcPr>
            <w:tcW w:w="767" w:type="dxa"/>
            <w:noWrap/>
            <w:vAlign w:val="center"/>
            <w:hideMark/>
          </w:tcPr>
          <w:p w14:paraId="65495936"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0</w:t>
            </w:r>
          </w:p>
        </w:tc>
        <w:tc>
          <w:tcPr>
            <w:tcW w:w="767" w:type="dxa"/>
            <w:noWrap/>
            <w:vAlign w:val="center"/>
            <w:hideMark/>
          </w:tcPr>
          <w:p w14:paraId="49F04AF4"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0</w:t>
            </w:r>
          </w:p>
        </w:tc>
      </w:tr>
      <w:tr w:rsidR="001E6A32" w:rsidRPr="00155028" w14:paraId="6B921C31" w14:textId="77777777" w:rsidTr="003C239F">
        <w:trPr>
          <w:trHeight w:val="301"/>
        </w:trPr>
        <w:tc>
          <w:tcPr>
            <w:tcW w:w="2978" w:type="dxa"/>
            <w:hideMark/>
          </w:tcPr>
          <w:p w14:paraId="7A4C112C" w14:textId="77777777" w:rsidR="001E6A32" w:rsidRPr="00155028" w:rsidRDefault="001E6A32" w:rsidP="001E6A32">
            <w:pPr>
              <w:keepNext/>
              <w:keepLines/>
              <w:rPr>
                <w:rFonts w:eastAsia="Times New Roman"/>
                <w:sz w:val="20"/>
                <w:lang w:eastAsia="sl-SI"/>
              </w:rPr>
            </w:pPr>
            <w:r w:rsidRPr="00155028">
              <w:rPr>
                <w:rFonts w:eastAsia="Times New Roman"/>
                <w:sz w:val="20"/>
                <w:lang w:eastAsia="sl-SI"/>
              </w:rPr>
              <w:t>Proizvodnja mlečnih izdelkov</w:t>
            </w:r>
          </w:p>
        </w:tc>
        <w:tc>
          <w:tcPr>
            <w:tcW w:w="1293" w:type="dxa"/>
            <w:vAlign w:val="center"/>
            <w:hideMark/>
          </w:tcPr>
          <w:p w14:paraId="533BD00D" w14:textId="77777777" w:rsidR="001E6A32" w:rsidRPr="00155028" w:rsidRDefault="001E6A32" w:rsidP="003C239F">
            <w:pPr>
              <w:keepNext/>
              <w:keepLines/>
              <w:jc w:val="right"/>
              <w:rPr>
                <w:rFonts w:eastAsia="Times New Roman"/>
                <w:sz w:val="20"/>
                <w:lang w:eastAsia="sl-SI"/>
              </w:rPr>
            </w:pPr>
            <w:r w:rsidRPr="00155028">
              <w:rPr>
                <w:rFonts w:eastAsia="Times New Roman"/>
                <w:sz w:val="20"/>
                <w:lang w:eastAsia="sl-SI"/>
              </w:rPr>
              <w:t>02 05</w:t>
            </w:r>
          </w:p>
        </w:tc>
        <w:tc>
          <w:tcPr>
            <w:tcW w:w="766" w:type="dxa"/>
            <w:noWrap/>
            <w:vAlign w:val="center"/>
            <w:hideMark/>
          </w:tcPr>
          <w:p w14:paraId="38A9615C" w14:textId="77777777" w:rsidR="001E6A32" w:rsidRPr="00155028" w:rsidRDefault="001E6A32" w:rsidP="00AD420D">
            <w:pPr>
              <w:keepNext/>
              <w:keepLines/>
              <w:jc w:val="right"/>
              <w:rPr>
                <w:rFonts w:eastAsia="Times New Roman"/>
                <w:sz w:val="20"/>
                <w:lang w:eastAsia="sl-SI"/>
              </w:rPr>
            </w:pPr>
            <w:r w:rsidRPr="00155028">
              <w:rPr>
                <w:rFonts w:eastAsia="Times New Roman"/>
                <w:sz w:val="20"/>
                <w:lang w:eastAsia="sl-SI"/>
              </w:rPr>
              <w:t>1.870</w:t>
            </w:r>
          </w:p>
        </w:tc>
        <w:tc>
          <w:tcPr>
            <w:tcW w:w="867" w:type="dxa"/>
            <w:noWrap/>
            <w:vAlign w:val="center"/>
            <w:hideMark/>
          </w:tcPr>
          <w:p w14:paraId="5508C9B5"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1.610</w:t>
            </w:r>
          </w:p>
        </w:tc>
        <w:tc>
          <w:tcPr>
            <w:tcW w:w="767" w:type="dxa"/>
            <w:noWrap/>
            <w:vAlign w:val="center"/>
            <w:hideMark/>
          </w:tcPr>
          <w:p w14:paraId="4D2F02F0"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1.698</w:t>
            </w:r>
          </w:p>
        </w:tc>
        <w:tc>
          <w:tcPr>
            <w:tcW w:w="867" w:type="dxa"/>
            <w:noWrap/>
            <w:vAlign w:val="center"/>
            <w:hideMark/>
          </w:tcPr>
          <w:p w14:paraId="1F909764"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1.924</w:t>
            </w:r>
          </w:p>
        </w:tc>
        <w:tc>
          <w:tcPr>
            <w:tcW w:w="767" w:type="dxa"/>
            <w:noWrap/>
            <w:vAlign w:val="center"/>
            <w:hideMark/>
          </w:tcPr>
          <w:p w14:paraId="090CA7E1"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3.791</w:t>
            </w:r>
          </w:p>
        </w:tc>
        <w:tc>
          <w:tcPr>
            <w:tcW w:w="767" w:type="dxa"/>
            <w:noWrap/>
            <w:vAlign w:val="center"/>
            <w:hideMark/>
          </w:tcPr>
          <w:p w14:paraId="45912054"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5.310</w:t>
            </w:r>
          </w:p>
        </w:tc>
      </w:tr>
      <w:tr w:rsidR="001E6A32" w:rsidRPr="00155028" w14:paraId="4AF78C39" w14:textId="77777777" w:rsidTr="003C239F">
        <w:trPr>
          <w:trHeight w:val="301"/>
        </w:trPr>
        <w:tc>
          <w:tcPr>
            <w:tcW w:w="2978" w:type="dxa"/>
            <w:hideMark/>
          </w:tcPr>
          <w:p w14:paraId="5F50704C" w14:textId="77777777" w:rsidR="001E6A32" w:rsidRPr="00155028" w:rsidRDefault="001E6A32" w:rsidP="001E6A32">
            <w:pPr>
              <w:keepNext/>
              <w:keepLines/>
              <w:rPr>
                <w:rFonts w:eastAsia="Times New Roman"/>
                <w:sz w:val="20"/>
                <w:lang w:eastAsia="sl-SI"/>
              </w:rPr>
            </w:pPr>
            <w:r w:rsidRPr="00155028">
              <w:rPr>
                <w:rFonts w:eastAsia="Times New Roman"/>
                <w:sz w:val="20"/>
                <w:lang w:eastAsia="sl-SI"/>
              </w:rPr>
              <w:t>Pekarne in slaščičarne</w:t>
            </w:r>
          </w:p>
        </w:tc>
        <w:tc>
          <w:tcPr>
            <w:tcW w:w="1293" w:type="dxa"/>
            <w:vAlign w:val="center"/>
            <w:hideMark/>
          </w:tcPr>
          <w:p w14:paraId="2BF0EE0D" w14:textId="77777777" w:rsidR="001E6A32" w:rsidRPr="00155028" w:rsidRDefault="001E6A32" w:rsidP="003C239F">
            <w:pPr>
              <w:keepNext/>
              <w:keepLines/>
              <w:jc w:val="right"/>
              <w:rPr>
                <w:rFonts w:eastAsia="Times New Roman"/>
                <w:sz w:val="20"/>
                <w:lang w:eastAsia="sl-SI"/>
              </w:rPr>
            </w:pPr>
            <w:r w:rsidRPr="00155028">
              <w:rPr>
                <w:rFonts w:eastAsia="Times New Roman"/>
                <w:sz w:val="20"/>
                <w:lang w:eastAsia="sl-SI"/>
              </w:rPr>
              <w:t>02 06</w:t>
            </w:r>
          </w:p>
        </w:tc>
        <w:tc>
          <w:tcPr>
            <w:tcW w:w="766" w:type="dxa"/>
            <w:noWrap/>
            <w:vAlign w:val="center"/>
            <w:hideMark/>
          </w:tcPr>
          <w:p w14:paraId="54E9256A" w14:textId="77777777" w:rsidR="001E6A32" w:rsidRPr="00155028" w:rsidRDefault="001E6A32" w:rsidP="00AD420D">
            <w:pPr>
              <w:keepNext/>
              <w:keepLines/>
              <w:jc w:val="right"/>
              <w:rPr>
                <w:rFonts w:eastAsia="Times New Roman"/>
                <w:sz w:val="20"/>
                <w:lang w:eastAsia="sl-SI"/>
              </w:rPr>
            </w:pPr>
            <w:r w:rsidRPr="00155028">
              <w:rPr>
                <w:rFonts w:eastAsia="Times New Roman"/>
                <w:sz w:val="20"/>
                <w:lang w:eastAsia="sl-SI"/>
              </w:rPr>
              <w:t>1.392</w:t>
            </w:r>
          </w:p>
        </w:tc>
        <w:tc>
          <w:tcPr>
            <w:tcW w:w="867" w:type="dxa"/>
            <w:noWrap/>
            <w:vAlign w:val="center"/>
            <w:hideMark/>
          </w:tcPr>
          <w:p w14:paraId="0F4D324C"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1.557</w:t>
            </w:r>
          </w:p>
        </w:tc>
        <w:tc>
          <w:tcPr>
            <w:tcW w:w="767" w:type="dxa"/>
            <w:noWrap/>
            <w:vAlign w:val="center"/>
            <w:hideMark/>
          </w:tcPr>
          <w:p w14:paraId="1F8F3878"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1.825</w:t>
            </w:r>
          </w:p>
        </w:tc>
        <w:tc>
          <w:tcPr>
            <w:tcW w:w="867" w:type="dxa"/>
            <w:noWrap/>
            <w:vAlign w:val="center"/>
            <w:hideMark/>
          </w:tcPr>
          <w:p w14:paraId="54762989"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2.562</w:t>
            </w:r>
          </w:p>
        </w:tc>
        <w:tc>
          <w:tcPr>
            <w:tcW w:w="767" w:type="dxa"/>
            <w:noWrap/>
            <w:vAlign w:val="center"/>
            <w:hideMark/>
          </w:tcPr>
          <w:p w14:paraId="542453B8"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1.715</w:t>
            </w:r>
          </w:p>
        </w:tc>
        <w:tc>
          <w:tcPr>
            <w:tcW w:w="767" w:type="dxa"/>
            <w:noWrap/>
            <w:vAlign w:val="center"/>
            <w:hideMark/>
          </w:tcPr>
          <w:p w14:paraId="10ACA9B7"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2.063</w:t>
            </w:r>
          </w:p>
        </w:tc>
      </w:tr>
      <w:tr w:rsidR="001E6A32" w:rsidRPr="00155028" w14:paraId="54C7829F" w14:textId="77777777" w:rsidTr="003C239F">
        <w:trPr>
          <w:trHeight w:val="301"/>
        </w:trPr>
        <w:tc>
          <w:tcPr>
            <w:tcW w:w="2978" w:type="dxa"/>
            <w:hideMark/>
          </w:tcPr>
          <w:p w14:paraId="15CB5022" w14:textId="77777777" w:rsidR="001E6A32" w:rsidRPr="00155028" w:rsidRDefault="001E6A32" w:rsidP="001E6A32">
            <w:pPr>
              <w:keepNext/>
              <w:keepLines/>
              <w:rPr>
                <w:rFonts w:eastAsia="Times New Roman"/>
                <w:sz w:val="20"/>
                <w:lang w:eastAsia="sl-SI"/>
              </w:rPr>
            </w:pPr>
            <w:r w:rsidRPr="00155028">
              <w:rPr>
                <w:rFonts w:eastAsia="Times New Roman"/>
                <w:sz w:val="20"/>
                <w:lang w:eastAsia="sl-SI"/>
              </w:rPr>
              <w:t>Proizvodnja alkoholnih in brezalkoholnih pijač (razen kave, čaja in kakava)</w:t>
            </w:r>
          </w:p>
        </w:tc>
        <w:tc>
          <w:tcPr>
            <w:tcW w:w="1293" w:type="dxa"/>
            <w:vAlign w:val="center"/>
            <w:hideMark/>
          </w:tcPr>
          <w:p w14:paraId="33CDF1A2" w14:textId="77777777" w:rsidR="001E6A32" w:rsidRPr="00155028" w:rsidRDefault="001E6A32" w:rsidP="003C239F">
            <w:pPr>
              <w:keepNext/>
              <w:keepLines/>
              <w:jc w:val="right"/>
              <w:rPr>
                <w:rFonts w:eastAsia="Times New Roman"/>
                <w:sz w:val="20"/>
                <w:lang w:eastAsia="sl-SI"/>
              </w:rPr>
            </w:pPr>
            <w:r w:rsidRPr="00155028">
              <w:rPr>
                <w:rFonts w:eastAsia="Times New Roman"/>
                <w:sz w:val="20"/>
                <w:lang w:eastAsia="sl-SI"/>
              </w:rPr>
              <w:t>02 07</w:t>
            </w:r>
          </w:p>
        </w:tc>
        <w:tc>
          <w:tcPr>
            <w:tcW w:w="766" w:type="dxa"/>
            <w:noWrap/>
            <w:vAlign w:val="center"/>
            <w:hideMark/>
          </w:tcPr>
          <w:p w14:paraId="7EBBA00D" w14:textId="77777777" w:rsidR="001E6A32" w:rsidRPr="00155028" w:rsidRDefault="001E6A32" w:rsidP="00AD420D">
            <w:pPr>
              <w:keepNext/>
              <w:keepLines/>
              <w:jc w:val="right"/>
              <w:rPr>
                <w:rFonts w:eastAsia="Times New Roman"/>
                <w:sz w:val="20"/>
                <w:lang w:eastAsia="sl-SI"/>
              </w:rPr>
            </w:pPr>
            <w:r w:rsidRPr="00155028">
              <w:rPr>
                <w:rFonts w:eastAsia="Times New Roman"/>
                <w:sz w:val="20"/>
                <w:lang w:eastAsia="sl-SI"/>
              </w:rPr>
              <w:t>1.689</w:t>
            </w:r>
          </w:p>
        </w:tc>
        <w:tc>
          <w:tcPr>
            <w:tcW w:w="867" w:type="dxa"/>
            <w:noWrap/>
            <w:vAlign w:val="center"/>
            <w:hideMark/>
          </w:tcPr>
          <w:p w14:paraId="7EF80882"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2.801</w:t>
            </w:r>
          </w:p>
        </w:tc>
        <w:tc>
          <w:tcPr>
            <w:tcW w:w="767" w:type="dxa"/>
            <w:noWrap/>
            <w:vAlign w:val="center"/>
            <w:hideMark/>
          </w:tcPr>
          <w:p w14:paraId="0C6B51C0"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2.583</w:t>
            </w:r>
          </w:p>
        </w:tc>
        <w:tc>
          <w:tcPr>
            <w:tcW w:w="867" w:type="dxa"/>
            <w:noWrap/>
            <w:vAlign w:val="center"/>
            <w:hideMark/>
          </w:tcPr>
          <w:p w14:paraId="0C2BE33B"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2.127</w:t>
            </w:r>
          </w:p>
        </w:tc>
        <w:tc>
          <w:tcPr>
            <w:tcW w:w="767" w:type="dxa"/>
            <w:noWrap/>
            <w:vAlign w:val="center"/>
            <w:hideMark/>
          </w:tcPr>
          <w:p w14:paraId="0AB915EB"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1.823</w:t>
            </w:r>
          </w:p>
        </w:tc>
        <w:tc>
          <w:tcPr>
            <w:tcW w:w="767" w:type="dxa"/>
            <w:noWrap/>
            <w:vAlign w:val="center"/>
            <w:hideMark/>
          </w:tcPr>
          <w:p w14:paraId="798A96C8"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4.126</w:t>
            </w:r>
          </w:p>
        </w:tc>
      </w:tr>
      <w:tr w:rsidR="001E6A32" w:rsidRPr="00155028" w14:paraId="3C5664BD" w14:textId="77777777" w:rsidTr="003C239F">
        <w:trPr>
          <w:trHeight w:val="301"/>
        </w:trPr>
        <w:tc>
          <w:tcPr>
            <w:tcW w:w="2978" w:type="dxa"/>
            <w:hideMark/>
          </w:tcPr>
          <w:p w14:paraId="04EAF34B" w14:textId="77777777" w:rsidR="001E6A32" w:rsidRPr="00155028" w:rsidRDefault="001E6A32" w:rsidP="001E6A32">
            <w:pPr>
              <w:keepNext/>
              <w:keepLines/>
              <w:rPr>
                <w:rFonts w:eastAsia="Times New Roman"/>
                <w:sz w:val="20"/>
                <w:lang w:eastAsia="sl-SI"/>
              </w:rPr>
            </w:pPr>
            <w:r w:rsidRPr="00155028">
              <w:rPr>
                <w:rFonts w:eastAsia="Times New Roman"/>
                <w:sz w:val="20"/>
                <w:lang w:eastAsia="sl-SI"/>
              </w:rPr>
              <w:t>Povezani komunalni odpadki</w:t>
            </w:r>
          </w:p>
        </w:tc>
        <w:tc>
          <w:tcPr>
            <w:tcW w:w="1293" w:type="dxa"/>
            <w:vAlign w:val="center"/>
            <w:hideMark/>
          </w:tcPr>
          <w:p w14:paraId="44843C71" w14:textId="5CB48E06" w:rsidR="001E6A32" w:rsidRPr="00155028" w:rsidRDefault="001E6A32" w:rsidP="003C239F">
            <w:pPr>
              <w:keepNext/>
              <w:keepLines/>
              <w:jc w:val="right"/>
              <w:rPr>
                <w:rFonts w:eastAsia="Times New Roman"/>
                <w:sz w:val="20"/>
                <w:lang w:eastAsia="sl-SI"/>
              </w:rPr>
            </w:pPr>
            <w:r w:rsidRPr="00155028">
              <w:rPr>
                <w:rFonts w:eastAsia="Times New Roman"/>
                <w:sz w:val="20"/>
                <w:lang w:eastAsia="sl-SI"/>
              </w:rPr>
              <w:t xml:space="preserve">20 </w:t>
            </w:r>
            <w:r w:rsidR="00C76DA8" w:rsidRPr="00155028">
              <w:rPr>
                <w:rFonts w:eastAsia="Times New Roman"/>
                <w:sz w:val="20"/>
                <w:lang w:eastAsia="sl-SI"/>
              </w:rPr>
              <w:t>–</w:t>
            </w:r>
            <w:r w:rsidRPr="00155028">
              <w:rPr>
                <w:rFonts w:eastAsia="Times New Roman"/>
                <w:sz w:val="20"/>
                <w:lang w:eastAsia="sl-SI"/>
              </w:rPr>
              <w:t xml:space="preserve"> izbrano</w:t>
            </w:r>
          </w:p>
        </w:tc>
        <w:tc>
          <w:tcPr>
            <w:tcW w:w="766" w:type="dxa"/>
            <w:noWrap/>
            <w:vAlign w:val="center"/>
            <w:hideMark/>
          </w:tcPr>
          <w:p w14:paraId="200F9DBC" w14:textId="77777777" w:rsidR="001E6A32" w:rsidRPr="00155028" w:rsidRDefault="001E6A32" w:rsidP="00AD420D">
            <w:pPr>
              <w:keepNext/>
              <w:keepLines/>
              <w:jc w:val="right"/>
              <w:rPr>
                <w:rFonts w:eastAsia="Times New Roman"/>
                <w:sz w:val="20"/>
                <w:lang w:eastAsia="sl-SI"/>
              </w:rPr>
            </w:pPr>
            <w:r w:rsidRPr="00155028">
              <w:rPr>
                <w:rFonts w:eastAsia="Times New Roman"/>
                <w:sz w:val="20"/>
                <w:lang w:eastAsia="sl-SI"/>
              </w:rPr>
              <w:t>3.535</w:t>
            </w:r>
          </w:p>
        </w:tc>
        <w:tc>
          <w:tcPr>
            <w:tcW w:w="867" w:type="dxa"/>
            <w:noWrap/>
            <w:vAlign w:val="center"/>
            <w:hideMark/>
          </w:tcPr>
          <w:p w14:paraId="1222F13E"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2.787</w:t>
            </w:r>
          </w:p>
        </w:tc>
        <w:tc>
          <w:tcPr>
            <w:tcW w:w="767" w:type="dxa"/>
            <w:noWrap/>
            <w:vAlign w:val="center"/>
            <w:hideMark/>
          </w:tcPr>
          <w:p w14:paraId="618D96FC"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2.987</w:t>
            </w:r>
          </w:p>
        </w:tc>
        <w:tc>
          <w:tcPr>
            <w:tcW w:w="867" w:type="dxa"/>
            <w:noWrap/>
            <w:vAlign w:val="center"/>
            <w:hideMark/>
          </w:tcPr>
          <w:p w14:paraId="0FE63BFC"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6.684</w:t>
            </w:r>
          </w:p>
        </w:tc>
        <w:tc>
          <w:tcPr>
            <w:tcW w:w="767" w:type="dxa"/>
            <w:noWrap/>
            <w:vAlign w:val="center"/>
            <w:hideMark/>
          </w:tcPr>
          <w:p w14:paraId="0E97DE62"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2.391</w:t>
            </w:r>
          </w:p>
        </w:tc>
        <w:tc>
          <w:tcPr>
            <w:tcW w:w="767" w:type="dxa"/>
            <w:noWrap/>
            <w:vAlign w:val="center"/>
            <w:hideMark/>
          </w:tcPr>
          <w:p w14:paraId="733B130A" w14:textId="77777777" w:rsidR="001E6A32" w:rsidRPr="00155028" w:rsidRDefault="001E6A32">
            <w:pPr>
              <w:keepNext/>
              <w:keepLines/>
              <w:jc w:val="right"/>
              <w:rPr>
                <w:rFonts w:eastAsia="Times New Roman"/>
                <w:sz w:val="20"/>
                <w:lang w:eastAsia="sl-SI"/>
              </w:rPr>
            </w:pPr>
            <w:r w:rsidRPr="00155028">
              <w:rPr>
                <w:rFonts w:eastAsia="Times New Roman"/>
                <w:sz w:val="20"/>
                <w:lang w:eastAsia="sl-SI"/>
              </w:rPr>
              <w:t>2.983</w:t>
            </w:r>
          </w:p>
        </w:tc>
      </w:tr>
      <w:tr w:rsidR="001E6A32" w:rsidRPr="00155028" w14:paraId="4F6223A7" w14:textId="77777777" w:rsidTr="003C239F">
        <w:trPr>
          <w:trHeight w:val="301"/>
        </w:trPr>
        <w:tc>
          <w:tcPr>
            <w:tcW w:w="2978" w:type="dxa"/>
          </w:tcPr>
          <w:p w14:paraId="5963751C" w14:textId="77777777" w:rsidR="001E6A32" w:rsidRPr="00155028" w:rsidRDefault="001E6A32" w:rsidP="001E6A32">
            <w:pPr>
              <w:keepNext/>
              <w:keepLines/>
              <w:rPr>
                <w:rFonts w:eastAsia="Times New Roman"/>
                <w:b/>
                <w:sz w:val="20"/>
                <w:lang w:eastAsia="sl-SI"/>
              </w:rPr>
            </w:pPr>
            <w:r w:rsidRPr="00155028">
              <w:rPr>
                <w:rFonts w:eastAsia="Times New Roman"/>
                <w:b/>
                <w:sz w:val="20"/>
                <w:lang w:eastAsia="sl-SI"/>
              </w:rPr>
              <w:t>Skupaj</w:t>
            </w:r>
          </w:p>
        </w:tc>
        <w:tc>
          <w:tcPr>
            <w:tcW w:w="1293" w:type="dxa"/>
            <w:vAlign w:val="center"/>
          </w:tcPr>
          <w:p w14:paraId="579093D4" w14:textId="77777777" w:rsidR="001E6A32" w:rsidRPr="00155028" w:rsidRDefault="001E6A32" w:rsidP="003C239F">
            <w:pPr>
              <w:keepNext/>
              <w:keepLines/>
              <w:jc w:val="right"/>
              <w:rPr>
                <w:rFonts w:eastAsia="Times New Roman"/>
                <w:b/>
                <w:sz w:val="20"/>
                <w:lang w:eastAsia="sl-SI"/>
              </w:rPr>
            </w:pPr>
          </w:p>
        </w:tc>
        <w:tc>
          <w:tcPr>
            <w:tcW w:w="766" w:type="dxa"/>
            <w:noWrap/>
            <w:vAlign w:val="center"/>
          </w:tcPr>
          <w:p w14:paraId="608411FE" w14:textId="77777777" w:rsidR="001E6A32" w:rsidRPr="00155028" w:rsidRDefault="001E6A32" w:rsidP="003C239F">
            <w:pPr>
              <w:keepNext/>
              <w:keepLines/>
              <w:jc w:val="right"/>
              <w:rPr>
                <w:rFonts w:eastAsia="Times New Roman"/>
                <w:b/>
                <w:sz w:val="20"/>
                <w:lang w:eastAsia="sl-SI"/>
              </w:rPr>
            </w:pPr>
            <w:r w:rsidRPr="00155028">
              <w:rPr>
                <w:rFonts w:eastAsia="Times New Roman"/>
                <w:b/>
                <w:sz w:val="20"/>
                <w:lang w:eastAsia="sl-SI"/>
              </w:rPr>
              <w:t>85.234</w:t>
            </w:r>
          </w:p>
        </w:tc>
        <w:tc>
          <w:tcPr>
            <w:tcW w:w="867" w:type="dxa"/>
            <w:noWrap/>
            <w:vAlign w:val="center"/>
          </w:tcPr>
          <w:p w14:paraId="45B31F48" w14:textId="77777777" w:rsidR="001E6A32" w:rsidRPr="00155028" w:rsidRDefault="001E6A32" w:rsidP="003C239F">
            <w:pPr>
              <w:keepNext/>
              <w:keepLines/>
              <w:jc w:val="right"/>
              <w:rPr>
                <w:rFonts w:eastAsia="Times New Roman"/>
                <w:b/>
                <w:sz w:val="20"/>
                <w:lang w:eastAsia="sl-SI"/>
              </w:rPr>
            </w:pPr>
            <w:r w:rsidRPr="00155028">
              <w:rPr>
                <w:rFonts w:eastAsia="Times New Roman"/>
                <w:b/>
                <w:sz w:val="20"/>
                <w:lang w:eastAsia="sl-SI"/>
              </w:rPr>
              <w:t>115.741</w:t>
            </w:r>
          </w:p>
        </w:tc>
        <w:tc>
          <w:tcPr>
            <w:tcW w:w="767" w:type="dxa"/>
            <w:noWrap/>
            <w:vAlign w:val="center"/>
          </w:tcPr>
          <w:p w14:paraId="03C3D71D" w14:textId="77777777" w:rsidR="001E6A32" w:rsidRPr="00155028" w:rsidRDefault="001E6A32" w:rsidP="003C239F">
            <w:pPr>
              <w:keepNext/>
              <w:keepLines/>
              <w:jc w:val="right"/>
              <w:rPr>
                <w:rFonts w:eastAsia="Times New Roman"/>
                <w:b/>
                <w:sz w:val="20"/>
                <w:lang w:eastAsia="sl-SI"/>
              </w:rPr>
            </w:pPr>
            <w:r w:rsidRPr="00155028">
              <w:rPr>
                <w:rFonts w:eastAsia="Times New Roman"/>
                <w:b/>
                <w:sz w:val="20"/>
                <w:lang w:eastAsia="sl-SI"/>
              </w:rPr>
              <w:t>86.622</w:t>
            </w:r>
          </w:p>
        </w:tc>
        <w:tc>
          <w:tcPr>
            <w:tcW w:w="867" w:type="dxa"/>
            <w:noWrap/>
            <w:vAlign w:val="center"/>
          </w:tcPr>
          <w:p w14:paraId="0B2031BB" w14:textId="77777777" w:rsidR="001E6A32" w:rsidRPr="00155028" w:rsidRDefault="001E6A32" w:rsidP="003C239F">
            <w:pPr>
              <w:keepNext/>
              <w:keepLines/>
              <w:jc w:val="right"/>
              <w:rPr>
                <w:rFonts w:eastAsia="Times New Roman"/>
                <w:b/>
                <w:sz w:val="20"/>
                <w:lang w:eastAsia="sl-SI"/>
              </w:rPr>
            </w:pPr>
            <w:r w:rsidRPr="00155028">
              <w:rPr>
                <w:rFonts w:eastAsia="Times New Roman"/>
                <w:b/>
                <w:sz w:val="20"/>
                <w:lang w:eastAsia="sl-SI"/>
              </w:rPr>
              <w:t>105.867</w:t>
            </w:r>
          </w:p>
        </w:tc>
        <w:tc>
          <w:tcPr>
            <w:tcW w:w="767" w:type="dxa"/>
            <w:noWrap/>
            <w:vAlign w:val="center"/>
          </w:tcPr>
          <w:p w14:paraId="6D207D44" w14:textId="77777777" w:rsidR="001E6A32" w:rsidRPr="00155028" w:rsidRDefault="001E6A32" w:rsidP="003C239F">
            <w:pPr>
              <w:keepNext/>
              <w:keepLines/>
              <w:jc w:val="right"/>
              <w:rPr>
                <w:rFonts w:eastAsia="Times New Roman"/>
                <w:b/>
                <w:sz w:val="20"/>
                <w:lang w:eastAsia="sl-SI"/>
              </w:rPr>
            </w:pPr>
            <w:r w:rsidRPr="00155028">
              <w:rPr>
                <w:rFonts w:eastAsia="Times New Roman"/>
                <w:b/>
                <w:sz w:val="20"/>
                <w:lang w:eastAsia="sl-SI"/>
              </w:rPr>
              <w:t>81.937</w:t>
            </w:r>
          </w:p>
        </w:tc>
        <w:tc>
          <w:tcPr>
            <w:tcW w:w="767" w:type="dxa"/>
            <w:noWrap/>
            <w:vAlign w:val="center"/>
          </w:tcPr>
          <w:p w14:paraId="12728B99" w14:textId="77777777" w:rsidR="001E6A32" w:rsidRPr="00155028" w:rsidRDefault="001E6A32" w:rsidP="003C239F">
            <w:pPr>
              <w:keepNext/>
              <w:keepLines/>
              <w:jc w:val="right"/>
              <w:rPr>
                <w:rFonts w:eastAsia="Times New Roman"/>
                <w:b/>
                <w:sz w:val="20"/>
                <w:lang w:eastAsia="sl-SI"/>
              </w:rPr>
            </w:pPr>
            <w:r w:rsidRPr="00155028">
              <w:rPr>
                <w:rFonts w:eastAsia="Times New Roman"/>
                <w:b/>
                <w:sz w:val="20"/>
                <w:lang w:eastAsia="sl-SI"/>
              </w:rPr>
              <w:t>91.821</w:t>
            </w:r>
          </w:p>
        </w:tc>
      </w:tr>
    </w:tbl>
    <w:p w14:paraId="18CEDFC4" w14:textId="77777777" w:rsidR="007601E4" w:rsidRPr="00155028" w:rsidRDefault="001E6A32" w:rsidP="007601E4">
      <w:pPr>
        <w:keepNext/>
        <w:keepLines/>
        <w:spacing w:after="0"/>
        <w:rPr>
          <w:rFonts w:eastAsia="Times New Roman"/>
          <w:sz w:val="16"/>
          <w:szCs w:val="16"/>
          <w:lang w:eastAsia="sl-SI"/>
        </w:rPr>
      </w:pPr>
      <w:r w:rsidRPr="00155028">
        <w:rPr>
          <w:rFonts w:eastAsia="Times New Roman"/>
          <w:sz w:val="16"/>
          <w:szCs w:val="16"/>
          <w:lang w:eastAsia="sl-SI"/>
        </w:rPr>
        <w:t>Vir podatkov: Agencija Republike Slovenije za okolje, 01.02.2020</w:t>
      </w:r>
    </w:p>
    <w:p w14:paraId="7EEFA666" w14:textId="44D775CC" w:rsidR="001E6A32" w:rsidRPr="00155028" w:rsidRDefault="001E6A32" w:rsidP="007601E4">
      <w:pPr>
        <w:keepNext/>
        <w:keepLines/>
        <w:spacing w:after="0"/>
        <w:rPr>
          <w:rFonts w:eastAsia="Times New Roman"/>
          <w:sz w:val="16"/>
          <w:szCs w:val="16"/>
          <w:lang w:eastAsia="sl-SI"/>
        </w:rPr>
      </w:pPr>
      <w:r w:rsidRPr="00155028">
        <w:rPr>
          <w:rFonts w:eastAsia="Times New Roman"/>
          <w:sz w:val="16"/>
          <w:szCs w:val="16"/>
          <w:lang w:eastAsia="sl-SI"/>
        </w:rPr>
        <w:t>*Prikazana je skupna letna količina, vključno z zalogami</w:t>
      </w:r>
    </w:p>
    <w:p w14:paraId="19DEFCBC" w14:textId="21401711" w:rsidR="001E6A32" w:rsidRPr="00155028" w:rsidRDefault="001E6A32" w:rsidP="001E6A32">
      <w:pPr>
        <w:tabs>
          <w:tab w:val="left" w:pos="0"/>
        </w:tabs>
        <w:spacing w:before="120" w:after="0" w:line="240" w:lineRule="auto"/>
        <w:jc w:val="both"/>
        <w:rPr>
          <w:rFonts w:eastAsia="Times New Roman"/>
          <w:sz w:val="20"/>
          <w:lang w:eastAsia="en-GB"/>
        </w:rPr>
      </w:pPr>
      <w:r w:rsidRPr="00155028">
        <w:rPr>
          <w:rFonts w:eastAsia="Times New Roman"/>
          <w:sz w:val="20"/>
          <w:lang w:eastAsia="en-GB"/>
        </w:rPr>
        <w:t xml:space="preserve">Kljub rasti </w:t>
      </w:r>
      <w:r w:rsidRPr="00155028">
        <w:rPr>
          <w:rFonts w:eastAsia="Times New Roman" w:hint="eastAsia"/>
          <w:sz w:val="20"/>
          <w:lang w:eastAsia="en-GB"/>
        </w:rPr>
        <w:t>ž</w:t>
      </w:r>
      <w:r w:rsidRPr="00155028">
        <w:rPr>
          <w:rFonts w:eastAsia="Times New Roman"/>
          <w:sz w:val="20"/>
          <w:lang w:eastAsia="en-GB"/>
        </w:rPr>
        <w:t>ivilskopredelovalnega sektorja v tem obdobju se koli</w:t>
      </w:r>
      <w:r w:rsidRPr="00155028">
        <w:rPr>
          <w:rFonts w:eastAsia="Times New Roman" w:hint="eastAsia"/>
          <w:sz w:val="20"/>
          <w:lang w:eastAsia="en-GB"/>
        </w:rPr>
        <w:t>č</w:t>
      </w:r>
      <w:r w:rsidRPr="00155028">
        <w:rPr>
          <w:rFonts w:eastAsia="Times New Roman"/>
          <w:sz w:val="20"/>
          <w:lang w:eastAsia="en-GB"/>
        </w:rPr>
        <w:t>ina nastalih odpadkov zmanj</w:t>
      </w:r>
      <w:r w:rsidRPr="00155028">
        <w:rPr>
          <w:rFonts w:eastAsia="Times New Roman" w:hint="eastAsia"/>
          <w:sz w:val="20"/>
          <w:lang w:eastAsia="en-GB"/>
        </w:rPr>
        <w:t>š</w:t>
      </w:r>
      <w:r w:rsidRPr="00155028">
        <w:rPr>
          <w:rFonts w:eastAsia="Times New Roman"/>
          <w:sz w:val="20"/>
          <w:lang w:eastAsia="en-GB"/>
        </w:rPr>
        <w:t>uje. Podobno kot pri drugih sektorjih gre verjetno za zmanj</w:t>
      </w:r>
      <w:r w:rsidRPr="00155028">
        <w:rPr>
          <w:rFonts w:eastAsia="Times New Roman" w:hint="eastAsia"/>
          <w:sz w:val="20"/>
          <w:lang w:eastAsia="en-GB"/>
        </w:rPr>
        <w:t>š</w:t>
      </w:r>
      <w:r w:rsidRPr="00155028">
        <w:rPr>
          <w:rFonts w:eastAsia="Times New Roman"/>
          <w:sz w:val="20"/>
          <w:lang w:eastAsia="en-GB"/>
        </w:rPr>
        <w:t>evanje koli</w:t>
      </w:r>
      <w:r w:rsidRPr="00155028">
        <w:rPr>
          <w:rFonts w:eastAsia="Times New Roman" w:hint="eastAsia"/>
          <w:sz w:val="20"/>
          <w:lang w:eastAsia="en-GB"/>
        </w:rPr>
        <w:t>č</w:t>
      </w:r>
      <w:r w:rsidRPr="00155028">
        <w:rPr>
          <w:rFonts w:eastAsia="Times New Roman"/>
          <w:sz w:val="20"/>
          <w:lang w:eastAsia="en-GB"/>
        </w:rPr>
        <w:t>ine na ra</w:t>
      </w:r>
      <w:r w:rsidRPr="00155028">
        <w:rPr>
          <w:rFonts w:eastAsia="Times New Roman" w:hint="eastAsia"/>
          <w:sz w:val="20"/>
          <w:lang w:eastAsia="en-GB"/>
        </w:rPr>
        <w:t>č</w:t>
      </w:r>
      <w:r w:rsidRPr="00155028">
        <w:rPr>
          <w:rFonts w:eastAsia="Times New Roman"/>
          <w:sz w:val="20"/>
          <w:lang w:eastAsia="en-GB"/>
        </w:rPr>
        <w:t>un bolj</w:t>
      </w:r>
      <w:r w:rsidRPr="00155028">
        <w:rPr>
          <w:rFonts w:eastAsia="Times New Roman" w:hint="eastAsia"/>
          <w:sz w:val="20"/>
          <w:lang w:eastAsia="en-GB"/>
        </w:rPr>
        <w:t>š</w:t>
      </w:r>
      <w:r w:rsidRPr="00155028">
        <w:rPr>
          <w:rFonts w:eastAsia="Times New Roman"/>
          <w:sz w:val="20"/>
          <w:lang w:eastAsia="en-GB"/>
        </w:rPr>
        <w:t>e rabe resursov in pa predvsem na ra</w:t>
      </w:r>
      <w:r w:rsidRPr="00155028">
        <w:rPr>
          <w:rFonts w:eastAsia="Times New Roman" w:hint="eastAsia"/>
          <w:sz w:val="20"/>
          <w:lang w:eastAsia="en-GB"/>
        </w:rPr>
        <w:t>č</w:t>
      </w:r>
      <w:r w:rsidRPr="00155028">
        <w:rPr>
          <w:rFonts w:eastAsia="Times New Roman"/>
          <w:sz w:val="20"/>
          <w:lang w:eastAsia="en-GB"/>
        </w:rPr>
        <w:t>un alternativnih na</w:t>
      </w:r>
      <w:r w:rsidRPr="00155028">
        <w:rPr>
          <w:rFonts w:eastAsia="Times New Roman" w:hint="eastAsia"/>
          <w:sz w:val="20"/>
          <w:lang w:eastAsia="en-GB"/>
        </w:rPr>
        <w:t>č</w:t>
      </w:r>
      <w:r w:rsidRPr="00155028">
        <w:rPr>
          <w:rFonts w:eastAsia="Times New Roman"/>
          <w:sz w:val="20"/>
          <w:lang w:eastAsia="en-GB"/>
        </w:rPr>
        <w:t xml:space="preserve">inov uporabe ostankov. </w:t>
      </w:r>
      <w:r w:rsidR="00FB28FA" w:rsidRPr="00155028">
        <w:rPr>
          <w:rFonts w:eastAsia="Times New Roman"/>
          <w:sz w:val="20"/>
          <w:lang w:eastAsia="en-GB"/>
        </w:rPr>
        <w:t xml:space="preserve">Iz </w:t>
      </w:r>
      <w:r w:rsidR="00237DB1" w:rsidRPr="00155028">
        <w:rPr>
          <w:rFonts w:eastAsia="Times New Roman"/>
          <w:sz w:val="20"/>
          <w:lang w:eastAsia="en-GB"/>
        </w:rPr>
        <w:t>Tabel</w:t>
      </w:r>
      <w:r w:rsidR="00FB28FA" w:rsidRPr="00155028">
        <w:rPr>
          <w:rFonts w:eastAsia="Times New Roman"/>
          <w:sz w:val="20"/>
          <w:lang w:eastAsia="en-GB"/>
        </w:rPr>
        <w:t xml:space="preserve">e </w:t>
      </w:r>
      <w:r w:rsidR="00CF0FC8" w:rsidRPr="00155028">
        <w:rPr>
          <w:rFonts w:eastAsia="Times New Roman"/>
          <w:sz w:val="20"/>
          <w:lang w:eastAsia="en-GB"/>
        </w:rPr>
        <w:t>11</w:t>
      </w:r>
      <w:r w:rsidR="00FB28FA" w:rsidRPr="00155028">
        <w:rPr>
          <w:rFonts w:eastAsia="Times New Roman"/>
          <w:sz w:val="20"/>
          <w:lang w:eastAsia="en-GB"/>
        </w:rPr>
        <w:t xml:space="preserve"> je razvidno, da g</w:t>
      </w:r>
      <w:r w:rsidRPr="00155028">
        <w:rPr>
          <w:rFonts w:eastAsia="Times New Roman"/>
          <w:sz w:val="20"/>
          <w:lang w:eastAsia="en-GB"/>
        </w:rPr>
        <w:t xml:space="preserve">lavnino odpadkov prispeva kmetijski sektor, tretjino (okrog 30.000 ton letno) pa </w:t>
      </w:r>
      <w:r w:rsidRPr="00155028">
        <w:rPr>
          <w:rFonts w:eastAsia="Times New Roman" w:hint="eastAsia"/>
          <w:sz w:val="20"/>
          <w:lang w:eastAsia="en-GB"/>
        </w:rPr>
        <w:t>ž</w:t>
      </w:r>
      <w:r w:rsidRPr="00155028">
        <w:rPr>
          <w:rFonts w:eastAsia="Times New Roman"/>
          <w:sz w:val="20"/>
          <w:lang w:eastAsia="en-GB"/>
        </w:rPr>
        <w:t xml:space="preserve">ivilskopredelovalna industrija, kjer je poglavitni vir odpadkov proizvodnja </w:t>
      </w:r>
      <w:r w:rsidRPr="00155028">
        <w:rPr>
          <w:rFonts w:eastAsia="Times New Roman" w:hint="eastAsia"/>
          <w:sz w:val="20"/>
          <w:lang w:eastAsia="en-GB"/>
        </w:rPr>
        <w:t>ž</w:t>
      </w:r>
      <w:r w:rsidRPr="00155028">
        <w:rPr>
          <w:rFonts w:eastAsia="Times New Roman"/>
          <w:sz w:val="20"/>
          <w:lang w:eastAsia="en-GB"/>
        </w:rPr>
        <w:t xml:space="preserve">ivil </w:t>
      </w:r>
      <w:r w:rsidRPr="00155028">
        <w:rPr>
          <w:rFonts w:eastAsia="Times New Roman" w:hint="eastAsia"/>
          <w:sz w:val="20"/>
          <w:lang w:eastAsia="en-GB"/>
        </w:rPr>
        <w:t>ž</w:t>
      </w:r>
      <w:r w:rsidRPr="00155028">
        <w:rPr>
          <w:rFonts w:eastAsia="Times New Roman"/>
          <w:sz w:val="20"/>
          <w:lang w:eastAsia="en-GB"/>
        </w:rPr>
        <w:t>ivalskega izvora (31 %), proizvodnja mle</w:t>
      </w:r>
      <w:r w:rsidRPr="00155028">
        <w:rPr>
          <w:rFonts w:eastAsia="Times New Roman" w:hint="eastAsia"/>
          <w:sz w:val="20"/>
          <w:lang w:eastAsia="en-GB"/>
        </w:rPr>
        <w:t>č</w:t>
      </w:r>
      <w:r w:rsidRPr="00155028">
        <w:rPr>
          <w:rFonts w:eastAsia="Times New Roman"/>
          <w:sz w:val="20"/>
          <w:lang w:eastAsia="en-GB"/>
        </w:rPr>
        <w:t>nih izdelkov (22 %), proizvodnja alkoholnih in brezalkoholnih pija</w:t>
      </w:r>
      <w:r w:rsidRPr="00155028">
        <w:rPr>
          <w:rFonts w:eastAsia="Times New Roman" w:hint="eastAsia"/>
          <w:sz w:val="20"/>
          <w:lang w:eastAsia="en-GB"/>
        </w:rPr>
        <w:t>č</w:t>
      </w:r>
      <w:r w:rsidRPr="00155028">
        <w:rPr>
          <w:rFonts w:eastAsia="Times New Roman"/>
          <w:sz w:val="20"/>
          <w:lang w:eastAsia="en-GB"/>
        </w:rPr>
        <w:t xml:space="preserve"> (17 %), ter ostale dejavnosti ki vse prispevajo po okoli 10 %. Poglavitni na</w:t>
      </w:r>
      <w:r w:rsidRPr="00155028">
        <w:rPr>
          <w:rFonts w:eastAsia="Times New Roman" w:hint="eastAsia"/>
          <w:sz w:val="20"/>
          <w:lang w:eastAsia="en-GB"/>
        </w:rPr>
        <w:t>č</w:t>
      </w:r>
      <w:r w:rsidRPr="00155028">
        <w:rPr>
          <w:rFonts w:eastAsia="Times New Roman"/>
          <w:sz w:val="20"/>
          <w:lang w:eastAsia="en-GB"/>
        </w:rPr>
        <w:t xml:space="preserve">ini obdelave teh odpadkov so v letu 2018 bili recikliranje (80 %, od teh 76 % predelava v </w:t>
      </w:r>
      <w:proofErr w:type="spellStart"/>
      <w:r w:rsidRPr="00155028">
        <w:rPr>
          <w:rFonts w:eastAsia="Times New Roman"/>
          <w:sz w:val="20"/>
          <w:lang w:eastAsia="en-GB"/>
        </w:rPr>
        <w:t>bioplinarni</w:t>
      </w:r>
      <w:proofErr w:type="spellEnd"/>
      <w:r w:rsidRPr="00155028">
        <w:rPr>
          <w:rFonts w:eastAsia="Times New Roman"/>
          <w:sz w:val="20"/>
          <w:lang w:eastAsia="en-GB"/>
        </w:rPr>
        <w:t>), uporaba kot gorivo oziroma za pridobivanje energije (11 %, od teh 10 % za energetsko predelavo), 7,7 % v tem letu je bilo izmenjave oziroma skladi</w:t>
      </w:r>
      <w:r w:rsidRPr="00155028">
        <w:rPr>
          <w:rFonts w:eastAsia="Times New Roman" w:hint="eastAsia"/>
          <w:sz w:val="20"/>
          <w:lang w:eastAsia="en-GB"/>
        </w:rPr>
        <w:t>šč</w:t>
      </w:r>
      <w:r w:rsidRPr="00155028">
        <w:rPr>
          <w:rFonts w:eastAsia="Times New Roman"/>
          <w:sz w:val="20"/>
          <w:lang w:eastAsia="en-GB"/>
        </w:rPr>
        <w:t>enje odpadkov za predelavo (ostali na</w:t>
      </w:r>
      <w:r w:rsidRPr="00155028">
        <w:rPr>
          <w:rFonts w:eastAsia="Times New Roman" w:hint="eastAsia"/>
          <w:sz w:val="20"/>
          <w:lang w:eastAsia="en-GB"/>
        </w:rPr>
        <w:t>č</w:t>
      </w:r>
      <w:r w:rsidRPr="00155028">
        <w:rPr>
          <w:rFonts w:eastAsia="Times New Roman"/>
          <w:sz w:val="20"/>
          <w:lang w:eastAsia="en-GB"/>
        </w:rPr>
        <w:t>ini obdelave pod 1 %).</w:t>
      </w:r>
    </w:p>
    <w:p w14:paraId="1A928A92" w14:textId="77777777" w:rsidR="001E6A32" w:rsidRPr="00155028" w:rsidRDefault="001E6A32" w:rsidP="001E6A32">
      <w:pPr>
        <w:tabs>
          <w:tab w:val="left" w:pos="0"/>
        </w:tabs>
        <w:spacing w:before="120" w:after="0" w:line="240" w:lineRule="auto"/>
        <w:jc w:val="both"/>
        <w:rPr>
          <w:rFonts w:eastAsia="Times New Roman"/>
          <w:sz w:val="20"/>
          <w:shd w:val="clear" w:color="auto" w:fill="FFFFFF"/>
          <w:lang w:eastAsia="en-GB"/>
        </w:rPr>
      </w:pPr>
      <w:r w:rsidRPr="00155028">
        <w:rPr>
          <w:rFonts w:eastAsia="Times New Roman"/>
          <w:sz w:val="20"/>
          <w:shd w:val="clear" w:color="auto" w:fill="FFFFFF"/>
          <w:lang w:eastAsia="en-GB"/>
        </w:rPr>
        <w:t xml:space="preserve">SURS podatke o odpadni hrani izračunava iz podatkov, pridobljenih z obstoječimi rednimi letnimi raziskovanji o nastajanju in ravnanju z odpadki, ki jih po Uredbi o odpadkih zbira ARSO (preko aplikacije IS-Odpadki: </w:t>
      </w:r>
      <w:r w:rsidRPr="00155028">
        <w:rPr>
          <w:rFonts w:eastAsia="Calibri"/>
        </w:rPr>
        <w:t xml:space="preserve"> </w:t>
      </w:r>
      <w:r w:rsidRPr="00155028">
        <w:rPr>
          <w:rFonts w:eastAsia="Times New Roman"/>
          <w:sz w:val="20"/>
          <w:shd w:val="clear" w:color="auto" w:fill="FFFFFF"/>
          <w:lang w:eastAsia="en-GB"/>
        </w:rPr>
        <w:t xml:space="preserve">http://okolje.arso.gov.si/odpadki/). SURS poleg podatkov iz rednih letnih raziskovanj o odpadkih, kot podatkovni vir uporablja tudi podatke pridobljene z enkratnim raziskovanjem s strani izvajalcev javnih služb. Na podlagi le-teh izračuna deleže odpadne hrane znotraj mešanih frakcij odpadkov. </w:t>
      </w:r>
    </w:p>
    <w:p w14:paraId="02DAC774" w14:textId="2F14E89A" w:rsidR="001E6A32" w:rsidRPr="00155028" w:rsidRDefault="001E6A32" w:rsidP="001E6A32">
      <w:pPr>
        <w:tabs>
          <w:tab w:val="left" w:pos="0"/>
        </w:tabs>
        <w:spacing w:before="120" w:after="0" w:line="240" w:lineRule="auto"/>
        <w:ind w:left="480"/>
        <w:jc w:val="both"/>
        <w:rPr>
          <w:rFonts w:ascii="Times New Roman" w:eastAsia="Times New Roman" w:hAnsi="Times New Roman"/>
          <w:sz w:val="20"/>
          <w:lang w:eastAsia="en-GB"/>
        </w:rPr>
      </w:pPr>
    </w:p>
    <w:p w14:paraId="502C1FD4" w14:textId="47CDF795" w:rsidR="007601E4" w:rsidRPr="00155028" w:rsidRDefault="007601E4" w:rsidP="001E6A32">
      <w:pPr>
        <w:tabs>
          <w:tab w:val="left" w:pos="0"/>
        </w:tabs>
        <w:spacing w:before="120" w:after="0" w:line="240" w:lineRule="auto"/>
        <w:ind w:left="480"/>
        <w:jc w:val="both"/>
        <w:rPr>
          <w:rFonts w:ascii="Times New Roman" w:eastAsia="Times New Roman" w:hAnsi="Times New Roman"/>
          <w:sz w:val="20"/>
          <w:lang w:eastAsia="en-GB"/>
        </w:rPr>
      </w:pPr>
    </w:p>
    <w:p w14:paraId="5560CD7A" w14:textId="7DB79742" w:rsidR="007601E4" w:rsidRPr="00155028" w:rsidRDefault="007601E4" w:rsidP="007940FC">
      <w:pPr>
        <w:tabs>
          <w:tab w:val="left" w:pos="0"/>
        </w:tabs>
        <w:spacing w:before="120" w:after="0" w:line="240" w:lineRule="auto"/>
        <w:jc w:val="both"/>
        <w:rPr>
          <w:rFonts w:ascii="Times New Roman" w:eastAsia="Times New Roman" w:hAnsi="Times New Roman"/>
          <w:sz w:val="20"/>
          <w:lang w:eastAsia="en-GB"/>
        </w:rPr>
      </w:pPr>
    </w:p>
    <w:p w14:paraId="4FB7082C" w14:textId="77777777" w:rsidR="00237DB1" w:rsidRPr="00155028" w:rsidRDefault="00237DB1" w:rsidP="00237DB1">
      <w:pPr>
        <w:pStyle w:val="Napis"/>
        <w:jc w:val="both"/>
      </w:pPr>
    </w:p>
    <w:p w14:paraId="036927C9" w14:textId="77777777" w:rsidR="00237DB1" w:rsidRPr="00155028" w:rsidRDefault="00237DB1" w:rsidP="00237DB1">
      <w:pPr>
        <w:pStyle w:val="Napis"/>
        <w:jc w:val="both"/>
      </w:pPr>
    </w:p>
    <w:p w14:paraId="6E28F9FE" w14:textId="77777777" w:rsidR="00237DB1" w:rsidRPr="00155028" w:rsidRDefault="00237DB1" w:rsidP="00237DB1">
      <w:pPr>
        <w:pStyle w:val="Napis"/>
        <w:jc w:val="both"/>
      </w:pPr>
    </w:p>
    <w:p w14:paraId="21E746B4" w14:textId="77777777" w:rsidR="006A09AF" w:rsidRPr="00155028" w:rsidRDefault="006A09AF" w:rsidP="006A09AF">
      <w:pPr>
        <w:rPr>
          <w:lang w:eastAsia="en-GB"/>
        </w:rPr>
      </w:pPr>
    </w:p>
    <w:p w14:paraId="20D47B10" w14:textId="57E910EB" w:rsidR="00237DB1" w:rsidRPr="00155028" w:rsidRDefault="00237DB1" w:rsidP="00237DB1">
      <w:pPr>
        <w:pStyle w:val="Napis"/>
        <w:jc w:val="both"/>
        <w:rPr>
          <w:szCs w:val="20"/>
        </w:rPr>
      </w:pPr>
      <w:bookmarkStart w:id="99" w:name="_Toc86826519"/>
      <w:r w:rsidRPr="00155028">
        <w:rPr>
          <w:szCs w:val="20"/>
        </w:rPr>
        <w:lastRenderedPageBreak/>
        <w:t xml:space="preserve">Slika </w:t>
      </w:r>
      <w:r w:rsidR="004270C0" w:rsidRPr="00155028">
        <w:rPr>
          <w:szCs w:val="20"/>
        </w:rPr>
        <w:fldChar w:fldCharType="begin"/>
      </w:r>
      <w:r w:rsidR="004270C0" w:rsidRPr="00155028">
        <w:rPr>
          <w:szCs w:val="20"/>
        </w:rPr>
        <w:instrText xml:space="preserve"> SEQ Slika \* ARABIC </w:instrText>
      </w:r>
      <w:r w:rsidR="004270C0" w:rsidRPr="00155028">
        <w:rPr>
          <w:szCs w:val="20"/>
        </w:rPr>
        <w:fldChar w:fldCharType="separate"/>
      </w:r>
      <w:r w:rsidR="00F25B09">
        <w:rPr>
          <w:noProof/>
          <w:szCs w:val="20"/>
        </w:rPr>
        <w:t>14</w:t>
      </w:r>
      <w:r w:rsidR="004270C0" w:rsidRPr="00155028">
        <w:rPr>
          <w:noProof/>
          <w:szCs w:val="20"/>
        </w:rPr>
        <w:fldChar w:fldCharType="end"/>
      </w:r>
      <w:r w:rsidRPr="00155028">
        <w:rPr>
          <w:szCs w:val="20"/>
        </w:rPr>
        <w:t>: Odpadna hrana po gospodinjstvih in skupaj  (1000 t) po letih</w:t>
      </w:r>
      <w:bookmarkEnd w:id="99"/>
      <w:r w:rsidRPr="00155028">
        <w:rPr>
          <w:szCs w:val="20"/>
        </w:rPr>
        <w:t xml:space="preserve"> </w:t>
      </w:r>
    </w:p>
    <w:p w14:paraId="0732CC4C" w14:textId="77777777" w:rsidR="007601E4" w:rsidRPr="00155028" w:rsidRDefault="007601E4" w:rsidP="001E6A32">
      <w:pPr>
        <w:tabs>
          <w:tab w:val="left" w:pos="0"/>
        </w:tabs>
        <w:spacing w:before="120" w:after="0" w:line="240" w:lineRule="auto"/>
        <w:ind w:left="480"/>
        <w:jc w:val="both"/>
        <w:rPr>
          <w:rFonts w:ascii="Times New Roman" w:eastAsia="Times New Roman" w:hAnsi="Times New Roman"/>
          <w:sz w:val="20"/>
          <w:lang w:eastAsia="en-GB"/>
        </w:rPr>
      </w:pPr>
    </w:p>
    <w:p w14:paraId="20D1973C" w14:textId="77777777" w:rsidR="006A09AF" w:rsidRPr="00155028" w:rsidRDefault="001E6A32" w:rsidP="006A09AF">
      <w:pPr>
        <w:spacing w:before="80" w:after="80" w:line="240" w:lineRule="auto"/>
        <w:jc w:val="center"/>
        <w:rPr>
          <w:rFonts w:eastAsia="Times New Roman"/>
          <w:noProof/>
          <w:sz w:val="20"/>
          <w:szCs w:val="24"/>
          <w:lang w:eastAsia="sl-SI"/>
        </w:rPr>
      </w:pPr>
      <w:r w:rsidRPr="00155028">
        <w:rPr>
          <w:rFonts w:eastAsia="Times New Roman"/>
          <w:noProof/>
          <w:sz w:val="20"/>
          <w:szCs w:val="24"/>
          <w:lang w:eastAsia="sl-SI"/>
        </w:rPr>
        <w:drawing>
          <wp:inline distT="0" distB="0" distL="0" distR="0" wp14:anchorId="7BC25F2C" wp14:editId="1A3811CD">
            <wp:extent cx="4152900" cy="3130550"/>
            <wp:effectExtent l="0" t="0" r="0" b="0"/>
            <wp:docPr id="17" name="Grafikon 17" descr="Količina odpadne hrane po gospodinjstvih z leti počasi narašča."/>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59D016C" w14:textId="23A38D2C" w:rsidR="006A09AF" w:rsidRPr="00155028" w:rsidRDefault="006A09AF" w:rsidP="006A09AF">
      <w:pPr>
        <w:spacing w:before="80" w:after="80" w:line="240" w:lineRule="auto"/>
        <w:jc w:val="center"/>
        <w:rPr>
          <w:rFonts w:eastAsia="Times New Roman"/>
          <w:noProof/>
          <w:sz w:val="20"/>
          <w:szCs w:val="24"/>
          <w:lang w:eastAsia="sl-SI"/>
        </w:rPr>
      </w:pPr>
      <w:r w:rsidRPr="00155028">
        <w:rPr>
          <w:sz w:val="16"/>
          <w:szCs w:val="16"/>
        </w:rPr>
        <w:t>VIR: SURS</w:t>
      </w:r>
    </w:p>
    <w:p w14:paraId="4B34D102" w14:textId="2F0C904B" w:rsidR="001E6A32" w:rsidRPr="00155028" w:rsidRDefault="001E6A32" w:rsidP="001E6A32">
      <w:pPr>
        <w:spacing w:before="120" w:after="0" w:line="240" w:lineRule="auto"/>
        <w:jc w:val="both"/>
        <w:rPr>
          <w:rFonts w:eastAsia="Times New Roman"/>
          <w:sz w:val="20"/>
          <w:lang w:eastAsia="en-GB"/>
        </w:rPr>
      </w:pPr>
      <w:r w:rsidRPr="00155028">
        <w:rPr>
          <w:rFonts w:eastAsia="Times New Roman"/>
          <w:sz w:val="20"/>
          <w:lang w:eastAsia="en-GB"/>
        </w:rPr>
        <w:t>Po podatkih Statističnega urada Republike Slovenije (SURS)</w:t>
      </w:r>
      <w:r w:rsidR="00237DB1" w:rsidRPr="00155028">
        <w:rPr>
          <w:rFonts w:eastAsia="Times New Roman"/>
          <w:sz w:val="20"/>
          <w:lang w:eastAsia="en-GB"/>
        </w:rPr>
        <w:t xml:space="preserve"> </w:t>
      </w:r>
      <w:r w:rsidRPr="00155028">
        <w:rPr>
          <w:rFonts w:eastAsia="Times New Roman"/>
          <w:sz w:val="20"/>
          <w:lang w:eastAsia="en-GB"/>
        </w:rPr>
        <w:t>se je skupna količina odpadne hrane med leti 2013 in 2018 povečevala</w:t>
      </w:r>
      <w:r w:rsidR="00FB28FA" w:rsidRPr="00155028">
        <w:rPr>
          <w:rFonts w:eastAsia="Times New Roman"/>
          <w:sz w:val="20"/>
          <w:lang w:eastAsia="en-GB"/>
        </w:rPr>
        <w:t xml:space="preserve"> (Slika 1</w:t>
      </w:r>
      <w:r w:rsidR="007940FC" w:rsidRPr="00155028">
        <w:rPr>
          <w:rFonts w:eastAsia="Times New Roman"/>
          <w:sz w:val="20"/>
          <w:lang w:eastAsia="en-GB"/>
        </w:rPr>
        <w:t>3</w:t>
      </w:r>
      <w:r w:rsidR="00FB28FA" w:rsidRPr="00155028">
        <w:rPr>
          <w:rFonts w:eastAsia="Times New Roman"/>
          <w:sz w:val="20"/>
          <w:lang w:eastAsia="en-GB"/>
        </w:rPr>
        <w:t>)</w:t>
      </w:r>
      <w:r w:rsidRPr="00155028">
        <w:rPr>
          <w:rFonts w:eastAsia="Times New Roman"/>
          <w:sz w:val="20"/>
          <w:lang w:eastAsia="en-GB"/>
        </w:rPr>
        <w:t>. Tako se je iz 118 tisoč ton (leto 2013) povečala za 18 % na 140 tisoč ton (leto 2018). Za 16 % se je v enakem obdobju povečala tudi količina odpadne hrane v gospodinjstvih.</w:t>
      </w:r>
    </w:p>
    <w:p w14:paraId="44430627" w14:textId="77777777" w:rsidR="001E6A32" w:rsidRPr="00155028" w:rsidRDefault="001E6A32" w:rsidP="001E6A32">
      <w:pPr>
        <w:tabs>
          <w:tab w:val="left" w:pos="0"/>
        </w:tabs>
        <w:spacing w:before="120" w:after="0" w:line="240" w:lineRule="auto"/>
        <w:jc w:val="both"/>
        <w:rPr>
          <w:rFonts w:eastAsia="Times New Roman"/>
          <w:sz w:val="20"/>
          <w:lang w:eastAsia="en-GB"/>
        </w:rPr>
      </w:pPr>
      <w:r w:rsidRPr="00155028">
        <w:rPr>
          <w:rFonts w:eastAsia="Times New Roman"/>
          <w:sz w:val="20"/>
          <w:lang w:eastAsia="en-GB"/>
        </w:rPr>
        <w:t xml:space="preserve">V letu 2018 je vsak prebivalec Slovenije zavrgel povprečno 68 kg hrane. V povprečju je v obdobju 2013-2018 vsak prebivalec Slovenije zavrgel 65,5 kg hrane. </w:t>
      </w:r>
    </w:p>
    <w:p w14:paraId="5A4FEA7F" w14:textId="77777777" w:rsidR="001E6A32" w:rsidRPr="00155028" w:rsidRDefault="001E6A32" w:rsidP="001E6A32">
      <w:pPr>
        <w:tabs>
          <w:tab w:val="left" w:pos="0"/>
        </w:tabs>
        <w:spacing w:before="120" w:after="0" w:line="240" w:lineRule="auto"/>
        <w:jc w:val="both"/>
        <w:rPr>
          <w:rFonts w:eastAsia="Times New Roman"/>
          <w:sz w:val="20"/>
          <w:lang w:eastAsia="en-GB"/>
        </w:rPr>
      </w:pPr>
    </w:p>
    <w:p w14:paraId="5F5B26D0" w14:textId="68A2335F" w:rsidR="00FB28FA" w:rsidRPr="00155028" w:rsidRDefault="00237DB1" w:rsidP="00237DB1">
      <w:pPr>
        <w:pStyle w:val="Napis"/>
        <w:jc w:val="both"/>
        <w:rPr>
          <w:szCs w:val="20"/>
        </w:rPr>
      </w:pPr>
      <w:bookmarkStart w:id="100" w:name="_Toc86826531"/>
      <w:r w:rsidRPr="00155028">
        <w:rPr>
          <w:szCs w:val="20"/>
        </w:rPr>
        <w:t xml:space="preserve">Tabela </w:t>
      </w:r>
      <w:r w:rsidR="004270C0" w:rsidRPr="00155028">
        <w:rPr>
          <w:szCs w:val="20"/>
        </w:rPr>
        <w:fldChar w:fldCharType="begin"/>
      </w:r>
      <w:r w:rsidR="004270C0" w:rsidRPr="00155028">
        <w:rPr>
          <w:szCs w:val="20"/>
        </w:rPr>
        <w:instrText xml:space="preserve"> SEQ Tabela \* ARABIC </w:instrText>
      </w:r>
      <w:r w:rsidR="004270C0" w:rsidRPr="00155028">
        <w:rPr>
          <w:szCs w:val="20"/>
        </w:rPr>
        <w:fldChar w:fldCharType="separate"/>
      </w:r>
      <w:r w:rsidR="00F25B09">
        <w:rPr>
          <w:noProof/>
          <w:szCs w:val="20"/>
        </w:rPr>
        <w:t>12</w:t>
      </w:r>
      <w:r w:rsidR="004270C0" w:rsidRPr="00155028">
        <w:rPr>
          <w:noProof/>
          <w:szCs w:val="20"/>
        </w:rPr>
        <w:fldChar w:fldCharType="end"/>
      </w:r>
      <w:r w:rsidRPr="00155028">
        <w:rPr>
          <w:szCs w:val="20"/>
        </w:rPr>
        <w:t xml:space="preserve">: Nastajanje in ravnanje z odpadno hrano v obdobju 2013 do </w:t>
      </w:r>
      <w:r w:rsidR="009C7463" w:rsidRPr="00155028">
        <w:rPr>
          <w:szCs w:val="20"/>
        </w:rPr>
        <w:t>2020</w:t>
      </w:r>
      <w:bookmarkEnd w:id="100"/>
    </w:p>
    <w:tbl>
      <w:tblPr>
        <w:tblStyle w:val="Tabelamrea21"/>
        <w:tblW w:w="10011" w:type="dxa"/>
        <w:tblLayout w:type="fixed"/>
        <w:tblLook w:val="04A0" w:firstRow="1" w:lastRow="0" w:firstColumn="1" w:lastColumn="0" w:noHBand="0" w:noVBand="1"/>
        <w:tblDescription w:val="Nastajanje odpadne hrane po: MERITVE ,  LETO"/>
      </w:tblPr>
      <w:tblGrid>
        <w:gridCol w:w="2263"/>
        <w:gridCol w:w="993"/>
        <w:gridCol w:w="992"/>
        <w:gridCol w:w="992"/>
        <w:gridCol w:w="992"/>
        <w:gridCol w:w="993"/>
        <w:gridCol w:w="850"/>
        <w:gridCol w:w="992"/>
        <w:gridCol w:w="944"/>
      </w:tblGrid>
      <w:tr w:rsidR="00657D85" w:rsidRPr="00155028" w14:paraId="534DA3CD" w14:textId="508C15AA" w:rsidTr="008B3B08">
        <w:trPr>
          <w:trHeight w:val="267"/>
        </w:trPr>
        <w:tc>
          <w:tcPr>
            <w:tcW w:w="2263" w:type="dxa"/>
            <w:shd w:val="clear" w:color="auto" w:fill="D9EEF3"/>
            <w:hideMark/>
          </w:tcPr>
          <w:p w14:paraId="7B016965" w14:textId="7C4D785B" w:rsidR="004C770E" w:rsidRPr="00155028" w:rsidRDefault="004C770E" w:rsidP="00767E96">
            <w:pPr>
              <w:spacing w:before="120"/>
              <w:jc w:val="both"/>
              <w:rPr>
                <w:rFonts w:eastAsia="Times New Roman"/>
                <w:b/>
                <w:sz w:val="20"/>
                <w:lang w:eastAsia="en-GB"/>
              </w:rPr>
            </w:pPr>
            <w:r>
              <w:rPr>
                <w:rFonts w:eastAsia="Times New Roman"/>
                <w:b/>
                <w:sz w:val="20"/>
                <w:lang w:eastAsia="en-GB"/>
              </w:rPr>
              <w:t>Nastajanje odpadne hrane</w:t>
            </w:r>
            <w:r w:rsidRPr="00155028">
              <w:rPr>
                <w:rFonts w:eastAsia="Times New Roman"/>
                <w:b/>
                <w:sz w:val="20"/>
                <w:lang w:eastAsia="en-GB"/>
              </w:rPr>
              <w:t> </w:t>
            </w:r>
          </w:p>
        </w:tc>
        <w:tc>
          <w:tcPr>
            <w:tcW w:w="993" w:type="dxa"/>
            <w:shd w:val="clear" w:color="auto" w:fill="D9EEF3"/>
            <w:vAlign w:val="center"/>
            <w:hideMark/>
          </w:tcPr>
          <w:p w14:paraId="0035528A" w14:textId="77777777" w:rsidR="004C770E" w:rsidRPr="00155028" w:rsidRDefault="004C770E" w:rsidP="003C239F">
            <w:pPr>
              <w:spacing w:before="120"/>
              <w:jc w:val="right"/>
              <w:rPr>
                <w:rFonts w:eastAsia="Times New Roman"/>
                <w:b/>
                <w:sz w:val="20"/>
                <w:lang w:eastAsia="en-GB"/>
              </w:rPr>
            </w:pPr>
            <w:r w:rsidRPr="00155028">
              <w:rPr>
                <w:rFonts w:eastAsia="Times New Roman"/>
                <w:b/>
                <w:sz w:val="20"/>
                <w:lang w:eastAsia="en-GB"/>
              </w:rPr>
              <w:t>2013</w:t>
            </w:r>
          </w:p>
        </w:tc>
        <w:tc>
          <w:tcPr>
            <w:tcW w:w="992" w:type="dxa"/>
            <w:shd w:val="clear" w:color="auto" w:fill="D9EEF3"/>
            <w:vAlign w:val="center"/>
            <w:hideMark/>
          </w:tcPr>
          <w:p w14:paraId="18AC1B94" w14:textId="77777777" w:rsidR="004C770E" w:rsidRPr="00155028" w:rsidRDefault="004C770E" w:rsidP="003C239F">
            <w:pPr>
              <w:spacing w:before="120"/>
              <w:jc w:val="right"/>
              <w:rPr>
                <w:rFonts w:eastAsia="Times New Roman"/>
                <w:b/>
                <w:sz w:val="20"/>
                <w:lang w:eastAsia="en-GB"/>
              </w:rPr>
            </w:pPr>
            <w:r w:rsidRPr="00155028">
              <w:rPr>
                <w:rFonts w:eastAsia="Times New Roman"/>
                <w:b/>
                <w:sz w:val="20"/>
                <w:lang w:eastAsia="en-GB"/>
              </w:rPr>
              <w:t>2014</w:t>
            </w:r>
          </w:p>
        </w:tc>
        <w:tc>
          <w:tcPr>
            <w:tcW w:w="992" w:type="dxa"/>
            <w:shd w:val="clear" w:color="auto" w:fill="D9EEF3"/>
            <w:vAlign w:val="center"/>
            <w:hideMark/>
          </w:tcPr>
          <w:p w14:paraId="1DAAAD06" w14:textId="77777777" w:rsidR="004C770E" w:rsidRPr="00155028" w:rsidRDefault="004C770E" w:rsidP="003C239F">
            <w:pPr>
              <w:spacing w:before="120"/>
              <w:jc w:val="right"/>
              <w:rPr>
                <w:rFonts w:eastAsia="Times New Roman"/>
                <w:b/>
                <w:sz w:val="20"/>
                <w:lang w:eastAsia="en-GB"/>
              </w:rPr>
            </w:pPr>
            <w:r w:rsidRPr="00155028">
              <w:rPr>
                <w:rFonts w:eastAsia="Times New Roman"/>
                <w:b/>
                <w:sz w:val="20"/>
                <w:lang w:eastAsia="en-GB"/>
              </w:rPr>
              <w:t>2015</w:t>
            </w:r>
          </w:p>
        </w:tc>
        <w:tc>
          <w:tcPr>
            <w:tcW w:w="992" w:type="dxa"/>
            <w:shd w:val="clear" w:color="auto" w:fill="D9EEF3"/>
            <w:vAlign w:val="center"/>
            <w:hideMark/>
          </w:tcPr>
          <w:p w14:paraId="37BC8020" w14:textId="77777777" w:rsidR="004C770E" w:rsidRPr="00155028" w:rsidRDefault="004C770E" w:rsidP="003C239F">
            <w:pPr>
              <w:spacing w:before="120"/>
              <w:jc w:val="right"/>
              <w:rPr>
                <w:rFonts w:eastAsia="Times New Roman"/>
                <w:b/>
                <w:sz w:val="20"/>
                <w:lang w:eastAsia="en-GB"/>
              </w:rPr>
            </w:pPr>
            <w:r w:rsidRPr="00155028">
              <w:rPr>
                <w:rFonts w:eastAsia="Times New Roman"/>
                <w:b/>
                <w:sz w:val="20"/>
                <w:lang w:eastAsia="en-GB"/>
              </w:rPr>
              <w:t>2016</w:t>
            </w:r>
          </w:p>
        </w:tc>
        <w:tc>
          <w:tcPr>
            <w:tcW w:w="993" w:type="dxa"/>
            <w:shd w:val="clear" w:color="auto" w:fill="D9EEF3"/>
            <w:vAlign w:val="center"/>
            <w:hideMark/>
          </w:tcPr>
          <w:p w14:paraId="558C1979" w14:textId="77777777" w:rsidR="004C770E" w:rsidRPr="00155028" w:rsidRDefault="004C770E" w:rsidP="003C239F">
            <w:pPr>
              <w:spacing w:before="120"/>
              <w:jc w:val="right"/>
              <w:rPr>
                <w:rFonts w:eastAsia="Times New Roman"/>
                <w:b/>
                <w:sz w:val="20"/>
                <w:lang w:eastAsia="en-GB"/>
              </w:rPr>
            </w:pPr>
            <w:r w:rsidRPr="00155028">
              <w:rPr>
                <w:rFonts w:eastAsia="Times New Roman"/>
                <w:b/>
                <w:sz w:val="20"/>
                <w:lang w:eastAsia="en-GB"/>
              </w:rPr>
              <w:t>2017</w:t>
            </w:r>
          </w:p>
        </w:tc>
        <w:tc>
          <w:tcPr>
            <w:tcW w:w="850" w:type="dxa"/>
            <w:shd w:val="clear" w:color="auto" w:fill="D9EEF3"/>
            <w:vAlign w:val="center"/>
            <w:hideMark/>
          </w:tcPr>
          <w:p w14:paraId="7ABA2C97" w14:textId="77777777" w:rsidR="004C770E" w:rsidRPr="00155028" w:rsidRDefault="004C770E" w:rsidP="003C239F">
            <w:pPr>
              <w:spacing w:before="120"/>
              <w:jc w:val="right"/>
              <w:rPr>
                <w:rFonts w:eastAsia="Times New Roman"/>
                <w:b/>
                <w:sz w:val="20"/>
                <w:lang w:eastAsia="en-GB"/>
              </w:rPr>
            </w:pPr>
            <w:r w:rsidRPr="00155028">
              <w:rPr>
                <w:rFonts w:eastAsia="Times New Roman"/>
                <w:b/>
                <w:sz w:val="20"/>
                <w:lang w:eastAsia="en-GB"/>
              </w:rPr>
              <w:t>2018</w:t>
            </w:r>
          </w:p>
        </w:tc>
        <w:tc>
          <w:tcPr>
            <w:tcW w:w="992" w:type="dxa"/>
            <w:shd w:val="clear" w:color="auto" w:fill="D9EEF3"/>
            <w:vAlign w:val="center"/>
          </w:tcPr>
          <w:p w14:paraId="7719A717" w14:textId="5D8D4791" w:rsidR="004C770E" w:rsidRPr="00155028" w:rsidRDefault="004C770E" w:rsidP="004C770E">
            <w:pPr>
              <w:spacing w:before="120"/>
              <w:jc w:val="right"/>
              <w:rPr>
                <w:rFonts w:eastAsia="Times New Roman"/>
                <w:b/>
                <w:sz w:val="20"/>
                <w:lang w:eastAsia="en-GB"/>
              </w:rPr>
            </w:pPr>
            <w:r w:rsidRPr="00155028">
              <w:rPr>
                <w:rFonts w:eastAsia="Times New Roman"/>
                <w:b/>
                <w:sz w:val="20"/>
                <w:lang w:eastAsia="en-GB"/>
              </w:rPr>
              <w:t xml:space="preserve">2019  </w:t>
            </w:r>
          </w:p>
        </w:tc>
        <w:tc>
          <w:tcPr>
            <w:tcW w:w="944" w:type="dxa"/>
            <w:shd w:val="clear" w:color="auto" w:fill="D9EEF3"/>
            <w:vAlign w:val="center"/>
          </w:tcPr>
          <w:p w14:paraId="2927EFE1" w14:textId="1A6BA77A" w:rsidR="004C770E" w:rsidRPr="00155028" w:rsidRDefault="004C770E" w:rsidP="003C239F">
            <w:pPr>
              <w:spacing w:before="120"/>
              <w:jc w:val="right"/>
              <w:rPr>
                <w:rFonts w:eastAsia="Times New Roman"/>
                <w:b/>
                <w:sz w:val="20"/>
                <w:lang w:eastAsia="en-GB"/>
              </w:rPr>
            </w:pPr>
            <w:r w:rsidRPr="00155028">
              <w:rPr>
                <w:rFonts w:eastAsia="Times New Roman"/>
                <w:b/>
                <w:sz w:val="20"/>
                <w:lang w:eastAsia="en-GB"/>
              </w:rPr>
              <w:t>2020</w:t>
            </w:r>
          </w:p>
        </w:tc>
      </w:tr>
      <w:tr w:rsidR="00657D85" w:rsidRPr="00155028" w14:paraId="154EA9AA" w14:textId="515FCDF7" w:rsidTr="008B3B08">
        <w:tc>
          <w:tcPr>
            <w:tcW w:w="2263" w:type="dxa"/>
            <w:vAlign w:val="center"/>
            <w:hideMark/>
          </w:tcPr>
          <w:p w14:paraId="6491CE8E" w14:textId="77777777" w:rsidR="004C770E" w:rsidRPr="00155028" w:rsidRDefault="004C770E" w:rsidP="003C239F">
            <w:pPr>
              <w:spacing w:before="120"/>
              <w:rPr>
                <w:rFonts w:eastAsia="Times New Roman"/>
                <w:b/>
                <w:sz w:val="20"/>
                <w:lang w:eastAsia="en-GB"/>
              </w:rPr>
            </w:pPr>
            <w:r w:rsidRPr="00155028">
              <w:rPr>
                <w:rFonts w:eastAsia="Times New Roman"/>
                <w:b/>
                <w:sz w:val="20"/>
                <w:lang w:eastAsia="en-GB"/>
              </w:rPr>
              <w:t>Nastala odpadna hrana - SKUPAJ (tone</w:t>
            </w:r>
            <w:r w:rsidRPr="00155028">
              <w:rPr>
                <w:rFonts w:eastAsia="Times New Roman"/>
                <w:b/>
                <w:bCs/>
                <w:sz w:val="20"/>
                <w:lang w:eastAsia="en-GB"/>
              </w:rPr>
              <w:t>)*</w:t>
            </w:r>
          </w:p>
        </w:tc>
        <w:tc>
          <w:tcPr>
            <w:tcW w:w="993" w:type="dxa"/>
            <w:noWrap/>
            <w:vAlign w:val="center"/>
            <w:hideMark/>
          </w:tcPr>
          <w:p w14:paraId="48AE0AAE" w14:textId="77777777" w:rsidR="004C770E" w:rsidRPr="00155028" w:rsidRDefault="004C770E" w:rsidP="003C239F">
            <w:pPr>
              <w:spacing w:before="120"/>
              <w:jc w:val="right"/>
              <w:rPr>
                <w:rFonts w:eastAsia="Times New Roman"/>
                <w:b/>
                <w:sz w:val="20"/>
                <w:lang w:eastAsia="en-GB"/>
              </w:rPr>
            </w:pPr>
            <w:r w:rsidRPr="00155028">
              <w:rPr>
                <w:rFonts w:eastAsia="Times New Roman"/>
                <w:b/>
                <w:sz w:val="20"/>
                <w:lang w:eastAsia="en-GB"/>
              </w:rPr>
              <w:t>118.450</w:t>
            </w:r>
          </w:p>
        </w:tc>
        <w:tc>
          <w:tcPr>
            <w:tcW w:w="992" w:type="dxa"/>
            <w:noWrap/>
            <w:vAlign w:val="center"/>
            <w:hideMark/>
          </w:tcPr>
          <w:p w14:paraId="57DCA108" w14:textId="77777777" w:rsidR="004C770E" w:rsidRPr="00155028" w:rsidRDefault="004C770E" w:rsidP="003C239F">
            <w:pPr>
              <w:spacing w:before="120"/>
              <w:jc w:val="right"/>
              <w:rPr>
                <w:rFonts w:eastAsia="Times New Roman"/>
                <w:b/>
                <w:sz w:val="20"/>
                <w:lang w:eastAsia="en-GB"/>
              </w:rPr>
            </w:pPr>
            <w:r w:rsidRPr="00155028">
              <w:rPr>
                <w:rFonts w:eastAsia="Times New Roman"/>
                <w:b/>
                <w:sz w:val="20"/>
                <w:lang w:eastAsia="en-GB"/>
              </w:rPr>
              <w:t>125.102</w:t>
            </w:r>
          </w:p>
        </w:tc>
        <w:tc>
          <w:tcPr>
            <w:tcW w:w="992" w:type="dxa"/>
            <w:noWrap/>
            <w:vAlign w:val="center"/>
            <w:hideMark/>
          </w:tcPr>
          <w:p w14:paraId="461A985B" w14:textId="77777777" w:rsidR="004C770E" w:rsidRPr="00155028" w:rsidRDefault="004C770E" w:rsidP="003C239F">
            <w:pPr>
              <w:spacing w:before="120"/>
              <w:jc w:val="right"/>
              <w:rPr>
                <w:rFonts w:eastAsia="Times New Roman"/>
                <w:b/>
                <w:sz w:val="20"/>
                <w:lang w:eastAsia="en-GB"/>
              </w:rPr>
            </w:pPr>
            <w:r w:rsidRPr="00155028">
              <w:rPr>
                <w:rFonts w:eastAsia="Times New Roman"/>
                <w:b/>
                <w:sz w:val="20"/>
                <w:lang w:eastAsia="en-GB"/>
              </w:rPr>
              <w:t>133.898</w:t>
            </w:r>
          </w:p>
        </w:tc>
        <w:tc>
          <w:tcPr>
            <w:tcW w:w="992" w:type="dxa"/>
            <w:noWrap/>
            <w:vAlign w:val="center"/>
            <w:hideMark/>
          </w:tcPr>
          <w:p w14:paraId="0553BCD8" w14:textId="77777777" w:rsidR="004C770E" w:rsidRPr="00155028" w:rsidRDefault="004C770E" w:rsidP="003C239F">
            <w:pPr>
              <w:spacing w:before="120"/>
              <w:jc w:val="right"/>
              <w:rPr>
                <w:rFonts w:eastAsia="Times New Roman"/>
                <w:b/>
                <w:sz w:val="20"/>
                <w:lang w:eastAsia="en-GB"/>
              </w:rPr>
            </w:pPr>
            <w:r w:rsidRPr="00155028">
              <w:rPr>
                <w:rFonts w:eastAsia="Times New Roman"/>
                <w:b/>
                <w:sz w:val="20"/>
                <w:lang w:eastAsia="en-GB"/>
              </w:rPr>
              <w:t>137.638</w:t>
            </w:r>
          </w:p>
        </w:tc>
        <w:tc>
          <w:tcPr>
            <w:tcW w:w="993" w:type="dxa"/>
            <w:noWrap/>
            <w:vAlign w:val="center"/>
            <w:hideMark/>
          </w:tcPr>
          <w:p w14:paraId="78805F84" w14:textId="77777777" w:rsidR="004C770E" w:rsidRPr="00155028" w:rsidRDefault="004C770E" w:rsidP="003C239F">
            <w:pPr>
              <w:spacing w:before="120"/>
              <w:jc w:val="right"/>
              <w:rPr>
                <w:rFonts w:eastAsia="Times New Roman"/>
                <w:b/>
                <w:sz w:val="20"/>
                <w:lang w:eastAsia="en-GB"/>
              </w:rPr>
            </w:pPr>
            <w:r w:rsidRPr="00155028">
              <w:rPr>
                <w:rFonts w:eastAsia="Times New Roman"/>
                <w:b/>
                <w:sz w:val="20"/>
                <w:lang w:eastAsia="en-GB"/>
              </w:rPr>
              <w:t>131.761</w:t>
            </w:r>
          </w:p>
        </w:tc>
        <w:tc>
          <w:tcPr>
            <w:tcW w:w="850" w:type="dxa"/>
            <w:noWrap/>
            <w:vAlign w:val="center"/>
            <w:hideMark/>
          </w:tcPr>
          <w:p w14:paraId="6FDD3BDE" w14:textId="77777777" w:rsidR="004C770E" w:rsidRPr="00155028" w:rsidRDefault="004C770E" w:rsidP="003C239F">
            <w:pPr>
              <w:spacing w:before="120"/>
              <w:jc w:val="right"/>
              <w:rPr>
                <w:rFonts w:eastAsia="Times New Roman"/>
                <w:b/>
                <w:sz w:val="20"/>
                <w:lang w:eastAsia="en-GB"/>
              </w:rPr>
            </w:pPr>
            <w:r w:rsidRPr="00155028">
              <w:rPr>
                <w:rFonts w:eastAsia="Times New Roman"/>
                <w:b/>
                <w:sz w:val="20"/>
                <w:lang w:eastAsia="en-GB"/>
              </w:rPr>
              <w:t>139.856</w:t>
            </w:r>
          </w:p>
        </w:tc>
        <w:tc>
          <w:tcPr>
            <w:tcW w:w="992" w:type="dxa"/>
            <w:vAlign w:val="center"/>
          </w:tcPr>
          <w:p w14:paraId="1A60371C" w14:textId="3A9F641C" w:rsidR="004C770E" w:rsidRPr="00155028" w:rsidRDefault="004C770E" w:rsidP="004C770E">
            <w:pPr>
              <w:spacing w:before="120"/>
              <w:jc w:val="right"/>
              <w:rPr>
                <w:rFonts w:eastAsia="Times New Roman"/>
                <w:b/>
                <w:sz w:val="20"/>
                <w:lang w:eastAsia="en-GB"/>
              </w:rPr>
            </w:pPr>
            <w:r w:rsidRPr="00155028">
              <w:rPr>
                <w:rFonts w:eastAsia="Times New Roman"/>
                <w:b/>
                <w:sz w:val="20"/>
                <w:lang w:eastAsia="en-GB"/>
              </w:rPr>
              <w:t xml:space="preserve">140.804 </w:t>
            </w:r>
          </w:p>
        </w:tc>
        <w:tc>
          <w:tcPr>
            <w:tcW w:w="944" w:type="dxa"/>
            <w:vAlign w:val="center"/>
          </w:tcPr>
          <w:p w14:paraId="636D4E2D" w14:textId="1A746491" w:rsidR="004C770E" w:rsidRPr="00155028" w:rsidRDefault="004C770E" w:rsidP="003C239F">
            <w:pPr>
              <w:spacing w:before="120"/>
              <w:jc w:val="right"/>
              <w:rPr>
                <w:rFonts w:eastAsia="Times New Roman"/>
                <w:b/>
                <w:sz w:val="20"/>
                <w:lang w:eastAsia="en-GB"/>
              </w:rPr>
            </w:pPr>
            <w:r w:rsidRPr="00155028">
              <w:rPr>
                <w:rFonts w:eastAsia="Times New Roman"/>
                <w:b/>
                <w:sz w:val="20"/>
                <w:lang w:eastAsia="en-GB"/>
              </w:rPr>
              <w:t>143.570</w:t>
            </w:r>
          </w:p>
        </w:tc>
      </w:tr>
      <w:tr w:rsidR="00657D85" w:rsidRPr="00155028" w14:paraId="02C968F3" w14:textId="73E4E5D0" w:rsidTr="008B3B08">
        <w:tc>
          <w:tcPr>
            <w:tcW w:w="2263" w:type="dxa"/>
            <w:vAlign w:val="center"/>
            <w:hideMark/>
          </w:tcPr>
          <w:p w14:paraId="05CF9589" w14:textId="77777777" w:rsidR="004C770E" w:rsidRPr="00155028" w:rsidRDefault="004C770E" w:rsidP="003C239F">
            <w:pPr>
              <w:spacing w:before="120"/>
              <w:rPr>
                <w:rFonts w:eastAsia="Times New Roman"/>
                <w:b/>
                <w:sz w:val="20"/>
                <w:lang w:eastAsia="en-GB"/>
              </w:rPr>
            </w:pPr>
            <w:r w:rsidRPr="00155028">
              <w:rPr>
                <w:rFonts w:eastAsia="Times New Roman"/>
                <w:b/>
                <w:sz w:val="20"/>
                <w:lang w:eastAsia="en-GB"/>
              </w:rPr>
              <w:t>proizvodnji hrane (vključno s primarno) (tone)</w:t>
            </w:r>
          </w:p>
        </w:tc>
        <w:tc>
          <w:tcPr>
            <w:tcW w:w="993" w:type="dxa"/>
            <w:noWrap/>
            <w:vAlign w:val="center"/>
            <w:hideMark/>
          </w:tcPr>
          <w:p w14:paraId="07A853C8"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7.950</w:t>
            </w:r>
          </w:p>
        </w:tc>
        <w:tc>
          <w:tcPr>
            <w:tcW w:w="992" w:type="dxa"/>
            <w:noWrap/>
            <w:vAlign w:val="center"/>
            <w:hideMark/>
          </w:tcPr>
          <w:p w14:paraId="5FA2DD2C"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9.516</w:t>
            </w:r>
          </w:p>
        </w:tc>
        <w:tc>
          <w:tcPr>
            <w:tcW w:w="992" w:type="dxa"/>
            <w:noWrap/>
            <w:vAlign w:val="center"/>
            <w:hideMark/>
          </w:tcPr>
          <w:p w14:paraId="060BBFB3"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10.001</w:t>
            </w:r>
          </w:p>
        </w:tc>
        <w:tc>
          <w:tcPr>
            <w:tcW w:w="992" w:type="dxa"/>
            <w:noWrap/>
            <w:vAlign w:val="center"/>
            <w:hideMark/>
          </w:tcPr>
          <w:p w14:paraId="0BC5D9EC"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10.726</w:t>
            </w:r>
          </w:p>
        </w:tc>
        <w:tc>
          <w:tcPr>
            <w:tcW w:w="993" w:type="dxa"/>
            <w:noWrap/>
            <w:vAlign w:val="center"/>
            <w:hideMark/>
          </w:tcPr>
          <w:p w14:paraId="4045E66F"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10.485</w:t>
            </w:r>
          </w:p>
        </w:tc>
        <w:tc>
          <w:tcPr>
            <w:tcW w:w="850" w:type="dxa"/>
            <w:noWrap/>
            <w:vAlign w:val="center"/>
            <w:hideMark/>
          </w:tcPr>
          <w:p w14:paraId="54A616E6"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10.839</w:t>
            </w:r>
          </w:p>
        </w:tc>
        <w:tc>
          <w:tcPr>
            <w:tcW w:w="992" w:type="dxa"/>
            <w:vAlign w:val="center"/>
          </w:tcPr>
          <w:p w14:paraId="55E3330D" w14:textId="6B8EE27B" w:rsidR="004C770E" w:rsidRPr="00155028" w:rsidRDefault="004C770E" w:rsidP="004C770E">
            <w:pPr>
              <w:spacing w:before="120"/>
              <w:jc w:val="right"/>
              <w:rPr>
                <w:rFonts w:eastAsia="Times New Roman"/>
                <w:sz w:val="20"/>
                <w:lang w:eastAsia="en-GB"/>
              </w:rPr>
            </w:pPr>
            <w:r w:rsidRPr="00155028">
              <w:rPr>
                <w:rFonts w:eastAsia="Times New Roman"/>
                <w:sz w:val="20"/>
                <w:lang w:eastAsia="en-GB"/>
              </w:rPr>
              <w:t xml:space="preserve">12.118 </w:t>
            </w:r>
          </w:p>
        </w:tc>
        <w:tc>
          <w:tcPr>
            <w:tcW w:w="944" w:type="dxa"/>
            <w:vAlign w:val="center"/>
          </w:tcPr>
          <w:p w14:paraId="2F516070" w14:textId="0C7A1CEC"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10.850</w:t>
            </w:r>
          </w:p>
        </w:tc>
      </w:tr>
      <w:tr w:rsidR="00657D85" w:rsidRPr="00155028" w14:paraId="3F5BB3B8" w14:textId="1A64855E" w:rsidTr="008B3B08">
        <w:tc>
          <w:tcPr>
            <w:tcW w:w="2263" w:type="dxa"/>
            <w:vAlign w:val="center"/>
            <w:hideMark/>
          </w:tcPr>
          <w:p w14:paraId="03CBDB44" w14:textId="77777777" w:rsidR="004C770E" w:rsidRPr="00155028" w:rsidRDefault="004C770E" w:rsidP="003C239F">
            <w:pPr>
              <w:spacing w:before="120"/>
              <w:rPr>
                <w:rFonts w:eastAsia="Times New Roman"/>
                <w:b/>
                <w:sz w:val="20"/>
                <w:lang w:eastAsia="en-GB"/>
              </w:rPr>
            </w:pPr>
            <w:r w:rsidRPr="00155028">
              <w:rPr>
                <w:rFonts w:eastAsia="Times New Roman"/>
                <w:b/>
                <w:sz w:val="20"/>
                <w:lang w:eastAsia="en-GB"/>
              </w:rPr>
              <w:t>distribuciji in trgovini z živili (tone)</w:t>
            </w:r>
          </w:p>
        </w:tc>
        <w:tc>
          <w:tcPr>
            <w:tcW w:w="993" w:type="dxa"/>
            <w:noWrap/>
            <w:vAlign w:val="center"/>
            <w:hideMark/>
          </w:tcPr>
          <w:p w14:paraId="3EA780E5"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9.165</w:t>
            </w:r>
          </w:p>
        </w:tc>
        <w:tc>
          <w:tcPr>
            <w:tcW w:w="992" w:type="dxa"/>
            <w:noWrap/>
            <w:vAlign w:val="center"/>
            <w:hideMark/>
          </w:tcPr>
          <w:p w14:paraId="3B089CB7"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9.478</w:t>
            </w:r>
          </w:p>
        </w:tc>
        <w:tc>
          <w:tcPr>
            <w:tcW w:w="992" w:type="dxa"/>
            <w:noWrap/>
            <w:vAlign w:val="center"/>
            <w:hideMark/>
          </w:tcPr>
          <w:p w14:paraId="5470EE46"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12.933</w:t>
            </w:r>
          </w:p>
        </w:tc>
        <w:tc>
          <w:tcPr>
            <w:tcW w:w="992" w:type="dxa"/>
            <w:noWrap/>
            <w:vAlign w:val="center"/>
            <w:hideMark/>
          </w:tcPr>
          <w:p w14:paraId="0B71CC73"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14.492</w:t>
            </w:r>
          </w:p>
        </w:tc>
        <w:tc>
          <w:tcPr>
            <w:tcW w:w="993" w:type="dxa"/>
            <w:noWrap/>
            <w:vAlign w:val="center"/>
            <w:hideMark/>
          </w:tcPr>
          <w:p w14:paraId="27BD032A"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13.115</w:t>
            </w:r>
          </w:p>
        </w:tc>
        <w:tc>
          <w:tcPr>
            <w:tcW w:w="850" w:type="dxa"/>
            <w:noWrap/>
            <w:vAlign w:val="center"/>
            <w:hideMark/>
          </w:tcPr>
          <w:p w14:paraId="192F1C41"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13.763</w:t>
            </w:r>
          </w:p>
        </w:tc>
        <w:tc>
          <w:tcPr>
            <w:tcW w:w="992" w:type="dxa"/>
            <w:vAlign w:val="center"/>
          </w:tcPr>
          <w:p w14:paraId="55051F39" w14:textId="2AB80B57" w:rsidR="004C770E" w:rsidRPr="00155028" w:rsidRDefault="004C770E" w:rsidP="004C770E">
            <w:pPr>
              <w:spacing w:before="120"/>
              <w:jc w:val="right"/>
              <w:rPr>
                <w:rFonts w:eastAsia="Times New Roman"/>
                <w:sz w:val="20"/>
                <w:lang w:eastAsia="en-GB"/>
              </w:rPr>
            </w:pPr>
            <w:r w:rsidRPr="00155028">
              <w:rPr>
                <w:rFonts w:eastAsia="Times New Roman"/>
                <w:sz w:val="20"/>
                <w:lang w:eastAsia="en-GB"/>
              </w:rPr>
              <w:t>14.447</w:t>
            </w:r>
            <w:r w:rsidRPr="00155028">
              <w:rPr>
                <w:rFonts w:eastAsia="Times New Roman"/>
                <w:sz w:val="20"/>
                <w:lang w:eastAsia="en-GB"/>
              </w:rPr>
              <w:tab/>
            </w:r>
          </w:p>
        </w:tc>
        <w:tc>
          <w:tcPr>
            <w:tcW w:w="944" w:type="dxa"/>
            <w:vAlign w:val="center"/>
          </w:tcPr>
          <w:p w14:paraId="1D5D1FCC" w14:textId="7292BBB9"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15.290</w:t>
            </w:r>
          </w:p>
        </w:tc>
      </w:tr>
      <w:tr w:rsidR="00657D85" w:rsidRPr="00155028" w14:paraId="36CA0ED6" w14:textId="7B3D5EB6" w:rsidTr="008B3B08">
        <w:tc>
          <w:tcPr>
            <w:tcW w:w="2263" w:type="dxa"/>
            <w:vAlign w:val="center"/>
            <w:hideMark/>
          </w:tcPr>
          <w:p w14:paraId="3C0A65F9" w14:textId="77777777" w:rsidR="004C770E" w:rsidRPr="00155028" w:rsidRDefault="004C770E" w:rsidP="003C239F">
            <w:pPr>
              <w:spacing w:before="120"/>
              <w:rPr>
                <w:rFonts w:eastAsia="Times New Roman"/>
                <w:b/>
                <w:sz w:val="20"/>
                <w:lang w:eastAsia="en-GB"/>
              </w:rPr>
            </w:pPr>
            <w:r w:rsidRPr="00155028">
              <w:rPr>
                <w:rFonts w:eastAsia="Times New Roman"/>
                <w:b/>
                <w:sz w:val="20"/>
                <w:lang w:eastAsia="en-GB"/>
              </w:rPr>
              <w:t>gostinstvu in strežbi hrane (tone)</w:t>
            </w:r>
          </w:p>
        </w:tc>
        <w:tc>
          <w:tcPr>
            <w:tcW w:w="993" w:type="dxa"/>
            <w:noWrap/>
            <w:vAlign w:val="center"/>
            <w:hideMark/>
          </w:tcPr>
          <w:p w14:paraId="75F6C9E9"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38.313</w:t>
            </w:r>
          </w:p>
        </w:tc>
        <w:tc>
          <w:tcPr>
            <w:tcW w:w="992" w:type="dxa"/>
            <w:noWrap/>
            <w:vAlign w:val="center"/>
            <w:hideMark/>
          </w:tcPr>
          <w:p w14:paraId="17ACE24A"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41.348</w:t>
            </w:r>
          </w:p>
        </w:tc>
        <w:tc>
          <w:tcPr>
            <w:tcW w:w="992" w:type="dxa"/>
            <w:noWrap/>
            <w:vAlign w:val="center"/>
            <w:hideMark/>
          </w:tcPr>
          <w:p w14:paraId="5E71E0E9"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44.824</w:t>
            </w:r>
          </w:p>
        </w:tc>
        <w:tc>
          <w:tcPr>
            <w:tcW w:w="992" w:type="dxa"/>
            <w:noWrap/>
            <w:vAlign w:val="center"/>
            <w:hideMark/>
          </w:tcPr>
          <w:p w14:paraId="51CE350B"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43.899</w:t>
            </w:r>
          </w:p>
        </w:tc>
        <w:tc>
          <w:tcPr>
            <w:tcW w:w="993" w:type="dxa"/>
            <w:noWrap/>
            <w:vAlign w:val="center"/>
            <w:hideMark/>
          </w:tcPr>
          <w:p w14:paraId="6ED5BE23"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40.568</w:t>
            </w:r>
          </w:p>
        </w:tc>
        <w:tc>
          <w:tcPr>
            <w:tcW w:w="850" w:type="dxa"/>
            <w:noWrap/>
            <w:vAlign w:val="center"/>
            <w:hideMark/>
          </w:tcPr>
          <w:p w14:paraId="18EC2813"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42.071</w:t>
            </w:r>
          </w:p>
        </w:tc>
        <w:tc>
          <w:tcPr>
            <w:tcW w:w="992" w:type="dxa"/>
            <w:vAlign w:val="center"/>
          </w:tcPr>
          <w:p w14:paraId="5BCB565A" w14:textId="0614F750" w:rsidR="004C770E" w:rsidRPr="00155028" w:rsidRDefault="004C770E" w:rsidP="004C770E">
            <w:pPr>
              <w:spacing w:before="120"/>
              <w:jc w:val="right"/>
              <w:rPr>
                <w:rFonts w:eastAsia="Times New Roman"/>
                <w:sz w:val="20"/>
                <w:lang w:eastAsia="en-GB"/>
              </w:rPr>
            </w:pPr>
            <w:r w:rsidRPr="00155028">
              <w:rPr>
                <w:rFonts w:eastAsia="Times New Roman"/>
                <w:sz w:val="20"/>
                <w:lang w:eastAsia="en-GB"/>
              </w:rPr>
              <w:t>44.388</w:t>
            </w:r>
            <w:r w:rsidRPr="00155028">
              <w:rPr>
                <w:rFonts w:eastAsia="Times New Roman"/>
                <w:sz w:val="20"/>
                <w:lang w:eastAsia="en-GB"/>
              </w:rPr>
              <w:tab/>
            </w:r>
          </w:p>
        </w:tc>
        <w:tc>
          <w:tcPr>
            <w:tcW w:w="944" w:type="dxa"/>
            <w:vAlign w:val="center"/>
          </w:tcPr>
          <w:p w14:paraId="7C6777C8" w14:textId="4121EA55"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42.666</w:t>
            </w:r>
          </w:p>
        </w:tc>
      </w:tr>
      <w:tr w:rsidR="00657D85" w:rsidRPr="00155028" w14:paraId="2452B7EC" w14:textId="29073819" w:rsidTr="008B3B08">
        <w:tc>
          <w:tcPr>
            <w:tcW w:w="2263" w:type="dxa"/>
            <w:vAlign w:val="center"/>
            <w:hideMark/>
          </w:tcPr>
          <w:p w14:paraId="00A7E87C" w14:textId="77777777" w:rsidR="004C770E" w:rsidRPr="00155028" w:rsidRDefault="004C770E" w:rsidP="003C239F">
            <w:pPr>
              <w:spacing w:before="120"/>
              <w:rPr>
                <w:rFonts w:eastAsia="Times New Roman"/>
                <w:b/>
                <w:sz w:val="20"/>
                <w:lang w:eastAsia="en-GB"/>
              </w:rPr>
            </w:pPr>
            <w:r w:rsidRPr="00155028">
              <w:rPr>
                <w:rFonts w:eastAsia="Times New Roman"/>
                <w:b/>
                <w:sz w:val="20"/>
                <w:lang w:eastAsia="en-GB"/>
              </w:rPr>
              <w:t>gospodinjstvih (tone)</w:t>
            </w:r>
          </w:p>
        </w:tc>
        <w:tc>
          <w:tcPr>
            <w:tcW w:w="993" w:type="dxa"/>
            <w:noWrap/>
            <w:vAlign w:val="center"/>
            <w:hideMark/>
          </w:tcPr>
          <w:p w14:paraId="448E8E20"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63.023</w:t>
            </w:r>
          </w:p>
        </w:tc>
        <w:tc>
          <w:tcPr>
            <w:tcW w:w="992" w:type="dxa"/>
            <w:noWrap/>
            <w:vAlign w:val="center"/>
            <w:hideMark/>
          </w:tcPr>
          <w:p w14:paraId="2BEF3A7E"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64.761</w:t>
            </w:r>
          </w:p>
        </w:tc>
        <w:tc>
          <w:tcPr>
            <w:tcW w:w="992" w:type="dxa"/>
            <w:noWrap/>
            <w:vAlign w:val="center"/>
            <w:hideMark/>
          </w:tcPr>
          <w:p w14:paraId="13A3C30D"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66.141</w:t>
            </w:r>
          </w:p>
        </w:tc>
        <w:tc>
          <w:tcPr>
            <w:tcW w:w="992" w:type="dxa"/>
            <w:noWrap/>
            <w:vAlign w:val="center"/>
            <w:hideMark/>
          </w:tcPr>
          <w:p w14:paraId="0C7E83F2"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68.521</w:t>
            </w:r>
          </w:p>
        </w:tc>
        <w:tc>
          <w:tcPr>
            <w:tcW w:w="993" w:type="dxa"/>
            <w:noWrap/>
            <w:vAlign w:val="center"/>
            <w:hideMark/>
          </w:tcPr>
          <w:p w14:paraId="6C98938F"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67.594</w:t>
            </w:r>
          </w:p>
        </w:tc>
        <w:tc>
          <w:tcPr>
            <w:tcW w:w="850" w:type="dxa"/>
            <w:noWrap/>
            <w:vAlign w:val="center"/>
            <w:hideMark/>
          </w:tcPr>
          <w:p w14:paraId="3461BB14"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73.182</w:t>
            </w:r>
          </w:p>
        </w:tc>
        <w:tc>
          <w:tcPr>
            <w:tcW w:w="992" w:type="dxa"/>
            <w:vAlign w:val="center"/>
          </w:tcPr>
          <w:p w14:paraId="7BD80C2E" w14:textId="62D9E002" w:rsidR="004C770E" w:rsidRPr="00155028" w:rsidRDefault="004C770E" w:rsidP="004C770E">
            <w:pPr>
              <w:spacing w:before="120"/>
              <w:jc w:val="right"/>
              <w:rPr>
                <w:rFonts w:eastAsia="Times New Roman"/>
                <w:sz w:val="20"/>
                <w:lang w:eastAsia="en-GB"/>
              </w:rPr>
            </w:pPr>
            <w:r w:rsidRPr="00155028">
              <w:rPr>
                <w:rFonts w:eastAsia="Times New Roman"/>
                <w:sz w:val="20"/>
                <w:lang w:eastAsia="en-GB"/>
              </w:rPr>
              <w:t>69.850</w:t>
            </w:r>
            <w:r w:rsidRPr="00155028">
              <w:rPr>
                <w:rFonts w:eastAsia="Times New Roman"/>
                <w:sz w:val="20"/>
                <w:lang w:eastAsia="en-GB"/>
              </w:rPr>
              <w:tab/>
            </w:r>
          </w:p>
        </w:tc>
        <w:tc>
          <w:tcPr>
            <w:tcW w:w="944" w:type="dxa"/>
            <w:vAlign w:val="center"/>
          </w:tcPr>
          <w:p w14:paraId="14FFDCFE" w14:textId="268A6302"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74.764</w:t>
            </w:r>
          </w:p>
        </w:tc>
      </w:tr>
      <w:tr w:rsidR="009C7463" w:rsidRPr="00155028" w14:paraId="404B40B1" w14:textId="689DFA46" w:rsidTr="008B3B08">
        <w:tc>
          <w:tcPr>
            <w:tcW w:w="8075" w:type="dxa"/>
            <w:gridSpan w:val="7"/>
          </w:tcPr>
          <w:p w14:paraId="1466A16B" w14:textId="77777777" w:rsidR="009C7463" w:rsidRPr="00155028" w:rsidRDefault="009C7463" w:rsidP="00767E96">
            <w:pPr>
              <w:spacing w:before="120"/>
              <w:jc w:val="both"/>
              <w:rPr>
                <w:rFonts w:eastAsia="Times New Roman"/>
                <w:sz w:val="20"/>
                <w:lang w:eastAsia="en-GB"/>
              </w:rPr>
            </w:pPr>
            <w:r w:rsidRPr="00155028">
              <w:rPr>
                <w:rFonts w:eastAsia="Times New Roman"/>
                <w:b/>
                <w:bCs/>
                <w:sz w:val="20"/>
                <w:lang w:eastAsia="en-GB"/>
              </w:rPr>
              <w:t>Ravnanje z odpadno hrano</w:t>
            </w:r>
          </w:p>
        </w:tc>
        <w:tc>
          <w:tcPr>
            <w:tcW w:w="1936" w:type="dxa"/>
            <w:gridSpan w:val="2"/>
          </w:tcPr>
          <w:p w14:paraId="0F972B38" w14:textId="77777777" w:rsidR="009C7463" w:rsidRPr="00155028" w:rsidRDefault="009C7463" w:rsidP="00767E96">
            <w:pPr>
              <w:spacing w:before="120"/>
              <w:jc w:val="both"/>
              <w:rPr>
                <w:rFonts w:eastAsia="Times New Roman"/>
                <w:b/>
                <w:bCs/>
                <w:sz w:val="20"/>
                <w:lang w:eastAsia="en-GB"/>
              </w:rPr>
            </w:pPr>
          </w:p>
        </w:tc>
      </w:tr>
      <w:tr w:rsidR="00657D85" w:rsidRPr="00155028" w14:paraId="6040C574" w14:textId="51FE1738" w:rsidTr="008B3B08">
        <w:tc>
          <w:tcPr>
            <w:tcW w:w="2263" w:type="dxa"/>
            <w:vAlign w:val="center"/>
            <w:hideMark/>
          </w:tcPr>
          <w:p w14:paraId="21FD9055" w14:textId="77777777" w:rsidR="004C770E" w:rsidRPr="00155028" w:rsidRDefault="004C770E" w:rsidP="003C239F">
            <w:pPr>
              <w:spacing w:before="120"/>
              <w:rPr>
                <w:rFonts w:eastAsia="Times New Roman"/>
                <w:b/>
                <w:sz w:val="20"/>
                <w:lang w:eastAsia="en-GB"/>
              </w:rPr>
            </w:pPr>
            <w:r w:rsidRPr="00155028">
              <w:rPr>
                <w:rFonts w:eastAsia="Times New Roman"/>
                <w:b/>
                <w:sz w:val="20"/>
                <w:lang w:eastAsia="en-GB"/>
              </w:rPr>
              <w:t xml:space="preserve">- predelava v </w:t>
            </w:r>
            <w:proofErr w:type="spellStart"/>
            <w:r w:rsidRPr="00155028">
              <w:rPr>
                <w:rFonts w:eastAsia="Times New Roman"/>
                <w:b/>
                <w:sz w:val="20"/>
                <w:lang w:eastAsia="en-GB"/>
              </w:rPr>
              <w:t>bioplinarnah</w:t>
            </w:r>
            <w:proofErr w:type="spellEnd"/>
            <w:r w:rsidRPr="00155028">
              <w:rPr>
                <w:rFonts w:eastAsia="Times New Roman"/>
                <w:b/>
                <w:sz w:val="20"/>
                <w:lang w:eastAsia="en-GB"/>
              </w:rPr>
              <w:t xml:space="preserve"> (tone)</w:t>
            </w:r>
          </w:p>
        </w:tc>
        <w:tc>
          <w:tcPr>
            <w:tcW w:w="993" w:type="dxa"/>
            <w:noWrap/>
            <w:vAlign w:val="center"/>
            <w:hideMark/>
          </w:tcPr>
          <w:p w14:paraId="1796D20A"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41.616</w:t>
            </w:r>
          </w:p>
        </w:tc>
        <w:tc>
          <w:tcPr>
            <w:tcW w:w="992" w:type="dxa"/>
            <w:noWrap/>
            <w:vAlign w:val="center"/>
            <w:hideMark/>
          </w:tcPr>
          <w:p w14:paraId="10049636"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45.116</w:t>
            </w:r>
          </w:p>
        </w:tc>
        <w:tc>
          <w:tcPr>
            <w:tcW w:w="992" w:type="dxa"/>
            <w:noWrap/>
            <w:vAlign w:val="center"/>
            <w:hideMark/>
          </w:tcPr>
          <w:p w14:paraId="1B036186"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52.418</w:t>
            </w:r>
          </w:p>
        </w:tc>
        <w:tc>
          <w:tcPr>
            <w:tcW w:w="992" w:type="dxa"/>
            <w:noWrap/>
            <w:vAlign w:val="center"/>
            <w:hideMark/>
          </w:tcPr>
          <w:p w14:paraId="6BC1053A"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66.336</w:t>
            </w:r>
          </w:p>
        </w:tc>
        <w:tc>
          <w:tcPr>
            <w:tcW w:w="993" w:type="dxa"/>
            <w:noWrap/>
            <w:vAlign w:val="center"/>
            <w:hideMark/>
          </w:tcPr>
          <w:p w14:paraId="66F28112"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60.083</w:t>
            </w:r>
          </w:p>
        </w:tc>
        <w:tc>
          <w:tcPr>
            <w:tcW w:w="850" w:type="dxa"/>
            <w:noWrap/>
            <w:vAlign w:val="center"/>
            <w:hideMark/>
          </w:tcPr>
          <w:p w14:paraId="004E8B40"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66.255</w:t>
            </w:r>
          </w:p>
        </w:tc>
        <w:tc>
          <w:tcPr>
            <w:tcW w:w="992" w:type="dxa"/>
            <w:vAlign w:val="center"/>
          </w:tcPr>
          <w:p w14:paraId="4BD9B84B" w14:textId="2808F563" w:rsidR="004C770E" w:rsidRPr="00155028" w:rsidRDefault="004C770E" w:rsidP="004C770E">
            <w:pPr>
              <w:spacing w:before="120"/>
              <w:jc w:val="right"/>
              <w:rPr>
                <w:rFonts w:eastAsia="Times New Roman"/>
                <w:sz w:val="20"/>
                <w:lang w:eastAsia="en-GB"/>
              </w:rPr>
            </w:pPr>
            <w:r w:rsidRPr="00155028">
              <w:rPr>
                <w:rFonts w:eastAsia="Times New Roman"/>
                <w:sz w:val="20"/>
                <w:lang w:eastAsia="en-GB"/>
              </w:rPr>
              <w:t>70.123</w:t>
            </w:r>
            <w:r w:rsidRPr="00155028">
              <w:rPr>
                <w:rFonts w:eastAsia="Times New Roman"/>
                <w:sz w:val="20"/>
                <w:lang w:eastAsia="en-GB"/>
              </w:rPr>
              <w:tab/>
            </w:r>
          </w:p>
        </w:tc>
        <w:tc>
          <w:tcPr>
            <w:tcW w:w="944" w:type="dxa"/>
            <w:vAlign w:val="center"/>
          </w:tcPr>
          <w:p w14:paraId="1BCDA2A0" w14:textId="562EBC85"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66.813</w:t>
            </w:r>
          </w:p>
        </w:tc>
      </w:tr>
      <w:tr w:rsidR="00657D85" w:rsidRPr="00155028" w14:paraId="2B898595" w14:textId="162A6B12" w:rsidTr="008B3B08">
        <w:tc>
          <w:tcPr>
            <w:tcW w:w="2263" w:type="dxa"/>
            <w:vAlign w:val="center"/>
            <w:hideMark/>
          </w:tcPr>
          <w:p w14:paraId="2FE3DD9E" w14:textId="77777777" w:rsidR="004C770E" w:rsidRPr="00155028" w:rsidRDefault="004C770E" w:rsidP="003C239F">
            <w:pPr>
              <w:spacing w:before="120"/>
              <w:rPr>
                <w:rFonts w:eastAsia="Times New Roman"/>
                <w:b/>
                <w:sz w:val="20"/>
                <w:lang w:eastAsia="en-GB"/>
              </w:rPr>
            </w:pPr>
            <w:r w:rsidRPr="00155028">
              <w:rPr>
                <w:rFonts w:eastAsia="Times New Roman"/>
                <w:b/>
                <w:sz w:val="20"/>
                <w:lang w:eastAsia="en-GB"/>
              </w:rPr>
              <w:t>- predelava v kompostarnah (tone)</w:t>
            </w:r>
          </w:p>
        </w:tc>
        <w:tc>
          <w:tcPr>
            <w:tcW w:w="993" w:type="dxa"/>
            <w:noWrap/>
            <w:vAlign w:val="center"/>
            <w:hideMark/>
          </w:tcPr>
          <w:p w14:paraId="53B9BC88"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38.957</w:t>
            </w:r>
          </w:p>
        </w:tc>
        <w:tc>
          <w:tcPr>
            <w:tcW w:w="992" w:type="dxa"/>
            <w:noWrap/>
            <w:vAlign w:val="center"/>
            <w:hideMark/>
          </w:tcPr>
          <w:p w14:paraId="178287D9"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42.068</w:t>
            </w:r>
          </w:p>
        </w:tc>
        <w:tc>
          <w:tcPr>
            <w:tcW w:w="992" w:type="dxa"/>
            <w:noWrap/>
            <w:vAlign w:val="center"/>
            <w:hideMark/>
          </w:tcPr>
          <w:p w14:paraId="05A24C87"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45.148</w:t>
            </w:r>
          </w:p>
        </w:tc>
        <w:tc>
          <w:tcPr>
            <w:tcW w:w="992" w:type="dxa"/>
            <w:noWrap/>
            <w:vAlign w:val="center"/>
            <w:hideMark/>
          </w:tcPr>
          <w:p w14:paraId="3E5E8F77"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39.805</w:t>
            </w:r>
          </w:p>
        </w:tc>
        <w:tc>
          <w:tcPr>
            <w:tcW w:w="993" w:type="dxa"/>
            <w:noWrap/>
            <w:vAlign w:val="center"/>
            <w:hideMark/>
          </w:tcPr>
          <w:p w14:paraId="4CB29974"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39.578</w:t>
            </w:r>
          </w:p>
        </w:tc>
        <w:tc>
          <w:tcPr>
            <w:tcW w:w="850" w:type="dxa"/>
            <w:noWrap/>
            <w:vAlign w:val="center"/>
            <w:hideMark/>
          </w:tcPr>
          <w:p w14:paraId="7AB5CD15"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40.878</w:t>
            </w:r>
          </w:p>
        </w:tc>
        <w:tc>
          <w:tcPr>
            <w:tcW w:w="992" w:type="dxa"/>
            <w:vAlign w:val="center"/>
          </w:tcPr>
          <w:p w14:paraId="0C71D6C9" w14:textId="226A0B52" w:rsidR="004C770E" w:rsidRPr="00155028" w:rsidRDefault="004C770E" w:rsidP="004C770E">
            <w:pPr>
              <w:spacing w:before="120"/>
              <w:jc w:val="right"/>
              <w:rPr>
                <w:rFonts w:eastAsia="Times New Roman"/>
                <w:sz w:val="20"/>
                <w:lang w:eastAsia="en-GB"/>
              </w:rPr>
            </w:pPr>
            <w:r w:rsidRPr="00155028">
              <w:rPr>
                <w:rFonts w:eastAsia="Times New Roman"/>
                <w:sz w:val="20"/>
                <w:lang w:eastAsia="en-GB"/>
              </w:rPr>
              <w:t>38.614</w:t>
            </w:r>
            <w:r w:rsidRPr="00155028">
              <w:rPr>
                <w:rFonts w:eastAsia="Times New Roman"/>
                <w:sz w:val="20"/>
                <w:lang w:eastAsia="en-GB"/>
              </w:rPr>
              <w:tab/>
            </w:r>
          </w:p>
        </w:tc>
        <w:tc>
          <w:tcPr>
            <w:tcW w:w="944" w:type="dxa"/>
            <w:vAlign w:val="center"/>
          </w:tcPr>
          <w:p w14:paraId="745A47B6" w14:textId="0E55863E"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45.076</w:t>
            </w:r>
          </w:p>
        </w:tc>
      </w:tr>
      <w:tr w:rsidR="00657D85" w:rsidRPr="00155028" w14:paraId="5E5DDE96" w14:textId="2AE8BBB9" w:rsidTr="008B3B08">
        <w:tc>
          <w:tcPr>
            <w:tcW w:w="2263" w:type="dxa"/>
            <w:vAlign w:val="center"/>
            <w:hideMark/>
          </w:tcPr>
          <w:p w14:paraId="55D66EA2" w14:textId="77777777" w:rsidR="004C770E" w:rsidRPr="00155028" w:rsidRDefault="004C770E" w:rsidP="003C239F">
            <w:pPr>
              <w:spacing w:before="120"/>
              <w:rPr>
                <w:rFonts w:eastAsia="Times New Roman"/>
                <w:b/>
                <w:sz w:val="20"/>
                <w:lang w:eastAsia="en-GB"/>
              </w:rPr>
            </w:pPr>
            <w:r w:rsidRPr="00155028">
              <w:rPr>
                <w:rFonts w:eastAsia="Times New Roman"/>
                <w:b/>
                <w:sz w:val="20"/>
                <w:lang w:eastAsia="en-GB"/>
              </w:rPr>
              <w:lastRenderedPageBreak/>
              <w:t>- biološka stabilizacija v okviru MBO (tone)</w:t>
            </w:r>
          </w:p>
        </w:tc>
        <w:tc>
          <w:tcPr>
            <w:tcW w:w="993" w:type="dxa"/>
            <w:noWrap/>
            <w:vAlign w:val="center"/>
            <w:hideMark/>
          </w:tcPr>
          <w:p w14:paraId="1E5F1DF6"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10.890</w:t>
            </w:r>
          </w:p>
        </w:tc>
        <w:tc>
          <w:tcPr>
            <w:tcW w:w="992" w:type="dxa"/>
            <w:noWrap/>
            <w:vAlign w:val="center"/>
            <w:hideMark/>
          </w:tcPr>
          <w:p w14:paraId="420D296E"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26.444</w:t>
            </w:r>
          </w:p>
        </w:tc>
        <w:tc>
          <w:tcPr>
            <w:tcW w:w="992" w:type="dxa"/>
            <w:noWrap/>
            <w:vAlign w:val="center"/>
            <w:hideMark/>
          </w:tcPr>
          <w:p w14:paraId="0DFB2A3F"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28.190</w:t>
            </w:r>
          </w:p>
        </w:tc>
        <w:tc>
          <w:tcPr>
            <w:tcW w:w="992" w:type="dxa"/>
            <w:noWrap/>
            <w:vAlign w:val="center"/>
            <w:hideMark/>
          </w:tcPr>
          <w:p w14:paraId="779058B9"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29.131</w:t>
            </w:r>
          </w:p>
        </w:tc>
        <w:tc>
          <w:tcPr>
            <w:tcW w:w="993" w:type="dxa"/>
            <w:noWrap/>
            <w:vAlign w:val="center"/>
            <w:hideMark/>
          </w:tcPr>
          <w:p w14:paraId="77A8A6FE"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28.976</w:t>
            </w:r>
          </w:p>
        </w:tc>
        <w:tc>
          <w:tcPr>
            <w:tcW w:w="850" w:type="dxa"/>
            <w:noWrap/>
            <w:vAlign w:val="center"/>
            <w:hideMark/>
          </w:tcPr>
          <w:p w14:paraId="1C1B4CCC"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29.859</w:t>
            </w:r>
          </w:p>
        </w:tc>
        <w:tc>
          <w:tcPr>
            <w:tcW w:w="992" w:type="dxa"/>
            <w:vAlign w:val="center"/>
          </w:tcPr>
          <w:p w14:paraId="7FE1CBF6" w14:textId="2B64B8CA" w:rsidR="004C770E" w:rsidRPr="00155028" w:rsidRDefault="004C770E" w:rsidP="004C770E">
            <w:pPr>
              <w:spacing w:before="120"/>
              <w:jc w:val="right"/>
              <w:rPr>
                <w:rFonts w:eastAsia="Times New Roman"/>
                <w:sz w:val="20"/>
                <w:lang w:eastAsia="en-GB"/>
              </w:rPr>
            </w:pPr>
            <w:r w:rsidRPr="00155028">
              <w:rPr>
                <w:rFonts w:eastAsia="Times New Roman"/>
                <w:sz w:val="20"/>
                <w:lang w:eastAsia="en-GB"/>
              </w:rPr>
              <w:t>28.711</w:t>
            </w:r>
            <w:r w:rsidRPr="00155028">
              <w:rPr>
                <w:rFonts w:eastAsia="Times New Roman"/>
                <w:sz w:val="20"/>
                <w:lang w:eastAsia="en-GB"/>
              </w:rPr>
              <w:tab/>
            </w:r>
          </w:p>
        </w:tc>
        <w:tc>
          <w:tcPr>
            <w:tcW w:w="944" w:type="dxa"/>
            <w:vAlign w:val="center"/>
          </w:tcPr>
          <w:p w14:paraId="3D766007" w14:textId="3E0A78A4"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28.299</w:t>
            </w:r>
          </w:p>
        </w:tc>
      </w:tr>
      <w:tr w:rsidR="00657D85" w:rsidRPr="00155028" w14:paraId="37A105F1" w14:textId="05A4E9C9" w:rsidTr="008B3B08">
        <w:tc>
          <w:tcPr>
            <w:tcW w:w="2263" w:type="dxa"/>
            <w:vAlign w:val="center"/>
            <w:hideMark/>
          </w:tcPr>
          <w:p w14:paraId="52310E56" w14:textId="77777777" w:rsidR="004C770E" w:rsidRPr="00155028" w:rsidRDefault="004C770E" w:rsidP="003C239F">
            <w:pPr>
              <w:spacing w:before="120"/>
              <w:rPr>
                <w:rFonts w:eastAsia="Times New Roman"/>
                <w:b/>
                <w:sz w:val="20"/>
                <w:lang w:eastAsia="en-GB"/>
              </w:rPr>
            </w:pPr>
            <w:r w:rsidRPr="00155028">
              <w:rPr>
                <w:rFonts w:eastAsia="Times New Roman"/>
                <w:b/>
                <w:sz w:val="20"/>
                <w:lang w:eastAsia="en-GB"/>
              </w:rPr>
              <w:t>- drugo ravnanje (tone)</w:t>
            </w:r>
          </w:p>
        </w:tc>
        <w:tc>
          <w:tcPr>
            <w:tcW w:w="993" w:type="dxa"/>
            <w:noWrap/>
            <w:vAlign w:val="center"/>
            <w:hideMark/>
          </w:tcPr>
          <w:p w14:paraId="3EFFDE05"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26.987</w:t>
            </w:r>
          </w:p>
        </w:tc>
        <w:tc>
          <w:tcPr>
            <w:tcW w:w="992" w:type="dxa"/>
            <w:noWrap/>
            <w:vAlign w:val="center"/>
            <w:hideMark/>
          </w:tcPr>
          <w:p w14:paraId="78F54B6B"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11.474</w:t>
            </w:r>
          </w:p>
        </w:tc>
        <w:tc>
          <w:tcPr>
            <w:tcW w:w="992" w:type="dxa"/>
            <w:noWrap/>
            <w:vAlign w:val="center"/>
            <w:hideMark/>
          </w:tcPr>
          <w:p w14:paraId="755B2D65"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8.143</w:t>
            </w:r>
          </w:p>
        </w:tc>
        <w:tc>
          <w:tcPr>
            <w:tcW w:w="992" w:type="dxa"/>
            <w:noWrap/>
            <w:vAlign w:val="center"/>
            <w:hideMark/>
          </w:tcPr>
          <w:p w14:paraId="45E980B0"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2.366</w:t>
            </w:r>
          </w:p>
        </w:tc>
        <w:tc>
          <w:tcPr>
            <w:tcW w:w="993" w:type="dxa"/>
            <w:noWrap/>
            <w:vAlign w:val="center"/>
            <w:hideMark/>
          </w:tcPr>
          <w:p w14:paraId="29FAC9AA"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3.124</w:t>
            </w:r>
          </w:p>
        </w:tc>
        <w:tc>
          <w:tcPr>
            <w:tcW w:w="850" w:type="dxa"/>
            <w:noWrap/>
            <w:vAlign w:val="center"/>
            <w:hideMark/>
          </w:tcPr>
          <w:p w14:paraId="15173D8D" w14:textId="77777777"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2.864</w:t>
            </w:r>
          </w:p>
        </w:tc>
        <w:tc>
          <w:tcPr>
            <w:tcW w:w="992" w:type="dxa"/>
            <w:vAlign w:val="center"/>
          </w:tcPr>
          <w:p w14:paraId="10340F20" w14:textId="783F39CD" w:rsidR="004C770E" w:rsidRPr="00155028" w:rsidRDefault="004C770E" w:rsidP="004C770E">
            <w:pPr>
              <w:spacing w:before="120"/>
              <w:jc w:val="right"/>
              <w:rPr>
                <w:rFonts w:eastAsia="Times New Roman"/>
                <w:sz w:val="20"/>
                <w:lang w:eastAsia="en-GB"/>
              </w:rPr>
            </w:pPr>
            <w:r w:rsidRPr="00155028">
              <w:rPr>
                <w:rFonts w:eastAsia="Times New Roman"/>
                <w:sz w:val="20"/>
                <w:lang w:eastAsia="en-GB"/>
              </w:rPr>
              <w:t>3.355</w:t>
            </w:r>
            <w:r w:rsidRPr="00155028">
              <w:rPr>
                <w:rFonts w:eastAsia="Times New Roman"/>
                <w:sz w:val="20"/>
                <w:lang w:eastAsia="en-GB"/>
              </w:rPr>
              <w:tab/>
            </w:r>
          </w:p>
        </w:tc>
        <w:tc>
          <w:tcPr>
            <w:tcW w:w="944" w:type="dxa"/>
            <w:vAlign w:val="center"/>
          </w:tcPr>
          <w:p w14:paraId="22A96870" w14:textId="16692BF0" w:rsidR="004C770E" w:rsidRPr="00155028" w:rsidRDefault="004C770E" w:rsidP="003C239F">
            <w:pPr>
              <w:spacing w:before="120"/>
              <w:jc w:val="right"/>
              <w:rPr>
                <w:rFonts w:eastAsia="Times New Roman"/>
                <w:sz w:val="20"/>
                <w:lang w:eastAsia="en-GB"/>
              </w:rPr>
            </w:pPr>
            <w:r w:rsidRPr="00155028">
              <w:rPr>
                <w:rFonts w:eastAsia="Times New Roman"/>
                <w:sz w:val="20"/>
                <w:lang w:eastAsia="en-GB"/>
              </w:rPr>
              <w:t>3.383</w:t>
            </w:r>
          </w:p>
        </w:tc>
      </w:tr>
    </w:tbl>
    <w:p w14:paraId="68A00761" w14:textId="77777777" w:rsidR="001E6A32" w:rsidRPr="00155028" w:rsidRDefault="001E6A32" w:rsidP="001E6A32">
      <w:pPr>
        <w:autoSpaceDE w:val="0"/>
        <w:autoSpaceDN w:val="0"/>
        <w:adjustRightInd w:val="0"/>
        <w:spacing w:before="120" w:after="240" w:line="240" w:lineRule="auto"/>
        <w:contextualSpacing/>
        <w:jc w:val="both"/>
        <w:rPr>
          <w:rFonts w:eastAsia="Times New Roman"/>
          <w:i/>
          <w:sz w:val="16"/>
          <w:szCs w:val="24"/>
          <w:lang w:val="de-DE" w:eastAsia="en-GB"/>
        </w:rPr>
      </w:pPr>
      <w:proofErr w:type="spellStart"/>
      <w:r w:rsidRPr="00155028">
        <w:rPr>
          <w:rFonts w:eastAsia="Times New Roman"/>
          <w:i/>
          <w:sz w:val="16"/>
          <w:szCs w:val="24"/>
          <w:lang w:val="de-DE" w:eastAsia="en-GB"/>
        </w:rPr>
        <w:t>Vir</w:t>
      </w:r>
      <w:proofErr w:type="spellEnd"/>
      <w:r w:rsidRPr="00155028">
        <w:rPr>
          <w:rFonts w:eastAsia="Times New Roman"/>
          <w:i/>
          <w:sz w:val="16"/>
          <w:szCs w:val="24"/>
          <w:lang w:val="de-DE" w:eastAsia="en-GB"/>
        </w:rPr>
        <w:t>: SURS</w:t>
      </w:r>
    </w:p>
    <w:p w14:paraId="5E47FC50" w14:textId="77777777" w:rsidR="001E6A32" w:rsidRPr="00155028" w:rsidRDefault="001E6A32" w:rsidP="001E6A32">
      <w:pPr>
        <w:autoSpaceDE w:val="0"/>
        <w:autoSpaceDN w:val="0"/>
        <w:adjustRightInd w:val="0"/>
        <w:spacing w:before="120" w:after="240" w:line="240" w:lineRule="auto"/>
        <w:contextualSpacing/>
        <w:jc w:val="both"/>
        <w:rPr>
          <w:rFonts w:eastAsia="Times New Roman"/>
          <w:i/>
          <w:sz w:val="16"/>
          <w:szCs w:val="24"/>
          <w:lang w:val="de-DE" w:eastAsia="en-GB"/>
        </w:rPr>
      </w:pPr>
      <w:r w:rsidRPr="00155028">
        <w:rPr>
          <w:rFonts w:eastAsia="Times New Roman"/>
          <w:i/>
          <w:sz w:val="16"/>
          <w:szCs w:val="24"/>
          <w:lang w:val="de-DE" w:eastAsia="en-GB"/>
        </w:rPr>
        <w:t>*</w:t>
      </w:r>
      <w:proofErr w:type="spellStart"/>
      <w:r w:rsidRPr="00155028">
        <w:rPr>
          <w:rFonts w:eastAsia="Times New Roman"/>
          <w:i/>
          <w:sz w:val="16"/>
          <w:szCs w:val="24"/>
          <w:lang w:val="de-DE" w:eastAsia="en-GB"/>
        </w:rPr>
        <w:t>seštevki</w:t>
      </w:r>
      <w:proofErr w:type="spellEnd"/>
      <w:r w:rsidRPr="00155028">
        <w:rPr>
          <w:rFonts w:eastAsia="Times New Roman"/>
          <w:i/>
          <w:sz w:val="16"/>
          <w:szCs w:val="24"/>
          <w:lang w:val="de-DE" w:eastAsia="en-GB"/>
        </w:rPr>
        <w:t xml:space="preserve"> se </w:t>
      </w:r>
      <w:proofErr w:type="spellStart"/>
      <w:r w:rsidRPr="00155028">
        <w:rPr>
          <w:rFonts w:eastAsia="Times New Roman"/>
          <w:i/>
          <w:sz w:val="16"/>
          <w:szCs w:val="24"/>
          <w:lang w:val="de-DE" w:eastAsia="en-GB"/>
        </w:rPr>
        <w:t>zaradi</w:t>
      </w:r>
      <w:proofErr w:type="spellEnd"/>
      <w:r w:rsidRPr="00155028">
        <w:rPr>
          <w:rFonts w:eastAsia="Times New Roman"/>
          <w:i/>
          <w:sz w:val="16"/>
          <w:szCs w:val="24"/>
          <w:lang w:val="de-DE" w:eastAsia="en-GB"/>
        </w:rPr>
        <w:t xml:space="preserve"> </w:t>
      </w:r>
      <w:proofErr w:type="spellStart"/>
      <w:r w:rsidRPr="00155028">
        <w:rPr>
          <w:rFonts w:eastAsia="Times New Roman"/>
          <w:i/>
          <w:sz w:val="16"/>
          <w:szCs w:val="24"/>
          <w:lang w:val="de-DE" w:eastAsia="en-GB"/>
        </w:rPr>
        <w:t>zaokroževanja</w:t>
      </w:r>
      <w:proofErr w:type="spellEnd"/>
      <w:r w:rsidRPr="00155028">
        <w:rPr>
          <w:rFonts w:eastAsia="Times New Roman"/>
          <w:i/>
          <w:sz w:val="16"/>
          <w:szCs w:val="24"/>
          <w:lang w:val="de-DE" w:eastAsia="en-GB"/>
        </w:rPr>
        <w:t xml:space="preserve"> ne </w:t>
      </w:r>
      <w:proofErr w:type="spellStart"/>
      <w:r w:rsidRPr="00155028">
        <w:rPr>
          <w:rFonts w:eastAsia="Times New Roman"/>
          <w:i/>
          <w:sz w:val="16"/>
          <w:szCs w:val="24"/>
          <w:lang w:val="de-DE" w:eastAsia="en-GB"/>
        </w:rPr>
        <w:t>ujemajo</w:t>
      </w:r>
      <w:proofErr w:type="spellEnd"/>
    </w:p>
    <w:p w14:paraId="0AA76E5E" w14:textId="77777777" w:rsidR="001E6A32" w:rsidRPr="00155028" w:rsidRDefault="001E6A32" w:rsidP="001E6A32">
      <w:pPr>
        <w:autoSpaceDE w:val="0"/>
        <w:autoSpaceDN w:val="0"/>
        <w:adjustRightInd w:val="0"/>
        <w:spacing w:before="120" w:after="240" w:line="240" w:lineRule="auto"/>
        <w:contextualSpacing/>
        <w:jc w:val="both"/>
        <w:rPr>
          <w:rFonts w:eastAsia="Times New Roman"/>
          <w:i/>
          <w:sz w:val="16"/>
          <w:szCs w:val="24"/>
          <w:lang w:eastAsia="en-GB"/>
        </w:rPr>
      </w:pPr>
    </w:p>
    <w:p w14:paraId="5441D5CD" w14:textId="7C4F7B84" w:rsidR="001E6A32" w:rsidRPr="00155028" w:rsidRDefault="00F2337C" w:rsidP="001E6A32">
      <w:pPr>
        <w:spacing w:before="120" w:after="0" w:line="240" w:lineRule="auto"/>
        <w:jc w:val="both"/>
        <w:rPr>
          <w:rFonts w:eastAsia="Times New Roman"/>
          <w:sz w:val="20"/>
          <w:lang w:eastAsia="en-GB"/>
        </w:rPr>
      </w:pPr>
      <w:r w:rsidRPr="00155028">
        <w:rPr>
          <w:rFonts w:eastAsia="Times New Roman"/>
          <w:sz w:val="20"/>
          <w:lang w:eastAsia="en-GB"/>
        </w:rPr>
        <w:t xml:space="preserve">Za obdobje 2013-2020 je razviden trend povečevanja količin odpadne hrane v vseh členih verige. Povprečni letni indeks rasti skupnih količin odpadne hrane je 21 %, količin odpadne hrane v gospodinjstvih pa 19 %, medtem ko v Sloveniji ne beležimo bistvenega povečanja števila prebivalcev. Zaskrbljujoč je tudi indeks rasti v gostinstvu in strežbi (14 %), kar lahko pripisujemo tudi intenzivnemu porastu turistične dejavnosti v obravnavanem obdobju. Pri proizvodnji hrane (vključno s primarno) je za omenjeno obdobje indeks rasti kar 36 %. </w:t>
      </w:r>
    </w:p>
    <w:p w14:paraId="1CC923CE" w14:textId="77777777" w:rsidR="00F2337C" w:rsidRPr="00155028" w:rsidRDefault="00F2337C" w:rsidP="00F2337C">
      <w:pPr>
        <w:keepNext/>
        <w:spacing w:before="120" w:after="0" w:line="240" w:lineRule="auto"/>
        <w:jc w:val="both"/>
        <w:rPr>
          <w:rFonts w:eastAsia="Times New Roman"/>
          <w:sz w:val="20"/>
          <w:lang w:eastAsia="en-GB"/>
        </w:rPr>
      </w:pPr>
      <w:r w:rsidRPr="00155028">
        <w:rPr>
          <w:rFonts w:eastAsia="Times New Roman"/>
          <w:sz w:val="20"/>
          <w:lang w:eastAsia="en-GB"/>
        </w:rPr>
        <w:t>V  2020 je nastalo količinsko več odpadne hrane kot v 2019: v gospodinjstvih za 7 %, v distribuciji in trgovini z živili skoraj za 6 %. V letu 2020  je bilo v gostinstvu in drugih dejavnostih, kjer se streže hrana, skoraj za 4 % manj odpadne hrane, in manj je je bilo tudi v proizvodnji hrane (vključno s primarno proizvodnjo) za okoli 10 %. Ta trend lahko povežemo s pandemijo in zaprtjem nekaterih dejavnosti (gostinstvo, šole) </w:t>
      </w:r>
    </w:p>
    <w:p w14:paraId="7CB40883" w14:textId="2D0F9850" w:rsidR="001E6A32" w:rsidRPr="00155028" w:rsidRDefault="001E6A32" w:rsidP="001E6A32">
      <w:pPr>
        <w:keepNext/>
        <w:spacing w:before="120" w:after="0" w:line="240" w:lineRule="auto"/>
        <w:jc w:val="both"/>
        <w:rPr>
          <w:rFonts w:eastAsia="Times New Roman"/>
          <w:sz w:val="20"/>
          <w:lang w:eastAsia="en-GB"/>
        </w:rPr>
      </w:pPr>
    </w:p>
    <w:p w14:paraId="1A47B5D2" w14:textId="57165D5D" w:rsidR="001E6A32" w:rsidRPr="00155028" w:rsidRDefault="001E6A32" w:rsidP="001E6A32">
      <w:pPr>
        <w:keepNext/>
        <w:spacing w:before="120" w:after="0" w:line="240" w:lineRule="auto"/>
        <w:jc w:val="both"/>
        <w:rPr>
          <w:rFonts w:eastAsia="Times New Roman"/>
          <w:sz w:val="20"/>
          <w:lang w:eastAsia="en-GB"/>
        </w:rPr>
      </w:pPr>
      <w:r w:rsidRPr="00155028">
        <w:rPr>
          <w:rFonts w:eastAsia="Times New Roman"/>
          <w:sz w:val="20"/>
          <w:lang w:eastAsia="en-GB"/>
        </w:rPr>
        <w:t>V obdobju 2013 – 20</w:t>
      </w:r>
      <w:r w:rsidR="00F2337C" w:rsidRPr="00155028">
        <w:rPr>
          <w:rFonts w:eastAsia="Times New Roman"/>
          <w:sz w:val="20"/>
          <w:lang w:eastAsia="en-GB"/>
        </w:rPr>
        <w:t>20</w:t>
      </w:r>
      <w:r w:rsidRPr="00155028">
        <w:rPr>
          <w:rFonts w:eastAsia="Times New Roman"/>
          <w:sz w:val="20"/>
          <w:lang w:eastAsia="en-GB"/>
        </w:rPr>
        <w:t xml:space="preserve"> se je največja količina odpadne hrane, ki je končala v sistemu ravnanja z odpadki, predelala v </w:t>
      </w:r>
      <w:proofErr w:type="spellStart"/>
      <w:r w:rsidRPr="00155028">
        <w:rPr>
          <w:rFonts w:eastAsia="Times New Roman"/>
          <w:sz w:val="20"/>
          <w:lang w:eastAsia="en-GB"/>
        </w:rPr>
        <w:t>bioplinarnah</w:t>
      </w:r>
      <w:proofErr w:type="spellEnd"/>
      <w:r w:rsidRPr="00155028">
        <w:rPr>
          <w:rFonts w:eastAsia="Times New Roman"/>
          <w:sz w:val="20"/>
          <w:lang w:eastAsia="en-GB"/>
        </w:rPr>
        <w:t xml:space="preserve"> (več kot 4</w:t>
      </w:r>
      <w:r w:rsidR="0047638F" w:rsidRPr="00155028">
        <w:rPr>
          <w:rFonts w:eastAsia="Times New Roman"/>
          <w:sz w:val="20"/>
          <w:lang w:eastAsia="en-GB"/>
        </w:rPr>
        <w:t>6</w:t>
      </w:r>
      <w:r w:rsidRPr="00155028">
        <w:rPr>
          <w:rFonts w:eastAsia="Times New Roman"/>
          <w:sz w:val="20"/>
          <w:lang w:eastAsia="en-GB"/>
        </w:rPr>
        <w:t xml:space="preserve"> %), več kot 31 % je bilo predelane v kompostarnah, skoraj 20 % hrane je bilo pred odlaganjem biološko stabilizirano in </w:t>
      </w:r>
      <w:r w:rsidR="0047638F" w:rsidRPr="00155028">
        <w:rPr>
          <w:rFonts w:eastAsia="Times New Roman"/>
          <w:sz w:val="20"/>
          <w:lang w:eastAsia="en-GB"/>
        </w:rPr>
        <w:t>manj kot 3</w:t>
      </w:r>
      <w:r w:rsidRPr="00155028">
        <w:rPr>
          <w:rFonts w:eastAsia="Times New Roman"/>
          <w:sz w:val="20"/>
          <w:lang w:eastAsia="en-GB"/>
        </w:rPr>
        <w:t xml:space="preserve"> % se je obdelalo po drugih postopkih (</w:t>
      </w:r>
      <w:r w:rsidR="0047638F" w:rsidRPr="00155028">
        <w:rPr>
          <w:rFonts w:eastAsia="Times New Roman"/>
          <w:sz w:val="20"/>
          <w:lang w:eastAsia="en-GB"/>
        </w:rPr>
        <w:t>Tabela 12</w:t>
      </w:r>
      <w:r w:rsidRPr="00155028">
        <w:rPr>
          <w:rFonts w:eastAsia="Times New Roman"/>
          <w:sz w:val="20"/>
          <w:lang w:eastAsia="en-GB"/>
        </w:rPr>
        <w:t xml:space="preserve">). </w:t>
      </w:r>
    </w:p>
    <w:p w14:paraId="4C17056A" w14:textId="0B30CC9A" w:rsidR="001E6A32" w:rsidRPr="00155028" w:rsidRDefault="001E6A32" w:rsidP="001E6A32">
      <w:pPr>
        <w:keepNext/>
        <w:spacing w:before="120" w:after="0" w:line="240" w:lineRule="auto"/>
        <w:jc w:val="both"/>
        <w:rPr>
          <w:rFonts w:eastAsia="Times New Roman"/>
          <w:sz w:val="20"/>
          <w:lang w:eastAsia="en-GB"/>
        </w:rPr>
      </w:pPr>
      <w:r w:rsidRPr="00155028">
        <w:rPr>
          <w:rFonts w:eastAsia="Times New Roman"/>
          <w:sz w:val="20"/>
          <w:lang w:eastAsia="en-GB"/>
        </w:rPr>
        <w:t>Kljub temu, da v Sloveniji spremljamo količine odpadne hrane</w:t>
      </w:r>
      <w:r w:rsidR="00A40E49">
        <w:rPr>
          <w:rFonts w:eastAsia="Times New Roman"/>
          <w:sz w:val="20"/>
          <w:lang w:eastAsia="en-GB"/>
        </w:rPr>
        <w:t xml:space="preserve"> </w:t>
      </w:r>
      <w:r w:rsidR="00A40E49" w:rsidRPr="00BC09ED">
        <w:rPr>
          <w:rFonts w:eastAsia="Times New Roman"/>
          <w:sz w:val="20"/>
          <w:lang w:eastAsia="en-GB"/>
        </w:rPr>
        <w:t xml:space="preserve">skladno z EU metodologijo (Delegiran sklep Komisije (EU) 2019/1597 z dne 3. maja 2019 o dopolnitvi Direktive 2008/98/ES Evropskega parlamenta in Sveta v zvezi s skupno metodologijo in minimalnimi zahtevami glede kakovosti, da se zagotovi enotno merjenje stopenj odpadne hrane, </w:t>
      </w:r>
      <w:proofErr w:type="spellStart"/>
      <w:r w:rsidR="00A40E49" w:rsidRPr="00BC09ED">
        <w:rPr>
          <w:rFonts w:eastAsia="Times New Roman"/>
          <w:sz w:val="20"/>
          <w:lang w:eastAsia="en-GB"/>
        </w:rPr>
        <w:t>Ur.L</w:t>
      </w:r>
      <w:proofErr w:type="spellEnd"/>
      <w:r w:rsidR="00A40E49" w:rsidRPr="00BC09ED">
        <w:rPr>
          <w:rFonts w:eastAsia="Times New Roman"/>
          <w:sz w:val="20"/>
          <w:lang w:eastAsia="en-GB"/>
        </w:rPr>
        <w:t xml:space="preserve"> EU 248, </w:t>
      </w:r>
      <w:proofErr w:type="spellStart"/>
      <w:r w:rsidR="00A40E49" w:rsidRPr="00BC09ED">
        <w:rPr>
          <w:rFonts w:eastAsia="Times New Roman"/>
          <w:sz w:val="20"/>
          <w:lang w:eastAsia="en-GB"/>
        </w:rPr>
        <w:t>str</w:t>
      </w:r>
      <w:proofErr w:type="spellEnd"/>
      <w:r w:rsidR="00A40E49" w:rsidRPr="00BC09ED">
        <w:rPr>
          <w:rFonts w:eastAsia="Times New Roman"/>
          <w:sz w:val="20"/>
          <w:lang w:eastAsia="en-GB"/>
        </w:rPr>
        <w:t xml:space="preserve"> 77)</w:t>
      </w:r>
      <w:r w:rsidRPr="00155028">
        <w:rPr>
          <w:rFonts w:eastAsia="Times New Roman"/>
          <w:sz w:val="20"/>
          <w:lang w:eastAsia="en-GB"/>
        </w:rPr>
        <w:t xml:space="preserve">, bo </w:t>
      </w:r>
      <w:r w:rsidR="00A40E49" w:rsidRPr="00A40E49">
        <w:rPr>
          <w:rFonts w:eastAsia="Times New Roman"/>
          <w:sz w:val="20"/>
          <w:lang w:eastAsia="en-GB"/>
        </w:rPr>
        <w:t xml:space="preserve">treba metodologijo nadgraditi, da bi poleg spremljanja količine nastale odpadne hrane omogočila tudi spremljanje vrste nastale odpadne hrane. </w:t>
      </w:r>
    </w:p>
    <w:p w14:paraId="2A37A254" w14:textId="1CAF52B4" w:rsidR="001E6A32" w:rsidRPr="00155028" w:rsidRDefault="001E6A32" w:rsidP="001E6A32">
      <w:pPr>
        <w:keepNext/>
        <w:spacing w:before="120" w:after="0" w:line="240" w:lineRule="auto"/>
        <w:jc w:val="both"/>
        <w:rPr>
          <w:rFonts w:eastAsia="Times New Roman"/>
          <w:sz w:val="20"/>
          <w:lang w:eastAsia="en-GB"/>
        </w:rPr>
      </w:pPr>
      <w:r w:rsidRPr="00155028">
        <w:rPr>
          <w:rFonts w:eastAsia="Times New Roman"/>
          <w:sz w:val="20"/>
          <w:lang w:eastAsia="en-GB"/>
        </w:rPr>
        <w:t xml:space="preserve">MKGP osvešča in vzpodbuja javne zavode, da v okviru zelenega javnega naročanja dajejo pozornost lokalni in trajnostno pridelani hrani, saj s tem lahko prispevajo </w:t>
      </w:r>
      <w:r w:rsidR="0047638F" w:rsidRPr="00155028">
        <w:rPr>
          <w:rFonts w:eastAsia="Times New Roman"/>
          <w:sz w:val="20"/>
          <w:lang w:eastAsia="en-GB"/>
        </w:rPr>
        <w:t xml:space="preserve">tudi </w:t>
      </w:r>
      <w:r w:rsidRPr="00155028">
        <w:rPr>
          <w:rFonts w:eastAsia="Times New Roman"/>
          <w:sz w:val="20"/>
          <w:lang w:eastAsia="en-GB"/>
        </w:rPr>
        <w:t>k trajnostni porabi.</w:t>
      </w:r>
      <w:r w:rsidRPr="00155028">
        <w:rPr>
          <w:sz w:val="20"/>
        </w:rPr>
        <w:t xml:space="preserve"> Kratka transportna pot je pogoj za visoko kakovost z ohranjanjem hranilnih snovi in svežine pridelkov in živil ter v osnovi močno zmanjša potencial za nastajanje odpadkov zaradi transportnih izgub in zavrnjenih serij.</w:t>
      </w:r>
      <w:r w:rsidRPr="00155028">
        <w:rPr>
          <w:rFonts w:eastAsia="Times New Roman"/>
          <w:sz w:val="20"/>
          <w:lang w:eastAsia="en-GB"/>
        </w:rPr>
        <w:t xml:space="preserve"> V okviru Šolske sheme sadja in mleka ter projekta Tradicionalni slovenski zajtrk, je izobraževalna tema za otroke in organizatorje prehrane tudi zmanjševanje izgub in odpadne hrane. Potrošnike skozi različne informativne digitalne kanale platforme - Naša super hrana - osveščamo o rokih trajanja hrane (uporabno do/porabiti najmanj do), ter kako lahko v vsakdanjem življenju zmanjšajo količino odpadne hrane.</w:t>
      </w:r>
    </w:p>
    <w:p w14:paraId="335B3CCB" w14:textId="34555124" w:rsidR="001E6A32" w:rsidRPr="00155028" w:rsidRDefault="0047638F" w:rsidP="001E6A32">
      <w:pPr>
        <w:keepNext/>
        <w:spacing w:before="120" w:after="0" w:line="240" w:lineRule="auto"/>
        <w:jc w:val="both"/>
        <w:rPr>
          <w:rFonts w:eastAsia="Times New Roman"/>
          <w:sz w:val="20"/>
          <w:lang w:eastAsia="en-GB"/>
        </w:rPr>
      </w:pPr>
      <w:r w:rsidRPr="00155028">
        <w:rPr>
          <w:rFonts w:eastAsia="Times New Roman"/>
          <w:sz w:val="20"/>
          <w:lang w:eastAsia="en-GB"/>
        </w:rPr>
        <w:t xml:space="preserve">S strategijo o manj izgubah in odpadni hrani v verigi preskrbe s hrano: »Spoštujmo hrano, spoštujmo planet«, ki je v pripravi, se naslavlja vse člene verige preskrbe s hrano. </w:t>
      </w:r>
    </w:p>
    <w:p w14:paraId="4E380E23" w14:textId="77777777" w:rsidR="001E6A32" w:rsidRPr="00155028" w:rsidRDefault="001E6A32" w:rsidP="001E6A32">
      <w:pPr>
        <w:spacing w:before="120" w:after="0" w:line="240" w:lineRule="auto"/>
        <w:jc w:val="both"/>
        <w:rPr>
          <w:rFonts w:eastAsia="Times New Roman"/>
          <w:sz w:val="20"/>
          <w:shd w:val="clear" w:color="auto" w:fill="FFFFFF"/>
          <w:lang w:eastAsia="en-GB"/>
        </w:rPr>
      </w:pPr>
      <w:r w:rsidRPr="00155028">
        <w:rPr>
          <w:rFonts w:eastAsia="Times New Roman"/>
          <w:sz w:val="20"/>
          <w:shd w:val="clear" w:color="auto" w:fill="FFFFFF"/>
          <w:lang w:eastAsia="en-GB"/>
        </w:rPr>
        <w:t xml:space="preserve">Z namenom preprečevanja nastajanja živil, ki bi postala odpadek velja od 2017 davčna olajšava za podjetja, ki </w:t>
      </w:r>
      <w:proofErr w:type="spellStart"/>
      <w:r w:rsidRPr="00155028">
        <w:rPr>
          <w:rFonts w:eastAsia="Times New Roman"/>
          <w:sz w:val="20"/>
          <w:shd w:val="clear" w:color="auto" w:fill="FFFFFF"/>
          <w:lang w:eastAsia="en-GB"/>
        </w:rPr>
        <w:t>donirajo</w:t>
      </w:r>
      <w:proofErr w:type="spellEnd"/>
      <w:r w:rsidRPr="00155028">
        <w:rPr>
          <w:rFonts w:eastAsia="Times New Roman"/>
          <w:sz w:val="20"/>
          <w:shd w:val="clear" w:color="auto" w:fill="FFFFFF"/>
          <w:lang w:eastAsia="en-GB"/>
        </w:rPr>
        <w:t xml:space="preserve"> hrano, ki izpolnjuje pogoje za </w:t>
      </w:r>
      <w:proofErr w:type="spellStart"/>
      <w:r w:rsidRPr="00155028">
        <w:rPr>
          <w:rFonts w:eastAsia="Times New Roman"/>
          <w:sz w:val="20"/>
          <w:shd w:val="clear" w:color="auto" w:fill="FFFFFF"/>
          <w:lang w:eastAsia="en-GB"/>
        </w:rPr>
        <w:t>doniranje</w:t>
      </w:r>
      <w:proofErr w:type="spellEnd"/>
      <w:r w:rsidRPr="00155028">
        <w:rPr>
          <w:rFonts w:eastAsia="Times New Roman"/>
          <w:sz w:val="20"/>
          <w:shd w:val="clear" w:color="auto" w:fill="FFFFFF"/>
          <w:lang w:eastAsia="en-GB"/>
        </w:rPr>
        <w:t xml:space="preserve"> hrane (Pravilnik o izvajanju Zakona o davku na dodano vrednost (Uradni list RS, št. 141/06, 52/07, 120/07, 21/08, 123/08, 105/09, 27/10, 104/10, 110/10, 82/11, 106/11, 108/11, 102/12, 54/13, 85/14, 95/14, 39/16, 45/16, 86/16, 50/17, 84/18 in 77/19). Pravilnik navaja, da  je lastna cena oziroma nabavna cena blaga za </w:t>
      </w:r>
      <w:proofErr w:type="spellStart"/>
      <w:r w:rsidRPr="00155028">
        <w:rPr>
          <w:rFonts w:eastAsia="Times New Roman"/>
          <w:sz w:val="20"/>
          <w:shd w:val="clear" w:color="auto" w:fill="FFFFFF"/>
          <w:lang w:eastAsia="en-GB"/>
        </w:rPr>
        <w:t>donirano</w:t>
      </w:r>
      <w:proofErr w:type="spellEnd"/>
      <w:r w:rsidRPr="00155028">
        <w:rPr>
          <w:rFonts w:eastAsia="Times New Roman"/>
          <w:sz w:val="20"/>
          <w:shd w:val="clear" w:color="auto" w:fill="FFFFFF"/>
          <w:lang w:eastAsia="en-GB"/>
        </w:rPr>
        <w:t xml:space="preserve"> hrano, ki izpolnjuje pogoje za </w:t>
      </w:r>
      <w:proofErr w:type="spellStart"/>
      <w:r w:rsidRPr="00155028">
        <w:rPr>
          <w:rFonts w:eastAsia="Times New Roman"/>
          <w:sz w:val="20"/>
          <w:shd w:val="clear" w:color="auto" w:fill="FFFFFF"/>
          <w:lang w:eastAsia="en-GB"/>
        </w:rPr>
        <w:t>doniranje</w:t>
      </w:r>
      <w:proofErr w:type="spellEnd"/>
      <w:r w:rsidRPr="00155028">
        <w:rPr>
          <w:rFonts w:eastAsia="Times New Roman"/>
          <w:sz w:val="20"/>
          <w:shd w:val="clear" w:color="auto" w:fill="FFFFFF"/>
          <w:lang w:eastAsia="en-GB"/>
        </w:rPr>
        <w:t xml:space="preserve"> hrane po predpisih, ki urejajo kmetijstvo, enaka 0, če skupna vrednost </w:t>
      </w:r>
      <w:proofErr w:type="spellStart"/>
      <w:r w:rsidRPr="00155028">
        <w:rPr>
          <w:rFonts w:eastAsia="Times New Roman"/>
          <w:sz w:val="20"/>
          <w:shd w:val="clear" w:color="auto" w:fill="FFFFFF"/>
          <w:lang w:eastAsia="en-GB"/>
        </w:rPr>
        <w:t>donirane</w:t>
      </w:r>
      <w:proofErr w:type="spellEnd"/>
      <w:r w:rsidRPr="00155028">
        <w:rPr>
          <w:rFonts w:eastAsia="Times New Roman"/>
          <w:sz w:val="20"/>
          <w:shd w:val="clear" w:color="auto" w:fill="FFFFFF"/>
          <w:lang w:eastAsia="en-GB"/>
        </w:rPr>
        <w:t xml:space="preserve"> hrane davčnega zavezanca, ki </w:t>
      </w:r>
      <w:proofErr w:type="spellStart"/>
      <w:r w:rsidRPr="00155028">
        <w:rPr>
          <w:rFonts w:eastAsia="Times New Roman"/>
          <w:sz w:val="20"/>
          <w:shd w:val="clear" w:color="auto" w:fill="FFFFFF"/>
          <w:lang w:eastAsia="en-GB"/>
        </w:rPr>
        <w:t>donira</w:t>
      </w:r>
      <w:proofErr w:type="spellEnd"/>
      <w:r w:rsidRPr="00155028">
        <w:rPr>
          <w:rFonts w:eastAsia="Times New Roman"/>
          <w:sz w:val="20"/>
          <w:shd w:val="clear" w:color="auto" w:fill="FFFFFF"/>
          <w:lang w:eastAsia="en-GB"/>
        </w:rPr>
        <w:t xml:space="preserve"> hrano v tekočem letu, ne presega 2 % prihodkov, ugotovljenih po računovodskih predpisih za zadnje poslovno leto, zaključeno pred tekočim letom. Pri davčnem zavezancu, ki šele začne poslovati, ali davčnem zavezancu, ki v zadnjem poslovnem letu ni imel prihodkov, skupna vrednost </w:t>
      </w:r>
      <w:proofErr w:type="spellStart"/>
      <w:r w:rsidRPr="00155028">
        <w:rPr>
          <w:rFonts w:eastAsia="Times New Roman"/>
          <w:sz w:val="20"/>
          <w:shd w:val="clear" w:color="auto" w:fill="FFFFFF"/>
          <w:lang w:eastAsia="en-GB"/>
        </w:rPr>
        <w:t>donirane</w:t>
      </w:r>
      <w:proofErr w:type="spellEnd"/>
      <w:r w:rsidRPr="00155028">
        <w:rPr>
          <w:rFonts w:eastAsia="Times New Roman"/>
          <w:sz w:val="20"/>
          <w:shd w:val="clear" w:color="auto" w:fill="FFFFFF"/>
          <w:lang w:eastAsia="en-GB"/>
        </w:rPr>
        <w:t xml:space="preserve"> hrane tega davčnega zavezanca v tekočem letu ne sme presegati 2 % prihodkov, ki jih izračuna v odvisnosti od obsega pričakovanih poslov v tekočem poslovnem letu.</w:t>
      </w:r>
    </w:p>
    <w:p w14:paraId="6A6C69A0" w14:textId="4816B090" w:rsidR="00C76DA8" w:rsidRPr="00155028" w:rsidRDefault="001E6A32" w:rsidP="00C76DA8">
      <w:pPr>
        <w:spacing w:before="120" w:after="0" w:line="240" w:lineRule="auto"/>
        <w:jc w:val="both"/>
        <w:rPr>
          <w:rFonts w:eastAsia="Times New Roman"/>
          <w:sz w:val="20"/>
          <w:shd w:val="clear" w:color="auto" w:fill="FFFFFF"/>
          <w:lang w:eastAsia="en-GB"/>
        </w:rPr>
      </w:pPr>
      <w:r w:rsidRPr="00155028">
        <w:rPr>
          <w:rFonts w:eastAsia="Times New Roman"/>
          <w:sz w:val="20"/>
          <w:shd w:val="clear" w:color="auto" w:fill="FFFFFF"/>
          <w:lang w:eastAsia="en-GB"/>
        </w:rPr>
        <w:t>Prav tako je od 2017 v skladu z Zakonom o kmetijstvu</w:t>
      </w:r>
      <w:r w:rsidRPr="00155028">
        <w:rPr>
          <w:rFonts w:eastAsia="Calibri"/>
          <w:b/>
          <w:bCs/>
          <w:color w:val="626060"/>
          <w:sz w:val="18"/>
          <w:szCs w:val="18"/>
          <w:shd w:val="clear" w:color="auto" w:fill="FFFFFF"/>
        </w:rPr>
        <w:t xml:space="preserve"> </w:t>
      </w:r>
      <w:r w:rsidRPr="00155028">
        <w:rPr>
          <w:rFonts w:eastAsia="Times New Roman"/>
          <w:sz w:val="20"/>
          <w:shd w:val="clear" w:color="auto" w:fill="FFFFFF"/>
          <w:lang w:eastAsia="en-GB"/>
        </w:rPr>
        <w:t>(Uradni list RS, št. </w:t>
      </w:r>
      <w:hyperlink r:id="rId45" w:tgtFrame="_blank" w:tooltip="Zakon o kmetijstvu (ZKme-1)" w:history="1">
        <w:r w:rsidRPr="00155028">
          <w:rPr>
            <w:rFonts w:eastAsia="Times New Roman"/>
            <w:color w:val="0000FF"/>
            <w:sz w:val="20"/>
            <w:u w:val="single"/>
            <w:shd w:val="clear" w:color="auto" w:fill="FFFFFF"/>
            <w:lang w:eastAsia="en-GB"/>
          </w:rPr>
          <w:t>45/08</w:t>
        </w:r>
      </w:hyperlink>
      <w:r w:rsidRPr="00155028">
        <w:rPr>
          <w:rFonts w:eastAsia="Times New Roman"/>
          <w:sz w:val="20"/>
          <w:shd w:val="clear" w:color="auto" w:fill="FFFFFF"/>
          <w:lang w:eastAsia="en-GB"/>
        </w:rPr>
        <w:t>, </w:t>
      </w:r>
      <w:hyperlink r:id="rId46" w:tgtFrame="_blank" w:tooltip="Zakon o spremembah in dopolnitvah Zakona o kmetijstvu" w:history="1">
        <w:r w:rsidRPr="00155028">
          <w:rPr>
            <w:rFonts w:eastAsia="Times New Roman"/>
            <w:color w:val="0000FF"/>
            <w:sz w:val="20"/>
            <w:u w:val="single"/>
            <w:shd w:val="clear" w:color="auto" w:fill="FFFFFF"/>
            <w:lang w:eastAsia="en-GB"/>
          </w:rPr>
          <w:t>57/12</w:t>
        </w:r>
      </w:hyperlink>
      <w:r w:rsidRPr="00155028">
        <w:rPr>
          <w:rFonts w:eastAsia="Times New Roman"/>
          <w:sz w:val="20"/>
          <w:shd w:val="clear" w:color="auto" w:fill="FFFFFF"/>
          <w:lang w:eastAsia="en-GB"/>
        </w:rPr>
        <w:t>, </w:t>
      </w:r>
      <w:hyperlink r:id="rId47" w:tgtFrame="_blank" w:tooltip="Zakon o spremembah in dopolnitvah določenih zakonov na področju varne hrane, veterinarstva in varstva rastlin" w:history="1">
        <w:r w:rsidRPr="00155028">
          <w:rPr>
            <w:rFonts w:eastAsia="Times New Roman"/>
            <w:color w:val="0000FF"/>
            <w:sz w:val="20"/>
            <w:u w:val="single"/>
            <w:shd w:val="clear" w:color="auto" w:fill="FFFFFF"/>
            <w:lang w:eastAsia="en-GB"/>
          </w:rPr>
          <w:t>90/12</w:t>
        </w:r>
      </w:hyperlink>
      <w:r w:rsidRPr="00155028">
        <w:rPr>
          <w:rFonts w:eastAsia="Times New Roman"/>
          <w:sz w:val="20"/>
          <w:shd w:val="clear" w:color="auto" w:fill="FFFFFF"/>
          <w:lang w:eastAsia="en-GB"/>
        </w:rPr>
        <w:t xml:space="preserve"> – </w:t>
      </w:r>
      <w:proofErr w:type="spellStart"/>
      <w:r w:rsidRPr="00155028">
        <w:rPr>
          <w:rFonts w:eastAsia="Times New Roman"/>
          <w:sz w:val="20"/>
          <w:shd w:val="clear" w:color="auto" w:fill="FFFFFF"/>
          <w:lang w:eastAsia="en-GB"/>
        </w:rPr>
        <w:t>ZdZPVHVVR</w:t>
      </w:r>
      <w:proofErr w:type="spellEnd"/>
      <w:r w:rsidRPr="00155028">
        <w:rPr>
          <w:rFonts w:eastAsia="Times New Roman"/>
          <w:sz w:val="20"/>
          <w:shd w:val="clear" w:color="auto" w:fill="FFFFFF"/>
          <w:lang w:eastAsia="en-GB"/>
        </w:rPr>
        <w:t>, </w:t>
      </w:r>
      <w:hyperlink r:id="rId48" w:tgtFrame="_blank" w:tooltip="Zakon o spremembah in dopolnitvah Zakona o kmetijstvu" w:history="1">
        <w:r w:rsidRPr="00155028">
          <w:rPr>
            <w:rFonts w:eastAsia="Times New Roman"/>
            <w:color w:val="0000FF"/>
            <w:sz w:val="20"/>
            <w:u w:val="single"/>
            <w:shd w:val="clear" w:color="auto" w:fill="FFFFFF"/>
            <w:lang w:eastAsia="en-GB"/>
          </w:rPr>
          <w:t>26/14</w:t>
        </w:r>
      </w:hyperlink>
      <w:r w:rsidRPr="00155028">
        <w:rPr>
          <w:rFonts w:eastAsia="Times New Roman"/>
          <w:sz w:val="20"/>
          <w:shd w:val="clear" w:color="auto" w:fill="FFFFFF"/>
          <w:lang w:eastAsia="en-GB"/>
        </w:rPr>
        <w:t>, </w:t>
      </w:r>
      <w:hyperlink r:id="rId49" w:tgtFrame="_blank" w:tooltip="Zakon o spremembi Zakona o kmetijstvu" w:history="1">
        <w:r w:rsidRPr="00155028">
          <w:rPr>
            <w:rFonts w:eastAsia="Times New Roman"/>
            <w:color w:val="0000FF"/>
            <w:sz w:val="20"/>
            <w:u w:val="single"/>
            <w:shd w:val="clear" w:color="auto" w:fill="FFFFFF"/>
            <w:lang w:eastAsia="en-GB"/>
          </w:rPr>
          <w:t>32/15</w:t>
        </w:r>
      </w:hyperlink>
      <w:r w:rsidRPr="00155028">
        <w:rPr>
          <w:rFonts w:eastAsia="Times New Roman"/>
          <w:sz w:val="20"/>
          <w:shd w:val="clear" w:color="auto" w:fill="FFFFFF"/>
          <w:lang w:eastAsia="en-GB"/>
        </w:rPr>
        <w:t>, </w:t>
      </w:r>
      <w:hyperlink r:id="rId50" w:tgtFrame="_blank" w:tooltip="Zakon o spremembah in dopolnitvah Zakona o kmetijstvu" w:history="1">
        <w:r w:rsidRPr="00155028">
          <w:rPr>
            <w:rFonts w:eastAsia="Times New Roman"/>
            <w:color w:val="0000FF"/>
            <w:sz w:val="20"/>
            <w:u w:val="single"/>
            <w:shd w:val="clear" w:color="auto" w:fill="FFFFFF"/>
            <w:lang w:eastAsia="en-GB"/>
          </w:rPr>
          <w:t>27/17</w:t>
        </w:r>
      </w:hyperlink>
      <w:r w:rsidRPr="00155028">
        <w:rPr>
          <w:rFonts w:eastAsia="Times New Roman"/>
          <w:sz w:val="20"/>
          <w:shd w:val="clear" w:color="auto" w:fill="FFFFFF"/>
          <w:lang w:eastAsia="en-GB"/>
        </w:rPr>
        <w:t> in </w:t>
      </w:r>
      <w:hyperlink r:id="rId51" w:tgtFrame="_blank" w:tooltip="Zakon o spremembah in dopolnitvah Zakona o kmetijstvu" w:history="1">
        <w:r w:rsidRPr="00155028">
          <w:rPr>
            <w:rFonts w:eastAsia="Times New Roman"/>
            <w:color w:val="0000FF"/>
            <w:sz w:val="20"/>
            <w:u w:val="single"/>
            <w:shd w:val="clear" w:color="auto" w:fill="FFFFFF"/>
            <w:lang w:eastAsia="en-GB"/>
          </w:rPr>
          <w:t>22/18</w:t>
        </w:r>
      </w:hyperlink>
      <w:r w:rsidRPr="00155028">
        <w:rPr>
          <w:rFonts w:eastAsia="Times New Roman"/>
          <w:sz w:val="20"/>
          <w:shd w:val="clear" w:color="auto" w:fill="FFFFFF"/>
          <w:lang w:eastAsia="en-GB"/>
        </w:rPr>
        <w:t>)</w:t>
      </w:r>
      <w:r w:rsidRPr="00155028">
        <w:rPr>
          <w:rFonts w:eastAsia="Times New Roman"/>
          <w:b/>
          <w:bCs/>
          <w:sz w:val="20"/>
          <w:shd w:val="clear" w:color="auto" w:fill="FFFFFF"/>
          <w:lang w:eastAsia="en-GB"/>
        </w:rPr>
        <w:t xml:space="preserve"> </w:t>
      </w:r>
      <w:r w:rsidRPr="00155028">
        <w:rPr>
          <w:rFonts w:eastAsia="Times New Roman"/>
          <w:sz w:val="20"/>
          <w:shd w:val="clear" w:color="auto" w:fill="FFFFFF"/>
          <w:lang w:eastAsia="en-GB"/>
        </w:rPr>
        <w:t xml:space="preserve">možno sofinancirati nabavo tehnične opreme za potrebe </w:t>
      </w:r>
      <w:proofErr w:type="spellStart"/>
      <w:r w:rsidRPr="00155028">
        <w:rPr>
          <w:rFonts w:eastAsia="Times New Roman"/>
          <w:sz w:val="20"/>
          <w:shd w:val="clear" w:color="auto" w:fill="FFFFFF"/>
          <w:lang w:eastAsia="en-GB"/>
        </w:rPr>
        <w:t>donirane</w:t>
      </w:r>
      <w:proofErr w:type="spellEnd"/>
      <w:r w:rsidRPr="00155028">
        <w:rPr>
          <w:rFonts w:eastAsia="Times New Roman"/>
          <w:sz w:val="20"/>
          <w:shd w:val="clear" w:color="auto" w:fill="FFFFFF"/>
          <w:lang w:eastAsia="en-GB"/>
        </w:rPr>
        <w:t xml:space="preserve"> hrane. V Sloveniji se po podatkih Slovenske Karitas, Zveze </w:t>
      </w:r>
      <w:proofErr w:type="spellStart"/>
      <w:r w:rsidRPr="00155028">
        <w:rPr>
          <w:rFonts w:eastAsia="Times New Roman"/>
          <w:sz w:val="20"/>
          <w:shd w:val="clear" w:color="auto" w:fill="FFFFFF"/>
          <w:lang w:eastAsia="en-GB"/>
        </w:rPr>
        <w:t>Lions</w:t>
      </w:r>
      <w:proofErr w:type="spellEnd"/>
      <w:r w:rsidRPr="00155028">
        <w:rPr>
          <w:rFonts w:eastAsia="Times New Roman"/>
          <w:sz w:val="20"/>
          <w:shd w:val="clear" w:color="auto" w:fill="FFFFFF"/>
          <w:lang w:eastAsia="en-GB"/>
        </w:rPr>
        <w:t xml:space="preserve"> klubov D-129 Slovenija, </w:t>
      </w:r>
      <w:r w:rsidRPr="00155028">
        <w:rPr>
          <w:rFonts w:eastAsia="Times New Roman"/>
          <w:sz w:val="20"/>
          <w:shd w:val="clear" w:color="auto" w:fill="FFFFFF"/>
          <w:lang w:eastAsia="en-GB"/>
        </w:rPr>
        <w:lastRenderedPageBreak/>
        <w:t>Rdečega križa Slovenije in Slovenske filantropije na leto razdeli okoli 1.</w:t>
      </w:r>
      <w:r w:rsidR="0047638F" w:rsidRPr="00155028">
        <w:rPr>
          <w:rFonts w:eastAsia="Times New Roman"/>
          <w:sz w:val="20"/>
          <w:shd w:val="clear" w:color="auto" w:fill="FFFFFF"/>
          <w:lang w:eastAsia="en-GB"/>
        </w:rPr>
        <w:t>4</w:t>
      </w:r>
      <w:r w:rsidRPr="00155028">
        <w:rPr>
          <w:rFonts w:eastAsia="Times New Roman"/>
          <w:sz w:val="20"/>
          <w:shd w:val="clear" w:color="auto" w:fill="FFFFFF"/>
          <w:lang w:eastAsia="en-GB"/>
        </w:rPr>
        <w:t xml:space="preserve">00 ton hrane, ki jo </w:t>
      </w:r>
      <w:proofErr w:type="spellStart"/>
      <w:r w:rsidRPr="00155028">
        <w:rPr>
          <w:rFonts w:eastAsia="Times New Roman"/>
          <w:sz w:val="20"/>
          <w:shd w:val="clear" w:color="auto" w:fill="FFFFFF"/>
          <w:lang w:eastAsia="en-GB"/>
        </w:rPr>
        <w:t>donirajo</w:t>
      </w:r>
      <w:proofErr w:type="spellEnd"/>
      <w:r w:rsidRPr="00155028">
        <w:rPr>
          <w:rFonts w:eastAsia="Times New Roman"/>
          <w:sz w:val="20"/>
          <w:shd w:val="clear" w:color="auto" w:fill="FFFFFF"/>
          <w:lang w:eastAsia="en-GB"/>
        </w:rPr>
        <w:t xml:space="preserve"> trgovske družbe in gostišča, restavracije. </w:t>
      </w:r>
    </w:p>
    <w:p w14:paraId="06395E9B" w14:textId="61EF131C" w:rsidR="00FB28FA" w:rsidRPr="00155028" w:rsidRDefault="00FB28FA" w:rsidP="00C76DA8">
      <w:pPr>
        <w:spacing w:before="120" w:after="0" w:line="240" w:lineRule="auto"/>
        <w:jc w:val="both"/>
        <w:rPr>
          <w:rFonts w:eastAsia="Times New Roman"/>
          <w:sz w:val="20"/>
          <w:shd w:val="clear" w:color="auto" w:fill="FFFFFF"/>
          <w:lang w:eastAsia="en-GB"/>
        </w:rPr>
      </w:pPr>
    </w:p>
    <w:p w14:paraId="2BBCF8DB" w14:textId="77777777" w:rsidR="00FB28FA" w:rsidRPr="00155028" w:rsidRDefault="00FB28FA" w:rsidP="00C76DA8">
      <w:pPr>
        <w:spacing w:before="120" w:after="0" w:line="240" w:lineRule="auto"/>
        <w:jc w:val="both"/>
        <w:rPr>
          <w:rFonts w:eastAsia="Times New Roman"/>
          <w:sz w:val="20"/>
          <w:shd w:val="clear" w:color="auto" w:fill="FFFFFF"/>
          <w:lang w:eastAsia="en-GB"/>
        </w:rPr>
      </w:pPr>
    </w:p>
    <w:p w14:paraId="19EE5A35" w14:textId="35420D3D" w:rsidR="001E6A32" w:rsidRPr="00155028" w:rsidRDefault="007940FC" w:rsidP="007940FC">
      <w:pPr>
        <w:pStyle w:val="Naslov2"/>
        <w:ind w:firstLine="708"/>
        <w:rPr>
          <w:rFonts w:ascii="Arial" w:eastAsia="Times New Roman" w:hAnsi="Arial" w:cs="Arial"/>
          <w:shd w:val="clear" w:color="auto" w:fill="FFFFFF"/>
          <w:lang w:eastAsia="en-GB"/>
        </w:rPr>
      </w:pPr>
      <w:bookmarkStart w:id="101" w:name="_Toc86826503"/>
      <w:r w:rsidRPr="00155028">
        <w:rPr>
          <w:rFonts w:ascii="Arial" w:eastAsia="Times New Roman" w:hAnsi="Arial" w:cs="Arial"/>
          <w:shd w:val="clear" w:color="auto" w:fill="FFFFFF"/>
          <w:lang w:eastAsia="en-GB"/>
        </w:rPr>
        <w:t>5</w:t>
      </w:r>
      <w:r w:rsidR="00FB28FA" w:rsidRPr="00155028">
        <w:rPr>
          <w:rFonts w:ascii="Arial" w:eastAsia="Times New Roman" w:hAnsi="Arial" w:cs="Arial"/>
          <w:shd w:val="clear" w:color="auto" w:fill="FFFFFF"/>
          <w:lang w:eastAsia="en-GB"/>
        </w:rPr>
        <w:t>.</w:t>
      </w:r>
      <w:r w:rsidR="00C76DA8" w:rsidRPr="00155028">
        <w:rPr>
          <w:rFonts w:ascii="Arial" w:eastAsia="Times New Roman" w:hAnsi="Arial" w:cs="Arial"/>
          <w:shd w:val="clear" w:color="auto" w:fill="FFFFFF"/>
          <w:lang w:eastAsia="en-GB"/>
        </w:rPr>
        <w:t xml:space="preserve">1 </w:t>
      </w:r>
      <w:r w:rsidR="001E6A32" w:rsidRPr="00155028">
        <w:rPr>
          <w:rFonts w:ascii="Arial" w:eastAsia="Times New Roman" w:hAnsi="Arial" w:cs="Arial"/>
          <w:shd w:val="clear" w:color="auto" w:fill="FFFFFF"/>
          <w:lang w:eastAsia="en-GB"/>
        </w:rPr>
        <w:t>Ključne ugotovitve</w:t>
      </w:r>
      <w:bookmarkEnd w:id="101"/>
    </w:p>
    <w:p w14:paraId="2FB9E237" w14:textId="77777777" w:rsidR="00291D2D" w:rsidRPr="00155028" w:rsidRDefault="00291D2D" w:rsidP="00C76DA8">
      <w:pPr>
        <w:spacing w:before="120" w:after="0" w:line="240" w:lineRule="auto"/>
        <w:jc w:val="both"/>
        <w:rPr>
          <w:rFonts w:eastAsia="Times New Roman"/>
          <w:sz w:val="20"/>
          <w:shd w:val="clear" w:color="auto" w:fill="FFFFFF"/>
          <w:lang w:eastAsia="en-GB"/>
        </w:rPr>
      </w:pPr>
    </w:p>
    <w:p w14:paraId="65877038" w14:textId="47B450DD" w:rsidR="00291D2D" w:rsidRPr="00155028" w:rsidRDefault="001E6A32" w:rsidP="00291D2D">
      <w:pPr>
        <w:jc w:val="both"/>
        <w:rPr>
          <w:rFonts w:eastAsia="Calibri"/>
          <w:bCs/>
          <w:sz w:val="20"/>
          <w:shd w:val="clear" w:color="auto" w:fill="FFFFFF"/>
          <w:lang w:bidi="sl-SI"/>
        </w:rPr>
      </w:pPr>
      <w:r w:rsidRPr="00155028">
        <w:rPr>
          <w:rFonts w:eastAsia="Times New Roman"/>
          <w:bCs/>
          <w:sz w:val="20"/>
          <w:shd w:val="clear" w:color="auto" w:fill="FFFFFF"/>
          <w:lang w:eastAsia="en-GB"/>
        </w:rPr>
        <w:t xml:space="preserve">Kljub temu, da </w:t>
      </w:r>
      <w:r w:rsidRPr="00155028">
        <w:rPr>
          <w:rFonts w:eastAsia="Times New Roman"/>
          <w:bCs/>
          <w:sz w:val="20"/>
          <w:lang w:eastAsia="en-GB"/>
        </w:rPr>
        <w:t xml:space="preserve">prebivalec Slovenije na podlagi obstoječega načina beleženja podatkov zavrže povprečno </w:t>
      </w:r>
      <w:r w:rsidR="0047638F" w:rsidRPr="00155028">
        <w:rPr>
          <w:rFonts w:eastAsia="Times New Roman"/>
          <w:bCs/>
          <w:sz w:val="20"/>
          <w:lang w:eastAsia="en-GB"/>
        </w:rPr>
        <w:t>66</w:t>
      </w:r>
      <w:r w:rsidRPr="00155028">
        <w:rPr>
          <w:rFonts w:eastAsia="Times New Roman"/>
          <w:bCs/>
          <w:sz w:val="20"/>
          <w:lang w:eastAsia="en-GB"/>
        </w:rPr>
        <w:t xml:space="preserve"> kg hrane vsako leto, kar je sicer manj od EU povprečja, ki je 173 kg na prebivalca (EU-28, FUSIONS, 2016), so izgube hrane in odpadna hrana </w:t>
      </w:r>
      <w:r w:rsidRPr="00155028">
        <w:rPr>
          <w:rFonts w:eastAsia="Calibri"/>
          <w:bCs/>
          <w:sz w:val="20"/>
          <w:shd w:val="clear" w:color="auto" w:fill="FFFFFF"/>
          <w:lang w:bidi="sl-SI"/>
        </w:rPr>
        <w:t>naraščajoča težava</w:t>
      </w:r>
      <w:r w:rsidRPr="00155028">
        <w:rPr>
          <w:rFonts w:eastAsia="Times New Roman"/>
          <w:bCs/>
          <w:sz w:val="20"/>
          <w:lang w:eastAsia="en-GB"/>
        </w:rPr>
        <w:t xml:space="preserve"> v celotni verigi preskrbe s hrano. </w:t>
      </w:r>
      <w:r w:rsidRPr="00155028">
        <w:rPr>
          <w:rFonts w:eastAsia="Calibri"/>
          <w:bCs/>
          <w:sz w:val="20"/>
          <w:shd w:val="clear" w:color="auto" w:fill="FFFFFF"/>
          <w:lang w:bidi="sl-SI"/>
        </w:rPr>
        <w:t xml:space="preserve">Odpadna hrana povečuje negativne učinke na okolje in potrošnika ter gospodarstvu povzroča finančne izgube. Zato je učinkovit način informiranja, osveščanja in spodbujanja o trajnostni potrošnji in pridelavi </w:t>
      </w:r>
      <w:proofErr w:type="spellStart"/>
      <w:r w:rsidR="00A40E49">
        <w:rPr>
          <w:rFonts w:eastAsia="Calibri"/>
          <w:bCs/>
          <w:sz w:val="20"/>
          <w:shd w:val="clear" w:color="auto" w:fill="FFFFFF"/>
          <w:lang w:bidi="sl-SI"/>
        </w:rPr>
        <w:t>hrane,</w:t>
      </w:r>
      <w:r w:rsidRPr="00155028">
        <w:rPr>
          <w:rFonts w:eastAsia="Calibri"/>
          <w:bCs/>
          <w:sz w:val="20"/>
          <w:shd w:val="clear" w:color="auto" w:fill="FFFFFF"/>
          <w:lang w:bidi="sl-SI"/>
        </w:rPr>
        <w:t>vseh</w:t>
      </w:r>
      <w:proofErr w:type="spellEnd"/>
      <w:r w:rsidRPr="00155028">
        <w:rPr>
          <w:rFonts w:eastAsia="Calibri"/>
          <w:bCs/>
          <w:sz w:val="20"/>
          <w:shd w:val="clear" w:color="auto" w:fill="FFFFFF"/>
          <w:lang w:bidi="sl-SI"/>
        </w:rPr>
        <w:t xml:space="preserve"> členov verige s prehrano eden od pomembnih ukrepov. Delno se informiranje in izobraževanje že izvaja preko Sheme šolsko sadje, zelenjava in mleko ter Tradicionalni slovenski zajtrk ter preko platforme Naša super hrana. Za pravilno ukrepanje je potrebno nadgraditi in prilagoditi tudi metodologijo spremljanja odpadne hrane. Glede na raziskovalno vrzel in </w:t>
      </w:r>
      <w:proofErr w:type="spellStart"/>
      <w:r w:rsidRPr="00155028">
        <w:rPr>
          <w:rFonts w:eastAsia="Calibri"/>
          <w:bCs/>
          <w:sz w:val="20"/>
          <w:shd w:val="clear" w:color="auto" w:fill="FFFFFF"/>
          <w:lang w:bidi="sl-SI"/>
        </w:rPr>
        <w:t>biogospodarski</w:t>
      </w:r>
      <w:proofErr w:type="spellEnd"/>
      <w:r w:rsidRPr="00155028">
        <w:rPr>
          <w:rFonts w:eastAsia="Calibri"/>
          <w:bCs/>
          <w:sz w:val="20"/>
          <w:shd w:val="clear" w:color="auto" w:fill="FFFFFF"/>
          <w:lang w:bidi="sl-SI"/>
        </w:rPr>
        <w:t xml:space="preserve"> potencial so pomembne raziskave in inovacije za preprečevanje nastajanja izgub</w:t>
      </w:r>
      <w:r w:rsidR="00A40E49">
        <w:rPr>
          <w:rFonts w:eastAsia="Calibri"/>
          <w:bCs/>
          <w:sz w:val="20"/>
          <w:shd w:val="clear" w:color="auto" w:fill="FFFFFF"/>
          <w:lang w:bidi="sl-SI"/>
        </w:rPr>
        <w:t>, presežkov hrane</w:t>
      </w:r>
      <w:r w:rsidRPr="00155028">
        <w:rPr>
          <w:rFonts w:eastAsia="Calibri"/>
          <w:bCs/>
          <w:sz w:val="20"/>
          <w:shd w:val="clear" w:color="auto" w:fill="FFFFFF"/>
          <w:lang w:bidi="sl-SI"/>
        </w:rPr>
        <w:t xml:space="preserve"> in odpadne hrane kakor tudi predelavo </w:t>
      </w:r>
      <w:r w:rsidR="00A40E49">
        <w:rPr>
          <w:rFonts w:eastAsia="Calibri"/>
          <w:bCs/>
          <w:sz w:val="20"/>
          <w:shd w:val="clear" w:color="auto" w:fill="FFFFFF"/>
          <w:lang w:bidi="sl-SI"/>
        </w:rPr>
        <w:t xml:space="preserve">presežkov hrane v nove izdelke ali preusmerjanje v hrano za živali ter ravnanje z </w:t>
      </w:r>
      <w:r w:rsidRPr="00155028">
        <w:rPr>
          <w:rFonts w:eastAsia="Calibri"/>
          <w:bCs/>
          <w:sz w:val="20"/>
          <w:shd w:val="clear" w:color="auto" w:fill="FFFFFF"/>
          <w:lang w:bidi="sl-SI"/>
        </w:rPr>
        <w:t>odpadn</w:t>
      </w:r>
      <w:r w:rsidR="00A40E49">
        <w:rPr>
          <w:rFonts w:eastAsia="Calibri"/>
          <w:bCs/>
          <w:sz w:val="20"/>
          <w:shd w:val="clear" w:color="auto" w:fill="FFFFFF"/>
          <w:lang w:bidi="sl-SI"/>
        </w:rPr>
        <w:t>o</w:t>
      </w:r>
      <w:r w:rsidRPr="00155028">
        <w:rPr>
          <w:rFonts w:eastAsia="Calibri"/>
          <w:bCs/>
          <w:sz w:val="20"/>
          <w:shd w:val="clear" w:color="auto" w:fill="FFFFFF"/>
          <w:lang w:bidi="sl-SI"/>
        </w:rPr>
        <w:t xml:space="preserve"> hran</w:t>
      </w:r>
      <w:r w:rsidR="00A40E49">
        <w:rPr>
          <w:rFonts w:eastAsia="Calibri"/>
          <w:bCs/>
          <w:sz w:val="20"/>
          <w:shd w:val="clear" w:color="auto" w:fill="FFFFFF"/>
          <w:lang w:bidi="sl-SI"/>
        </w:rPr>
        <w:t>o (aerobno, drugi postopki).</w:t>
      </w:r>
      <w:r w:rsidRPr="00155028">
        <w:rPr>
          <w:rFonts w:eastAsia="Calibri"/>
          <w:bCs/>
          <w:sz w:val="20"/>
          <w:shd w:val="clear" w:color="auto" w:fill="FFFFFF"/>
          <w:lang w:bidi="sl-SI"/>
        </w:rPr>
        <w:t>.</w:t>
      </w:r>
    </w:p>
    <w:p w14:paraId="17948577" w14:textId="1C29D80B" w:rsidR="002948DD" w:rsidRPr="00155028" w:rsidRDefault="002948DD" w:rsidP="009B695E">
      <w:pPr>
        <w:pStyle w:val="Naslov1"/>
        <w:numPr>
          <w:ilvl w:val="0"/>
          <w:numId w:val="14"/>
        </w:numPr>
        <w:rPr>
          <w:rFonts w:ascii="Arial" w:hAnsi="Arial" w:cs="Arial"/>
          <w:b/>
          <w:bCs/>
        </w:rPr>
      </w:pPr>
      <w:bookmarkStart w:id="102" w:name="_Toc86826504"/>
      <w:r w:rsidRPr="00155028">
        <w:rPr>
          <w:rFonts w:ascii="Arial" w:hAnsi="Arial" w:cs="Arial"/>
          <w:b/>
          <w:bCs/>
        </w:rPr>
        <w:t>ANALIZA SWOT</w:t>
      </w:r>
      <w:bookmarkEnd w:id="102"/>
    </w:p>
    <w:p w14:paraId="25DEA269" w14:textId="13C1BA9A" w:rsidR="00C07901" w:rsidRPr="00155028" w:rsidRDefault="00C07901" w:rsidP="00C07901">
      <w:pPr>
        <w:ind w:left="720"/>
      </w:pPr>
    </w:p>
    <w:p w14:paraId="0A206E54" w14:textId="77777777" w:rsidR="00F30FE9" w:rsidRPr="00155028" w:rsidRDefault="00F30FE9" w:rsidP="00C07901">
      <w:pPr>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C07901" w:rsidRPr="00155028" w14:paraId="2732317F" w14:textId="77777777" w:rsidTr="006A09AF">
        <w:tc>
          <w:tcPr>
            <w:tcW w:w="2500"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251DA1A4" w14:textId="77777777" w:rsidR="00C07901" w:rsidRPr="00155028" w:rsidRDefault="00C07901" w:rsidP="006A09AF">
            <w:pPr>
              <w:jc w:val="center"/>
              <w:rPr>
                <w:b/>
                <w:sz w:val="20"/>
              </w:rPr>
            </w:pPr>
            <w:r w:rsidRPr="00155028">
              <w:rPr>
                <w:b/>
                <w:sz w:val="20"/>
              </w:rPr>
              <w:t>PREDNOSTI</w:t>
            </w:r>
          </w:p>
        </w:tc>
        <w:tc>
          <w:tcPr>
            <w:tcW w:w="2500"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7CCEDE46" w14:textId="77777777" w:rsidR="00C07901" w:rsidRPr="00155028" w:rsidRDefault="00C07901" w:rsidP="006A09AF">
            <w:pPr>
              <w:jc w:val="center"/>
              <w:rPr>
                <w:b/>
                <w:sz w:val="20"/>
              </w:rPr>
            </w:pPr>
            <w:r w:rsidRPr="00155028">
              <w:rPr>
                <w:b/>
                <w:sz w:val="20"/>
              </w:rPr>
              <w:t>SLABOSTI</w:t>
            </w:r>
          </w:p>
        </w:tc>
      </w:tr>
      <w:tr w:rsidR="00C07901" w:rsidRPr="00155028" w14:paraId="58F17100" w14:textId="77777777" w:rsidTr="006A09AF">
        <w:trPr>
          <w:trHeight w:val="1119"/>
        </w:trPr>
        <w:tc>
          <w:tcPr>
            <w:tcW w:w="2500" w:type="pct"/>
            <w:tcBorders>
              <w:top w:val="single" w:sz="4" w:space="0" w:color="auto"/>
              <w:left w:val="single" w:sz="4" w:space="0" w:color="auto"/>
              <w:bottom w:val="single" w:sz="4" w:space="0" w:color="auto"/>
              <w:right w:val="single" w:sz="4" w:space="0" w:color="auto"/>
            </w:tcBorders>
          </w:tcPr>
          <w:p w14:paraId="4BA19799" w14:textId="1A63DA5D" w:rsidR="00C07901" w:rsidRPr="00155028" w:rsidRDefault="00D44C9B" w:rsidP="00C07901">
            <w:pPr>
              <w:rPr>
                <w:b/>
                <w:sz w:val="20"/>
              </w:rPr>
            </w:pPr>
            <w:r w:rsidRPr="00155028">
              <w:rPr>
                <w:b/>
                <w:sz w:val="20"/>
              </w:rPr>
              <w:t xml:space="preserve">             </w:t>
            </w:r>
            <w:r w:rsidR="00C07901" w:rsidRPr="00155028">
              <w:rPr>
                <w:b/>
                <w:sz w:val="20"/>
              </w:rPr>
              <w:t>Zdravila za živali</w:t>
            </w:r>
          </w:p>
          <w:p w14:paraId="34871B60" w14:textId="4EFE9A16" w:rsidR="00191201" w:rsidRPr="00155028" w:rsidRDefault="00C07901" w:rsidP="00D33334">
            <w:pPr>
              <w:pStyle w:val="Odstavekseznama"/>
              <w:numPr>
                <w:ilvl w:val="0"/>
                <w:numId w:val="17"/>
              </w:numPr>
              <w:rPr>
                <w:b/>
                <w:bCs/>
                <w:sz w:val="20"/>
              </w:rPr>
            </w:pPr>
            <w:r w:rsidRPr="00155028">
              <w:rPr>
                <w:sz w:val="20"/>
              </w:rPr>
              <w:t>prodaja protimikrobnih zdravil antibiotikov za živali za proizvodnjo živil je v Sloveniji nizka, je pod povprečjem EU/EGP</w:t>
            </w:r>
          </w:p>
          <w:p w14:paraId="186A2D13" w14:textId="4B167FE4" w:rsidR="00F30FE9" w:rsidRPr="00155028" w:rsidRDefault="00F30FE9" w:rsidP="00F30FE9">
            <w:pPr>
              <w:pStyle w:val="Odstavekseznama"/>
              <w:numPr>
                <w:ilvl w:val="0"/>
                <w:numId w:val="17"/>
              </w:numPr>
              <w:rPr>
                <w:bCs/>
                <w:sz w:val="20"/>
              </w:rPr>
            </w:pPr>
            <w:r w:rsidRPr="00155028">
              <w:rPr>
                <w:bCs/>
                <w:sz w:val="20"/>
              </w:rPr>
              <w:t>izvajanje Državne strategije „Eno zdravje" za obvladovanje odpornosti mikrobov in  nacionalnega akcijskega načrta</w:t>
            </w:r>
          </w:p>
          <w:p w14:paraId="5A7489C9" w14:textId="77777777" w:rsidR="007F469A" w:rsidRPr="00155028" w:rsidRDefault="007F469A" w:rsidP="00D33334">
            <w:pPr>
              <w:pStyle w:val="Odstavekseznama"/>
              <w:rPr>
                <w:b/>
                <w:bCs/>
                <w:sz w:val="20"/>
              </w:rPr>
            </w:pPr>
          </w:p>
          <w:p w14:paraId="1C794BE2" w14:textId="13951C8A" w:rsidR="00C07901" w:rsidRPr="00155028" w:rsidRDefault="00C07901" w:rsidP="00D33334">
            <w:pPr>
              <w:pStyle w:val="Odstavekseznama"/>
              <w:rPr>
                <w:b/>
                <w:bCs/>
                <w:sz w:val="20"/>
              </w:rPr>
            </w:pPr>
            <w:r w:rsidRPr="00155028">
              <w:rPr>
                <w:b/>
                <w:bCs/>
                <w:sz w:val="20"/>
              </w:rPr>
              <w:t>Pesticidi</w:t>
            </w:r>
          </w:p>
          <w:p w14:paraId="7460DCB6" w14:textId="454AC0B1" w:rsidR="00C07901" w:rsidRPr="00155028" w:rsidRDefault="00F30FE9" w:rsidP="00D44C9B">
            <w:pPr>
              <w:pStyle w:val="Odstavekseznama"/>
              <w:numPr>
                <w:ilvl w:val="0"/>
                <w:numId w:val="17"/>
              </w:numPr>
              <w:spacing w:before="120" w:after="120"/>
              <w:rPr>
                <w:sz w:val="20"/>
              </w:rPr>
            </w:pPr>
            <w:r w:rsidRPr="00155028">
              <w:rPr>
                <w:sz w:val="20"/>
              </w:rPr>
              <w:t xml:space="preserve">vzpostavljen </w:t>
            </w:r>
            <w:r w:rsidR="00C07901" w:rsidRPr="00155028">
              <w:rPr>
                <w:sz w:val="20"/>
              </w:rPr>
              <w:t>dober sistem usposabljanja uporabnikov</w:t>
            </w:r>
            <w:r w:rsidR="00190A2C">
              <w:rPr>
                <w:sz w:val="20"/>
              </w:rPr>
              <w:t xml:space="preserve"> in prodajalcev FFS ter svetovalcev za </w:t>
            </w:r>
            <w:r w:rsidR="00C07901" w:rsidRPr="00155028">
              <w:rPr>
                <w:sz w:val="20"/>
              </w:rPr>
              <w:t>FFS ter pregleda naprav za nanašanje FFS</w:t>
            </w:r>
          </w:p>
          <w:p w14:paraId="43003A7D" w14:textId="77777777" w:rsidR="00C07901" w:rsidRPr="00155028" w:rsidRDefault="00C07901" w:rsidP="00D44C9B">
            <w:pPr>
              <w:pStyle w:val="Odstavekseznama"/>
              <w:numPr>
                <w:ilvl w:val="0"/>
                <w:numId w:val="17"/>
              </w:numPr>
              <w:spacing w:before="120" w:after="120"/>
              <w:rPr>
                <w:sz w:val="20"/>
              </w:rPr>
            </w:pPr>
            <w:r w:rsidRPr="00155028">
              <w:rPr>
                <w:sz w:val="20"/>
              </w:rPr>
              <w:t>prepoved uporabe herbicidov na javnih površinah</w:t>
            </w:r>
          </w:p>
          <w:p w14:paraId="7AD0975C" w14:textId="77777777" w:rsidR="00C07901" w:rsidRPr="00155028" w:rsidRDefault="00C07901" w:rsidP="00D44C9B">
            <w:pPr>
              <w:pStyle w:val="Odstavekseznama"/>
              <w:numPr>
                <w:ilvl w:val="0"/>
                <w:numId w:val="17"/>
              </w:numPr>
              <w:spacing w:before="120" w:after="120"/>
              <w:rPr>
                <w:sz w:val="20"/>
              </w:rPr>
            </w:pPr>
            <w:r w:rsidRPr="00155028">
              <w:rPr>
                <w:sz w:val="20"/>
              </w:rPr>
              <w:t xml:space="preserve">spodbujanje registracije FFS z manjšim tveganjem </w:t>
            </w:r>
          </w:p>
          <w:p w14:paraId="05926D4F" w14:textId="41A73DC9" w:rsidR="00C07901" w:rsidRPr="00155028" w:rsidRDefault="00C07901" w:rsidP="00F30FE9">
            <w:pPr>
              <w:pStyle w:val="Odstavekseznama"/>
              <w:numPr>
                <w:ilvl w:val="0"/>
                <w:numId w:val="17"/>
              </w:numPr>
              <w:spacing w:before="120" w:after="120"/>
              <w:rPr>
                <w:sz w:val="20"/>
              </w:rPr>
            </w:pPr>
            <w:r w:rsidRPr="00155028">
              <w:rPr>
                <w:sz w:val="20"/>
              </w:rPr>
              <w:t>izvajanje programov preiskav za ugotavljanje navzočnosti karantenskih škodljivih organizmov</w:t>
            </w:r>
            <w:r w:rsidR="00F30FE9" w:rsidRPr="00155028">
              <w:rPr>
                <w:sz w:val="20"/>
              </w:rPr>
              <w:t xml:space="preserve"> in izvajanje diagnostike v nacionalnih referenčnih laboratorijih</w:t>
            </w:r>
          </w:p>
          <w:p w14:paraId="62C53FB8" w14:textId="73308492" w:rsidR="00C07901" w:rsidRPr="00155028" w:rsidRDefault="00C07901" w:rsidP="00D44C9B">
            <w:pPr>
              <w:pStyle w:val="Odstavekseznama"/>
              <w:numPr>
                <w:ilvl w:val="0"/>
                <w:numId w:val="17"/>
              </w:numPr>
              <w:spacing w:before="120" w:after="120"/>
              <w:rPr>
                <w:sz w:val="20"/>
              </w:rPr>
            </w:pPr>
            <w:r w:rsidRPr="00155028">
              <w:rPr>
                <w:sz w:val="20"/>
              </w:rPr>
              <w:lastRenderedPageBreak/>
              <w:t>delovanje javne službe zdravstvenega varstva rastlin</w:t>
            </w:r>
            <w:r w:rsidR="00C5277B">
              <w:rPr>
                <w:sz w:val="20"/>
              </w:rPr>
              <w:t xml:space="preserve"> in prognostične dejavnosti</w:t>
            </w:r>
          </w:p>
          <w:p w14:paraId="442A6317" w14:textId="5EA28B6A" w:rsidR="00C07901" w:rsidRPr="00155028" w:rsidRDefault="00C07901" w:rsidP="00D44C9B">
            <w:pPr>
              <w:pStyle w:val="Odstavekseznama"/>
              <w:numPr>
                <w:ilvl w:val="0"/>
                <w:numId w:val="17"/>
              </w:numPr>
              <w:spacing w:before="120" w:after="120"/>
              <w:rPr>
                <w:sz w:val="20"/>
              </w:rPr>
            </w:pPr>
            <w:r w:rsidRPr="00155028">
              <w:rPr>
                <w:sz w:val="20"/>
              </w:rPr>
              <w:t xml:space="preserve">vzpostavljen sistem prognostičnih obvestil za bolezni in škodljivce za pridelovalce </w:t>
            </w:r>
          </w:p>
          <w:p w14:paraId="29283CC1" w14:textId="04099606" w:rsidR="00C07901" w:rsidRDefault="00F30FE9" w:rsidP="00D44C9B">
            <w:pPr>
              <w:pStyle w:val="Odstavekseznama"/>
              <w:numPr>
                <w:ilvl w:val="0"/>
                <w:numId w:val="17"/>
              </w:numPr>
              <w:spacing w:before="120" w:after="120"/>
              <w:rPr>
                <w:sz w:val="20"/>
              </w:rPr>
            </w:pPr>
            <w:r w:rsidRPr="00155028">
              <w:rPr>
                <w:sz w:val="20"/>
              </w:rPr>
              <w:t xml:space="preserve">sprejete so </w:t>
            </w:r>
            <w:r w:rsidR="00C07901" w:rsidRPr="00155028">
              <w:rPr>
                <w:sz w:val="20"/>
              </w:rPr>
              <w:t>smernice za integrirano varstvo rastlin</w:t>
            </w:r>
          </w:p>
          <w:p w14:paraId="7ECD1867" w14:textId="348A0BD7" w:rsidR="00C5277B" w:rsidRPr="00155028" w:rsidRDefault="00C5277B" w:rsidP="00D44C9B">
            <w:pPr>
              <w:pStyle w:val="Odstavekseznama"/>
              <w:numPr>
                <w:ilvl w:val="0"/>
                <w:numId w:val="17"/>
              </w:numPr>
              <w:spacing w:before="120" w:after="120"/>
              <w:rPr>
                <w:sz w:val="20"/>
              </w:rPr>
            </w:pPr>
            <w:r>
              <w:rPr>
                <w:sz w:val="20"/>
              </w:rPr>
              <w:t>usklajeno delovanje podpore pooblaščenih organizacij za zdravstveno varstvo rastlin</w:t>
            </w:r>
          </w:p>
          <w:p w14:paraId="7EC11433" w14:textId="77777777" w:rsidR="0032595D" w:rsidRPr="00155028" w:rsidRDefault="0032595D" w:rsidP="00D44C9B">
            <w:pPr>
              <w:pStyle w:val="Odstavekseznama"/>
              <w:spacing w:before="120" w:after="120"/>
              <w:rPr>
                <w:b/>
                <w:bCs/>
                <w:sz w:val="20"/>
              </w:rPr>
            </w:pPr>
          </w:p>
          <w:p w14:paraId="149C6858" w14:textId="4E8C7DC0" w:rsidR="00C07901" w:rsidRPr="00155028" w:rsidRDefault="00C07901" w:rsidP="00D44C9B">
            <w:pPr>
              <w:pStyle w:val="Odstavekseznama"/>
              <w:spacing w:before="120" w:after="120"/>
              <w:rPr>
                <w:b/>
                <w:bCs/>
                <w:sz w:val="20"/>
              </w:rPr>
            </w:pPr>
            <w:r w:rsidRPr="00155028">
              <w:rPr>
                <w:b/>
                <w:bCs/>
                <w:sz w:val="20"/>
              </w:rPr>
              <w:t>Dobrobit živali</w:t>
            </w:r>
          </w:p>
          <w:p w14:paraId="0AB60720" w14:textId="77777777" w:rsidR="00C07901" w:rsidRPr="00155028" w:rsidRDefault="00C07901" w:rsidP="00D44C9B">
            <w:pPr>
              <w:pStyle w:val="Odstavekseznama"/>
              <w:numPr>
                <w:ilvl w:val="0"/>
                <w:numId w:val="17"/>
              </w:numPr>
              <w:spacing w:before="120" w:after="120"/>
              <w:rPr>
                <w:sz w:val="20"/>
              </w:rPr>
            </w:pPr>
            <w:r w:rsidRPr="00155028">
              <w:rPr>
                <w:sz w:val="20"/>
              </w:rPr>
              <w:t xml:space="preserve">ni množičnih sistemov rej, zato je tveganje za pojav bolezni in slabšo dobrobiti živali manjše </w:t>
            </w:r>
          </w:p>
          <w:p w14:paraId="0D7C2335" w14:textId="33792B6B" w:rsidR="00C07901" w:rsidRPr="00155028" w:rsidRDefault="00C07901" w:rsidP="00D44C9B">
            <w:pPr>
              <w:pStyle w:val="Odstavekseznama"/>
              <w:numPr>
                <w:ilvl w:val="0"/>
                <w:numId w:val="17"/>
              </w:numPr>
              <w:spacing w:before="120" w:after="120"/>
              <w:rPr>
                <w:sz w:val="20"/>
              </w:rPr>
            </w:pPr>
            <w:r w:rsidRPr="00155028">
              <w:rPr>
                <w:sz w:val="20"/>
              </w:rPr>
              <w:t xml:space="preserve">transportne poti so kratke – manj težav pri prevozu živih živali </w:t>
            </w:r>
          </w:p>
          <w:p w14:paraId="31F09697" w14:textId="77777777" w:rsidR="0032595D" w:rsidRPr="00155028" w:rsidRDefault="0032595D" w:rsidP="00D44C9B">
            <w:pPr>
              <w:pStyle w:val="Odstavekseznama"/>
              <w:spacing w:before="120" w:after="120"/>
              <w:rPr>
                <w:b/>
                <w:bCs/>
                <w:sz w:val="20"/>
              </w:rPr>
            </w:pPr>
          </w:p>
          <w:p w14:paraId="6E5F69D0" w14:textId="5818292D" w:rsidR="00C07901" w:rsidRPr="00155028" w:rsidRDefault="00C07901" w:rsidP="00D44C9B">
            <w:pPr>
              <w:pStyle w:val="Odstavekseznama"/>
              <w:spacing w:before="120" w:after="120"/>
              <w:rPr>
                <w:b/>
                <w:bCs/>
                <w:sz w:val="20"/>
              </w:rPr>
            </w:pPr>
            <w:r w:rsidRPr="00155028">
              <w:rPr>
                <w:b/>
                <w:bCs/>
                <w:sz w:val="20"/>
              </w:rPr>
              <w:t>Odpadna hrana</w:t>
            </w:r>
          </w:p>
          <w:p w14:paraId="5D6B4E4A" w14:textId="4A837040" w:rsidR="00C07901" w:rsidRPr="00155028" w:rsidRDefault="00F30FE9" w:rsidP="003C239F">
            <w:pPr>
              <w:pStyle w:val="Odstavekseznama"/>
              <w:spacing w:before="120" w:after="120"/>
              <w:rPr>
                <w:sz w:val="20"/>
              </w:rPr>
            </w:pPr>
            <w:r w:rsidRPr="00155028">
              <w:rPr>
                <w:sz w:val="20"/>
              </w:rPr>
              <w:t>potekajo</w:t>
            </w:r>
            <w:r w:rsidR="00C07901" w:rsidRPr="00155028">
              <w:rPr>
                <w:sz w:val="20"/>
              </w:rPr>
              <w:t xml:space="preserve"> aktivnosti osveščanja javnosti o preprečevanju </w:t>
            </w:r>
            <w:r w:rsidRPr="00155028">
              <w:rPr>
                <w:sz w:val="20"/>
              </w:rPr>
              <w:t xml:space="preserve">nastajanja in zmanjšanju  </w:t>
            </w:r>
            <w:r w:rsidR="00C07901" w:rsidRPr="00155028">
              <w:rPr>
                <w:sz w:val="20"/>
              </w:rPr>
              <w:t xml:space="preserve">količin odpadne hrane. </w:t>
            </w:r>
          </w:p>
          <w:p w14:paraId="1234578A" w14:textId="783D694E" w:rsidR="00C07901" w:rsidRPr="00155028" w:rsidRDefault="00F30FE9" w:rsidP="00D44C9B">
            <w:pPr>
              <w:pStyle w:val="Odstavekseznama"/>
              <w:numPr>
                <w:ilvl w:val="0"/>
                <w:numId w:val="17"/>
              </w:numPr>
              <w:spacing w:before="120" w:after="120"/>
              <w:rPr>
                <w:sz w:val="20"/>
              </w:rPr>
            </w:pPr>
            <w:r w:rsidRPr="00155028">
              <w:rPr>
                <w:sz w:val="20"/>
              </w:rPr>
              <w:t>p</w:t>
            </w:r>
            <w:r w:rsidR="00C07901" w:rsidRPr="00155028">
              <w:rPr>
                <w:sz w:val="20"/>
              </w:rPr>
              <w:t xml:space="preserve">ozitivne izkušnje s projektom </w:t>
            </w:r>
            <w:r w:rsidRPr="00155028">
              <w:rPr>
                <w:sz w:val="20"/>
              </w:rPr>
              <w:t>»</w:t>
            </w:r>
            <w:proofErr w:type="spellStart"/>
            <w:r w:rsidR="00C07901" w:rsidRPr="00155028">
              <w:rPr>
                <w:sz w:val="20"/>
              </w:rPr>
              <w:t>Donirana</w:t>
            </w:r>
            <w:proofErr w:type="spellEnd"/>
            <w:r w:rsidR="00C07901" w:rsidRPr="00155028">
              <w:rPr>
                <w:sz w:val="20"/>
              </w:rPr>
              <w:t xml:space="preserve"> hrana</w:t>
            </w:r>
            <w:r w:rsidRPr="00155028">
              <w:rPr>
                <w:sz w:val="20"/>
              </w:rPr>
              <w:t>«</w:t>
            </w:r>
            <w:r w:rsidR="00C07901" w:rsidRPr="00155028">
              <w:rPr>
                <w:sz w:val="20"/>
              </w:rPr>
              <w:t>.</w:t>
            </w:r>
          </w:p>
          <w:p w14:paraId="4514664A" w14:textId="4C985467" w:rsidR="00C07901" w:rsidRPr="00155028" w:rsidRDefault="00F30FE9" w:rsidP="00D44C9B">
            <w:pPr>
              <w:pStyle w:val="Odstavekseznama"/>
              <w:numPr>
                <w:ilvl w:val="0"/>
                <w:numId w:val="17"/>
              </w:numPr>
              <w:spacing w:before="120" w:after="120"/>
              <w:rPr>
                <w:sz w:val="20"/>
              </w:rPr>
            </w:pPr>
            <w:r w:rsidRPr="00155028">
              <w:rPr>
                <w:sz w:val="20"/>
              </w:rPr>
              <w:t>b</w:t>
            </w:r>
            <w:r w:rsidR="00C07901" w:rsidRPr="00155028">
              <w:rPr>
                <w:sz w:val="20"/>
              </w:rPr>
              <w:t xml:space="preserve">ližina pridelovalcev, predelovalcev in porabnikov hrane zagotavlja dobro povezanost in kratke in hitre verige za varno porabo in ohranjanje kvalitete hrane in uporabo </w:t>
            </w:r>
            <w:r w:rsidR="0005121D">
              <w:rPr>
                <w:sz w:val="20"/>
              </w:rPr>
              <w:t>presežkov</w:t>
            </w:r>
            <w:r w:rsidR="0005121D" w:rsidRPr="00155028">
              <w:rPr>
                <w:sz w:val="20"/>
              </w:rPr>
              <w:t xml:space="preserve"> </w:t>
            </w:r>
            <w:r w:rsidR="00C07901" w:rsidRPr="00155028">
              <w:rPr>
                <w:sz w:val="20"/>
              </w:rPr>
              <w:t>hrane.</w:t>
            </w:r>
          </w:p>
          <w:p w14:paraId="3AA4FF06" w14:textId="77777777" w:rsidR="00C07901" w:rsidRPr="00155028" w:rsidRDefault="00C07901" w:rsidP="00C07901">
            <w:pPr>
              <w:rPr>
                <w:sz w:val="20"/>
              </w:rPr>
            </w:pPr>
          </w:p>
        </w:tc>
        <w:tc>
          <w:tcPr>
            <w:tcW w:w="2500" w:type="pct"/>
            <w:tcBorders>
              <w:top w:val="single" w:sz="4" w:space="0" w:color="auto"/>
              <w:left w:val="single" w:sz="4" w:space="0" w:color="auto"/>
              <w:bottom w:val="single" w:sz="4" w:space="0" w:color="auto"/>
              <w:right w:val="single" w:sz="4" w:space="0" w:color="auto"/>
            </w:tcBorders>
            <w:hideMark/>
          </w:tcPr>
          <w:p w14:paraId="66D8505C" w14:textId="77777777" w:rsidR="00C07901" w:rsidRPr="00155028" w:rsidRDefault="00C07901" w:rsidP="00D33334">
            <w:pPr>
              <w:pStyle w:val="Odstavekseznama"/>
              <w:rPr>
                <w:b/>
                <w:sz w:val="20"/>
              </w:rPr>
            </w:pPr>
            <w:r w:rsidRPr="00155028">
              <w:rPr>
                <w:b/>
                <w:sz w:val="20"/>
              </w:rPr>
              <w:lastRenderedPageBreak/>
              <w:t>Zdravila za živali</w:t>
            </w:r>
          </w:p>
          <w:p w14:paraId="138FC8B2" w14:textId="44F9A4DD" w:rsidR="00C07901" w:rsidRPr="00155028" w:rsidRDefault="00C07901" w:rsidP="00D33334">
            <w:pPr>
              <w:pStyle w:val="Odstavekseznama"/>
              <w:numPr>
                <w:ilvl w:val="0"/>
                <w:numId w:val="18"/>
              </w:numPr>
              <w:rPr>
                <w:sz w:val="20"/>
              </w:rPr>
            </w:pPr>
            <w:r w:rsidRPr="00155028">
              <w:rPr>
                <w:sz w:val="20"/>
              </w:rPr>
              <w:t xml:space="preserve">podatki kažejo, da je raba nekaterih protimikrobnih zdravil </w:t>
            </w:r>
            <w:r w:rsidR="00F30FE9" w:rsidRPr="00155028">
              <w:rPr>
                <w:sz w:val="20"/>
              </w:rPr>
              <w:t>pri</w:t>
            </w:r>
            <w:r w:rsidRPr="00155028">
              <w:rPr>
                <w:sz w:val="20"/>
              </w:rPr>
              <w:t xml:space="preserve"> nekaterih  zlasti intenzivn</w:t>
            </w:r>
            <w:r w:rsidR="00F30FE9" w:rsidRPr="00155028">
              <w:rPr>
                <w:sz w:val="20"/>
              </w:rPr>
              <w:t>ih</w:t>
            </w:r>
            <w:r w:rsidRPr="00155028">
              <w:rPr>
                <w:sz w:val="20"/>
              </w:rPr>
              <w:t xml:space="preserve"> </w:t>
            </w:r>
            <w:r w:rsidR="00F30FE9" w:rsidRPr="00155028">
              <w:rPr>
                <w:sz w:val="20"/>
              </w:rPr>
              <w:t xml:space="preserve"> rejcih </w:t>
            </w:r>
            <w:r w:rsidRPr="00155028">
              <w:rPr>
                <w:sz w:val="20"/>
              </w:rPr>
              <w:t>perutnine  v zadnjih letih v porastu</w:t>
            </w:r>
          </w:p>
          <w:p w14:paraId="54692BB7" w14:textId="13BF9BF2" w:rsidR="006A09AF" w:rsidRPr="00155028" w:rsidRDefault="00F30FE9" w:rsidP="00D33334">
            <w:pPr>
              <w:pStyle w:val="Odstavekseznama"/>
              <w:numPr>
                <w:ilvl w:val="0"/>
                <w:numId w:val="18"/>
              </w:numPr>
              <w:rPr>
                <w:sz w:val="20"/>
              </w:rPr>
            </w:pPr>
            <w:r w:rsidRPr="00155028">
              <w:rPr>
                <w:sz w:val="20"/>
              </w:rPr>
              <w:t>učinkovitost</w:t>
            </w:r>
            <w:r w:rsidR="00C07901" w:rsidRPr="00155028">
              <w:rPr>
                <w:sz w:val="20"/>
              </w:rPr>
              <w:t xml:space="preserve"> rejcev in veterinarjev za zmanjševanje potreb po predpisovanju in uporabi protimikrobnih zdravil za zdravljenje živali </w:t>
            </w:r>
            <w:r w:rsidRPr="00155028">
              <w:rPr>
                <w:sz w:val="20"/>
              </w:rPr>
              <w:t xml:space="preserve">se </w:t>
            </w:r>
            <w:r w:rsidR="00C07901" w:rsidRPr="00155028">
              <w:rPr>
                <w:sz w:val="20"/>
              </w:rPr>
              <w:t>v zadnjih letih</w:t>
            </w:r>
            <w:r w:rsidRPr="00155028">
              <w:rPr>
                <w:sz w:val="20"/>
              </w:rPr>
              <w:t xml:space="preserve"> zmanjšuje</w:t>
            </w:r>
          </w:p>
          <w:p w14:paraId="0F82ADE7" w14:textId="38CE5BD2" w:rsidR="00C07901" w:rsidRPr="00155028" w:rsidRDefault="00C07901" w:rsidP="00D33334">
            <w:pPr>
              <w:pStyle w:val="Odstavekseznama"/>
              <w:numPr>
                <w:ilvl w:val="0"/>
                <w:numId w:val="18"/>
              </w:numPr>
              <w:rPr>
                <w:sz w:val="20"/>
              </w:rPr>
            </w:pPr>
            <w:r w:rsidRPr="00155028">
              <w:rPr>
                <w:sz w:val="20"/>
              </w:rPr>
              <w:t>pomanjkanje stabilnih virov financiranja z</w:t>
            </w:r>
            <w:r w:rsidR="00F30FE9" w:rsidRPr="00155028">
              <w:rPr>
                <w:sz w:val="20"/>
              </w:rPr>
              <w:t>a</w:t>
            </w:r>
            <w:r w:rsidRPr="00155028">
              <w:rPr>
                <w:sz w:val="20"/>
              </w:rPr>
              <w:t xml:space="preserve"> izvajanje aktivnosti in ukrepov iz Državne strategije „Eno zdravje" za obvladovanje odpornosti mikrobov (2019-2024), s triletnim nacionalnim akcijskim načrtom (2019-2021) za zmanjševanje porabe antibiotikov za zdravljenje živali</w:t>
            </w:r>
          </w:p>
          <w:p w14:paraId="2DE15F85" w14:textId="77777777" w:rsidR="0032595D" w:rsidRPr="00155028" w:rsidRDefault="0032595D" w:rsidP="00D33334">
            <w:pPr>
              <w:pStyle w:val="Odstavekseznama"/>
              <w:rPr>
                <w:b/>
                <w:sz w:val="20"/>
              </w:rPr>
            </w:pPr>
          </w:p>
          <w:p w14:paraId="235638EF" w14:textId="22D3AEB0" w:rsidR="00C07901" w:rsidRPr="00155028" w:rsidRDefault="00C07901" w:rsidP="00D33334">
            <w:pPr>
              <w:pStyle w:val="Odstavekseznama"/>
              <w:rPr>
                <w:b/>
                <w:sz w:val="20"/>
              </w:rPr>
            </w:pPr>
            <w:r w:rsidRPr="00155028">
              <w:rPr>
                <w:b/>
                <w:sz w:val="20"/>
              </w:rPr>
              <w:t>Pesticidi</w:t>
            </w:r>
          </w:p>
          <w:p w14:paraId="3DD2DD46" w14:textId="77777777" w:rsidR="00C07901" w:rsidRPr="00155028" w:rsidRDefault="00C07901" w:rsidP="00D33334">
            <w:pPr>
              <w:pStyle w:val="Odstavekseznama"/>
              <w:numPr>
                <w:ilvl w:val="0"/>
                <w:numId w:val="18"/>
              </w:numPr>
              <w:rPr>
                <w:sz w:val="20"/>
              </w:rPr>
            </w:pPr>
            <w:r w:rsidRPr="00155028">
              <w:rPr>
                <w:sz w:val="20"/>
              </w:rPr>
              <w:t xml:space="preserve">večina rabe FFS je vezana na trajne nasade, število </w:t>
            </w:r>
            <w:proofErr w:type="spellStart"/>
            <w:r w:rsidRPr="00155028">
              <w:rPr>
                <w:sz w:val="20"/>
              </w:rPr>
              <w:t>tretiranj</w:t>
            </w:r>
            <w:proofErr w:type="spellEnd"/>
            <w:r w:rsidRPr="00155028">
              <w:rPr>
                <w:sz w:val="20"/>
              </w:rPr>
              <w:t xml:space="preserve"> v rastni sezoni je zelo odvisno od vremena, kar povzroča velika nihanja v rabi FFS</w:t>
            </w:r>
          </w:p>
          <w:p w14:paraId="050EBEEA" w14:textId="2A60FC1C" w:rsidR="00C07901" w:rsidRPr="00155028" w:rsidRDefault="00C07901" w:rsidP="00D33334">
            <w:pPr>
              <w:pStyle w:val="Odstavekseznama"/>
              <w:numPr>
                <w:ilvl w:val="0"/>
                <w:numId w:val="18"/>
              </w:numPr>
              <w:rPr>
                <w:sz w:val="20"/>
              </w:rPr>
            </w:pPr>
            <w:r w:rsidRPr="00155028">
              <w:rPr>
                <w:sz w:val="20"/>
              </w:rPr>
              <w:lastRenderedPageBreak/>
              <w:t xml:space="preserve">omejeno število alternativnih metod v trajnih nasadih za nadzor glivičnih bolezni in </w:t>
            </w:r>
            <w:r w:rsidR="00C5277B">
              <w:rPr>
                <w:sz w:val="20"/>
              </w:rPr>
              <w:t>škodljivcev</w:t>
            </w:r>
          </w:p>
          <w:p w14:paraId="21BEC3BE" w14:textId="77777777" w:rsidR="00C07901" w:rsidRPr="00155028" w:rsidRDefault="00C07901" w:rsidP="00D33334">
            <w:pPr>
              <w:pStyle w:val="Odstavekseznama"/>
              <w:numPr>
                <w:ilvl w:val="0"/>
                <w:numId w:val="18"/>
              </w:numPr>
              <w:rPr>
                <w:sz w:val="20"/>
              </w:rPr>
            </w:pPr>
            <w:r w:rsidRPr="00155028">
              <w:rPr>
                <w:sz w:val="20"/>
              </w:rPr>
              <w:t>pomanjkanje potrebnih strojev in opreme za alternativne metode</w:t>
            </w:r>
          </w:p>
          <w:p w14:paraId="2E68145C" w14:textId="77777777" w:rsidR="00C07901" w:rsidRPr="00155028" w:rsidRDefault="00C07901" w:rsidP="00D33334">
            <w:pPr>
              <w:pStyle w:val="Odstavekseznama"/>
              <w:numPr>
                <w:ilvl w:val="0"/>
                <w:numId w:val="18"/>
              </w:numPr>
              <w:rPr>
                <w:sz w:val="20"/>
              </w:rPr>
            </w:pPr>
            <w:r w:rsidRPr="00155028">
              <w:rPr>
                <w:sz w:val="20"/>
              </w:rPr>
              <w:t xml:space="preserve">omejena  uporaba biotičnega zatiranja škodljivih organizmov zaradi stroge </w:t>
            </w:r>
            <w:proofErr w:type="spellStart"/>
            <w:r w:rsidRPr="00155028">
              <w:rPr>
                <w:sz w:val="20"/>
              </w:rPr>
              <w:t>okoljske</w:t>
            </w:r>
            <w:proofErr w:type="spellEnd"/>
            <w:r w:rsidRPr="00155028">
              <w:rPr>
                <w:sz w:val="20"/>
              </w:rPr>
              <w:t xml:space="preserve"> zakonodaje</w:t>
            </w:r>
          </w:p>
          <w:p w14:paraId="391A0074" w14:textId="7A495619" w:rsidR="00C07901" w:rsidRDefault="00C07901" w:rsidP="00F30FE9">
            <w:pPr>
              <w:pStyle w:val="Odstavekseznama"/>
              <w:numPr>
                <w:ilvl w:val="0"/>
                <w:numId w:val="18"/>
              </w:numPr>
              <w:rPr>
                <w:sz w:val="20"/>
              </w:rPr>
            </w:pPr>
            <w:r w:rsidRPr="00155028">
              <w:rPr>
                <w:sz w:val="20"/>
              </w:rPr>
              <w:t xml:space="preserve">vsi </w:t>
            </w:r>
            <w:r w:rsidR="00C5277B">
              <w:rPr>
                <w:sz w:val="20"/>
              </w:rPr>
              <w:t xml:space="preserve">uradni </w:t>
            </w:r>
            <w:r w:rsidRPr="00155028">
              <w:rPr>
                <w:sz w:val="20"/>
              </w:rPr>
              <w:t xml:space="preserve"> laboratoriji za </w:t>
            </w:r>
            <w:r w:rsidR="00C5277B">
              <w:rPr>
                <w:sz w:val="20"/>
              </w:rPr>
              <w:t xml:space="preserve">določanje </w:t>
            </w:r>
            <w:r w:rsidRPr="00155028">
              <w:rPr>
                <w:sz w:val="20"/>
              </w:rPr>
              <w:t>škodljiv</w:t>
            </w:r>
            <w:r w:rsidR="00C5277B">
              <w:rPr>
                <w:sz w:val="20"/>
              </w:rPr>
              <w:t>ih</w:t>
            </w:r>
            <w:r w:rsidRPr="00155028">
              <w:rPr>
                <w:sz w:val="20"/>
              </w:rPr>
              <w:t xml:space="preserve"> organizm</w:t>
            </w:r>
            <w:r w:rsidR="00C5277B">
              <w:rPr>
                <w:sz w:val="20"/>
              </w:rPr>
              <w:t>ov rastlin</w:t>
            </w:r>
            <w:r w:rsidRPr="00155028">
              <w:rPr>
                <w:sz w:val="20"/>
              </w:rPr>
              <w:t xml:space="preserve"> niso akreditirani</w:t>
            </w:r>
          </w:p>
          <w:p w14:paraId="0C8E320F" w14:textId="28F756C6" w:rsidR="00C5277B" w:rsidRPr="00155028" w:rsidRDefault="00C5277B" w:rsidP="00F30FE9">
            <w:pPr>
              <w:pStyle w:val="Odstavekseznama"/>
              <w:numPr>
                <w:ilvl w:val="0"/>
                <w:numId w:val="18"/>
              </w:numPr>
              <w:rPr>
                <w:sz w:val="20"/>
              </w:rPr>
            </w:pPr>
            <w:r>
              <w:rPr>
                <w:sz w:val="20"/>
              </w:rPr>
              <w:t>Majhno število vpeljanih metod za škodljive organizme rastlin.</w:t>
            </w:r>
          </w:p>
          <w:p w14:paraId="0C5E50A9" w14:textId="77777777" w:rsidR="0032595D" w:rsidRPr="00155028" w:rsidRDefault="0032595D" w:rsidP="00D33334">
            <w:pPr>
              <w:pStyle w:val="Odstavekseznama"/>
              <w:rPr>
                <w:sz w:val="20"/>
              </w:rPr>
            </w:pPr>
          </w:p>
          <w:p w14:paraId="35904280" w14:textId="77777777" w:rsidR="00C07901" w:rsidRPr="00155028" w:rsidRDefault="00C07901" w:rsidP="00D33334">
            <w:pPr>
              <w:pStyle w:val="Odstavekseznama"/>
              <w:rPr>
                <w:b/>
                <w:bCs/>
                <w:sz w:val="20"/>
              </w:rPr>
            </w:pPr>
            <w:r w:rsidRPr="00155028">
              <w:rPr>
                <w:b/>
                <w:bCs/>
                <w:sz w:val="20"/>
              </w:rPr>
              <w:t>Dobrobit živali</w:t>
            </w:r>
          </w:p>
          <w:p w14:paraId="7A53F29A" w14:textId="58A05617" w:rsidR="00C07901" w:rsidRPr="00155028" w:rsidRDefault="00F30FE9" w:rsidP="00F30FE9">
            <w:pPr>
              <w:pStyle w:val="Odstavekseznama"/>
              <w:numPr>
                <w:ilvl w:val="0"/>
                <w:numId w:val="18"/>
              </w:numPr>
              <w:rPr>
                <w:bCs/>
                <w:sz w:val="20"/>
              </w:rPr>
            </w:pPr>
            <w:r w:rsidRPr="00155028">
              <w:rPr>
                <w:bCs/>
                <w:sz w:val="20"/>
              </w:rPr>
              <w:t>ni vzpostavljenih shem kakovosti za dobrobit živali (razen pri perutninskem mesu)</w:t>
            </w:r>
            <w:r w:rsidR="00913F4D">
              <w:rPr>
                <w:bCs/>
                <w:sz w:val="20"/>
              </w:rPr>
              <w:t>,</w:t>
            </w:r>
            <w:r w:rsidRPr="00155028">
              <w:rPr>
                <w:bCs/>
                <w:sz w:val="20"/>
              </w:rPr>
              <w:t xml:space="preserve">  ker </w:t>
            </w:r>
            <w:r w:rsidR="00C07901" w:rsidRPr="00155028">
              <w:rPr>
                <w:bCs/>
                <w:sz w:val="20"/>
              </w:rPr>
              <w:t xml:space="preserve">rejci ne vidijo </w:t>
            </w:r>
            <w:r w:rsidR="00C07901" w:rsidRPr="00155028">
              <w:rPr>
                <w:sz w:val="20"/>
              </w:rPr>
              <w:t>tržne priložnosti v okviru shem</w:t>
            </w:r>
            <w:r w:rsidR="00913F4D">
              <w:rPr>
                <w:sz w:val="20"/>
              </w:rPr>
              <w:t xml:space="preserve"> kakovosti</w:t>
            </w:r>
          </w:p>
          <w:p w14:paraId="63AAC124" w14:textId="006C32CE" w:rsidR="00C07901" w:rsidRPr="00155028" w:rsidRDefault="00C07901" w:rsidP="00D33334">
            <w:pPr>
              <w:pStyle w:val="Odstavekseznama"/>
              <w:numPr>
                <w:ilvl w:val="0"/>
                <w:numId w:val="18"/>
              </w:numPr>
              <w:rPr>
                <w:bCs/>
                <w:sz w:val="20"/>
              </w:rPr>
            </w:pPr>
            <w:r w:rsidRPr="00155028">
              <w:rPr>
                <w:sz w:val="20"/>
              </w:rPr>
              <w:t>ni standardiziranih načinov reje oziroma običajne rejske prakse za določanje nadstandardov</w:t>
            </w:r>
          </w:p>
          <w:p w14:paraId="07D95408" w14:textId="77777777" w:rsidR="0032595D" w:rsidRPr="00155028" w:rsidRDefault="0032595D" w:rsidP="00D33334">
            <w:pPr>
              <w:pStyle w:val="Odstavekseznama"/>
              <w:rPr>
                <w:b/>
                <w:bCs/>
                <w:sz w:val="20"/>
              </w:rPr>
            </w:pPr>
          </w:p>
          <w:p w14:paraId="28C074B9" w14:textId="0435325A" w:rsidR="00C07901" w:rsidRPr="00155028" w:rsidRDefault="00C07901" w:rsidP="00D33334">
            <w:pPr>
              <w:pStyle w:val="Odstavekseznama"/>
              <w:rPr>
                <w:b/>
                <w:bCs/>
                <w:sz w:val="20"/>
              </w:rPr>
            </w:pPr>
            <w:r w:rsidRPr="00155028">
              <w:rPr>
                <w:b/>
                <w:bCs/>
                <w:sz w:val="20"/>
              </w:rPr>
              <w:t>Odpadna hrana</w:t>
            </w:r>
          </w:p>
          <w:p w14:paraId="7A4A98B2" w14:textId="5132C884" w:rsidR="00C07901" w:rsidRPr="00155028" w:rsidRDefault="00CC4AAD" w:rsidP="00D33334">
            <w:pPr>
              <w:pStyle w:val="Odstavekseznama"/>
              <w:numPr>
                <w:ilvl w:val="0"/>
                <w:numId w:val="18"/>
              </w:numPr>
              <w:rPr>
                <w:sz w:val="20"/>
              </w:rPr>
            </w:pPr>
            <w:r w:rsidRPr="00155028">
              <w:rPr>
                <w:sz w:val="20"/>
              </w:rPr>
              <w:t>p</w:t>
            </w:r>
            <w:r w:rsidR="00C07901" w:rsidRPr="00155028">
              <w:rPr>
                <w:sz w:val="20"/>
              </w:rPr>
              <w:t>ovečevanje količin odpadne hrane.</w:t>
            </w:r>
          </w:p>
          <w:p w14:paraId="1AD0ED69" w14:textId="4721C382" w:rsidR="00C07901" w:rsidRPr="00155028" w:rsidRDefault="00C07901" w:rsidP="002C1857">
            <w:pPr>
              <w:pStyle w:val="Odstavekseznama"/>
              <w:rPr>
                <w:sz w:val="20"/>
              </w:rPr>
            </w:pPr>
          </w:p>
          <w:p w14:paraId="5C309BA7" w14:textId="75563820" w:rsidR="00C07901" w:rsidRPr="00155028" w:rsidRDefault="00CC4AAD" w:rsidP="00D33334">
            <w:pPr>
              <w:pStyle w:val="Odstavekseznama"/>
              <w:numPr>
                <w:ilvl w:val="0"/>
                <w:numId w:val="18"/>
              </w:numPr>
              <w:rPr>
                <w:sz w:val="20"/>
              </w:rPr>
            </w:pPr>
            <w:r w:rsidRPr="00155028">
              <w:rPr>
                <w:sz w:val="20"/>
              </w:rPr>
              <w:t>p</w:t>
            </w:r>
            <w:r w:rsidR="00C07901" w:rsidRPr="00155028">
              <w:rPr>
                <w:sz w:val="20"/>
              </w:rPr>
              <w:t>remajhna ozaveščenost potrošnikov o roku uporabnosti hrane (razlika med »porabiti do« in »uporabno najmanj do«.</w:t>
            </w:r>
          </w:p>
          <w:p w14:paraId="62A0B235" w14:textId="16A9A0E3" w:rsidR="00C07901" w:rsidRPr="00155028" w:rsidRDefault="00CC4AAD" w:rsidP="00D33334">
            <w:pPr>
              <w:pStyle w:val="Odstavekseznama"/>
              <w:numPr>
                <w:ilvl w:val="0"/>
                <w:numId w:val="18"/>
              </w:numPr>
              <w:rPr>
                <w:sz w:val="20"/>
              </w:rPr>
            </w:pPr>
            <w:r w:rsidRPr="00155028">
              <w:rPr>
                <w:sz w:val="20"/>
              </w:rPr>
              <w:t>p</w:t>
            </w:r>
            <w:r w:rsidR="00C07901" w:rsidRPr="00155028">
              <w:rPr>
                <w:sz w:val="20"/>
              </w:rPr>
              <w:t xml:space="preserve">remalo raziskav na področju </w:t>
            </w:r>
            <w:proofErr w:type="spellStart"/>
            <w:r w:rsidR="00C07901" w:rsidRPr="00155028">
              <w:rPr>
                <w:sz w:val="20"/>
              </w:rPr>
              <w:t>biogospodarstva</w:t>
            </w:r>
            <w:proofErr w:type="spellEnd"/>
            <w:r w:rsidR="00C07901" w:rsidRPr="00155028">
              <w:rPr>
                <w:sz w:val="20"/>
              </w:rPr>
              <w:t xml:space="preserve"> primarne kmetijske proizvodnje in proizvodnje živil.</w:t>
            </w:r>
          </w:p>
          <w:p w14:paraId="6AEB1E2C" w14:textId="1CD518B9" w:rsidR="00C07901" w:rsidRPr="00155028" w:rsidRDefault="00C07901" w:rsidP="00C07901">
            <w:pPr>
              <w:rPr>
                <w:sz w:val="20"/>
              </w:rPr>
            </w:pPr>
          </w:p>
        </w:tc>
      </w:tr>
      <w:tr w:rsidR="00C07901" w:rsidRPr="00155028" w14:paraId="28D978BE" w14:textId="77777777" w:rsidTr="006A09AF">
        <w:tc>
          <w:tcPr>
            <w:tcW w:w="2500"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4188DFF2" w14:textId="77777777" w:rsidR="00C07901" w:rsidRPr="00155028" w:rsidRDefault="00C07901" w:rsidP="006A09AF">
            <w:pPr>
              <w:jc w:val="center"/>
              <w:rPr>
                <w:b/>
                <w:sz w:val="20"/>
              </w:rPr>
            </w:pPr>
            <w:r w:rsidRPr="00155028">
              <w:rPr>
                <w:b/>
                <w:sz w:val="20"/>
              </w:rPr>
              <w:lastRenderedPageBreak/>
              <w:t>PRILOŽNOSTI</w:t>
            </w:r>
          </w:p>
        </w:tc>
        <w:tc>
          <w:tcPr>
            <w:tcW w:w="2500"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3B0423AD" w14:textId="77777777" w:rsidR="00C07901" w:rsidRPr="00155028" w:rsidRDefault="00C07901" w:rsidP="006A09AF">
            <w:pPr>
              <w:jc w:val="center"/>
              <w:rPr>
                <w:b/>
                <w:sz w:val="20"/>
              </w:rPr>
            </w:pPr>
            <w:r w:rsidRPr="00155028">
              <w:rPr>
                <w:b/>
                <w:sz w:val="20"/>
              </w:rPr>
              <w:t>NEVARNOSTI</w:t>
            </w:r>
          </w:p>
        </w:tc>
      </w:tr>
      <w:tr w:rsidR="00C07901" w:rsidRPr="00155028" w14:paraId="7810DDDD" w14:textId="77777777" w:rsidTr="006A09AF">
        <w:tc>
          <w:tcPr>
            <w:tcW w:w="2500" w:type="pct"/>
            <w:tcBorders>
              <w:top w:val="single" w:sz="4" w:space="0" w:color="auto"/>
              <w:left w:val="single" w:sz="4" w:space="0" w:color="auto"/>
              <w:bottom w:val="single" w:sz="4" w:space="0" w:color="auto"/>
              <w:right w:val="single" w:sz="4" w:space="0" w:color="auto"/>
            </w:tcBorders>
            <w:hideMark/>
          </w:tcPr>
          <w:p w14:paraId="428BDF47" w14:textId="327D002C" w:rsidR="00C07901" w:rsidRPr="00155028" w:rsidRDefault="00D44C9B" w:rsidP="00C07901">
            <w:pPr>
              <w:rPr>
                <w:b/>
                <w:sz w:val="20"/>
              </w:rPr>
            </w:pPr>
            <w:r w:rsidRPr="00155028">
              <w:rPr>
                <w:b/>
                <w:sz w:val="20"/>
              </w:rPr>
              <w:t xml:space="preserve">             </w:t>
            </w:r>
            <w:r w:rsidR="00C07901" w:rsidRPr="00155028">
              <w:rPr>
                <w:b/>
                <w:sz w:val="20"/>
              </w:rPr>
              <w:t>Zdravila za živali</w:t>
            </w:r>
          </w:p>
          <w:p w14:paraId="5ED67C4F" w14:textId="3F563A21" w:rsidR="00C07901" w:rsidRPr="00155028" w:rsidRDefault="00C07901" w:rsidP="004111DD">
            <w:pPr>
              <w:pStyle w:val="Odstavekseznama"/>
              <w:numPr>
                <w:ilvl w:val="0"/>
                <w:numId w:val="19"/>
              </w:numPr>
              <w:rPr>
                <w:sz w:val="20"/>
              </w:rPr>
            </w:pPr>
            <w:r w:rsidRPr="00155028">
              <w:rPr>
                <w:sz w:val="20"/>
              </w:rPr>
              <w:t>ohranitev nizke skupne porabe protimikrobnih zdravil, da ostane pod EU povprečjem ob ohranja</w:t>
            </w:r>
            <w:r w:rsidR="004111DD" w:rsidRPr="00155028">
              <w:rPr>
                <w:sz w:val="20"/>
              </w:rPr>
              <w:t>n</w:t>
            </w:r>
            <w:r w:rsidRPr="00155028">
              <w:rPr>
                <w:sz w:val="20"/>
              </w:rPr>
              <w:t xml:space="preserve">ju </w:t>
            </w:r>
            <w:r w:rsidR="004111DD" w:rsidRPr="00155028">
              <w:rPr>
                <w:sz w:val="20"/>
              </w:rPr>
              <w:t xml:space="preserve">tržne </w:t>
            </w:r>
            <w:r w:rsidRPr="00155028">
              <w:rPr>
                <w:sz w:val="20"/>
              </w:rPr>
              <w:t>konkurenčnosti rejcev živali</w:t>
            </w:r>
          </w:p>
          <w:p w14:paraId="74EA00BC" w14:textId="67600A4E" w:rsidR="00C07901" w:rsidRPr="00155028" w:rsidRDefault="00C07901" w:rsidP="00D33334">
            <w:pPr>
              <w:pStyle w:val="Odstavekseznama"/>
              <w:numPr>
                <w:ilvl w:val="0"/>
                <w:numId w:val="19"/>
              </w:numPr>
              <w:rPr>
                <w:sz w:val="20"/>
              </w:rPr>
            </w:pPr>
            <w:r w:rsidRPr="00155028">
              <w:rPr>
                <w:sz w:val="20"/>
              </w:rPr>
              <w:t xml:space="preserve">vključevanje novih sektorjev </w:t>
            </w:r>
            <w:proofErr w:type="spellStart"/>
            <w:r w:rsidRPr="00155028">
              <w:rPr>
                <w:sz w:val="20"/>
              </w:rPr>
              <w:t>rej</w:t>
            </w:r>
            <w:r w:rsidR="004111DD" w:rsidRPr="00155028">
              <w:rPr>
                <w:sz w:val="20"/>
              </w:rPr>
              <w:t>nih</w:t>
            </w:r>
            <w:proofErr w:type="spellEnd"/>
            <w:r w:rsidRPr="00155028">
              <w:rPr>
                <w:sz w:val="20"/>
              </w:rPr>
              <w:t xml:space="preserve"> živali v nacionalno shemo kakovosti »izbrana kakovost« kot npr., z omejeno rabo oz. neuporabo nekaterih protimikrobnih zdravil, ki so najvišjega kritičnega pomena za zdravljenje ljudi</w:t>
            </w:r>
          </w:p>
          <w:p w14:paraId="43375E38" w14:textId="77777777" w:rsidR="007F469A" w:rsidRPr="00155028" w:rsidRDefault="007F469A" w:rsidP="00D33334">
            <w:pPr>
              <w:pStyle w:val="Odstavekseznama"/>
              <w:rPr>
                <w:b/>
                <w:sz w:val="20"/>
              </w:rPr>
            </w:pPr>
          </w:p>
          <w:p w14:paraId="22388529" w14:textId="69FDA888" w:rsidR="00C07901" w:rsidRPr="00155028" w:rsidRDefault="00C07901" w:rsidP="00D33334">
            <w:pPr>
              <w:pStyle w:val="Odstavekseznama"/>
              <w:rPr>
                <w:b/>
                <w:sz w:val="20"/>
              </w:rPr>
            </w:pPr>
            <w:r w:rsidRPr="00155028">
              <w:rPr>
                <w:b/>
                <w:sz w:val="20"/>
              </w:rPr>
              <w:t>Pesticidi</w:t>
            </w:r>
          </w:p>
          <w:p w14:paraId="10B1B1E5" w14:textId="6A78FD0F" w:rsidR="00C07901" w:rsidRPr="00155028" w:rsidRDefault="00C07901" w:rsidP="004111DD">
            <w:pPr>
              <w:pStyle w:val="Odstavekseznama"/>
              <w:numPr>
                <w:ilvl w:val="0"/>
                <w:numId w:val="19"/>
              </w:numPr>
              <w:rPr>
                <w:sz w:val="20"/>
              </w:rPr>
            </w:pPr>
            <w:r w:rsidRPr="00155028">
              <w:rPr>
                <w:sz w:val="20"/>
              </w:rPr>
              <w:t>razvoj  alternativnih metod</w:t>
            </w:r>
            <w:r w:rsidR="004111DD" w:rsidRPr="00155028">
              <w:rPr>
                <w:sz w:val="20"/>
              </w:rPr>
              <w:t xml:space="preserve"> varstva rastlin</w:t>
            </w:r>
            <w:r w:rsidRPr="00155028">
              <w:rPr>
                <w:sz w:val="20"/>
              </w:rPr>
              <w:t xml:space="preserve">, ki bodo omogočile zmanjšanje odvisnosti od rabe FFS </w:t>
            </w:r>
            <w:r w:rsidR="004111DD" w:rsidRPr="00155028">
              <w:rPr>
                <w:sz w:val="20"/>
              </w:rPr>
              <w:t>(vključno s stroji in drugo opremo)</w:t>
            </w:r>
          </w:p>
          <w:p w14:paraId="4F85647C" w14:textId="14285C22" w:rsidR="00C07901" w:rsidRPr="00155028" w:rsidRDefault="00C07901" w:rsidP="00D33334">
            <w:pPr>
              <w:pStyle w:val="Odstavekseznama"/>
              <w:numPr>
                <w:ilvl w:val="0"/>
                <w:numId w:val="19"/>
              </w:numPr>
              <w:rPr>
                <w:sz w:val="20"/>
              </w:rPr>
            </w:pPr>
            <w:r w:rsidRPr="00155028">
              <w:rPr>
                <w:sz w:val="20"/>
              </w:rPr>
              <w:lastRenderedPageBreak/>
              <w:t xml:space="preserve">razvoj novih odpornih sort </w:t>
            </w:r>
            <w:r w:rsidR="004111DD" w:rsidRPr="00155028">
              <w:rPr>
                <w:sz w:val="20"/>
              </w:rPr>
              <w:t xml:space="preserve">rastlin </w:t>
            </w:r>
            <w:r w:rsidRPr="00155028">
              <w:rPr>
                <w:sz w:val="20"/>
              </w:rPr>
              <w:t>na bolezni in škodljivce</w:t>
            </w:r>
          </w:p>
          <w:p w14:paraId="20013E2E" w14:textId="3C63499F" w:rsidR="00C5277B" w:rsidRDefault="00C5277B" w:rsidP="00D33334">
            <w:pPr>
              <w:pStyle w:val="Odstavekseznama"/>
              <w:numPr>
                <w:ilvl w:val="0"/>
                <w:numId w:val="19"/>
              </w:numPr>
              <w:rPr>
                <w:sz w:val="20"/>
              </w:rPr>
            </w:pPr>
            <w:r>
              <w:rPr>
                <w:sz w:val="20"/>
              </w:rPr>
              <w:t xml:space="preserve">Večja ozaveščenost </w:t>
            </w:r>
            <w:r w:rsidR="008434AF">
              <w:rPr>
                <w:sz w:val="20"/>
              </w:rPr>
              <w:t>o pomenu zdravja rastlin</w:t>
            </w:r>
          </w:p>
          <w:p w14:paraId="24D9A305" w14:textId="30B161CA" w:rsidR="00C07901" w:rsidRPr="00155028" w:rsidRDefault="00C07901" w:rsidP="00D33334">
            <w:pPr>
              <w:pStyle w:val="Odstavekseznama"/>
              <w:numPr>
                <w:ilvl w:val="0"/>
                <w:numId w:val="19"/>
              </w:numPr>
              <w:rPr>
                <w:sz w:val="20"/>
              </w:rPr>
            </w:pPr>
            <w:r w:rsidRPr="00155028">
              <w:rPr>
                <w:sz w:val="20"/>
              </w:rPr>
              <w:t>razvoj novih metod izvajanja programov preiskav, ki bi omogočali zgodnejše odkrivanje novih žarišč in racionalizirali preglede ter s tem povečali njihov obseg (</w:t>
            </w:r>
            <w:proofErr w:type="spellStart"/>
            <w:r w:rsidRPr="00155028">
              <w:rPr>
                <w:sz w:val="20"/>
              </w:rPr>
              <w:t>droni</w:t>
            </w:r>
            <w:proofErr w:type="spellEnd"/>
            <w:r w:rsidRPr="00155028">
              <w:rPr>
                <w:sz w:val="20"/>
              </w:rPr>
              <w:t>, pasti za daljinsko zaznavanje, …)</w:t>
            </w:r>
          </w:p>
          <w:p w14:paraId="33345E8B" w14:textId="6AA6186D" w:rsidR="00C5277B" w:rsidRDefault="00C07901" w:rsidP="00D44C9B">
            <w:pPr>
              <w:pStyle w:val="Odstavekseznama"/>
              <w:rPr>
                <w:sz w:val="20"/>
              </w:rPr>
            </w:pPr>
            <w:r w:rsidRPr="00155028">
              <w:rPr>
                <w:sz w:val="20"/>
              </w:rPr>
              <w:t>okrepitev laboratorijske dejavnosti na področju določanja bolezni in škodljivcev rastlin</w:t>
            </w:r>
            <w:r w:rsidR="008434AF">
              <w:rPr>
                <w:sz w:val="20"/>
              </w:rPr>
              <w:t>.</w:t>
            </w:r>
          </w:p>
          <w:p w14:paraId="1F36E607" w14:textId="77777777" w:rsidR="00D44C9B" w:rsidRPr="00155028" w:rsidRDefault="00D44C9B" w:rsidP="00D33334">
            <w:pPr>
              <w:pStyle w:val="Odstavekseznama"/>
              <w:rPr>
                <w:b/>
                <w:sz w:val="20"/>
              </w:rPr>
            </w:pPr>
          </w:p>
          <w:p w14:paraId="44ADEB26" w14:textId="1789DED9" w:rsidR="00C07901" w:rsidRPr="00155028" w:rsidRDefault="00C07901" w:rsidP="00D33334">
            <w:pPr>
              <w:pStyle w:val="Odstavekseznama"/>
              <w:rPr>
                <w:b/>
                <w:sz w:val="20"/>
              </w:rPr>
            </w:pPr>
            <w:r w:rsidRPr="00155028">
              <w:rPr>
                <w:b/>
                <w:sz w:val="20"/>
              </w:rPr>
              <w:t>Dobrobit živali</w:t>
            </w:r>
          </w:p>
          <w:p w14:paraId="237C69A5" w14:textId="77777777" w:rsidR="00D310A2" w:rsidRPr="00D310A2" w:rsidRDefault="00D310A2" w:rsidP="00D310A2">
            <w:pPr>
              <w:pStyle w:val="Odstavekseznama"/>
              <w:numPr>
                <w:ilvl w:val="0"/>
                <w:numId w:val="19"/>
              </w:numPr>
              <w:rPr>
                <w:sz w:val="20"/>
              </w:rPr>
            </w:pPr>
            <w:r w:rsidRPr="00D310A2">
              <w:rPr>
                <w:sz w:val="20"/>
              </w:rPr>
              <w:t>večanje ozaveščenosti potrošnikov o pomembnosti upoštevanja dobrobiti živali pri prireji proizvodov živalskega izvora</w:t>
            </w:r>
          </w:p>
          <w:p w14:paraId="7AD0CEB3" w14:textId="0B646E06" w:rsidR="00C07901" w:rsidRDefault="00C07901" w:rsidP="00D33334">
            <w:pPr>
              <w:pStyle w:val="Odstavekseznama"/>
              <w:numPr>
                <w:ilvl w:val="0"/>
                <w:numId w:val="19"/>
              </w:numPr>
              <w:rPr>
                <w:sz w:val="20"/>
              </w:rPr>
            </w:pPr>
            <w:r w:rsidRPr="00155028">
              <w:rPr>
                <w:sz w:val="20"/>
              </w:rPr>
              <w:t>vključevanje proizvodov iz nadstandardnih, živalim prilagojenih sistemov reje v sheme kakovosti je priložnost za izboljšanje dodane vrednosti in s tem boljši dohodkovni položaj kmetij</w:t>
            </w:r>
          </w:p>
          <w:p w14:paraId="1D37E18D" w14:textId="77777777" w:rsidR="00F25B09" w:rsidRPr="00155028" w:rsidRDefault="00F25B09" w:rsidP="00F25B09">
            <w:pPr>
              <w:pStyle w:val="Odstavekseznama"/>
              <w:numPr>
                <w:ilvl w:val="0"/>
                <w:numId w:val="19"/>
              </w:numPr>
              <w:rPr>
                <w:sz w:val="20"/>
              </w:rPr>
            </w:pPr>
            <w:r w:rsidRPr="00155028">
              <w:rPr>
                <w:sz w:val="20"/>
              </w:rPr>
              <w:t>uporaba finančnih virov SKP in informacijskih virov EU za spodbujanje višjih standardov dobrobiti živali</w:t>
            </w:r>
          </w:p>
          <w:p w14:paraId="26DD9966" w14:textId="77777777" w:rsidR="00F25B09" w:rsidRPr="00155028" w:rsidRDefault="00F25B09" w:rsidP="00737153">
            <w:pPr>
              <w:pStyle w:val="Odstavekseznama"/>
              <w:rPr>
                <w:sz w:val="20"/>
              </w:rPr>
            </w:pPr>
          </w:p>
          <w:p w14:paraId="69939C77" w14:textId="77777777" w:rsidR="00D44C9B" w:rsidRPr="00155028" w:rsidRDefault="00D44C9B" w:rsidP="00D33334">
            <w:pPr>
              <w:pStyle w:val="Odstavekseznama"/>
              <w:rPr>
                <w:b/>
                <w:bCs/>
                <w:sz w:val="20"/>
              </w:rPr>
            </w:pPr>
          </w:p>
          <w:p w14:paraId="29F4C6D7" w14:textId="5E7FD823" w:rsidR="00C07901" w:rsidRPr="00155028" w:rsidRDefault="00C07901" w:rsidP="00D33334">
            <w:pPr>
              <w:pStyle w:val="Odstavekseznama"/>
              <w:rPr>
                <w:b/>
                <w:bCs/>
                <w:sz w:val="20"/>
              </w:rPr>
            </w:pPr>
            <w:r w:rsidRPr="00155028">
              <w:rPr>
                <w:b/>
                <w:bCs/>
                <w:sz w:val="20"/>
              </w:rPr>
              <w:t>Odpadna hrana</w:t>
            </w:r>
          </w:p>
          <w:p w14:paraId="2E7CEEB6" w14:textId="3847F79F" w:rsidR="00C07901" w:rsidRPr="00155028" w:rsidRDefault="004111DD" w:rsidP="00D33334">
            <w:pPr>
              <w:numPr>
                <w:ilvl w:val="0"/>
                <w:numId w:val="19"/>
              </w:numPr>
              <w:rPr>
                <w:sz w:val="20"/>
              </w:rPr>
            </w:pPr>
            <w:r w:rsidRPr="00155028">
              <w:rPr>
                <w:sz w:val="20"/>
              </w:rPr>
              <w:t>i</w:t>
            </w:r>
            <w:r w:rsidR="00C07901" w:rsidRPr="00155028">
              <w:rPr>
                <w:sz w:val="20"/>
              </w:rPr>
              <w:t>novacije in raziskave v kmetijstvu in živilstvu na temo preprečevanja izgub in odpadne hrane (nova in funkcionalna živila in sestavine, precizno kmetijstvo, da je pridelek zdrav, količinski in ustreza tržnim standardom, pametna embalaža,…).</w:t>
            </w:r>
          </w:p>
          <w:p w14:paraId="09DE9656" w14:textId="3BF350C6" w:rsidR="00C07901" w:rsidRPr="00155028" w:rsidRDefault="004111DD" w:rsidP="00D33334">
            <w:pPr>
              <w:numPr>
                <w:ilvl w:val="0"/>
                <w:numId w:val="19"/>
              </w:numPr>
              <w:rPr>
                <w:sz w:val="20"/>
              </w:rPr>
            </w:pPr>
            <w:r w:rsidRPr="00155028">
              <w:rPr>
                <w:sz w:val="20"/>
              </w:rPr>
              <w:t>d</w:t>
            </w:r>
            <w:r w:rsidR="00C07901" w:rsidRPr="00155028">
              <w:rPr>
                <w:sz w:val="20"/>
              </w:rPr>
              <w:t>igitalizacija proizvodnje in predelave, logistike, prodaje.</w:t>
            </w:r>
          </w:p>
          <w:p w14:paraId="121A2267" w14:textId="01C8F622" w:rsidR="00C07901" w:rsidRPr="00155028" w:rsidRDefault="004111DD" w:rsidP="00D33334">
            <w:pPr>
              <w:numPr>
                <w:ilvl w:val="0"/>
                <w:numId w:val="19"/>
              </w:numPr>
              <w:rPr>
                <w:sz w:val="20"/>
              </w:rPr>
            </w:pPr>
            <w:r w:rsidRPr="00155028">
              <w:rPr>
                <w:sz w:val="20"/>
              </w:rPr>
              <w:t>n</w:t>
            </w:r>
            <w:r w:rsidR="00C07901" w:rsidRPr="00155028">
              <w:rPr>
                <w:sz w:val="20"/>
              </w:rPr>
              <w:t>ovi trendi zauživanja hrane, ki upoštevajo trajnostne in prehranske smernice (nove sheme,…).</w:t>
            </w:r>
          </w:p>
          <w:p w14:paraId="388B5F7D" w14:textId="1AF045AD" w:rsidR="00C07901" w:rsidRDefault="004111DD" w:rsidP="00D33334">
            <w:pPr>
              <w:numPr>
                <w:ilvl w:val="0"/>
                <w:numId w:val="19"/>
              </w:numPr>
              <w:rPr>
                <w:sz w:val="20"/>
              </w:rPr>
            </w:pPr>
            <w:r w:rsidRPr="00155028">
              <w:rPr>
                <w:sz w:val="20"/>
              </w:rPr>
              <w:t>k</w:t>
            </w:r>
            <w:r w:rsidR="00C07901" w:rsidRPr="00155028">
              <w:rPr>
                <w:sz w:val="20"/>
              </w:rPr>
              <w:t>repitev primarnih proizvajalcev v verigi preskrbe s hrano (OP, povezovanje, prilagajanje sistema javnih naročil…)</w:t>
            </w:r>
            <w:r w:rsidR="0005121D">
              <w:rPr>
                <w:sz w:val="20"/>
              </w:rPr>
              <w:t xml:space="preserve"> in možnost povezovanja pridelovalcev/predelovalcev s humanitarnimi organizacijami za prerazporeditev presežkov hrane</w:t>
            </w:r>
            <w:r w:rsidR="00C07901" w:rsidRPr="00155028">
              <w:rPr>
                <w:sz w:val="20"/>
              </w:rPr>
              <w:t>.</w:t>
            </w:r>
          </w:p>
          <w:p w14:paraId="0EADCCC0" w14:textId="19DC0D17" w:rsidR="0005121D" w:rsidRPr="00155028" w:rsidRDefault="0005121D" w:rsidP="00D33334">
            <w:pPr>
              <w:numPr>
                <w:ilvl w:val="0"/>
                <w:numId w:val="19"/>
              </w:numPr>
              <w:rPr>
                <w:sz w:val="20"/>
              </w:rPr>
            </w:pPr>
            <w:r w:rsidRPr="00CF43DE">
              <w:rPr>
                <w:sz w:val="20"/>
              </w:rPr>
              <w:lastRenderedPageBreak/>
              <w:t>Izobraževanje</w:t>
            </w:r>
            <w:r>
              <w:rPr>
                <w:sz w:val="20"/>
              </w:rPr>
              <w:t xml:space="preserve"> in usposabljanje vseh členov verige preskrbe s hrano, tudi</w:t>
            </w:r>
            <w:r w:rsidRPr="00CF43DE">
              <w:rPr>
                <w:sz w:val="20"/>
              </w:rPr>
              <w:t xml:space="preserve"> v šolah</w:t>
            </w:r>
            <w:r>
              <w:rPr>
                <w:sz w:val="20"/>
              </w:rPr>
              <w:t>.</w:t>
            </w:r>
          </w:p>
          <w:p w14:paraId="779FC7B3" w14:textId="77777777" w:rsidR="00C07901" w:rsidRPr="00155028" w:rsidRDefault="00C07901" w:rsidP="003C239F">
            <w:pPr>
              <w:ind w:left="720"/>
              <w:rPr>
                <w:sz w:val="20"/>
              </w:rPr>
            </w:pPr>
          </w:p>
        </w:tc>
        <w:tc>
          <w:tcPr>
            <w:tcW w:w="2500" w:type="pct"/>
            <w:tcBorders>
              <w:top w:val="single" w:sz="4" w:space="0" w:color="auto"/>
              <w:left w:val="single" w:sz="4" w:space="0" w:color="auto"/>
              <w:bottom w:val="single" w:sz="4" w:space="0" w:color="auto"/>
              <w:right w:val="single" w:sz="4" w:space="0" w:color="auto"/>
            </w:tcBorders>
          </w:tcPr>
          <w:p w14:paraId="3E82607E" w14:textId="717FBC81" w:rsidR="00C07901" w:rsidRPr="00155028" w:rsidRDefault="00D44C9B" w:rsidP="00C07901">
            <w:pPr>
              <w:rPr>
                <w:b/>
                <w:sz w:val="20"/>
              </w:rPr>
            </w:pPr>
            <w:r w:rsidRPr="00155028">
              <w:rPr>
                <w:b/>
                <w:sz w:val="20"/>
              </w:rPr>
              <w:lastRenderedPageBreak/>
              <w:t xml:space="preserve">             </w:t>
            </w:r>
            <w:r w:rsidR="00C07901" w:rsidRPr="00155028">
              <w:rPr>
                <w:b/>
                <w:sz w:val="20"/>
              </w:rPr>
              <w:t>Zdravila za živali</w:t>
            </w:r>
          </w:p>
          <w:p w14:paraId="2ABC95D8" w14:textId="0B2282AD" w:rsidR="00C07901" w:rsidRPr="00155028" w:rsidRDefault="004111DD" w:rsidP="00D33334">
            <w:pPr>
              <w:pStyle w:val="Odstavekseznama"/>
              <w:numPr>
                <w:ilvl w:val="0"/>
                <w:numId w:val="20"/>
              </w:numPr>
              <w:rPr>
                <w:sz w:val="20"/>
              </w:rPr>
            </w:pPr>
            <w:r w:rsidRPr="00155028">
              <w:rPr>
                <w:sz w:val="20"/>
              </w:rPr>
              <w:t xml:space="preserve">izbruh kužnih bolezni </w:t>
            </w:r>
            <w:r w:rsidR="00C07901" w:rsidRPr="00155028">
              <w:rPr>
                <w:sz w:val="20"/>
              </w:rPr>
              <w:t>vodi v večjo porabo protimikrobnih zdravil in povečuje tveganje za pojav in širjenje mikrobne odpornosti</w:t>
            </w:r>
          </w:p>
          <w:p w14:paraId="1FCD51AB" w14:textId="5B73C03D" w:rsidR="00C07901" w:rsidRPr="00155028" w:rsidRDefault="004111DD" w:rsidP="004111DD">
            <w:pPr>
              <w:pStyle w:val="Odstavekseznama"/>
              <w:numPr>
                <w:ilvl w:val="0"/>
                <w:numId w:val="20"/>
              </w:numPr>
              <w:rPr>
                <w:sz w:val="20"/>
              </w:rPr>
            </w:pPr>
            <w:r w:rsidRPr="00155028">
              <w:rPr>
                <w:sz w:val="20"/>
              </w:rPr>
              <w:t xml:space="preserve">nelegalna nabava ter nekontrolirana uporaba protimikrobnih zdravil zaradi </w:t>
            </w:r>
            <w:r w:rsidR="00C07901" w:rsidRPr="00155028">
              <w:rPr>
                <w:sz w:val="20"/>
              </w:rPr>
              <w:t>nepoznavanj</w:t>
            </w:r>
            <w:r w:rsidRPr="00155028">
              <w:rPr>
                <w:sz w:val="20"/>
              </w:rPr>
              <w:t>a</w:t>
            </w:r>
            <w:r w:rsidR="00C07901" w:rsidRPr="00155028">
              <w:rPr>
                <w:sz w:val="20"/>
              </w:rPr>
              <w:t xml:space="preserve"> in nerazumevanja rejcev ter veterinarjev </w:t>
            </w:r>
          </w:p>
          <w:p w14:paraId="7532080B" w14:textId="77777777" w:rsidR="007F469A" w:rsidRPr="00155028" w:rsidRDefault="007F469A" w:rsidP="00D33334">
            <w:pPr>
              <w:pStyle w:val="Odstavekseznama"/>
              <w:rPr>
                <w:b/>
                <w:sz w:val="20"/>
              </w:rPr>
            </w:pPr>
          </w:p>
          <w:p w14:paraId="4285F9BE" w14:textId="28844404" w:rsidR="00C07901" w:rsidRPr="00155028" w:rsidRDefault="00C07901" w:rsidP="00D33334">
            <w:pPr>
              <w:pStyle w:val="Odstavekseznama"/>
              <w:rPr>
                <w:b/>
                <w:sz w:val="20"/>
              </w:rPr>
            </w:pPr>
            <w:r w:rsidRPr="00155028">
              <w:rPr>
                <w:b/>
                <w:sz w:val="20"/>
              </w:rPr>
              <w:t>Pesticidi</w:t>
            </w:r>
          </w:p>
          <w:p w14:paraId="3AA22D49" w14:textId="61AABD42" w:rsidR="004111DD" w:rsidRPr="00155028" w:rsidRDefault="004111DD" w:rsidP="004111DD">
            <w:pPr>
              <w:pStyle w:val="Odstavekseznama"/>
              <w:numPr>
                <w:ilvl w:val="0"/>
                <w:numId w:val="20"/>
              </w:numPr>
              <w:rPr>
                <w:sz w:val="20"/>
              </w:rPr>
            </w:pPr>
            <w:r w:rsidRPr="00155028">
              <w:rPr>
                <w:sz w:val="20"/>
              </w:rPr>
              <w:t xml:space="preserve"> pojav in širjenje novih karantenskih škodljivih organizmov zaradi podnebnih sprememb in povečanega obsega mednarodne trgovine</w:t>
            </w:r>
          </w:p>
          <w:p w14:paraId="28CAD158" w14:textId="244D0AC0" w:rsidR="00C07901" w:rsidRPr="00155028" w:rsidRDefault="00C07901" w:rsidP="00D33334">
            <w:pPr>
              <w:pStyle w:val="Odstavekseznama"/>
              <w:numPr>
                <w:ilvl w:val="0"/>
                <w:numId w:val="20"/>
              </w:numPr>
              <w:rPr>
                <w:sz w:val="20"/>
              </w:rPr>
            </w:pPr>
            <w:r w:rsidRPr="00155028">
              <w:rPr>
                <w:sz w:val="20"/>
              </w:rPr>
              <w:t xml:space="preserve">določenih bolezni ali škodljivcev ne bo mogoče ustrezno zatirati zaradi </w:t>
            </w:r>
            <w:r w:rsidRPr="00155028">
              <w:rPr>
                <w:sz w:val="20"/>
              </w:rPr>
              <w:lastRenderedPageBreak/>
              <w:t xml:space="preserve">zmanjšane dostopnosti FFS ter nezadostne razpoložljivosti </w:t>
            </w:r>
            <w:proofErr w:type="spellStart"/>
            <w:r w:rsidRPr="00155028">
              <w:rPr>
                <w:sz w:val="20"/>
              </w:rPr>
              <w:t>nekemičnih</w:t>
            </w:r>
            <w:proofErr w:type="spellEnd"/>
            <w:r w:rsidRPr="00155028">
              <w:rPr>
                <w:sz w:val="20"/>
              </w:rPr>
              <w:t xml:space="preserve"> metod</w:t>
            </w:r>
          </w:p>
          <w:p w14:paraId="2E8BF97B" w14:textId="6D09A691" w:rsidR="00C07901" w:rsidRPr="00155028" w:rsidRDefault="004111DD" w:rsidP="00D33334">
            <w:pPr>
              <w:pStyle w:val="Odstavekseznama"/>
              <w:numPr>
                <w:ilvl w:val="0"/>
                <w:numId w:val="20"/>
              </w:numPr>
              <w:rPr>
                <w:sz w:val="20"/>
              </w:rPr>
            </w:pPr>
            <w:r w:rsidRPr="00155028">
              <w:rPr>
                <w:sz w:val="20"/>
              </w:rPr>
              <w:t xml:space="preserve">manjša konkurenčnost zaradi </w:t>
            </w:r>
            <w:r w:rsidR="00C07901" w:rsidRPr="00155028">
              <w:rPr>
                <w:sz w:val="20"/>
              </w:rPr>
              <w:t>dvig</w:t>
            </w:r>
            <w:r w:rsidRPr="00155028">
              <w:rPr>
                <w:sz w:val="20"/>
              </w:rPr>
              <w:t>a</w:t>
            </w:r>
            <w:r w:rsidR="00C07901" w:rsidRPr="00155028">
              <w:rPr>
                <w:sz w:val="20"/>
              </w:rPr>
              <w:t xml:space="preserve"> stroškov pridelave zaradi dragih strojev in opreme za izvajanje alternativnih metod</w:t>
            </w:r>
          </w:p>
          <w:p w14:paraId="5D0A3E38" w14:textId="77777777" w:rsidR="00F94284" w:rsidRPr="00155028" w:rsidRDefault="00F94284" w:rsidP="00D33334">
            <w:pPr>
              <w:pStyle w:val="Odstavekseznama"/>
              <w:rPr>
                <w:sz w:val="20"/>
              </w:rPr>
            </w:pPr>
          </w:p>
          <w:p w14:paraId="65A02D26" w14:textId="62CB3789" w:rsidR="00C07901" w:rsidRPr="00155028" w:rsidRDefault="00733973" w:rsidP="00D33334">
            <w:pPr>
              <w:pStyle w:val="Odstavekseznama"/>
              <w:rPr>
                <w:b/>
                <w:sz w:val="20"/>
              </w:rPr>
            </w:pPr>
            <w:r w:rsidRPr="00155028">
              <w:rPr>
                <w:b/>
                <w:sz w:val="20"/>
              </w:rPr>
              <w:t>D</w:t>
            </w:r>
            <w:r w:rsidR="00C07901" w:rsidRPr="00155028">
              <w:rPr>
                <w:b/>
                <w:sz w:val="20"/>
              </w:rPr>
              <w:t>obrobit živali</w:t>
            </w:r>
          </w:p>
          <w:p w14:paraId="530442A5" w14:textId="700DD53F" w:rsidR="00C07901" w:rsidRPr="00155028" w:rsidRDefault="00C07901" w:rsidP="00D33334">
            <w:pPr>
              <w:pStyle w:val="Odstavekseznama"/>
              <w:numPr>
                <w:ilvl w:val="0"/>
                <w:numId w:val="20"/>
              </w:numPr>
              <w:rPr>
                <w:sz w:val="20"/>
              </w:rPr>
            </w:pPr>
            <w:r w:rsidRPr="00155028">
              <w:rPr>
                <w:sz w:val="20"/>
              </w:rPr>
              <w:t>pojav novih kužnih bolezni</w:t>
            </w:r>
          </w:p>
          <w:p w14:paraId="5DBAB22B" w14:textId="77777777" w:rsidR="00F94284" w:rsidRPr="00155028" w:rsidRDefault="00F94284" w:rsidP="00D33334">
            <w:pPr>
              <w:pStyle w:val="Odstavekseznama"/>
              <w:rPr>
                <w:sz w:val="20"/>
              </w:rPr>
            </w:pPr>
          </w:p>
          <w:p w14:paraId="2616EE92" w14:textId="432B6892" w:rsidR="00C07901" w:rsidRPr="00155028" w:rsidRDefault="00733973" w:rsidP="00D33334">
            <w:pPr>
              <w:pStyle w:val="Odstavekseznama"/>
              <w:rPr>
                <w:b/>
                <w:bCs/>
                <w:sz w:val="20"/>
              </w:rPr>
            </w:pPr>
            <w:r w:rsidRPr="00155028">
              <w:rPr>
                <w:b/>
                <w:bCs/>
                <w:sz w:val="20"/>
              </w:rPr>
              <w:t>O</w:t>
            </w:r>
            <w:r w:rsidR="00C07901" w:rsidRPr="00155028">
              <w:rPr>
                <w:b/>
                <w:bCs/>
                <w:sz w:val="20"/>
              </w:rPr>
              <w:t>dpadna hrana</w:t>
            </w:r>
          </w:p>
          <w:p w14:paraId="58CB2B1C" w14:textId="5A194B7D" w:rsidR="00C07901" w:rsidRPr="00155028" w:rsidRDefault="004111DD" w:rsidP="00D33334">
            <w:pPr>
              <w:pStyle w:val="Odstavekseznama"/>
              <w:numPr>
                <w:ilvl w:val="0"/>
                <w:numId w:val="20"/>
              </w:numPr>
              <w:rPr>
                <w:sz w:val="20"/>
              </w:rPr>
            </w:pPr>
            <w:r w:rsidRPr="00155028">
              <w:rPr>
                <w:sz w:val="20"/>
              </w:rPr>
              <w:t>s</w:t>
            </w:r>
            <w:r w:rsidR="00C07901" w:rsidRPr="00155028">
              <w:rPr>
                <w:sz w:val="20"/>
              </w:rPr>
              <w:t>odobne hitro spreminjajoče potrošniške navade in okusi, ki jim kmetijska in živilska proizvodnja ne more slediti</w:t>
            </w:r>
          </w:p>
          <w:p w14:paraId="24269AE4" w14:textId="77777777" w:rsidR="00C07901" w:rsidRPr="00155028" w:rsidRDefault="00C07901" w:rsidP="003C239F">
            <w:pPr>
              <w:pStyle w:val="Odstavekseznama"/>
              <w:rPr>
                <w:sz w:val="20"/>
              </w:rPr>
            </w:pPr>
          </w:p>
        </w:tc>
      </w:tr>
    </w:tbl>
    <w:p w14:paraId="73578CB1" w14:textId="77777777" w:rsidR="00733973" w:rsidRPr="00155028" w:rsidRDefault="00733973" w:rsidP="00733973">
      <w:pPr>
        <w:pStyle w:val="Naslov1"/>
        <w:ind w:left="720"/>
        <w:rPr>
          <w:rFonts w:ascii="Arial" w:hAnsi="Arial" w:cs="Arial"/>
          <w:b/>
          <w:bCs/>
        </w:rPr>
      </w:pPr>
    </w:p>
    <w:p w14:paraId="00BD5279" w14:textId="75AE6CAD" w:rsidR="004111DD" w:rsidRPr="00155028" w:rsidRDefault="004111DD">
      <w:r w:rsidRPr="00155028">
        <w:br w:type="page"/>
      </w:r>
    </w:p>
    <w:p w14:paraId="142EED0E" w14:textId="075173DA" w:rsidR="00186223" w:rsidRPr="00155028" w:rsidRDefault="00342C52" w:rsidP="006723E3">
      <w:pPr>
        <w:pStyle w:val="Naslov1"/>
        <w:rPr>
          <w:rFonts w:ascii="Arial" w:hAnsi="Arial" w:cs="Arial"/>
          <w:b/>
          <w:bCs/>
        </w:rPr>
      </w:pPr>
      <w:bookmarkStart w:id="103" w:name="_Toc86826505"/>
      <w:r w:rsidRPr="00155028">
        <w:rPr>
          <w:rFonts w:ascii="Arial" w:hAnsi="Arial" w:cs="Arial"/>
          <w:b/>
          <w:bCs/>
        </w:rPr>
        <w:lastRenderedPageBreak/>
        <w:t>8</w:t>
      </w:r>
      <w:r w:rsidR="00291D2D" w:rsidRPr="00155028">
        <w:rPr>
          <w:rFonts w:ascii="Arial" w:hAnsi="Arial" w:cs="Arial"/>
          <w:b/>
          <w:bCs/>
        </w:rPr>
        <w:t xml:space="preserve">. </w:t>
      </w:r>
      <w:r w:rsidR="00186223" w:rsidRPr="00155028">
        <w:rPr>
          <w:rFonts w:ascii="Arial" w:hAnsi="Arial" w:cs="Arial"/>
          <w:b/>
          <w:bCs/>
        </w:rPr>
        <w:t>VIRI IN LIT</w:t>
      </w:r>
      <w:r w:rsidR="00D8676A" w:rsidRPr="00155028">
        <w:rPr>
          <w:rFonts w:ascii="Arial" w:hAnsi="Arial" w:cs="Arial"/>
          <w:b/>
          <w:bCs/>
        </w:rPr>
        <w:t>ERAT</w:t>
      </w:r>
      <w:r w:rsidR="00186223" w:rsidRPr="00155028">
        <w:rPr>
          <w:rFonts w:ascii="Arial" w:hAnsi="Arial" w:cs="Arial"/>
          <w:b/>
          <w:bCs/>
        </w:rPr>
        <w:t>URA</w:t>
      </w:r>
      <w:bookmarkEnd w:id="103"/>
    </w:p>
    <w:p w14:paraId="1F9ECD21" w14:textId="2A302296" w:rsidR="00D8676A" w:rsidRPr="00155028" w:rsidRDefault="00D8676A" w:rsidP="00757F47">
      <w:pPr>
        <w:pStyle w:val="Pripombabesedilo"/>
        <w:spacing w:line="240" w:lineRule="exact"/>
        <w:rPr>
          <w:rFonts w:ascii="Arial" w:hAnsi="Arial"/>
        </w:rPr>
      </w:pPr>
    </w:p>
    <w:p w14:paraId="2DEA209A" w14:textId="3D81A780" w:rsidR="00757F47" w:rsidRPr="00155028" w:rsidRDefault="00C20BCC" w:rsidP="00CF32CC">
      <w:pPr>
        <w:pStyle w:val="Pripombabesedilo"/>
        <w:spacing w:line="240" w:lineRule="exact"/>
        <w:jc w:val="left"/>
        <w:rPr>
          <w:rStyle w:val="Hiperpovezava"/>
          <w:rFonts w:ascii="Arial" w:hAnsi="Arial"/>
        </w:rPr>
      </w:pPr>
      <w:r w:rsidRPr="00155028">
        <w:rPr>
          <w:rFonts w:ascii="Arial" w:hAnsi="Arial"/>
        </w:rPr>
        <w:t>SURS.</w:t>
      </w:r>
      <w:r w:rsidR="00757F47" w:rsidRPr="00155028">
        <w:rPr>
          <w:rFonts w:ascii="Arial" w:hAnsi="Arial"/>
        </w:rPr>
        <w:t xml:space="preserve"> (2016):  </w:t>
      </w:r>
      <w:hyperlink r:id="rId52" w:history="1">
        <w:r w:rsidR="00757F47" w:rsidRPr="00155028">
          <w:rPr>
            <w:rStyle w:val="Hiperpovezava"/>
            <w:rFonts w:ascii="Arial" w:hAnsi="Arial"/>
          </w:rPr>
          <w:t>https://www.jkp-radlje.si/doc2/aktualno/hrana_med_odpadki_2016.pdf</w:t>
        </w:r>
      </w:hyperlink>
    </w:p>
    <w:p w14:paraId="1CB1CDB8" w14:textId="610B7FED" w:rsidR="00757F47" w:rsidRPr="00155028" w:rsidRDefault="00C20BCC" w:rsidP="00CF32CC">
      <w:pPr>
        <w:pStyle w:val="Pripombabesedilo"/>
        <w:spacing w:line="240" w:lineRule="exact"/>
        <w:jc w:val="left"/>
        <w:rPr>
          <w:rFonts w:ascii="Arial" w:hAnsi="Arial"/>
          <w:color w:val="0000FF" w:themeColor="hyperlink"/>
          <w:u w:val="single"/>
        </w:rPr>
      </w:pPr>
      <w:r w:rsidRPr="00155028">
        <w:rPr>
          <w:rStyle w:val="Hiperpovezava"/>
          <w:rFonts w:ascii="Arial" w:hAnsi="Arial"/>
          <w:color w:val="auto"/>
          <w:u w:val="none"/>
        </w:rPr>
        <w:t>SURS.</w:t>
      </w:r>
      <w:r w:rsidR="00757F47" w:rsidRPr="00155028">
        <w:rPr>
          <w:rStyle w:val="Hiperpovezava"/>
          <w:rFonts w:ascii="Arial" w:hAnsi="Arial"/>
          <w:color w:val="auto"/>
          <w:u w:val="none"/>
        </w:rPr>
        <w:t xml:space="preserve"> (2020):</w:t>
      </w:r>
      <w:r w:rsidR="00757F47" w:rsidRPr="00155028">
        <w:rPr>
          <w:rStyle w:val="Hiperpovezava"/>
          <w:rFonts w:ascii="Arial" w:hAnsi="Arial"/>
          <w:color w:val="auto"/>
        </w:rPr>
        <w:t xml:space="preserve"> </w:t>
      </w:r>
      <w:hyperlink r:id="rId53" w:history="1">
        <w:r w:rsidR="00757F47" w:rsidRPr="00155028">
          <w:rPr>
            <w:rStyle w:val="Hiperpovezava"/>
            <w:rFonts w:ascii="Arial" w:hAnsi="Arial"/>
          </w:rPr>
          <w:t>https://www.jkp-radlje.si/doc2/aktualno/hrana_med_odpadki_2016.pdf</w:t>
        </w:r>
      </w:hyperlink>
    </w:p>
    <w:p w14:paraId="3A384B69" w14:textId="3EA9F808" w:rsidR="00757F47" w:rsidRPr="00155028" w:rsidRDefault="00C20BCC" w:rsidP="00CF32CC">
      <w:pPr>
        <w:pStyle w:val="Pripombabesedilo"/>
        <w:spacing w:after="240" w:line="240" w:lineRule="exact"/>
        <w:jc w:val="left"/>
        <w:rPr>
          <w:rStyle w:val="Hiperpovezava"/>
          <w:rFonts w:ascii="Arial" w:hAnsi="Arial"/>
        </w:rPr>
      </w:pPr>
      <w:r w:rsidRPr="00155028">
        <w:rPr>
          <w:rFonts w:ascii="Arial" w:hAnsi="Arial"/>
        </w:rPr>
        <w:t>BIOEAST.</w:t>
      </w:r>
      <w:r w:rsidR="00757F47" w:rsidRPr="00155028">
        <w:rPr>
          <w:rFonts w:ascii="Arial" w:hAnsi="Arial"/>
        </w:rPr>
        <w:t xml:space="preserve"> (2020): </w:t>
      </w:r>
      <w:hyperlink r:id="rId54" w:history="1">
        <w:r w:rsidR="00757F47" w:rsidRPr="00155028">
          <w:rPr>
            <w:rStyle w:val="Hiperpovezava"/>
            <w:rFonts w:ascii="Arial" w:hAnsi="Arial"/>
          </w:rPr>
          <w:t>https://bioeast.eu/wp-content/uploads/2020/03/BIOEAST-food-waste-and-circular-economy-21-Feb-2020.pdf</w:t>
        </w:r>
      </w:hyperlink>
    </w:p>
    <w:p w14:paraId="08E3AD67" w14:textId="2CB5A820" w:rsidR="00757F47" w:rsidRPr="00155028" w:rsidRDefault="00757F47" w:rsidP="00CF32CC">
      <w:pPr>
        <w:autoSpaceDE w:val="0"/>
        <w:autoSpaceDN w:val="0"/>
        <w:adjustRightInd w:val="0"/>
        <w:spacing w:line="240" w:lineRule="exact"/>
        <w:rPr>
          <w:rFonts w:eastAsia="CIDFont+F4"/>
          <w:sz w:val="20"/>
        </w:rPr>
      </w:pPr>
      <w:r w:rsidRPr="00155028">
        <w:rPr>
          <w:rFonts w:eastAsia="CIDFont+F4"/>
          <w:sz w:val="20"/>
        </w:rPr>
        <w:t xml:space="preserve">Švab N. </w:t>
      </w:r>
      <w:r w:rsidR="00C20BCC" w:rsidRPr="00155028">
        <w:rPr>
          <w:rFonts w:eastAsia="CIDFont+F4"/>
          <w:sz w:val="20"/>
        </w:rPr>
        <w:t>(</w:t>
      </w:r>
      <w:r w:rsidRPr="00155028">
        <w:rPr>
          <w:rFonts w:eastAsia="CIDFont+F4"/>
          <w:sz w:val="20"/>
        </w:rPr>
        <w:t>2019</w:t>
      </w:r>
      <w:r w:rsidR="00C20BCC" w:rsidRPr="00155028">
        <w:rPr>
          <w:rFonts w:eastAsia="CIDFont+F4"/>
          <w:sz w:val="20"/>
        </w:rPr>
        <w:t>)</w:t>
      </w:r>
      <w:r w:rsidRPr="00155028">
        <w:rPr>
          <w:rFonts w:eastAsia="CIDFont+F4"/>
          <w:sz w:val="20"/>
        </w:rPr>
        <w:t>. »Neverjeten odziv« Slovencev: rešili 15 ton ekološko pridelanih jabolk; Portal 24 ur: https://www.24ur.com/novice/gospodarstvo/jabolka.html (april, 2020)</w:t>
      </w:r>
    </w:p>
    <w:p w14:paraId="57BD8C0B" w14:textId="1C5E5A8C" w:rsidR="00757F47" w:rsidRPr="00D8676A" w:rsidRDefault="00757F47" w:rsidP="00CF32CC">
      <w:pPr>
        <w:autoSpaceDE w:val="0"/>
        <w:autoSpaceDN w:val="0"/>
        <w:adjustRightInd w:val="0"/>
        <w:spacing w:after="0" w:line="240" w:lineRule="exact"/>
        <w:rPr>
          <w:rFonts w:eastAsia="CIDFont+F4"/>
          <w:sz w:val="20"/>
        </w:rPr>
      </w:pPr>
      <w:r w:rsidRPr="00155028">
        <w:rPr>
          <w:rFonts w:eastAsia="CIDFont+F4"/>
          <w:sz w:val="20"/>
        </w:rPr>
        <w:t xml:space="preserve">Zaplotnik C. </w:t>
      </w:r>
      <w:r w:rsidR="00C20BCC" w:rsidRPr="00155028">
        <w:rPr>
          <w:rFonts w:eastAsia="CIDFont+F4"/>
          <w:sz w:val="20"/>
        </w:rPr>
        <w:t>(</w:t>
      </w:r>
      <w:r w:rsidRPr="00155028">
        <w:rPr>
          <w:rFonts w:eastAsia="CIDFont+F4"/>
          <w:sz w:val="20"/>
        </w:rPr>
        <w:t>2015</w:t>
      </w:r>
      <w:r w:rsidR="00C20BCC" w:rsidRPr="00155028">
        <w:rPr>
          <w:rFonts w:eastAsia="CIDFont+F4"/>
          <w:sz w:val="20"/>
        </w:rPr>
        <w:t>)</w:t>
      </w:r>
      <w:r w:rsidRPr="00155028">
        <w:rPr>
          <w:rFonts w:eastAsia="CIDFont+F4"/>
          <w:sz w:val="20"/>
        </w:rPr>
        <w:t>. Rešimo slovenske pridelke. Gorenjski Glas: http://arhiv.gorenjskiglas.si/article/20151023/C/151029893/resimo-slovenskepridelke</w:t>
      </w:r>
    </w:p>
    <w:p w14:paraId="1DB25D09" w14:textId="50D7F5F9" w:rsidR="00757F47" w:rsidRPr="00D8676A" w:rsidRDefault="00757F47" w:rsidP="00CF32CC">
      <w:pPr>
        <w:pStyle w:val="Pripombabesedilo"/>
        <w:jc w:val="left"/>
      </w:pPr>
    </w:p>
    <w:p w14:paraId="24D2609A" w14:textId="6523945A" w:rsidR="00D8676A" w:rsidRPr="00C949D4" w:rsidRDefault="00D8676A" w:rsidP="00D8676A">
      <w:pPr>
        <w:spacing w:line="360" w:lineRule="auto"/>
        <w:jc w:val="both"/>
        <w:rPr>
          <w:sz w:val="20"/>
        </w:rPr>
      </w:pPr>
    </w:p>
    <w:sectPr w:rsidR="00D8676A" w:rsidRPr="00C949D4" w:rsidSect="00240F7A">
      <w:footerReference w:type="default" r:id="rId5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9E273" w14:textId="77777777" w:rsidR="00A26CD6" w:rsidRDefault="00A26CD6" w:rsidP="00240F7A">
      <w:pPr>
        <w:spacing w:after="0" w:line="240" w:lineRule="auto"/>
      </w:pPr>
      <w:r>
        <w:separator/>
      </w:r>
    </w:p>
  </w:endnote>
  <w:endnote w:type="continuationSeparator" w:id="0">
    <w:p w14:paraId="13F3D341" w14:textId="77777777" w:rsidR="00A26CD6" w:rsidRDefault="00A26CD6" w:rsidP="00240F7A">
      <w:pPr>
        <w:spacing w:after="0" w:line="240" w:lineRule="auto"/>
      </w:pPr>
      <w:r>
        <w:continuationSeparator/>
      </w:r>
    </w:p>
  </w:endnote>
  <w:endnote w:type="continuationNotice" w:id="1">
    <w:p w14:paraId="61F2B37D" w14:textId="77777777" w:rsidR="00A26CD6" w:rsidRDefault="00A26C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IDFont+F4">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979606"/>
      <w:docPartObj>
        <w:docPartGallery w:val="Page Numbers (Bottom of Page)"/>
        <w:docPartUnique/>
      </w:docPartObj>
    </w:sdtPr>
    <w:sdtEndPr/>
    <w:sdtContent>
      <w:p w14:paraId="59D14248" w14:textId="7FDE9AEC" w:rsidR="00A26CD6" w:rsidRDefault="00A26CD6">
        <w:pPr>
          <w:pStyle w:val="Noga"/>
          <w:jc w:val="center"/>
        </w:pPr>
        <w:r>
          <w:fldChar w:fldCharType="begin"/>
        </w:r>
        <w:r>
          <w:instrText>PAGE   \* MERGEFORMAT</w:instrText>
        </w:r>
        <w:r>
          <w:fldChar w:fldCharType="separate"/>
        </w:r>
        <w:r w:rsidR="00771BC3">
          <w:rPr>
            <w:noProof/>
          </w:rPr>
          <w:t>2</w:t>
        </w:r>
        <w:r w:rsidR="00771BC3">
          <w:rPr>
            <w:noProof/>
          </w:rPr>
          <w:t>1</w:t>
        </w:r>
        <w:r>
          <w:fldChar w:fldCharType="end"/>
        </w:r>
      </w:p>
    </w:sdtContent>
  </w:sdt>
  <w:p w14:paraId="4BE8ACAE" w14:textId="77777777" w:rsidR="00A26CD6" w:rsidRDefault="00A26CD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9BEDF" w14:textId="77777777" w:rsidR="00A26CD6" w:rsidRDefault="00A26CD6" w:rsidP="00240F7A">
      <w:pPr>
        <w:spacing w:after="0" w:line="240" w:lineRule="auto"/>
      </w:pPr>
      <w:r>
        <w:separator/>
      </w:r>
    </w:p>
  </w:footnote>
  <w:footnote w:type="continuationSeparator" w:id="0">
    <w:p w14:paraId="60EF76A9" w14:textId="77777777" w:rsidR="00A26CD6" w:rsidRDefault="00A26CD6" w:rsidP="00240F7A">
      <w:pPr>
        <w:spacing w:after="0" w:line="240" w:lineRule="auto"/>
      </w:pPr>
      <w:r>
        <w:continuationSeparator/>
      </w:r>
    </w:p>
  </w:footnote>
  <w:footnote w:type="continuationNotice" w:id="1">
    <w:p w14:paraId="171F1C4B" w14:textId="77777777" w:rsidR="00A26CD6" w:rsidRDefault="00A26CD6">
      <w:pPr>
        <w:spacing w:after="0" w:line="240" w:lineRule="auto"/>
      </w:pPr>
    </w:p>
  </w:footnote>
  <w:footnote w:id="2">
    <w:p w14:paraId="40C1F153" w14:textId="77777777" w:rsidR="00A26CD6" w:rsidRPr="00837C52" w:rsidRDefault="00A26CD6" w:rsidP="007F41C6">
      <w:pPr>
        <w:pStyle w:val="Sprotnaopomba-besedilo"/>
        <w:rPr>
          <w:rFonts w:ascii="Arial" w:hAnsi="Arial"/>
          <w:sz w:val="16"/>
          <w:szCs w:val="16"/>
        </w:rPr>
      </w:pPr>
      <w:r w:rsidRPr="008B5C49">
        <w:rPr>
          <w:rStyle w:val="Sprotnaopomba-sklic"/>
          <w:rFonts w:ascii="Arial" w:hAnsi="Arial"/>
        </w:rPr>
        <w:footnoteRef/>
      </w:r>
      <w:r w:rsidRPr="008B5C49">
        <w:rPr>
          <w:rFonts w:ascii="Arial" w:hAnsi="Arial"/>
        </w:rPr>
        <w:t xml:space="preserve"> </w:t>
      </w:r>
      <w:r w:rsidRPr="00837C52">
        <w:rPr>
          <w:rFonts w:ascii="Arial" w:hAnsi="Arial"/>
          <w:sz w:val="16"/>
          <w:szCs w:val="16"/>
        </w:rPr>
        <w:t xml:space="preserve">PCU: </w:t>
      </w:r>
    </w:p>
    <w:p w14:paraId="6B53C934" w14:textId="77777777" w:rsidR="00A26CD6" w:rsidRPr="00837C52" w:rsidRDefault="00A26CD6" w:rsidP="007F41C6">
      <w:pPr>
        <w:pStyle w:val="Sprotnaopomba-besedilo"/>
        <w:rPr>
          <w:rFonts w:ascii="Arial" w:hAnsi="Arial"/>
          <w:sz w:val="16"/>
          <w:szCs w:val="16"/>
        </w:rPr>
      </w:pPr>
      <w:r w:rsidRPr="00837C52">
        <w:rPr>
          <w:rFonts w:ascii="Arial" w:hAnsi="Arial"/>
          <w:sz w:val="16"/>
          <w:szCs w:val="16"/>
        </w:rPr>
        <w:t>https://www.ema.europa.eu/en/veterinary-regulatory/overview/antimicrobial-resistance/european-surveillance-veterinary-antimicrobial-consumption-esvac</w:t>
      </w:r>
    </w:p>
    <w:p w14:paraId="085AB7BF" w14:textId="77777777" w:rsidR="00A26CD6" w:rsidRPr="00837C52" w:rsidRDefault="00A26CD6" w:rsidP="007F41C6">
      <w:pPr>
        <w:pStyle w:val="Sprotnaopomba-besedilo"/>
        <w:rPr>
          <w:rFonts w:ascii="Arial" w:hAnsi="Arial"/>
          <w:sz w:val="16"/>
          <w:szCs w:val="16"/>
        </w:rPr>
      </w:pPr>
      <w:r w:rsidRPr="00837C52">
        <w:rPr>
          <w:rFonts w:ascii="Arial" w:hAnsi="Arial"/>
          <w:sz w:val="16"/>
          <w:szCs w:val="16"/>
        </w:rPr>
        <w:t>https://www.ema.europa.eu/en/documents/report/trends-sales-veterinary-antimicrobial-agents-nine-european-countries_en.pdf</w:t>
      </w:r>
    </w:p>
  </w:footnote>
  <w:footnote w:id="3">
    <w:p w14:paraId="1B47C493" w14:textId="66E9BDA9" w:rsidR="00A26CD6" w:rsidRDefault="00A26CD6" w:rsidP="00C35754">
      <w:pPr>
        <w:pStyle w:val="Sprotnaopomba-besedilo"/>
        <w:jc w:val="left"/>
        <w:rPr>
          <w:rStyle w:val="Hiperpovezava"/>
          <w:rFonts w:ascii="Arial" w:eastAsiaTheme="minorHAnsi" w:hAnsi="Arial"/>
          <w:sz w:val="24"/>
          <w:lang w:eastAsia="en-US"/>
        </w:rPr>
      </w:pPr>
      <w:r w:rsidRPr="00837C52">
        <w:rPr>
          <w:rStyle w:val="Sprotnaopomba-sklic"/>
          <w:rFonts w:ascii="Arial" w:hAnsi="Arial"/>
          <w:sz w:val="16"/>
          <w:szCs w:val="16"/>
        </w:rPr>
        <w:footnoteRef/>
      </w:r>
      <w:r w:rsidRPr="00837C52">
        <w:rPr>
          <w:rFonts w:ascii="Arial" w:hAnsi="Arial"/>
          <w:sz w:val="16"/>
          <w:szCs w:val="16"/>
        </w:rPr>
        <w:t xml:space="preserve"> </w:t>
      </w:r>
      <w:proofErr w:type="spellStart"/>
      <w:r w:rsidRPr="00837C52">
        <w:rPr>
          <w:rFonts w:ascii="Arial" w:hAnsi="Arial"/>
          <w:sz w:val="16"/>
          <w:szCs w:val="16"/>
        </w:rPr>
        <w:t>European</w:t>
      </w:r>
      <w:proofErr w:type="spellEnd"/>
      <w:r w:rsidRPr="00837C52">
        <w:rPr>
          <w:rFonts w:ascii="Arial" w:hAnsi="Arial"/>
          <w:sz w:val="16"/>
          <w:szCs w:val="16"/>
        </w:rPr>
        <w:t xml:space="preserve"> </w:t>
      </w:r>
      <w:proofErr w:type="spellStart"/>
      <w:r w:rsidRPr="00837C52">
        <w:rPr>
          <w:rFonts w:ascii="Arial" w:hAnsi="Arial"/>
          <w:sz w:val="16"/>
          <w:szCs w:val="16"/>
        </w:rPr>
        <w:t>Medicines</w:t>
      </w:r>
      <w:proofErr w:type="spellEnd"/>
      <w:r w:rsidRPr="00837C52">
        <w:rPr>
          <w:rFonts w:ascii="Arial" w:hAnsi="Arial"/>
          <w:sz w:val="16"/>
          <w:szCs w:val="16"/>
        </w:rPr>
        <w:t xml:space="preserve"> </w:t>
      </w:r>
      <w:proofErr w:type="spellStart"/>
      <w:r w:rsidRPr="00837C52">
        <w:rPr>
          <w:rFonts w:ascii="Arial" w:hAnsi="Arial"/>
          <w:sz w:val="16"/>
          <w:szCs w:val="16"/>
        </w:rPr>
        <w:t>Agency</w:t>
      </w:r>
      <w:proofErr w:type="spellEnd"/>
      <w:r w:rsidRPr="00837C52">
        <w:rPr>
          <w:rFonts w:ascii="Arial" w:hAnsi="Arial"/>
          <w:sz w:val="16"/>
          <w:szCs w:val="16"/>
        </w:rPr>
        <w:t xml:space="preserve">, </w:t>
      </w:r>
      <w:proofErr w:type="spellStart"/>
      <w:r w:rsidRPr="00837C52">
        <w:rPr>
          <w:rFonts w:ascii="Arial" w:hAnsi="Arial"/>
          <w:sz w:val="16"/>
          <w:szCs w:val="16"/>
        </w:rPr>
        <w:t>European</w:t>
      </w:r>
      <w:proofErr w:type="spellEnd"/>
      <w:r w:rsidRPr="00837C52">
        <w:rPr>
          <w:rFonts w:ascii="Arial" w:hAnsi="Arial"/>
          <w:sz w:val="16"/>
          <w:szCs w:val="16"/>
        </w:rPr>
        <w:t xml:space="preserve"> </w:t>
      </w:r>
      <w:proofErr w:type="spellStart"/>
      <w:r w:rsidRPr="00837C52">
        <w:rPr>
          <w:rFonts w:ascii="Arial" w:hAnsi="Arial"/>
          <w:sz w:val="16"/>
          <w:szCs w:val="16"/>
        </w:rPr>
        <w:t>Surveillance</w:t>
      </w:r>
      <w:proofErr w:type="spellEnd"/>
      <w:r w:rsidRPr="00837C52">
        <w:rPr>
          <w:rFonts w:ascii="Arial" w:hAnsi="Arial"/>
          <w:sz w:val="16"/>
          <w:szCs w:val="16"/>
        </w:rPr>
        <w:t xml:space="preserve"> </w:t>
      </w:r>
      <w:proofErr w:type="spellStart"/>
      <w:r w:rsidRPr="00837C52">
        <w:rPr>
          <w:rFonts w:ascii="Arial" w:hAnsi="Arial"/>
          <w:sz w:val="16"/>
          <w:szCs w:val="16"/>
        </w:rPr>
        <w:t>of</w:t>
      </w:r>
      <w:proofErr w:type="spellEnd"/>
      <w:r w:rsidRPr="00837C52">
        <w:rPr>
          <w:rFonts w:ascii="Arial" w:hAnsi="Arial"/>
          <w:sz w:val="16"/>
          <w:szCs w:val="16"/>
        </w:rPr>
        <w:t xml:space="preserve"> </w:t>
      </w:r>
      <w:proofErr w:type="spellStart"/>
      <w:r w:rsidRPr="00837C52">
        <w:rPr>
          <w:rFonts w:ascii="Arial" w:hAnsi="Arial"/>
          <w:sz w:val="16"/>
          <w:szCs w:val="16"/>
        </w:rPr>
        <w:t>Veterinary</w:t>
      </w:r>
      <w:proofErr w:type="spellEnd"/>
      <w:r w:rsidRPr="00837C52">
        <w:rPr>
          <w:rFonts w:ascii="Arial" w:hAnsi="Arial"/>
          <w:sz w:val="16"/>
          <w:szCs w:val="16"/>
        </w:rPr>
        <w:t xml:space="preserve"> </w:t>
      </w:r>
      <w:proofErr w:type="spellStart"/>
      <w:r w:rsidRPr="00837C52">
        <w:rPr>
          <w:rFonts w:ascii="Arial" w:hAnsi="Arial"/>
          <w:sz w:val="16"/>
          <w:szCs w:val="16"/>
        </w:rPr>
        <w:t>Antimicrobial</w:t>
      </w:r>
      <w:proofErr w:type="spellEnd"/>
      <w:r w:rsidRPr="00837C52">
        <w:rPr>
          <w:rFonts w:ascii="Arial" w:hAnsi="Arial"/>
          <w:sz w:val="16"/>
          <w:szCs w:val="16"/>
        </w:rPr>
        <w:t xml:space="preserve"> </w:t>
      </w:r>
      <w:proofErr w:type="spellStart"/>
      <w:r w:rsidRPr="00837C52">
        <w:rPr>
          <w:rFonts w:ascii="Arial" w:hAnsi="Arial"/>
          <w:sz w:val="16"/>
          <w:szCs w:val="16"/>
        </w:rPr>
        <w:t>Consumption</w:t>
      </w:r>
      <w:proofErr w:type="spellEnd"/>
      <w:r w:rsidRPr="00837C52">
        <w:rPr>
          <w:rFonts w:ascii="Arial" w:hAnsi="Arial"/>
          <w:sz w:val="16"/>
          <w:szCs w:val="16"/>
        </w:rPr>
        <w:t xml:space="preserve">, 2019. </w:t>
      </w:r>
      <w:proofErr w:type="spellStart"/>
      <w:r w:rsidRPr="00837C52">
        <w:rPr>
          <w:rFonts w:ascii="Arial" w:hAnsi="Arial"/>
          <w:sz w:val="16"/>
          <w:szCs w:val="16"/>
        </w:rPr>
        <w:t>Sales</w:t>
      </w:r>
      <w:proofErr w:type="spellEnd"/>
      <w:r w:rsidRPr="00837C52">
        <w:rPr>
          <w:rFonts w:ascii="Arial" w:hAnsi="Arial"/>
          <w:sz w:val="16"/>
          <w:szCs w:val="16"/>
        </w:rPr>
        <w:t xml:space="preserve"> </w:t>
      </w:r>
      <w:proofErr w:type="spellStart"/>
      <w:r w:rsidRPr="00837C52">
        <w:rPr>
          <w:rFonts w:ascii="Arial" w:hAnsi="Arial"/>
          <w:sz w:val="16"/>
          <w:szCs w:val="16"/>
        </w:rPr>
        <w:t>of</w:t>
      </w:r>
      <w:proofErr w:type="spellEnd"/>
      <w:r w:rsidRPr="00837C52">
        <w:rPr>
          <w:rFonts w:ascii="Arial" w:hAnsi="Arial"/>
          <w:sz w:val="16"/>
          <w:szCs w:val="16"/>
        </w:rPr>
        <w:t xml:space="preserve"> </w:t>
      </w:r>
      <w:proofErr w:type="spellStart"/>
      <w:r w:rsidRPr="00837C52">
        <w:rPr>
          <w:rFonts w:ascii="Arial" w:hAnsi="Arial"/>
          <w:sz w:val="16"/>
          <w:szCs w:val="16"/>
        </w:rPr>
        <w:t>veterinary</w:t>
      </w:r>
      <w:proofErr w:type="spellEnd"/>
      <w:r w:rsidRPr="00837C52">
        <w:rPr>
          <w:rFonts w:ascii="Arial" w:hAnsi="Arial"/>
          <w:sz w:val="16"/>
          <w:szCs w:val="16"/>
        </w:rPr>
        <w:t xml:space="preserve"> </w:t>
      </w:r>
      <w:proofErr w:type="spellStart"/>
      <w:r w:rsidRPr="00837C52">
        <w:rPr>
          <w:rFonts w:ascii="Arial" w:hAnsi="Arial"/>
          <w:sz w:val="16"/>
          <w:szCs w:val="16"/>
        </w:rPr>
        <w:t>antimicrobial</w:t>
      </w:r>
      <w:proofErr w:type="spellEnd"/>
      <w:r w:rsidRPr="00837C52">
        <w:rPr>
          <w:rFonts w:ascii="Arial" w:hAnsi="Arial"/>
          <w:sz w:val="16"/>
          <w:szCs w:val="16"/>
        </w:rPr>
        <w:t xml:space="preserve"> </w:t>
      </w:r>
      <w:proofErr w:type="spellStart"/>
      <w:r w:rsidRPr="00837C52">
        <w:rPr>
          <w:rFonts w:ascii="Arial" w:hAnsi="Arial"/>
          <w:sz w:val="16"/>
          <w:szCs w:val="16"/>
        </w:rPr>
        <w:t>agents</w:t>
      </w:r>
      <w:proofErr w:type="spellEnd"/>
      <w:r w:rsidRPr="00837C52">
        <w:rPr>
          <w:rFonts w:ascii="Arial" w:hAnsi="Arial"/>
          <w:sz w:val="16"/>
          <w:szCs w:val="16"/>
        </w:rPr>
        <w:t xml:space="preserve"> in 31 </w:t>
      </w:r>
      <w:proofErr w:type="spellStart"/>
      <w:r w:rsidRPr="00837C52">
        <w:rPr>
          <w:rFonts w:ascii="Arial" w:hAnsi="Arial"/>
          <w:sz w:val="16"/>
          <w:szCs w:val="16"/>
        </w:rPr>
        <w:t>European</w:t>
      </w:r>
      <w:proofErr w:type="spellEnd"/>
      <w:r w:rsidRPr="00837C52">
        <w:rPr>
          <w:rFonts w:ascii="Arial" w:hAnsi="Arial"/>
          <w:sz w:val="16"/>
          <w:szCs w:val="16"/>
        </w:rPr>
        <w:t xml:space="preserve"> </w:t>
      </w:r>
      <w:proofErr w:type="spellStart"/>
      <w:r w:rsidRPr="00837C52">
        <w:rPr>
          <w:rFonts w:ascii="Arial" w:hAnsi="Arial"/>
          <w:sz w:val="16"/>
          <w:szCs w:val="16"/>
        </w:rPr>
        <w:t>countries</w:t>
      </w:r>
      <w:proofErr w:type="spellEnd"/>
      <w:r w:rsidRPr="00837C52">
        <w:rPr>
          <w:rFonts w:ascii="Arial" w:hAnsi="Arial"/>
          <w:sz w:val="16"/>
          <w:szCs w:val="16"/>
        </w:rPr>
        <w:t xml:space="preserve"> in 2017:</w:t>
      </w:r>
      <w:r w:rsidRPr="008B5C49">
        <w:rPr>
          <w:rFonts w:ascii="Arial" w:hAnsi="Arial"/>
        </w:rPr>
        <w:t xml:space="preserve"> </w:t>
      </w:r>
      <w:hyperlink r:id="rId1" w:history="1">
        <w:r w:rsidRPr="00C35754">
          <w:rPr>
            <w:rStyle w:val="Hiperpovezava"/>
            <w:rFonts w:ascii="Arial" w:hAnsi="Arial"/>
            <w:sz w:val="16"/>
          </w:rPr>
          <w:t>https://www.ema.europa.eu/en/documents/report/sales-veterinary-antimicrobial-agents-31-european-countries-2017_en.pdf</w:t>
        </w:r>
      </w:hyperlink>
    </w:p>
    <w:p w14:paraId="301DFACD" w14:textId="15800ECA" w:rsidR="00A26CD6" w:rsidRPr="008B5C49" w:rsidRDefault="00A26CD6" w:rsidP="007F41C6">
      <w:pPr>
        <w:pStyle w:val="Sprotnaopomba-besedilo"/>
        <w:rPr>
          <w:rFonts w:ascii="Arial" w:hAnsi="Arial"/>
          <w:sz w:val="16"/>
          <w:szCs w:val="16"/>
        </w:rPr>
      </w:pPr>
      <w:r w:rsidRPr="009F4F97">
        <w:rPr>
          <w:rFonts w:ascii="Arial" w:hAnsi="Arial"/>
          <w:sz w:val="16"/>
          <w:szCs w:val="16"/>
        </w:rPr>
        <w:t>https://www.ema.europa.eu/en/documents/report/sales-veterinary-antimicrobial-agents-31-european-countries-2018-trends-2010-2018-tenth-esvac-report_en.pdf</w:t>
      </w:r>
    </w:p>
  </w:footnote>
  <w:footnote w:id="4">
    <w:p w14:paraId="2B4CF8FF" w14:textId="77777777" w:rsidR="00A26CD6" w:rsidRDefault="00A26CD6" w:rsidP="007F41C6">
      <w:pPr>
        <w:pStyle w:val="Sprotnaopomba-besedilo"/>
      </w:pPr>
      <w:r w:rsidRPr="00DE68DF">
        <w:rPr>
          <w:rStyle w:val="Sprotnaopomba-sklic"/>
          <w:rFonts w:ascii="Arial" w:hAnsi="Arial"/>
          <w:sz w:val="16"/>
          <w:szCs w:val="16"/>
        </w:rPr>
        <w:footnoteRef/>
      </w:r>
      <w:r w:rsidRPr="00DE68DF">
        <w:rPr>
          <w:rFonts w:ascii="Arial" w:hAnsi="Arial"/>
          <w:sz w:val="16"/>
          <w:szCs w:val="16"/>
        </w:rPr>
        <w:t xml:space="preserve"> </w:t>
      </w:r>
      <w:r w:rsidRPr="00DE68DF">
        <w:rPr>
          <w:rFonts w:ascii="Arial" w:hAnsi="Arial"/>
          <w:sz w:val="16"/>
          <w:szCs w:val="16"/>
        </w:rPr>
        <w:t>Državna strategija „eno zdravje": https://www.gov.si/novice/nov-vlada-sprejela-drzavno-strategijo-eno-zdravje-za-obvladovanje-odpornosti-mikrobov-2019-2024-z-akcijskim-nacrtom-za-obdobje-2019-2021/.</w:t>
      </w:r>
    </w:p>
  </w:footnote>
  <w:footnote w:id="5">
    <w:p w14:paraId="48337D7D" w14:textId="754B6A7C" w:rsidR="00A26CD6" w:rsidRPr="00EE1DC0" w:rsidRDefault="00A26CD6" w:rsidP="00D92E6F">
      <w:pPr>
        <w:pStyle w:val="Sprotnaopomba-besedilo"/>
        <w:ind w:left="0" w:firstLine="0"/>
        <w:rPr>
          <w:rFonts w:ascii="Arial" w:hAnsi="Arial"/>
          <w:sz w:val="16"/>
          <w:szCs w:val="16"/>
        </w:rPr>
      </w:pPr>
      <w:r w:rsidRPr="00EE1DC0">
        <w:rPr>
          <w:rStyle w:val="Sprotnaopomba-sklic"/>
          <w:rFonts w:ascii="Arial" w:hAnsi="Arial"/>
          <w:sz w:val="16"/>
          <w:szCs w:val="16"/>
        </w:rPr>
        <w:footnoteRef/>
      </w:r>
      <w:r w:rsidRPr="00EE1DC0">
        <w:rPr>
          <w:rFonts w:ascii="Arial" w:hAnsi="Arial"/>
          <w:sz w:val="16"/>
          <w:szCs w:val="16"/>
        </w:rPr>
        <w:t>http://pisrs.si/Pis.web/pregledPredpisa?id=PRAV11541</w:t>
      </w:r>
    </w:p>
  </w:footnote>
  <w:footnote w:id="6">
    <w:p w14:paraId="5B4E3010" w14:textId="0E5B6056" w:rsidR="00A26CD6" w:rsidRDefault="00A26CD6">
      <w:pPr>
        <w:pStyle w:val="Sprotnaopomba-besedilo"/>
      </w:pPr>
      <w:r>
        <w:rPr>
          <w:rStyle w:val="Sprotnaopomba-sklic"/>
        </w:rPr>
        <w:footnoteRef/>
      </w:r>
      <w:r>
        <w:t xml:space="preserve"> </w:t>
      </w:r>
      <w:r w:rsidRPr="006A09AF">
        <w:rPr>
          <w:sz w:val="16"/>
          <w:szCs w:val="16"/>
        </w:rPr>
        <w:t>https://www.ivr.si/</w:t>
      </w:r>
    </w:p>
  </w:footnote>
  <w:footnote w:id="7">
    <w:p w14:paraId="34A738EC" w14:textId="77777777" w:rsidR="00A26CD6" w:rsidRDefault="00A26CD6" w:rsidP="00CA6808">
      <w:pPr>
        <w:pStyle w:val="Sprotnaopomba-besedilo"/>
      </w:pPr>
      <w:r w:rsidRPr="00EE1DC0">
        <w:rPr>
          <w:rStyle w:val="Sprotnaopomba-sklic"/>
          <w:rFonts w:ascii="Arial" w:hAnsi="Arial"/>
          <w:sz w:val="16"/>
          <w:szCs w:val="16"/>
        </w:rPr>
        <w:footnoteRef/>
      </w:r>
      <w:r w:rsidRPr="00EE1DC0">
        <w:rPr>
          <w:rFonts w:ascii="Arial" w:hAnsi="Arial"/>
          <w:sz w:val="16"/>
          <w:szCs w:val="16"/>
        </w:rPr>
        <w:t xml:space="preserve"> </w:t>
      </w:r>
      <w:r w:rsidRPr="00EE1DC0">
        <w:rPr>
          <w:rFonts w:ascii="Arial" w:hAnsi="Arial"/>
          <w:sz w:val="16"/>
          <w:szCs w:val="16"/>
        </w:rPr>
        <w:t xml:space="preserve">Posebni </w:t>
      </w:r>
      <w:proofErr w:type="spellStart"/>
      <w:r w:rsidRPr="00EE1DC0">
        <w:rPr>
          <w:rFonts w:ascii="Arial" w:hAnsi="Arial"/>
          <w:sz w:val="16"/>
          <w:szCs w:val="16"/>
        </w:rPr>
        <w:t>Evrobarometer</w:t>
      </w:r>
      <w:proofErr w:type="spellEnd"/>
      <w:r w:rsidRPr="00EE1DC0">
        <w:rPr>
          <w:rFonts w:ascii="Arial" w:hAnsi="Arial"/>
          <w:sz w:val="16"/>
          <w:szCs w:val="16"/>
        </w:rPr>
        <w:t xml:space="preserve"> 442, Odnos Evropejcev do dobrobiti živali, November - December 2015</w:t>
      </w:r>
    </w:p>
  </w:footnote>
  <w:footnote w:id="8">
    <w:p w14:paraId="0E3F94E6" w14:textId="1803F471" w:rsidR="00A26CD6" w:rsidRDefault="00A26CD6" w:rsidP="00CA6808">
      <w:pPr>
        <w:pStyle w:val="Sprotnaopomba-besedilo"/>
      </w:pPr>
      <w:r>
        <w:rPr>
          <w:rStyle w:val="Sprotnaopomba-sklic"/>
        </w:rPr>
        <w:footnoteRef/>
      </w:r>
      <w:r>
        <w:t xml:space="preserve"> </w:t>
      </w:r>
    </w:p>
    <w:p w14:paraId="383FE2E5" w14:textId="24A79DB1" w:rsidR="00A26CD6" w:rsidRPr="00EE1DC0" w:rsidRDefault="00A26CD6" w:rsidP="006A09AF">
      <w:pPr>
        <w:pStyle w:val="Sprotnaopomba-besedilo"/>
        <w:rPr>
          <w:rFonts w:ascii="Arial" w:hAnsi="Arial"/>
          <w:sz w:val="16"/>
          <w:szCs w:val="16"/>
        </w:rPr>
      </w:pPr>
      <w:r w:rsidRPr="00EE1DC0">
        <w:rPr>
          <w:rFonts w:ascii="Arial" w:hAnsi="Arial"/>
          <w:sz w:val="16"/>
          <w:szCs w:val="16"/>
        </w:rPr>
        <w:t>https://www.kis.si/f/docs/Porocila_o_stanju_v_kmetijstvu_OEK/ZP_2018_splosno__priloge_koncna_02.12.pdf</w:t>
      </w:r>
    </w:p>
    <w:p w14:paraId="05F02C88" w14:textId="77777777" w:rsidR="00A26CD6" w:rsidRDefault="00A26CD6" w:rsidP="00CA6808">
      <w:pPr>
        <w:pStyle w:val="Sprotnaopomba-besedilo"/>
      </w:pPr>
    </w:p>
  </w:footnote>
  <w:footnote w:id="9">
    <w:p w14:paraId="38EA6274" w14:textId="2331903D" w:rsidR="00A26CD6" w:rsidRPr="00EE1DC0" w:rsidRDefault="00A26CD6" w:rsidP="003F0C47">
      <w:pPr>
        <w:pStyle w:val="Sprotnaopomba-besedilo"/>
        <w:ind w:left="357" w:firstLine="0"/>
        <w:rPr>
          <w:rFonts w:ascii="Arial" w:hAnsi="Arial"/>
          <w:color w:val="0000FF" w:themeColor="hyperlink"/>
          <w:sz w:val="16"/>
          <w:szCs w:val="16"/>
          <w:u w:val="single"/>
        </w:rPr>
      </w:pPr>
      <w:r w:rsidRPr="00EE1DC0">
        <w:rPr>
          <w:rStyle w:val="Sprotnaopomba-sklic"/>
          <w:rFonts w:ascii="Arial" w:hAnsi="Arial"/>
          <w:sz w:val="16"/>
          <w:szCs w:val="16"/>
        </w:rPr>
        <w:footnoteRef/>
      </w:r>
      <w:hyperlink r:id="rId2" w:history="1">
        <w:r w:rsidRPr="00EE1DC0">
          <w:rPr>
            <w:rStyle w:val="Hiperpovezava"/>
            <w:rFonts w:ascii="Arial" w:hAnsi="Arial"/>
            <w:sz w:val="16"/>
            <w:szCs w:val="16"/>
          </w:rPr>
          <w:t>http://www.bf.uni-lj.si/oddelek-za-zootehniko/oddelek/raziskovalno-delo/projekti/crp-tehnoloske-resitve-za-izboljsanje-dobrega-pocutja-rejnih-zivali-v-perutninarstvu-in-prasicereji/</w:t>
        </w:r>
      </w:hyperlink>
    </w:p>
  </w:footnote>
  <w:footnote w:id="10">
    <w:p w14:paraId="12CFC892" w14:textId="77777777" w:rsidR="00A26CD6" w:rsidRPr="00EE1DC0" w:rsidRDefault="00A26CD6" w:rsidP="00CA6808">
      <w:pPr>
        <w:pStyle w:val="Sprotnaopomba-besedilo"/>
        <w:rPr>
          <w:rFonts w:ascii="Arial" w:hAnsi="Arial"/>
          <w:sz w:val="16"/>
          <w:szCs w:val="16"/>
        </w:rPr>
      </w:pPr>
      <w:r w:rsidRPr="00EE1DC0">
        <w:rPr>
          <w:rStyle w:val="Sprotnaopomba-sklic"/>
          <w:rFonts w:ascii="Arial" w:hAnsi="Arial"/>
          <w:sz w:val="16"/>
          <w:szCs w:val="16"/>
        </w:rPr>
        <w:footnoteRef/>
      </w:r>
      <w:r w:rsidRPr="00EE1DC0">
        <w:rPr>
          <w:rFonts w:ascii="Arial" w:hAnsi="Arial"/>
          <w:sz w:val="16"/>
          <w:szCs w:val="16"/>
        </w:rPr>
        <w:t xml:space="preserve"> </w:t>
      </w:r>
      <w:r w:rsidRPr="00EE1DC0">
        <w:rPr>
          <w:rFonts w:ascii="Arial" w:hAnsi="Arial"/>
          <w:sz w:val="16"/>
          <w:szCs w:val="16"/>
        </w:rPr>
        <w:t>https://www.gov.uk/government/groups/farm-animal-welfare-committee-fawc</w:t>
      </w:r>
    </w:p>
  </w:footnote>
  <w:footnote w:id="11">
    <w:p w14:paraId="7E06D384" w14:textId="12E70281" w:rsidR="00A26CD6" w:rsidRDefault="00A26CD6" w:rsidP="00637A58">
      <w:pPr>
        <w:pStyle w:val="Sprotnaopomba-besedilo"/>
        <w:ind w:left="709"/>
        <w:rPr>
          <w:lang w:bidi="sl-SI"/>
        </w:rPr>
      </w:pPr>
      <w:r w:rsidRPr="00EE1DC0">
        <w:rPr>
          <w:rStyle w:val="Sprotnaopomba-sklic"/>
          <w:rFonts w:ascii="Arial" w:hAnsi="Arial"/>
          <w:sz w:val="16"/>
          <w:szCs w:val="16"/>
        </w:rPr>
        <w:footnoteRef/>
      </w:r>
      <w:r w:rsidRPr="00EE1DC0">
        <w:rPr>
          <w:rFonts w:ascii="Arial" w:hAnsi="Arial"/>
          <w:sz w:val="16"/>
          <w:szCs w:val="16"/>
          <w:lang w:bidi="sl-SI"/>
        </w:rPr>
        <w:t>http://www.bf.uni-lj.si/oddelek-za-zootehniko/oddelek/raziskovalno-delo/projekti/crp-dobrobit-in-zdravstveno-varstvo-prasicev-in-perutnine/</w:t>
      </w:r>
    </w:p>
  </w:footnote>
  <w:footnote w:id="12">
    <w:p w14:paraId="66ED6D35" w14:textId="77777777" w:rsidR="00A26CD6" w:rsidRPr="006A09AF" w:rsidRDefault="00A26CD6" w:rsidP="00CA6808">
      <w:pPr>
        <w:pStyle w:val="Sprotnaopomba-besedilo"/>
        <w:ind w:left="490" w:hanging="206"/>
        <w:rPr>
          <w:rFonts w:ascii="Arial" w:hAnsi="Arial"/>
          <w:sz w:val="16"/>
          <w:szCs w:val="16"/>
        </w:rPr>
      </w:pPr>
      <w:r w:rsidRPr="006A09AF">
        <w:rPr>
          <w:rStyle w:val="Sprotnaopomba-sklic"/>
          <w:rFonts w:ascii="Arial" w:hAnsi="Arial"/>
          <w:sz w:val="16"/>
          <w:szCs w:val="16"/>
        </w:rPr>
        <w:footnoteRef/>
      </w:r>
      <w:r w:rsidRPr="006A09AF">
        <w:rPr>
          <w:rFonts w:ascii="Arial" w:hAnsi="Arial"/>
          <w:sz w:val="16"/>
          <w:szCs w:val="16"/>
        </w:rPr>
        <w:t xml:space="preserve"> </w:t>
      </w:r>
      <w:proofErr w:type="spellStart"/>
      <w:r w:rsidRPr="006A09AF">
        <w:rPr>
          <w:rFonts w:ascii="Arial" w:hAnsi="Arial"/>
          <w:sz w:val="16"/>
          <w:szCs w:val="16"/>
        </w:rPr>
        <w:t>European</w:t>
      </w:r>
      <w:proofErr w:type="spellEnd"/>
      <w:r w:rsidRPr="006A09AF">
        <w:rPr>
          <w:rFonts w:ascii="Arial" w:hAnsi="Arial"/>
          <w:sz w:val="16"/>
          <w:szCs w:val="16"/>
        </w:rPr>
        <w:t xml:space="preserve"> </w:t>
      </w:r>
      <w:proofErr w:type="spellStart"/>
      <w:r w:rsidRPr="006A09AF">
        <w:rPr>
          <w:rFonts w:ascii="Arial" w:hAnsi="Arial"/>
          <w:sz w:val="16"/>
          <w:szCs w:val="16"/>
        </w:rPr>
        <w:t>Commission</w:t>
      </w:r>
      <w:proofErr w:type="spellEnd"/>
      <w:r w:rsidRPr="006A09AF">
        <w:rPr>
          <w:rFonts w:ascii="Arial" w:hAnsi="Arial"/>
          <w:sz w:val="16"/>
          <w:szCs w:val="16"/>
        </w:rPr>
        <w:t xml:space="preserve">. </w:t>
      </w:r>
      <w:proofErr w:type="spellStart"/>
      <w:r w:rsidRPr="006A09AF">
        <w:rPr>
          <w:rFonts w:ascii="Arial" w:hAnsi="Arial"/>
          <w:sz w:val="16"/>
          <w:szCs w:val="16"/>
        </w:rPr>
        <w:t>Welfare</w:t>
      </w:r>
      <w:proofErr w:type="spellEnd"/>
      <w:r w:rsidRPr="006A09AF">
        <w:rPr>
          <w:rFonts w:ascii="Arial" w:hAnsi="Arial"/>
          <w:sz w:val="16"/>
          <w:szCs w:val="16"/>
        </w:rPr>
        <w:t xml:space="preserve"> </w:t>
      </w:r>
      <w:proofErr w:type="spellStart"/>
      <w:r w:rsidRPr="006A09AF">
        <w:rPr>
          <w:rFonts w:ascii="Arial" w:hAnsi="Arial"/>
          <w:sz w:val="16"/>
          <w:szCs w:val="16"/>
        </w:rPr>
        <w:t>of</w:t>
      </w:r>
      <w:proofErr w:type="spellEnd"/>
      <w:r w:rsidRPr="006A09AF">
        <w:rPr>
          <w:rFonts w:ascii="Arial" w:hAnsi="Arial"/>
          <w:sz w:val="16"/>
          <w:szCs w:val="16"/>
        </w:rPr>
        <w:t xml:space="preserve"> </w:t>
      </w:r>
      <w:proofErr w:type="spellStart"/>
      <w:r w:rsidRPr="006A09AF">
        <w:rPr>
          <w:rFonts w:ascii="Arial" w:hAnsi="Arial"/>
          <w:sz w:val="16"/>
          <w:szCs w:val="16"/>
        </w:rPr>
        <w:t>cattle</w:t>
      </w:r>
      <w:proofErr w:type="spellEnd"/>
      <w:r w:rsidRPr="006A09AF">
        <w:rPr>
          <w:rFonts w:ascii="Arial" w:hAnsi="Arial"/>
          <w:sz w:val="16"/>
          <w:szCs w:val="16"/>
        </w:rPr>
        <w:t xml:space="preserve"> on </w:t>
      </w:r>
      <w:proofErr w:type="spellStart"/>
      <w:r w:rsidRPr="006A09AF">
        <w:rPr>
          <w:rFonts w:ascii="Arial" w:hAnsi="Arial"/>
          <w:sz w:val="16"/>
          <w:szCs w:val="16"/>
        </w:rPr>
        <w:t>dairy</w:t>
      </w:r>
      <w:proofErr w:type="spellEnd"/>
      <w:r w:rsidRPr="006A09AF">
        <w:rPr>
          <w:rFonts w:ascii="Arial" w:hAnsi="Arial"/>
          <w:sz w:val="16"/>
          <w:szCs w:val="16"/>
        </w:rPr>
        <w:t xml:space="preserve"> </w:t>
      </w:r>
      <w:proofErr w:type="spellStart"/>
      <w:r w:rsidRPr="006A09AF">
        <w:rPr>
          <w:rFonts w:ascii="Arial" w:hAnsi="Arial"/>
          <w:sz w:val="16"/>
          <w:szCs w:val="16"/>
        </w:rPr>
        <w:t>farms</w:t>
      </w:r>
      <w:proofErr w:type="spellEnd"/>
      <w:r w:rsidRPr="006A09AF">
        <w:rPr>
          <w:rFonts w:ascii="Arial" w:hAnsi="Arial"/>
          <w:sz w:val="16"/>
          <w:szCs w:val="16"/>
        </w:rPr>
        <w:t xml:space="preserve">: </w:t>
      </w:r>
      <w:proofErr w:type="spellStart"/>
      <w:r w:rsidRPr="006A09AF">
        <w:rPr>
          <w:rFonts w:ascii="Arial" w:hAnsi="Arial"/>
          <w:sz w:val="16"/>
          <w:szCs w:val="16"/>
        </w:rPr>
        <w:t>overview</w:t>
      </w:r>
      <w:proofErr w:type="spellEnd"/>
      <w:r w:rsidRPr="006A09AF">
        <w:rPr>
          <w:rFonts w:ascii="Arial" w:hAnsi="Arial"/>
          <w:sz w:val="16"/>
          <w:szCs w:val="16"/>
        </w:rPr>
        <w:t xml:space="preserve"> </w:t>
      </w:r>
      <w:proofErr w:type="spellStart"/>
      <w:r w:rsidRPr="006A09AF">
        <w:rPr>
          <w:rFonts w:ascii="Arial" w:hAnsi="Arial"/>
          <w:sz w:val="16"/>
          <w:szCs w:val="16"/>
        </w:rPr>
        <w:t>report</w:t>
      </w:r>
      <w:proofErr w:type="spellEnd"/>
      <w:r w:rsidRPr="006A09AF">
        <w:rPr>
          <w:rFonts w:ascii="Arial" w:hAnsi="Arial"/>
          <w:sz w:val="16"/>
          <w:szCs w:val="16"/>
        </w:rPr>
        <w:t xml:space="preserve">. Luxembourg: </w:t>
      </w:r>
      <w:proofErr w:type="spellStart"/>
      <w:r w:rsidRPr="006A09AF">
        <w:rPr>
          <w:rFonts w:ascii="Arial" w:hAnsi="Arial"/>
          <w:sz w:val="16"/>
          <w:szCs w:val="16"/>
        </w:rPr>
        <w:t>Publications</w:t>
      </w:r>
      <w:proofErr w:type="spellEnd"/>
      <w:r w:rsidRPr="006A09AF">
        <w:rPr>
          <w:rFonts w:ascii="Arial" w:hAnsi="Arial"/>
          <w:sz w:val="16"/>
          <w:szCs w:val="16"/>
        </w:rPr>
        <w:t xml:space="preserve"> Office </w:t>
      </w:r>
      <w:proofErr w:type="spellStart"/>
      <w:r w:rsidRPr="006A09AF">
        <w:rPr>
          <w:rFonts w:ascii="Arial" w:hAnsi="Arial"/>
          <w:sz w:val="16"/>
          <w:szCs w:val="16"/>
        </w:rPr>
        <w:t>of</w:t>
      </w:r>
      <w:proofErr w:type="spellEnd"/>
      <w:r w:rsidRPr="006A09AF">
        <w:rPr>
          <w:rFonts w:ascii="Arial" w:hAnsi="Arial"/>
          <w:sz w:val="16"/>
          <w:szCs w:val="16"/>
        </w:rPr>
        <w:t xml:space="preserve"> </w:t>
      </w:r>
      <w:proofErr w:type="spellStart"/>
      <w:r w:rsidRPr="006A09AF">
        <w:rPr>
          <w:rFonts w:ascii="Arial" w:hAnsi="Arial"/>
          <w:sz w:val="16"/>
          <w:szCs w:val="16"/>
        </w:rPr>
        <w:t>the</w:t>
      </w:r>
      <w:proofErr w:type="spellEnd"/>
      <w:r w:rsidRPr="006A09AF">
        <w:rPr>
          <w:rFonts w:ascii="Arial" w:hAnsi="Arial"/>
          <w:sz w:val="16"/>
          <w:szCs w:val="16"/>
        </w:rPr>
        <w:t xml:space="preserve"> </w:t>
      </w:r>
      <w:proofErr w:type="spellStart"/>
      <w:r w:rsidRPr="006A09AF">
        <w:rPr>
          <w:rFonts w:ascii="Arial" w:hAnsi="Arial"/>
          <w:sz w:val="16"/>
          <w:szCs w:val="16"/>
        </w:rPr>
        <w:t>European</w:t>
      </w:r>
      <w:proofErr w:type="spellEnd"/>
      <w:r w:rsidRPr="006A09AF">
        <w:rPr>
          <w:rFonts w:ascii="Arial" w:hAnsi="Arial"/>
          <w:sz w:val="16"/>
          <w:szCs w:val="16"/>
        </w:rPr>
        <w:t xml:space="preserve"> Union, 2017. </w:t>
      </w:r>
      <w:hyperlink r:id="rId3" w:history="1">
        <w:r w:rsidRPr="006A09AF">
          <w:rPr>
            <w:rStyle w:val="Hiperpovezava"/>
            <w:rFonts w:ascii="Arial" w:hAnsi="Arial"/>
            <w:sz w:val="16"/>
            <w:szCs w:val="16"/>
          </w:rPr>
          <w:t>https://op.europa.eu/en/publication-detail/-/publication/8950fa88-d651-11e7-a506-01aa75ed71a1</w:t>
        </w:r>
      </w:hyperlink>
    </w:p>
  </w:footnote>
  <w:footnote w:id="13">
    <w:p w14:paraId="3D8366A4" w14:textId="77777777" w:rsidR="00A26CD6" w:rsidRPr="006A09AF" w:rsidRDefault="00A26CD6" w:rsidP="00CA6808">
      <w:pPr>
        <w:pStyle w:val="Sprotnaopomba-besedilo"/>
        <w:rPr>
          <w:rFonts w:ascii="Arial" w:hAnsi="Arial"/>
          <w:sz w:val="16"/>
          <w:szCs w:val="16"/>
        </w:rPr>
      </w:pPr>
      <w:r w:rsidRPr="006A09AF">
        <w:rPr>
          <w:rStyle w:val="Sprotnaopomba-sklic"/>
          <w:rFonts w:ascii="Arial" w:hAnsi="Arial"/>
          <w:sz w:val="16"/>
          <w:szCs w:val="16"/>
        </w:rPr>
        <w:footnoteRef/>
      </w:r>
      <w:r w:rsidRPr="006A09AF">
        <w:rPr>
          <w:rFonts w:ascii="Arial" w:hAnsi="Arial"/>
          <w:sz w:val="16"/>
          <w:szCs w:val="16"/>
        </w:rPr>
        <w:t xml:space="preserve"> </w:t>
      </w:r>
      <w:r w:rsidRPr="006A09AF">
        <w:rPr>
          <w:rFonts w:ascii="Arial" w:hAnsi="Arial"/>
          <w:sz w:val="16"/>
          <w:szCs w:val="16"/>
        </w:rPr>
        <w:t xml:space="preserve">Sadar M. in sod: Rezultati kontrole prireje mleka in mesa, Slovenija 2019. Kmetijski inštitut Slovenije </w:t>
      </w:r>
      <w:hyperlink r:id="rId4" w:history="1">
        <w:r w:rsidRPr="006A09AF">
          <w:rPr>
            <w:rStyle w:val="Hiperpovezava"/>
            <w:rFonts w:ascii="Arial" w:hAnsi="Arial"/>
            <w:sz w:val="16"/>
            <w:szCs w:val="16"/>
          </w:rPr>
          <w:t>https://www.govedo.si/files/cpzgss/knjiznica/porocila/kontrola_porocila/REZULTATI_KONTROLE_2019.pdf</w:t>
        </w:r>
      </w:hyperlink>
    </w:p>
  </w:footnote>
  <w:footnote w:id="14">
    <w:p w14:paraId="750579FE" w14:textId="77777777" w:rsidR="00A26CD6" w:rsidRPr="006A09AF" w:rsidRDefault="00A26CD6" w:rsidP="00CA6808">
      <w:pPr>
        <w:pStyle w:val="Sprotnaopomba-besedilo"/>
        <w:rPr>
          <w:rFonts w:ascii="Arial" w:hAnsi="Arial"/>
          <w:sz w:val="16"/>
          <w:szCs w:val="16"/>
        </w:rPr>
      </w:pPr>
      <w:r w:rsidRPr="006A09AF">
        <w:rPr>
          <w:rStyle w:val="Sprotnaopomba-sklic"/>
          <w:rFonts w:ascii="Arial" w:hAnsi="Arial"/>
          <w:sz w:val="16"/>
          <w:szCs w:val="16"/>
        </w:rPr>
        <w:footnoteRef/>
      </w:r>
      <w:r w:rsidRPr="006A09AF">
        <w:rPr>
          <w:rFonts w:ascii="Arial" w:hAnsi="Arial"/>
          <w:sz w:val="16"/>
          <w:szCs w:val="16"/>
        </w:rPr>
        <w:t xml:space="preserve"> </w:t>
      </w:r>
      <w:r w:rsidRPr="006A09AF">
        <w:rPr>
          <w:rFonts w:ascii="Arial" w:hAnsi="Arial"/>
          <w:sz w:val="16"/>
          <w:szCs w:val="16"/>
        </w:rPr>
        <w:t>https://www.lasnotranjska.si/upload/editor/file/filef4d37e675312fce.pdf</w:t>
      </w:r>
    </w:p>
  </w:footnote>
  <w:footnote w:id="15">
    <w:p w14:paraId="6E25EBFF" w14:textId="77777777" w:rsidR="00A26CD6" w:rsidRDefault="00A26CD6" w:rsidP="00CA6808">
      <w:pPr>
        <w:pStyle w:val="Sprotnaopomba-besedilo"/>
      </w:pPr>
      <w:r w:rsidRPr="006A09AF">
        <w:rPr>
          <w:rStyle w:val="Sprotnaopomba-sklic"/>
          <w:rFonts w:ascii="Arial" w:hAnsi="Arial"/>
          <w:sz w:val="16"/>
          <w:szCs w:val="16"/>
        </w:rPr>
        <w:footnoteRef/>
      </w:r>
      <w:r w:rsidRPr="006A09AF">
        <w:rPr>
          <w:rFonts w:ascii="Arial" w:hAnsi="Arial"/>
          <w:sz w:val="16"/>
          <w:szCs w:val="16"/>
        </w:rPr>
        <w:t xml:space="preserve"> </w:t>
      </w:r>
      <w:r w:rsidRPr="006A09AF">
        <w:rPr>
          <w:rFonts w:ascii="Arial" w:hAnsi="Arial"/>
          <w:sz w:val="16"/>
          <w:szCs w:val="16"/>
        </w:rPr>
        <w:t xml:space="preserve">Kodermac P. in Tušar J.: </w:t>
      </w:r>
      <w:proofErr w:type="spellStart"/>
      <w:r w:rsidRPr="006A09AF">
        <w:rPr>
          <w:rFonts w:ascii="Arial" w:hAnsi="Arial"/>
          <w:sz w:val="16"/>
          <w:szCs w:val="16"/>
        </w:rPr>
        <w:t>Parazitoze</w:t>
      </w:r>
      <w:proofErr w:type="spellEnd"/>
      <w:r w:rsidRPr="006A09AF">
        <w:rPr>
          <w:rFonts w:ascii="Arial" w:hAnsi="Arial"/>
          <w:sz w:val="16"/>
          <w:szCs w:val="16"/>
        </w:rPr>
        <w:t xml:space="preserve"> in njihovo zdravljenje pri drobnici, Prešernova raziskovalna naloga 2016, Univerza v Ljubljani, Veterinarska fakulteta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hybridMultilevel"/>
    <w:tmpl w:val="4A95E1AB"/>
    <w:lvl w:ilvl="0" w:tplc="31284166">
      <w:start w:val="1"/>
      <w:numFmt w:val="bullet"/>
      <w:pStyle w:val="ListBullet1"/>
      <w:lvlText w:val="·"/>
      <w:lvlJc w:val="left"/>
      <w:pPr>
        <w:tabs>
          <w:tab w:val="left" w:pos="1048"/>
        </w:tabs>
        <w:ind w:left="1331" w:hanging="283"/>
      </w:pPr>
      <w:rPr>
        <w:rFonts w:ascii="Symbol" w:eastAsia="Symbol" w:hAnsi="Symbol"/>
        <w:w w:val="100"/>
        <w:sz w:val="20"/>
        <w:szCs w:val="20"/>
        <w:shd w:val="clear" w:color="auto" w:fill="auto"/>
      </w:rPr>
    </w:lvl>
    <w:lvl w:ilvl="1" w:tplc="4E04828E">
      <w:start w:val="1"/>
      <w:numFmt w:val="bullet"/>
      <w:lvlText w:val="·"/>
      <w:lvlJc w:val="left"/>
      <w:pPr>
        <w:tabs>
          <w:tab w:val="left" w:pos="1048"/>
        </w:tabs>
        <w:ind w:left="1331" w:hanging="283"/>
      </w:pPr>
      <w:rPr>
        <w:rFonts w:ascii="Symbol" w:eastAsia="Symbol" w:hAnsi="Symbol"/>
        <w:w w:val="100"/>
        <w:sz w:val="20"/>
        <w:szCs w:val="20"/>
        <w:shd w:val="clear" w:color="auto" w:fill="auto"/>
      </w:rPr>
    </w:lvl>
    <w:lvl w:ilvl="2" w:tplc="238E8172">
      <w:start w:val="1"/>
      <w:numFmt w:val="bullet"/>
      <w:lvlText w:val="·"/>
      <w:lvlJc w:val="left"/>
      <w:pPr>
        <w:tabs>
          <w:tab w:val="left" w:pos="1048"/>
        </w:tabs>
        <w:ind w:left="1331" w:hanging="283"/>
      </w:pPr>
      <w:rPr>
        <w:rFonts w:ascii="Symbol" w:eastAsia="Symbol" w:hAnsi="Symbol"/>
        <w:w w:val="100"/>
        <w:sz w:val="20"/>
        <w:szCs w:val="20"/>
        <w:shd w:val="clear" w:color="auto" w:fill="auto"/>
      </w:rPr>
    </w:lvl>
    <w:lvl w:ilvl="3" w:tplc="4F584F90">
      <w:start w:val="1"/>
      <w:numFmt w:val="bullet"/>
      <w:lvlText w:val="·"/>
      <w:lvlJc w:val="left"/>
      <w:pPr>
        <w:tabs>
          <w:tab w:val="left" w:pos="1048"/>
        </w:tabs>
        <w:ind w:left="1331" w:hanging="283"/>
      </w:pPr>
      <w:rPr>
        <w:rFonts w:ascii="Symbol" w:eastAsia="Symbol" w:hAnsi="Symbol"/>
        <w:w w:val="100"/>
        <w:sz w:val="20"/>
        <w:szCs w:val="20"/>
        <w:shd w:val="clear" w:color="auto" w:fill="auto"/>
      </w:rPr>
    </w:lvl>
    <w:lvl w:ilvl="4" w:tplc="D8B8A9C6">
      <w:start w:val="1"/>
      <w:numFmt w:val="bullet"/>
      <w:lvlText w:val="·"/>
      <w:lvlJc w:val="left"/>
      <w:pPr>
        <w:tabs>
          <w:tab w:val="left" w:pos="1048"/>
        </w:tabs>
        <w:ind w:left="1331" w:hanging="283"/>
      </w:pPr>
      <w:rPr>
        <w:rFonts w:ascii="Symbol" w:eastAsia="Symbol" w:hAnsi="Symbol"/>
        <w:w w:val="100"/>
        <w:sz w:val="20"/>
        <w:szCs w:val="20"/>
        <w:shd w:val="clear" w:color="auto" w:fill="auto"/>
      </w:rPr>
    </w:lvl>
    <w:lvl w:ilvl="5" w:tplc="AA8EA6C6">
      <w:start w:val="1"/>
      <w:numFmt w:val="bullet"/>
      <w:lvlText w:val="·"/>
      <w:lvlJc w:val="left"/>
      <w:pPr>
        <w:tabs>
          <w:tab w:val="left" w:pos="1048"/>
        </w:tabs>
        <w:ind w:left="1331" w:hanging="283"/>
      </w:pPr>
      <w:rPr>
        <w:rFonts w:ascii="Symbol" w:eastAsia="Symbol" w:hAnsi="Symbol"/>
        <w:w w:val="100"/>
        <w:sz w:val="20"/>
        <w:szCs w:val="20"/>
        <w:shd w:val="clear" w:color="auto" w:fill="auto"/>
      </w:rPr>
    </w:lvl>
    <w:lvl w:ilvl="6" w:tplc="96CA3FEA">
      <w:start w:val="1"/>
      <w:numFmt w:val="bullet"/>
      <w:lvlText w:val="·"/>
      <w:lvlJc w:val="left"/>
      <w:pPr>
        <w:tabs>
          <w:tab w:val="left" w:pos="1048"/>
        </w:tabs>
        <w:ind w:left="1331" w:hanging="283"/>
      </w:pPr>
      <w:rPr>
        <w:rFonts w:ascii="Symbol" w:eastAsia="Symbol" w:hAnsi="Symbol"/>
        <w:w w:val="100"/>
        <w:sz w:val="20"/>
        <w:szCs w:val="20"/>
        <w:shd w:val="clear" w:color="auto" w:fill="auto"/>
      </w:rPr>
    </w:lvl>
    <w:lvl w:ilvl="7" w:tplc="3E362ED8">
      <w:start w:val="1"/>
      <w:numFmt w:val="bullet"/>
      <w:lvlText w:val="·"/>
      <w:lvlJc w:val="left"/>
      <w:pPr>
        <w:tabs>
          <w:tab w:val="left" w:pos="1048"/>
        </w:tabs>
        <w:ind w:left="1331" w:hanging="283"/>
      </w:pPr>
      <w:rPr>
        <w:rFonts w:ascii="Symbol" w:eastAsia="Symbol" w:hAnsi="Symbol"/>
        <w:w w:val="100"/>
        <w:sz w:val="20"/>
        <w:szCs w:val="20"/>
        <w:shd w:val="clear" w:color="auto" w:fill="auto"/>
      </w:rPr>
    </w:lvl>
    <w:lvl w:ilvl="8" w:tplc="76D437B2">
      <w:start w:val="1"/>
      <w:numFmt w:val="bullet"/>
      <w:lvlText w:val="·"/>
      <w:lvlJc w:val="left"/>
      <w:pPr>
        <w:tabs>
          <w:tab w:val="left" w:pos="1048"/>
        </w:tabs>
        <w:ind w:left="1331" w:hanging="283"/>
      </w:pPr>
      <w:rPr>
        <w:rFonts w:ascii="Symbol" w:eastAsia="Symbol" w:hAnsi="Symbol"/>
        <w:w w:val="100"/>
        <w:sz w:val="20"/>
        <w:szCs w:val="20"/>
        <w:shd w:val="clear" w:color="auto" w:fill="auto"/>
      </w:rPr>
    </w:lvl>
  </w:abstractNum>
  <w:abstractNum w:abstractNumId="1" w15:restartNumberingAfterBreak="0">
    <w:nsid w:val="062F5D7C"/>
    <w:multiLevelType w:val="hybridMultilevel"/>
    <w:tmpl w:val="3C9808F2"/>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D53AE5"/>
    <w:multiLevelType w:val="hybridMultilevel"/>
    <w:tmpl w:val="E3F824F8"/>
    <w:lvl w:ilvl="0" w:tplc="9C8A08CC">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3405CD"/>
    <w:multiLevelType w:val="hybridMultilevel"/>
    <w:tmpl w:val="862E0F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513CF3"/>
    <w:multiLevelType w:val="hybridMultilevel"/>
    <w:tmpl w:val="F99C740E"/>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611393"/>
    <w:multiLevelType w:val="hybridMultilevel"/>
    <w:tmpl w:val="2F1A5DB4"/>
    <w:lvl w:ilvl="0" w:tplc="BB2E79D4">
      <w:start w:val="1"/>
      <w:numFmt w:val="decimal"/>
      <w:pStyle w:val="Naslov3"/>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FF26AC4"/>
    <w:multiLevelType w:val="hybridMultilevel"/>
    <w:tmpl w:val="569E4AA0"/>
    <w:lvl w:ilvl="0" w:tplc="35DE0552">
      <w:start w:val="1"/>
      <w:numFmt w:val="upp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D97EFC"/>
    <w:multiLevelType w:val="hybridMultilevel"/>
    <w:tmpl w:val="BE7AC0F6"/>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3B50F6D"/>
    <w:multiLevelType w:val="hybridMultilevel"/>
    <w:tmpl w:val="D926FF2A"/>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B910FBB"/>
    <w:multiLevelType w:val="hybridMultilevel"/>
    <w:tmpl w:val="5EB47816"/>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DD57793"/>
    <w:multiLevelType w:val="hybridMultilevel"/>
    <w:tmpl w:val="07468306"/>
    <w:lvl w:ilvl="0" w:tplc="AE70779A">
      <w:start w:val="3"/>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4D04044"/>
    <w:multiLevelType w:val="multilevel"/>
    <w:tmpl w:val="7108E1EE"/>
    <w:lvl w:ilvl="0">
      <w:start w:val="1"/>
      <w:numFmt w:val="bullet"/>
      <w:lvlText w:val=""/>
      <w:lvlJc w:val="left"/>
      <w:pPr>
        <w:ind w:left="360" w:hanging="360"/>
      </w:pPr>
      <w:rPr>
        <w:rFonts w:ascii="Symbol" w:hAnsi="Symbol" w:hint="default"/>
      </w:rPr>
    </w:lvl>
    <w:lvl w:ilvl="1">
      <w:start w:val="2"/>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526" w:hanging="108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850" w:hanging="144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5174" w:hanging="1800"/>
      </w:pPr>
      <w:rPr>
        <w:rFonts w:hint="default"/>
      </w:rPr>
    </w:lvl>
    <w:lvl w:ilvl="8">
      <w:start w:val="1"/>
      <w:numFmt w:val="decimal"/>
      <w:lvlText w:val="%1.%2.%3.%4.%5.%6.%7.%8.%9"/>
      <w:lvlJc w:val="left"/>
      <w:pPr>
        <w:ind w:left="5656" w:hanging="1800"/>
      </w:pPr>
      <w:rPr>
        <w:rFonts w:hint="default"/>
      </w:rPr>
    </w:lvl>
  </w:abstractNum>
  <w:abstractNum w:abstractNumId="12" w15:restartNumberingAfterBreak="0">
    <w:nsid w:val="37D117B0"/>
    <w:multiLevelType w:val="hybridMultilevel"/>
    <w:tmpl w:val="B1466A6C"/>
    <w:lvl w:ilvl="0" w:tplc="0424000F">
      <w:start w:val="1"/>
      <w:numFmt w:val="decimal"/>
      <w:lvlText w:val="%1."/>
      <w:lvlJc w:val="left"/>
      <w:pPr>
        <w:ind w:left="501" w:hanging="360"/>
      </w:pPr>
    </w:lvl>
    <w:lvl w:ilvl="1" w:tplc="04240019">
      <w:start w:val="1"/>
      <w:numFmt w:val="lowerLetter"/>
      <w:lvlText w:val="%2."/>
      <w:lvlJc w:val="left"/>
      <w:pPr>
        <w:ind w:left="1221" w:hanging="360"/>
      </w:pPr>
    </w:lvl>
    <w:lvl w:ilvl="2" w:tplc="0424001B">
      <w:start w:val="1"/>
      <w:numFmt w:val="lowerRoman"/>
      <w:lvlText w:val="%3."/>
      <w:lvlJc w:val="right"/>
      <w:pPr>
        <w:ind w:left="1941" w:hanging="180"/>
      </w:pPr>
    </w:lvl>
    <w:lvl w:ilvl="3" w:tplc="0424000F" w:tentative="1">
      <w:start w:val="1"/>
      <w:numFmt w:val="decimal"/>
      <w:lvlText w:val="%4."/>
      <w:lvlJc w:val="left"/>
      <w:pPr>
        <w:ind w:left="2661" w:hanging="360"/>
      </w:pPr>
    </w:lvl>
    <w:lvl w:ilvl="4" w:tplc="04240019" w:tentative="1">
      <w:start w:val="1"/>
      <w:numFmt w:val="lowerLetter"/>
      <w:lvlText w:val="%5."/>
      <w:lvlJc w:val="left"/>
      <w:pPr>
        <w:ind w:left="3381" w:hanging="360"/>
      </w:pPr>
    </w:lvl>
    <w:lvl w:ilvl="5" w:tplc="0424001B" w:tentative="1">
      <w:start w:val="1"/>
      <w:numFmt w:val="lowerRoman"/>
      <w:lvlText w:val="%6."/>
      <w:lvlJc w:val="right"/>
      <w:pPr>
        <w:ind w:left="4101" w:hanging="180"/>
      </w:pPr>
    </w:lvl>
    <w:lvl w:ilvl="6" w:tplc="0424000F" w:tentative="1">
      <w:start w:val="1"/>
      <w:numFmt w:val="decimal"/>
      <w:lvlText w:val="%7."/>
      <w:lvlJc w:val="left"/>
      <w:pPr>
        <w:ind w:left="4821" w:hanging="360"/>
      </w:pPr>
    </w:lvl>
    <w:lvl w:ilvl="7" w:tplc="04240019" w:tentative="1">
      <w:start w:val="1"/>
      <w:numFmt w:val="lowerLetter"/>
      <w:lvlText w:val="%8."/>
      <w:lvlJc w:val="left"/>
      <w:pPr>
        <w:ind w:left="5541" w:hanging="360"/>
      </w:pPr>
    </w:lvl>
    <w:lvl w:ilvl="8" w:tplc="0424001B" w:tentative="1">
      <w:start w:val="1"/>
      <w:numFmt w:val="lowerRoman"/>
      <w:lvlText w:val="%9."/>
      <w:lvlJc w:val="right"/>
      <w:pPr>
        <w:ind w:left="6261" w:hanging="180"/>
      </w:pPr>
    </w:lvl>
  </w:abstractNum>
  <w:abstractNum w:abstractNumId="13" w15:restartNumberingAfterBreak="0">
    <w:nsid w:val="39EA04D6"/>
    <w:multiLevelType w:val="hybridMultilevel"/>
    <w:tmpl w:val="4CB8AF74"/>
    <w:lvl w:ilvl="0" w:tplc="915AD3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77754D3"/>
    <w:multiLevelType w:val="hybridMultilevel"/>
    <w:tmpl w:val="F50C5750"/>
    <w:lvl w:ilvl="0" w:tplc="915AD38C">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A393384"/>
    <w:multiLevelType w:val="hybridMultilevel"/>
    <w:tmpl w:val="188E63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0D826CB"/>
    <w:multiLevelType w:val="hybridMultilevel"/>
    <w:tmpl w:val="E47600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B146805"/>
    <w:multiLevelType w:val="hybridMultilevel"/>
    <w:tmpl w:val="9C84257A"/>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75940F73"/>
    <w:multiLevelType w:val="hybridMultilevel"/>
    <w:tmpl w:val="B83A1B12"/>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7E310452"/>
    <w:multiLevelType w:val="hybridMultilevel"/>
    <w:tmpl w:val="E33612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F1D6161"/>
    <w:multiLevelType w:val="hybridMultilevel"/>
    <w:tmpl w:val="FE9C6D06"/>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14"/>
  </w:num>
  <w:num w:numId="4">
    <w:abstractNumId w:val="5"/>
  </w:num>
  <w:num w:numId="5">
    <w:abstractNumId w:val="10"/>
  </w:num>
  <w:num w:numId="6">
    <w:abstractNumId w:val="11"/>
  </w:num>
  <w:num w:numId="7">
    <w:abstractNumId w:val="17"/>
  </w:num>
  <w:num w:numId="8">
    <w:abstractNumId w:val="1"/>
  </w:num>
  <w:num w:numId="9">
    <w:abstractNumId w:val="9"/>
  </w:num>
  <w:num w:numId="10">
    <w:abstractNumId w:val="7"/>
  </w:num>
  <w:num w:numId="11">
    <w:abstractNumId w:val="18"/>
  </w:num>
  <w:num w:numId="12">
    <w:abstractNumId w:val="13"/>
  </w:num>
  <w:num w:numId="13">
    <w:abstractNumId w:val="8"/>
  </w:num>
  <w:num w:numId="14">
    <w:abstractNumId w:val="4"/>
  </w:num>
  <w:num w:numId="15">
    <w:abstractNumId w:val="20"/>
  </w:num>
  <w:num w:numId="16">
    <w:abstractNumId w:val="2"/>
  </w:num>
  <w:num w:numId="17">
    <w:abstractNumId w:val="3"/>
  </w:num>
  <w:num w:numId="18">
    <w:abstractNumId w:val="16"/>
  </w:num>
  <w:num w:numId="19">
    <w:abstractNumId w:val="19"/>
  </w:num>
  <w:num w:numId="20">
    <w:abstractNumId w:val="15"/>
  </w:num>
  <w:num w:numId="21">
    <w:abstractNumId w:val="5"/>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0"/>
  <w:activeWritingStyle w:appName="MSWord" w:lang="de-DE" w:vendorID="64" w:dllVersion="0" w:nlCheck="1" w:checkStyle="0"/>
  <w:proofState w:spelling="clean" w:grammar="clean"/>
  <w:documentProtection w:edit="trackedChanges" w:enforcement="0"/>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860"/>
    <w:rsid w:val="0000421B"/>
    <w:rsid w:val="00012542"/>
    <w:rsid w:val="000136C1"/>
    <w:rsid w:val="000139AA"/>
    <w:rsid w:val="000251D2"/>
    <w:rsid w:val="000353F0"/>
    <w:rsid w:val="00042B46"/>
    <w:rsid w:val="0005121D"/>
    <w:rsid w:val="00053ED6"/>
    <w:rsid w:val="0006157B"/>
    <w:rsid w:val="00061CCD"/>
    <w:rsid w:val="00071F6F"/>
    <w:rsid w:val="000834CF"/>
    <w:rsid w:val="00087002"/>
    <w:rsid w:val="00093D25"/>
    <w:rsid w:val="000A0B98"/>
    <w:rsid w:val="000A1A7D"/>
    <w:rsid w:val="000A2846"/>
    <w:rsid w:val="000A3C62"/>
    <w:rsid w:val="000B05DF"/>
    <w:rsid w:val="000B21FA"/>
    <w:rsid w:val="000B6C34"/>
    <w:rsid w:val="000D06F2"/>
    <w:rsid w:val="000D3D3F"/>
    <w:rsid w:val="000D4A53"/>
    <w:rsid w:val="000D589E"/>
    <w:rsid w:val="000D69FC"/>
    <w:rsid w:val="000E2132"/>
    <w:rsid w:val="000E3110"/>
    <w:rsid w:val="000E431C"/>
    <w:rsid w:val="000E58FE"/>
    <w:rsid w:val="000F0C03"/>
    <w:rsid w:val="000F22E7"/>
    <w:rsid w:val="000F2CF8"/>
    <w:rsid w:val="0011233B"/>
    <w:rsid w:val="0011780F"/>
    <w:rsid w:val="0012568F"/>
    <w:rsid w:val="00127817"/>
    <w:rsid w:val="00131404"/>
    <w:rsid w:val="001320CE"/>
    <w:rsid w:val="0013618E"/>
    <w:rsid w:val="00137BEF"/>
    <w:rsid w:val="00143037"/>
    <w:rsid w:val="00144752"/>
    <w:rsid w:val="00146B52"/>
    <w:rsid w:val="00146BC4"/>
    <w:rsid w:val="0015477E"/>
    <w:rsid w:val="00155028"/>
    <w:rsid w:val="00155E54"/>
    <w:rsid w:val="00157221"/>
    <w:rsid w:val="00160CE9"/>
    <w:rsid w:val="00166B0F"/>
    <w:rsid w:val="00166EE1"/>
    <w:rsid w:val="001710E8"/>
    <w:rsid w:val="0017616A"/>
    <w:rsid w:val="00176528"/>
    <w:rsid w:val="00176D96"/>
    <w:rsid w:val="00177FA4"/>
    <w:rsid w:val="00186223"/>
    <w:rsid w:val="0019030E"/>
    <w:rsid w:val="00190A2C"/>
    <w:rsid w:val="00191201"/>
    <w:rsid w:val="001968A5"/>
    <w:rsid w:val="00196A84"/>
    <w:rsid w:val="001C0559"/>
    <w:rsid w:val="001C1441"/>
    <w:rsid w:val="001C1462"/>
    <w:rsid w:val="001C4862"/>
    <w:rsid w:val="001C490C"/>
    <w:rsid w:val="001D2F50"/>
    <w:rsid w:val="001D41C6"/>
    <w:rsid w:val="001E4AD8"/>
    <w:rsid w:val="001E4D25"/>
    <w:rsid w:val="001E6A32"/>
    <w:rsid w:val="001E7217"/>
    <w:rsid w:val="001F4C1F"/>
    <w:rsid w:val="0020125C"/>
    <w:rsid w:val="00214241"/>
    <w:rsid w:val="0021475B"/>
    <w:rsid w:val="00216478"/>
    <w:rsid w:val="00226D62"/>
    <w:rsid w:val="00230BEE"/>
    <w:rsid w:val="00231869"/>
    <w:rsid w:val="00231EAA"/>
    <w:rsid w:val="00232358"/>
    <w:rsid w:val="00232A46"/>
    <w:rsid w:val="00237DB1"/>
    <w:rsid w:val="002402C4"/>
    <w:rsid w:val="00240F7A"/>
    <w:rsid w:val="00247793"/>
    <w:rsid w:val="00251624"/>
    <w:rsid w:val="00253EF0"/>
    <w:rsid w:val="00261FAC"/>
    <w:rsid w:val="002640BE"/>
    <w:rsid w:val="00265117"/>
    <w:rsid w:val="002653D8"/>
    <w:rsid w:val="00272875"/>
    <w:rsid w:val="002758DB"/>
    <w:rsid w:val="00280407"/>
    <w:rsid w:val="00285183"/>
    <w:rsid w:val="00291D2D"/>
    <w:rsid w:val="002948DD"/>
    <w:rsid w:val="002971A7"/>
    <w:rsid w:val="002A06EA"/>
    <w:rsid w:val="002A22FD"/>
    <w:rsid w:val="002C0B78"/>
    <w:rsid w:val="002C1857"/>
    <w:rsid w:val="002C3369"/>
    <w:rsid w:val="002C4536"/>
    <w:rsid w:val="002C560E"/>
    <w:rsid w:val="002D1C27"/>
    <w:rsid w:val="002E1E23"/>
    <w:rsid w:val="002E262B"/>
    <w:rsid w:val="002E7CD8"/>
    <w:rsid w:val="002F3979"/>
    <w:rsid w:val="002F4972"/>
    <w:rsid w:val="002F7F76"/>
    <w:rsid w:val="00300A62"/>
    <w:rsid w:val="00305172"/>
    <w:rsid w:val="00316732"/>
    <w:rsid w:val="003250A8"/>
    <w:rsid w:val="0032595D"/>
    <w:rsid w:val="0033061E"/>
    <w:rsid w:val="00333DE0"/>
    <w:rsid w:val="00342C52"/>
    <w:rsid w:val="00345C2F"/>
    <w:rsid w:val="00353559"/>
    <w:rsid w:val="003557E8"/>
    <w:rsid w:val="0035746E"/>
    <w:rsid w:val="0037331A"/>
    <w:rsid w:val="00384EB4"/>
    <w:rsid w:val="00386015"/>
    <w:rsid w:val="00387994"/>
    <w:rsid w:val="00391136"/>
    <w:rsid w:val="00391DA3"/>
    <w:rsid w:val="003A4E76"/>
    <w:rsid w:val="003B024C"/>
    <w:rsid w:val="003B1E93"/>
    <w:rsid w:val="003B727F"/>
    <w:rsid w:val="003C239F"/>
    <w:rsid w:val="003C299B"/>
    <w:rsid w:val="003C2BB4"/>
    <w:rsid w:val="003D045B"/>
    <w:rsid w:val="003D11A7"/>
    <w:rsid w:val="003E04F7"/>
    <w:rsid w:val="003E0ED1"/>
    <w:rsid w:val="003F0C47"/>
    <w:rsid w:val="003F690F"/>
    <w:rsid w:val="004013E4"/>
    <w:rsid w:val="004111DD"/>
    <w:rsid w:val="00417EDE"/>
    <w:rsid w:val="0042095A"/>
    <w:rsid w:val="00422E30"/>
    <w:rsid w:val="004270C0"/>
    <w:rsid w:val="00427686"/>
    <w:rsid w:val="004372F7"/>
    <w:rsid w:val="004437D6"/>
    <w:rsid w:val="00445B26"/>
    <w:rsid w:val="004516B6"/>
    <w:rsid w:val="00462EDA"/>
    <w:rsid w:val="00470A71"/>
    <w:rsid w:val="004756D0"/>
    <w:rsid w:val="0047638F"/>
    <w:rsid w:val="004821DC"/>
    <w:rsid w:val="0048262F"/>
    <w:rsid w:val="004924D7"/>
    <w:rsid w:val="0049462B"/>
    <w:rsid w:val="004A3131"/>
    <w:rsid w:val="004B2568"/>
    <w:rsid w:val="004B51C6"/>
    <w:rsid w:val="004B76EA"/>
    <w:rsid w:val="004C5674"/>
    <w:rsid w:val="004C770E"/>
    <w:rsid w:val="004D1D9D"/>
    <w:rsid w:val="004E0FD4"/>
    <w:rsid w:val="004E798A"/>
    <w:rsid w:val="004F339D"/>
    <w:rsid w:val="004F6D5C"/>
    <w:rsid w:val="004F70ED"/>
    <w:rsid w:val="0050113A"/>
    <w:rsid w:val="00503E8C"/>
    <w:rsid w:val="00505BA5"/>
    <w:rsid w:val="0051465B"/>
    <w:rsid w:val="005213EF"/>
    <w:rsid w:val="0052485E"/>
    <w:rsid w:val="00525ECE"/>
    <w:rsid w:val="005269E9"/>
    <w:rsid w:val="0053607C"/>
    <w:rsid w:val="00537686"/>
    <w:rsid w:val="0054058B"/>
    <w:rsid w:val="005467D5"/>
    <w:rsid w:val="0055172F"/>
    <w:rsid w:val="00565C3B"/>
    <w:rsid w:val="0057018D"/>
    <w:rsid w:val="005702A7"/>
    <w:rsid w:val="00571CEB"/>
    <w:rsid w:val="00580AF1"/>
    <w:rsid w:val="005824DA"/>
    <w:rsid w:val="00584B4E"/>
    <w:rsid w:val="00585F5A"/>
    <w:rsid w:val="00587D0F"/>
    <w:rsid w:val="0059195F"/>
    <w:rsid w:val="00593AB8"/>
    <w:rsid w:val="00596C3E"/>
    <w:rsid w:val="005A1386"/>
    <w:rsid w:val="005B4F92"/>
    <w:rsid w:val="005C0653"/>
    <w:rsid w:val="005C627E"/>
    <w:rsid w:val="005D586F"/>
    <w:rsid w:val="005E7FC2"/>
    <w:rsid w:val="005F1729"/>
    <w:rsid w:val="005F4AF3"/>
    <w:rsid w:val="00603B15"/>
    <w:rsid w:val="00610CDD"/>
    <w:rsid w:val="00614BAF"/>
    <w:rsid w:val="00622033"/>
    <w:rsid w:val="00623DF3"/>
    <w:rsid w:val="00637A58"/>
    <w:rsid w:val="00650C68"/>
    <w:rsid w:val="00655CC8"/>
    <w:rsid w:val="00657D85"/>
    <w:rsid w:val="006723E3"/>
    <w:rsid w:val="00672EFA"/>
    <w:rsid w:val="00673AB5"/>
    <w:rsid w:val="00674A22"/>
    <w:rsid w:val="006819BA"/>
    <w:rsid w:val="0068322A"/>
    <w:rsid w:val="006860E6"/>
    <w:rsid w:val="00686E1D"/>
    <w:rsid w:val="0068702F"/>
    <w:rsid w:val="00690902"/>
    <w:rsid w:val="006A05BA"/>
    <w:rsid w:val="006A09AF"/>
    <w:rsid w:val="006A24BC"/>
    <w:rsid w:val="006A4E3B"/>
    <w:rsid w:val="006A5242"/>
    <w:rsid w:val="006D36B0"/>
    <w:rsid w:val="006D479C"/>
    <w:rsid w:val="006D7E43"/>
    <w:rsid w:val="006E169B"/>
    <w:rsid w:val="006E3A51"/>
    <w:rsid w:val="006F1357"/>
    <w:rsid w:val="006F3E8D"/>
    <w:rsid w:val="00713DC4"/>
    <w:rsid w:val="00714078"/>
    <w:rsid w:val="007234E8"/>
    <w:rsid w:val="00723512"/>
    <w:rsid w:val="00731546"/>
    <w:rsid w:val="00733391"/>
    <w:rsid w:val="00733973"/>
    <w:rsid w:val="00733C1D"/>
    <w:rsid w:val="00737153"/>
    <w:rsid w:val="00741238"/>
    <w:rsid w:val="00750868"/>
    <w:rsid w:val="00750B3A"/>
    <w:rsid w:val="00750B72"/>
    <w:rsid w:val="00757F47"/>
    <w:rsid w:val="007601E4"/>
    <w:rsid w:val="007617AD"/>
    <w:rsid w:val="00766E52"/>
    <w:rsid w:val="00767E96"/>
    <w:rsid w:val="00771BC3"/>
    <w:rsid w:val="00771CDF"/>
    <w:rsid w:val="0077435F"/>
    <w:rsid w:val="00775BE2"/>
    <w:rsid w:val="00783478"/>
    <w:rsid w:val="007940FC"/>
    <w:rsid w:val="007B097E"/>
    <w:rsid w:val="007B2CC8"/>
    <w:rsid w:val="007B3D6D"/>
    <w:rsid w:val="007B75C6"/>
    <w:rsid w:val="007B7B60"/>
    <w:rsid w:val="007C24FA"/>
    <w:rsid w:val="007E0C11"/>
    <w:rsid w:val="007E1E59"/>
    <w:rsid w:val="007F1EBE"/>
    <w:rsid w:val="007F38A7"/>
    <w:rsid w:val="007F41C6"/>
    <w:rsid w:val="007F469A"/>
    <w:rsid w:val="007F70EA"/>
    <w:rsid w:val="007F7FB6"/>
    <w:rsid w:val="00803049"/>
    <w:rsid w:val="008037F9"/>
    <w:rsid w:val="00806BED"/>
    <w:rsid w:val="00821F2F"/>
    <w:rsid w:val="00831608"/>
    <w:rsid w:val="00831DB4"/>
    <w:rsid w:val="0083363B"/>
    <w:rsid w:val="00837C52"/>
    <w:rsid w:val="008434AF"/>
    <w:rsid w:val="0084501D"/>
    <w:rsid w:val="008579FE"/>
    <w:rsid w:val="00860EF0"/>
    <w:rsid w:val="0086383B"/>
    <w:rsid w:val="00867750"/>
    <w:rsid w:val="008745FD"/>
    <w:rsid w:val="00883D50"/>
    <w:rsid w:val="008875EC"/>
    <w:rsid w:val="00891CE1"/>
    <w:rsid w:val="00896D38"/>
    <w:rsid w:val="008A5261"/>
    <w:rsid w:val="008B2CE7"/>
    <w:rsid w:val="008B3B08"/>
    <w:rsid w:val="008B5C49"/>
    <w:rsid w:val="008C0FAF"/>
    <w:rsid w:val="008D4DC0"/>
    <w:rsid w:val="008E77BF"/>
    <w:rsid w:val="008F7DD1"/>
    <w:rsid w:val="00900630"/>
    <w:rsid w:val="009030B4"/>
    <w:rsid w:val="0090505F"/>
    <w:rsid w:val="00906E31"/>
    <w:rsid w:val="00913F4D"/>
    <w:rsid w:val="0093026A"/>
    <w:rsid w:val="009338C0"/>
    <w:rsid w:val="009342D7"/>
    <w:rsid w:val="00961970"/>
    <w:rsid w:val="00962F0D"/>
    <w:rsid w:val="0096761E"/>
    <w:rsid w:val="0098280C"/>
    <w:rsid w:val="00983F82"/>
    <w:rsid w:val="00987C18"/>
    <w:rsid w:val="009919A1"/>
    <w:rsid w:val="00993BFA"/>
    <w:rsid w:val="00996CAF"/>
    <w:rsid w:val="009A295B"/>
    <w:rsid w:val="009A490D"/>
    <w:rsid w:val="009B0C19"/>
    <w:rsid w:val="009B231C"/>
    <w:rsid w:val="009B3AD4"/>
    <w:rsid w:val="009B695E"/>
    <w:rsid w:val="009B7104"/>
    <w:rsid w:val="009C0547"/>
    <w:rsid w:val="009C7463"/>
    <w:rsid w:val="009C7DB2"/>
    <w:rsid w:val="009D53F4"/>
    <w:rsid w:val="009D6D0D"/>
    <w:rsid w:val="009E2B5A"/>
    <w:rsid w:val="009E4327"/>
    <w:rsid w:val="009E6283"/>
    <w:rsid w:val="009F3599"/>
    <w:rsid w:val="009F48BB"/>
    <w:rsid w:val="009F4F97"/>
    <w:rsid w:val="00A0744A"/>
    <w:rsid w:val="00A15219"/>
    <w:rsid w:val="00A20ADF"/>
    <w:rsid w:val="00A211F8"/>
    <w:rsid w:val="00A2245D"/>
    <w:rsid w:val="00A26CD6"/>
    <w:rsid w:val="00A26FAD"/>
    <w:rsid w:val="00A32B9A"/>
    <w:rsid w:val="00A37957"/>
    <w:rsid w:val="00A40E49"/>
    <w:rsid w:val="00A41FAF"/>
    <w:rsid w:val="00A43BBE"/>
    <w:rsid w:val="00A55860"/>
    <w:rsid w:val="00A614AA"/>
    <w:rsid w:val="00A64ECF"/>
    <w:rsid w:val="00A66D21"/>
    <w:rsid w:val="00A74788"/>
    <w:rsid w:val="00A80FD0"/>
    <w:rsid w:val="00A8570B"/>
    <w:rsid w:val="00A91E85"/>
    <w:rsid w:val="00A95AC3"/>
    <w:rsid w:val="00AA5278"/>
    <w:rsid w:val="00AA5B80"/>
    <w:rsid w:val="00AB4317"/>
    <w:rsid w:val="00AB5940"/>
    <w:rsid w:val="00AC5261"/>
    <w:rsid w:val="00AD2C21"/>
    <w:rsid w:val="00AD3BEC"/>
    <w:rsid w:val="00AD420D"/>
    <w:rsid w:val="00AE3B3D"/>
    <w:rsid w:val="00AF5F0E"/>
    <w:rsid w:val="00AF7A14"/>
    <w:rsid w:val="00B01AC5"/>
    <w:rsid w:val="00B02B48"/>
    <w:rsid w:val="00B10CA5"/>
    <w:rsid w:val="00B1297E"/>
    <w:rsid w:val="00B21A75"/>
    <w:rsid w:val="00B240F0"/>
    <w:rsid w:val="00B25457"/>
    <w:rsid w:val="00B53E0F"/>
    <w:rsid w:val="00B62560"/>
    <w:rsid w:val="00B627CC"/>
    <w:rsid w:val="00B72C9C"/>
    <w:rsid w:val="00B73A41"/>
    <w:rsid w:val="00B876A3"/>
    <w:rsid w:val="00B91216"/>
    <w:rsid w:val="00B97EB7"/>
    <w:rsid w:val="00BC07A4"/>
    <w:rsid w:val="00BC62B0"/>
    <w:rsid w:val="00BD20EB"/>
    <w:rsid w:val="00BF7180"/>
    <w:rsid w:val="00C03F83"/>
    <w:rsid w:val="00C053D3"/>
    <w:rsid w:val="00C07901"/>
    <w:rsid w:val="00C12575"/>
    <w:rsid w:val="00C12DBC"/>
    <w:rsid w:val="00C17DE9"/>
    <w:rsid w:val="00C20BCC"/>
    <w:rsid w:val="00C22C2B"/>
    <w:rsid w:val="00C35754"/>
    <w:rsid w:val="00C40617"/>
    <w:rsid w:val="00C40930"/>
    <w:rsid w:val="00C456EC"/>
    <w:rsid w:val="00C46FE6"/>
    <w:rsid w:val="00C50AD1"/>
    <w:rsid w:val="00C5277B"/>
    <w:rsid w:val="00C60873"/>
    <w:rsid w:val="00C617DB"/>
    <w:rsid w:val="00C666CF"/>
    <w:rsid w:val="00C66E62"/>
    <w:rsid w:val="00C66EFC"/>
    <w:rsid w:val="00C7278A"/>
    <w:rsid w:val="00C72AE6"/>
    <w:rsid w:val="00C74E68"/>
    <w:rsid w:val="00C75325"/>
    <w:rsid w:val="00C76DA8"/>
    <w:rsid w:val="00C87C51"/>
    <w:rsid w:val="00C93904"/>
    <w:rsid w:val="00C949D4"/>
    <w:rsid w:val="00CA2047"/>
    <w:rsid w:val="00CA6187"/>
    <w:rsid w:val="00CA65F0"/>
    <w:rsid w:val="00CA6808"/>
    <w:rsid w:val="00CB0B59"/>
    <w:rsid w:val="00CB29B8"/>
    <w:rsid w:val="00CC2082"/>
    <w:rsid w:val="00CC4AAD"/>
    <w:rsid w:val="00CE4B1A"/>
    <w:rsid w:val="00CE54C4"/>
    <w:rsid w:val="00CF0FC8"/>
    <w:rsid w:val="00CF32CC"/>
    <w:rsid w:val="00CF43DE"/>
    <w:rsid w:val="00CF4548"/>
    <w:rsid w:val="00CF5644"/>
    <w:rsid w:val="00CF7416"/>
    <w:rsid w:val="00D00389"/>
    <w:rsid w:val="00D03AD9"/>
    <w:rsid w:val="00D10DCC"/>
    <w:rsid w:val="00D145F6"/>
    <w:rsid w:val="00D21986"/>
    <w:rsid w:val="00D22046"/>
    <w:rsid w:val="00D310A2"/>
    <w:rsid w:val="00D31B31"/>
    <w:rsid w:val="00D33334"/>
    <w:rsid w:val="00D44B37"/>
    <w:rsid w:val="00D44C9B"/>
    <w:rsid w:val="00D45CB6"/>
    <w:rsid w:val="00D47126"/>
    <w:rsid w:val="00D5149E"/>
    <w:rsid w:val="00D60B12"/>
    <w:rsid w:val="00D621C6"/>
    <w:rsid w:val="00D644AA"/>
    <w:rsid w:val="00D75BC1"/>
    <w:rsid w:val="00D8676A"/>
    <w:rsid w:val="00D91966"/>
    <w:rsid w:val="00D91B10"/>
    <w:rsid w:val="00D92E6F"/>
    <w:rsid w:val="00D9477E"/>
    <w:rsid w:val="00D9540A"/>
    <w:rsid w:val="00D96A4E"/>
    <w:rsid w:val="00DA5EFA"/>
    <w:rsid w:val="00DA73EF"/>
    <w:rsid w:val="00DB23E0"/>
    <w:rsid w:val="00DC56B9"/>
    <w:rsid w:val="00DC6908"/>
    <w:rsid w:val="00DC72BE"/>
    <w:rsid w:val="00DD08CD"/>
    <w:rsid w:val="00DD0AC6"/>
    <w:rsid w:val="00DD3B3F"/>
    <w:rsid w:val="00DD3C5A"/>
    <w:rsid w:val="00DE5002"/>
    <w:rsid w:val="00DF06C8"/>
    <w:rsid w:val="00DF7726"/>
    <w:rsid w:val="00DF7E64"/>
    <w:rsid w:val="00E00373"/>
    <w:rsid w:val="00E03F15"/>
    <w:rsid w:val="00E15A45"/>
    <w:rsid w:val="00E273E7"/>
    <w:rsid w:val="00E41DB6"/>
    <w:rsid w:val="00E617E4"/>
    <w:rsid w:val="00E62BE1"/>
    <w:rsid w:val="00E87D10"/>
    <w:rsid w:val="00E90FB9"/>
    <w:rsid w:val="00E91D83"/>
    <w:rsid w:val="00E92DA3"/>
    <w:rsid w:val="00E94EE3"/>
    <w:rsid w:val="00E96095"/>
    <w:rsid w:val="00EA25D9"/>
    <w:rsid w:val="00EA6147"/>
    <w:rsid w:val="00EC32F7"/>
    <w:rsid w:val="00EC6655"/>
    <w:rsid w:val="00EC6804"/>
    <w:rsid w:val="00ED1B85"/>
    <w:rsid w:val="00ED2434"/>
    <w:rsid w:val="00EE1DC0"/>
    <w:rsid w:val="00EE416E"/>
    <w:rsid w:val="00EF7A3F"/>
    <w:rsid w:val="00F01E0D"/>
    <w:rsid w:val="00F023D3"/>
    <w:rsid w:val="00F07AA3"/>
    <w:rsid w:val="00F102E0"/>
    <w:rsid w:val="00F22385"/>
    <w:rsid w:val="00F223FD"/>
    <w:rsid w:val="00F2337C"/>
    <w:rsid w:val="00F25B09"/>
    <w:rsid w:val="00F3011A"/>
    <w:rsid w:val="00F30CF9"/>
    <w:rsid w:val="00F30FE9"/>
    <w:rsid w:val="00F37BFE"/>
    <w:rsid w:val="00F40938"/>
    <w:rsid w:val="00F45D4F"/>
    <w:rsid w:val="00F4654E"/>
    <w:rsid w:val="00F50823"/>
    <w:rsid w:val="00F661AA"/>
    <w:rsid w:val="00F718EC"/>
    <w:rsid w:val="00F80C74"/>
    <w:rsid w:val="00F810F0"/>
    <w:rsid w:val="00F90F88"/>
    <w:rsid w:val="00F93A60"/>
    <w:rsid w:val="00F94284"/>
    <w:rsid w:val="00F94EC5"/>
    <w:rsid w:val="00FA4BE0"/>
    <w:rsid w:val="00FA679D"/>
    <w:rsid w:val="00FA7A05"/>
    <w:rsid w:val="00FB28FA"/>
    <w:rsid w:val="00FC231C"/>
    <w:rsid w:val="00FD294F"/>
    <w:rsid w:val="00FD4726"/>
    <w:rsid w:val="00FE1E32"/>
    <w:rsid w:val="00FE4A5C"/>
    <w:rsid w:val="00FF33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0CC7326"/>
  <w15:docId w15:val="{503C9E05-62FD-41D6-9A64-A1530061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160C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nhideWhenUsed/>
    <w:qFormat/>
    <w:rsid w:val="007F41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slov2"/>
    <w:link w:val="Naslov3Znak"/>
    <w:uiPriority w:val="9"/>
    <w:qFormat/>
    <w:rsid w:val="007F41C6"/>
    <w:pPr>
      <w:keepLines w:val="0"/>
      <w:numPr>
        <w:numId w:val="4"/>
      </w:numPr>
      <w:tabs>
        <w:tab w:val="left" w:pos="0"/>
        <w:tab w:val="left" w:pos="480"/>
        <w:tab w:val="left" w:pos="850"/>
        <w:tab w:val="left" w:pos="1276"/>
      </w:tabs>
      <w:spacing w:before="120" w:after="120" w:line="240" w:lineRule="auto"/>
      <w:jc w:val="both"/>
      <w:outlineLvl w:val="2"/>
    </w:pPr>
    <w:rPr>
      <w:rFonts w:ascii="Arial" w:eastAsia="Times New Roman" w:hAnsi="Arial" w:cs="Arial"/>
      <w:bCs w:val="0"/>
      <w:color w:val="auto"/>
      <w:sz w:val="22"/>
      <w:szCs w:val="22"/>
      <w:lang w:eastAsia="en-GB"/>
    </w:rPr>
  </w:style>
  <w:style w:type="paragraph" w:styleId="Naslov4">
    <w:name w:val="heading 4"/>
    <w:basedOn w:val="Navaden"/>
    <w:link w:val="Naslov4Znak"/>
    <w:uiPriority w:val="10"/>
    <w:qFormat/>
    <w:rsid w:val="007F41C6"/>
    <w:pPr>
      <w:keepNext/>
      <w:tabs>
        <w:tab w:val="left" w:pos="0"/>
        <w:tab w:val="left" w:pos="480"/>
        <w:tab w:val="left" w:pos="906"/>
      </w:tabs>
      <w:spacing w:before="120" w:after="0" w:line="240" w:lineRule="auto"/>
      <w:jc w:val="both"/>
      <w:outlineLvl w:val="3"/>
    </w:pPr>
    <w:rPr>
      <w:rFonts w:ascii="Times New Roman" w:eastAsia="Times New Roman" w:hAnsi="Times New Roman"/>
      <w:szCs w:val="24"/>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60CE9"/>
    <w:rPr>
      <w:rFonts w:asciiTheme="majorHAnsi" w:eastAsiaTheme="majorEastAsia" w:hAnsiTheme="majorHAnsi" w:cstheme="majorBidi"/>
      <w:color w:val="365F91" w:themeColor="accent1" w:themeShade="BF"/>
      <w:sz w:val="32"/>
      <w:szCs w:val="32"/>
    </w:rPr>
  </w:style>
  <w:style w:type="paragraph" w:styleId="Odstavekseznama">
    <w:name w:val="List Paragraph"/>
    <w:aliases w:val="Odstavec1"/>
    <w:basedOn w:val="Navaden"/>
    <w:link w:val="OdstavekseznamaZnak"/>
    <w:uiPriority w:val="72"/>
    <w:qFormat/>
    <w:rsid w:val="00CA6187"/>
    <w:pPr>
      <w:ind w:left="720"/>
      <w:contextualSpacing/>
    </w:pPr>
  </w:style>
  <w:style w:type="table" w:styleId="Tabelamrea">
    <w:name w:val="Table Grid"/>
    <w:basedOn w:val="Navadnatabela"/>
    <w:uiPriority w:val="59"/>
    <w:rsid w:val="00CA6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3">
    <w:name w:val="Light List Accent 3"/>
    <w:basedOn w:val="Navadnatabela"/>
    <w:uiPriority w:val="61"/>
    <w:rsid w:val="003A4E76"/>
    <w:pPr>
      <w:spacing w:after="0" w:line="240" w:lineRule="auto"/>
    </w:pPr>
    <w:rPr>
      <w:rFonts w:eastAsiaTheme="minorEastAsia"/>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SCslika">
    <w:name w:val="SC_slika"/>
    <w:basedOn w:val="Navaden"/>
    <w:qFormat/>
    <w:rsid w:val="000353F0"/>
    <w:pPr>
      <w:spacing w:before="80" w:after="80" w:line="264" w:lineRule="auto"/>
      <w:jc w:val="both"/>
    </w:pPr>
    <w:rPr>
      <w:rFonts w:eastAsia="Times New Roman"/>
      <w:noProof/>
      <w:sz w:val="20"/>
      <w:szCs w:val="24"/>
      <w:lang w:eastAsia="sl-SI"/>
    </w:rPr>
  </w:style>
  <w:style w:type="paragraph" w:customStyle="1" w:styleId="SCPreglednica">
    <w:name w:val="SC Preglednica"/>
    <w:basedOn w:val="Navaden"/>
    <w:next w:val="Navaden"/>
    <w:link w:val="SCPreglednicaZnak"/>
    <w:qFormat/>
    <w:rsid w:val="000353F0"/>
    <w:pPr>
      <w:spacing w:before="240" w:after="120"/>
      <w:jc w:val="both"/>
    </w:pPr>
    <w:rPr>
      <w:sz w:val="20"/>
    </w:rPr>
  </w:style>
  <w:style w:type="character" w:customStyle="1" w:styleId="SCPreglednicaZnak">
    <w:name w:val="SC Preglednica Znak"/>
    <w:basedOn w:val="Privzetapisavaodstavka"/>
    <w:link w:val="SCPreglednica"/>
    <w:rsid w:val="000353F0"/>
    <w:rPr>
      <w:rFonts w:ascii="Arial" w:hAnsi="Arial"/>
      <w:sz w:val="20"/>
    </w:rPr>
  </w:style>
  <w:style w:type="character" w:styleId="Hiperpovezava">
    <w:name w:val="Hyperlink"/>
    <w:basedOn w:val="Privzetapisavaodstavka"/>
    <w:uiPriority w:val="99"/>
    <w:unhideWhenUsed/>
    <w:rsid w:val="00993BFA"/>
    <w:rPr>
      <w:color w:val="0000FF" w:themeColor="hyperlink"/>
      <w:u w:val="single"/>
    </w:rPr>
  </w:style>
  <w:style w:type="paragraph" w:styleId="Glava">
    <w:name w:val="header"/>
    <w:basedOn w:val="Navaden"/>
    <w:link w:val="GlavaZnak"/>
    <w:uiPriority w:val="99"/>
    <w:unhideWhenUsed/>
    <w:rsid w:val="00240F7A"/>
    <w:pPr>
      <w:tabs>
        <w:tab w:val="center" w:pos="4536"/>
        <w:tab w:val="right" w:pos="9072"/>
      </w:tabs>
      <w:spacing w:after="0" w:line="240" w:lineRule="auto"/>
    </w:pPr>
  </w:style>
  <w:style w:type="character" w:customStyle="1" w:styleId="GlavaZnak">
    <w:name w:val="Glava Znak"/>
    <w:basedOn w:val="Privzetapisavaodstavka"/>
    <w:link w:val="Glava"/>
    <w:uiPriority w:val="99"/>
    <w:rsid w:val="00240F7A"/>
  </w:style>
  <w:style w:type="paragraph" w:styleId="Noga">
    <w:name w:val="footer"/>
    <w:basedOn w:val="Navaden"/>
    <w:link w:val="NogaZnak"/>
    <w:uiPriority w:val="99"/>
    <w:unhideWhenUsed/>
    <w:rsid w:val="00240F7A"/>
    <w:pPr>
      <w:tabs>
        <w:tab w:val="center" w:pos="4536"/>
        <w:tab w:val="right" w:pos="9072"/>
      </w:tabs>
      <w:spacing w:after="0" w:line="240" w:lineRule="auto"/>
    </w:pPr>
  </w:style>
  <w:style w:type="character" w:customStyle="1" w:styleId="NogaZnak">
    <w:name w:val="Noga Znak"/>
    <w:basedOn w:val="Privzetapisavaodstavka"/>
    <w:link w:val="Noga"/>
    <w:uiPriority w:val="99"/>
    <w:rsid w:val="00240F7A"/>
  </w:style>
  <w:style w:type="paragraph" w:styleId="Napis">
    <w:name w:val="caption"/>
    <w:basedOn w:val="Navaden"/>
    <w:next w:val="Navaden"/>
    <w:link w:val="NapisZnak"/>
    <w:qFormat/>
    <w:rsid w:val="00A26FAD"/>
    <w:pPr>
      <w:keepNext/>
      <w:spacing w:before="120" w:after="0" w:line="264" w:lineRule="auto"/>
    </w:pPr>
    <w:rPr>
      <w:rFonts w:eastAsia="Times New Roman"/>
      <w:sz w:val="20"/>
      <w:szCs w:val="16"/>
      <w:lang w:eastAsia="en-GB"/>
    </w:rPr>
  </w:style>
  <w:style w:type="character" w:customStyle="1" w:styleId="NapisZnak">
    <w:name w:val="Napis Znak"/>
    <w:basedOn w:val="Privzetapisavaodstavka"/>
    <w:link w:val="Napis"/>
    <w:rsid w:val="00A26FAD"/>
    <w:rPr>
      <w:rFonts w:eastAsia="Times New Roman"/>
      <w:sz w:val="20"/>
      <w:szCs w:val="16"/>
      <w:lang w:eastAsia="en-GB"/>
    </w:rPr>
  </w:style>
  <w:style w:type="character" w:customStyle="1" w:styleId="Naslov2Znak">
    <w:name w:val="Naslov 2 Znak"/>
    <w:basedOn w:val="Privzetapisavaodstavka"/>
    <w:link w:val="Naslov2"/>
    <w:rsid w:val="007F41C6"/>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7F41C6"/>
    <w:rPr>
      <w:rFonts w:eastAsia="Times New Roman"/>
      <w:b/>
      <w:sz w:val="22"/>
      <w:szCs w:val="22"/>
      <w:lang w:eastAsia="en-GB"/>
    </w:rPr>
  </w:style>
  <w:style w:type="character" w:customStyle="1" w:styleId="Naslov4Znak">
    <w:name w:val="Naslov 4 Znak"/>
    <w:basedOn w:val="Privzetapisavaodstavka"/>
    <w:link w:val="Naslov4"/>
    <w:uiPriority w:val="10"/>
    <w:rsid w:val="007F41C6"/>
    <w:rPr>
      <w:rFonts w:ascii="Times New Roman" w:eastAsia="Times New Roman" w:hAnsi="Times New Roman" w:cs="Arial"/>
      <w:sz w:val="24"/>
      <w:szCs w:val="24"/>
      <w:lang w:eastAsia="en-GB"/>
    </w:rPr>
  </w:style>
  <w:style w:type="numbering" w:customStyle="1" w:styleId="Brezseznama1">
    <w:name w:val="Brez seznama1"/>
    <w:next w:val="Brezseznama"/>
    <w:uiPriority w:val="99"/>
    <w:semiHidden/>
    <w:unhideWhenUsed/>
    <w:rsid w:val="007F41C6"/>
  </w:style>
  <w:style w:type="paragraph" w:customStyle="1" w:styleId="ZPtekst">
    <w:name w:val="ZP_tekst"/>
    <w:basedOn w:val="Navaden"/>
    <w:link w:val="ZPtekstZnak"/>
    <w:qFormat/>
    <w:rsid w:val="007F41C6"/>
    <w:pPr>
      <w:spacing w:before="120" w:after="0" w:line="240" w:lineRule="auto"/>
      <w:jc w:val="both"/>
    </w:pPr>
    <w:rPr>
      <w:rFonts w:eastAsia="Times New Roman"/>
      <w:szCs w:val="24"/>
      <w:lang w:eastAsia="en-GB"/>
    </w:rPr>
  </w:style>
  <w:style w:type="character" w:customStyle="1" w:styleId="ZPtekstZnak">
    <w:name w:val="ZP_tekst Znak"/>
    <w:link w:val="ZPtekst"/>
    <w:rsid w:val="007F41C6"/>
    <w:rPr>
      <w:rFonts w:ascii="Arial" w:eastAsia="Times New Roman" w:hAnsi="Arial" w:cs="Arial"/>
      <w:szCs w:val="24"/>
      <w:lang w:eastAsia="en-GB"/>
    </w:rPr>
  </w:style>
  <w:style w:type="character" w:customStyle="1" w:styleId="OdstavekseznamaZnak">
    <w:name w:val="Odstavek seznama Znak"/>
    <w:aliases w:val="Odstavec1 Znak"/>
    <w:link w:val="Odstavekseznama"/>
    <w:uiPriority w:val="72"/>
    <w:qFormat/>
    <w:rsid w:val="007F41C6"/>
  </w:style>
  <w:style w:type="table" w:customStyle="1" w:styleId="Tabelamrea1">
    <w:name w:val="Tabela – mreža1"/>
    <w:basedOn w:val="Navadnatabela"/>
    <w:next w:val="Tabelamrea"/>
    <w:uiPriority w:val="59"/>
    <w:rsid w:val="007F41C6"/>
    <w:pPr>
      <w:spacing w:after="0" w:line="240" w:lineRule="auto"/>
    </w:pPr>
    <w:rPr>
      <w:rFonts w:ascii="Times New Roman" w:eastAsia="Times New Roman" w:hAnsi="Times New Roman"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rsid w:val="007F41C6"/>
    <w:pPr>
      <w:spacing w:before="120" w:after="0" w:line="240" w:lineRule="auto"/>
      <w:jc w:val="both"/>
    </w:pPr>
    <w:rPr>
      <w:rFonts w:ascii="Times New Roman" w:eastAsia="Times New Roman" w:hAnsi="Times New Roman"/>
      <w:sz w:val="20"/>
      <w:lang w:eastAsia="en-GB"/>
    </w:rPr>
  </w:style>
  <w:style w:type="character" w:customStyle="1" w:styleId="PripombabesediloZnak">
    <w:name w:val="Pripomba – besedilo Znak"/>
    <w:basedOn w:val="Privzetapisavaodstavka"/>
    <w:link w:val="Pripombabesedilo"/>
    <w:uiPriority w:val="99"/>
    <w:rsid w:val="007F41C6"/>
    <w:rPr>
      <w:rFonts w:ascii="Times New Roman" w:eastAsia="Times New Roman" w:hAnsi="Times New Roman" w:cs="Arial"/>
      <w:sz w:val="20"/>
      <w:szCs w:val="20"/>
      <w:lang w:eastAsia="en-GB"/>
    </w:rPr>
  </w:style>
  <w:style w:type="character" w:styleId="Pripombasklic">
    <w:name w:val="annotation reference"/>
    <w:basedOn w:val="Privzetapisavaodstavka"/>
    <w:uiPriority w:val="99"/>
    <w:unhideWhenUsed/>
    <w:rsid w:val="007F41C6"/>
    <w:rPr>
      <w:w w:val="100"/>
      <w:sz w:val="16"/>
      <w:szCs w:val="16"/>
      <w:shd w:val="clear" w:color="auto" w:fill="auto"/>
    </w:rPr>
  </w:style>
  <w:style w:type="paragraph" w:styleId="Zadevapripombe">
    <w:name w:val="annotation subject"/>
    <w:basedOn w:val="Pripombabesedilo"/>
    <w:next w:val="Pripombabesedilo"/>
    <w:link w:val="ZadevapripombeZnak"/>
    <w:uiPriority w:val="99"/>
    <w:semiHidden/>
    <w:unhideWhenUsed/>
    <w:rsid w:val="007F41C6"/>
    <w:pPr>
      <w:spacing w:after="200"/>
      <w:jc w:val="left"/>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7F41C6"/>
    <w:rPr>
      <w:rFonts w:ascii="Times New Roman" w:eastAsia="Times New Roman" w:hAnsi="Times New Roman" w:cs="Arial"/>
      <w:b/>
      <w:bCs/>
      <w:sz w:val="20"/>
      <w:szCs w:val="20"/>
      <w:lang w:eastAsia="en-GB"/>
    </w:rPr>
  </w:style>
  <w:style w:type="paragraph" w:styleId="Revizija">
    <w:name w:val="Revision"/>
    <w:hidden/>
    <w:uiPriority w:val="99"/>
    <w:semiHidden/>
    <w:rsid w:val="007F41C6"/>
    <w:pPr>
      <w:spacing w:after="0" w:line="240" w:lineRule="auto"/>
    </w:pPr>
  </w:style>
  <w:style w:type="paragraph" w:styleId="Besedilooblaka">
    <w:name w:val="Balloon Text"/>
    <w:basedOn w:val="Navaden"/>
    <w:link w:val="BesedilooblakaZnak"/>
    <w:uiPriority w:val="99"/>
    <w:semiHidden/>
    <w:unhideWhenUsed/>
    <w:rsid w:val="007F41C6"/>
    <w:pPr>
      <w:spacing w:before="120" w:after="0" w:line="240" w:lineRule="auto"/>
      <w:jc w:val="both"/>
    </w:pPr>
    <w:rPr>
      <w:rFonts w:ascii="Tahoma" w:eastAsia="Times New Roman" w:hAnsi="Tahoma" w:cs="Tahoma"/>
      <w:sz w:val="16"/>
      <w:szCs w:val="16"/>
      <w:lang w:eastAsia="en-GB"/>
    </w:rPr>
  </w:style>
  <w:style w:type="character" w:customStyle="1" w:styleId="BesedilooblakaZnak">
    <w:name w:val="Besedilo oblačka Znak"/>
    <w:basedOn w:val="Privzetapisavaodstavka"/>
    <w:link w:val="Besedilooblaka"/>
    <w:uiPriority w:val="99"/>
    <w:semiHidden/>
    <w:rsid w:val="007F41C6"/>
    <w:rPr>
      <w:rFonts w:ascii="Tahoma" w:eastAsia="Times New Roman" w:hAnsi="Tahoma" w:cs="Tahoma"/>
      <w:sz w:val="16"/>
      <w:szCs w:val="16"/>
      <w:lang w:eastAsia="en-GB"/>
    </w:rPr>
  </w:style>
  <w:style w:type="paragraph" w:customStyle="1" w:styleId="ZPpodnapis">
    <w:name w:val="ZP_podnapis"/>
    <w:basedOn w:val="ZPtekst"/>
    <w:next w:val="ZPtekst"/>
    <w:qFormat/>
    <w:rsid w:val="007F41C6"/>
    <w:pPr>
      <w:widowControl w:val="0"/>
      <w:spacing w:after="200"/>
      <w:ind w:left="170" w:hanging="170"/>
      <w:contextualSpacing/>
    </w:pPr>
    <w:rPr>
      <w:sz w:val="16"/>
    </w:rPr>
  </w:style>
  <w:style w:type="paragraph" w:customStyle="1" w:styleId="ZPslikanaslov">
    <w:name w:val="ZP_slika_naslov"/>
    <w:basedOn w:val="Navaden"/>
    <w:qFormat/>
    <w:rsid w:val="007F41C6"/>
    <w:pPr>
      <w:keepNext/>
      <w:keepLines/>
      <w:spacing w:before="240" w:after="80" w:line="240" w:lineRule="auto"/>
      <w:jc w:val="center"/>
    </w:pPr>
    <w:rPr>
      <w:rFonts w:eastAsia="Times New Roman"/>
      <w:i/>
      <w:szCs w:val="24"/>
      <w:lang w:eastAsia="sl-SI"/>
    </w:rPr>
  </w:style>
  <w:style w:type="paragraph" w:customStyle="1" w:styleId="Default">
    <w:name w:val="Default"/>
    <w:rsid w:val="007F41C6"/>
    <w:pPr>
      <w:autoSpaceDE w:val="0"/>
      <w:autoSpaceDN w:val="0"/>
      <w:adjustRightInd w:val="0"/>
      <w:spacing w:after="0" w:line="240" w:lineRule="auto"/>
    </w:pPr>
    <w:rPr>
      <w:rFonts w:ascii="Verdana" w:hAnsi="Verdana" w:cs="Verdana"/>
      <w:color w:val="000000"/>
      <w:szCs w:val="24"/>
    </w:rPr>
  </w:style>
  <w:style w:type="paragraph" w:customStyle="1" w:styleId="indicatorkpititle">
    <w:name w:val="indicatorkpititle"/>
    <w:basedOn w:val="Navaden"/>
    <w:rsid w:val="007F41C6"/>
    <w:pPr>
      <w:spacing w:before="100" w:beforeAutospacing="1" w:after="100" w:afterAutospacing="1" w:line="240" w:lineRule="auto"/>
      <w:jc w:val="both"/>
    </w:pPr>
    <w:rPr>
      <w:rFonts w:ascii="Times New Roman" w:eastAsia="Times New Roman" w:hAnsi="Times New Roman"/>
      <w:szCs w:val="24"/>
      <w:lang w:eastAsia="sl-SI"/>
    </w:rPr>
  </w:style>
  <w:style w:type="character" w:customStyle="1" w:styleId="TelobesedilaZnak1">
    <w:name w:val="Telo besedila Znak1"/>
    <w:rsid w:val="007F41C6"/>
    <w:rPr>
      <w:rFonts w:ascii="Arial" w:hAnsi="Arial" w:cs="Arial"/>
      <w:noProof w:val="0"/>
      <w:sz w:val="22"/>
      <w:szCs w:val="22"/>
      <w:lang w:val="sl-SI" w:eastAsia="en-US" w:bidi="ar-SA"/>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Char Char,Fußnote"/>
    <w:basedOn w:val="Navaden"/>
    <w:link w:val="Sprotnaopomba-besediloZnak"/>
    <w:qFormat/>
    <w:rsid w:val="007F41C6"/>
    <w:pPr>
      <w:spacing w:before="120" w:after="0" w:line="240" w:lineRule="auto"/>
      <w:ind w:left="714" w:hanging="357"/>
      <w:jc w:val="both"/>
    </w:pPr>
    <w:rPr>
      <w:rFonts w:ascii="Times New Roman" w:eastAsia="Times New Roman" w:hAnsi="Times New Roman"/>
      <w:sz w:val="20"/>
      <w:lang w:eastAsia="en-GB"/>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Char Char Znak,Fußnote Znak"/>
    <w:basedOn w:val="Privzetapisavaodstavka"/>
    <w:link w:val="Sprotnaopomba-besedilo"/>
    <w:rsid w:val="007F41C6"/>
    <w:rPr>
      <w:rFonts w:ascii="Times New Roman" w:eastAsia="Times New Roman" w:hAnsi="Times New Roman" w:cs="Arial"/>
      <w:sz w:val="20"/>
      <w:szCs w:val="20"/>
      <w:lang w:eastAsia="en-GB"/>
    </w:rPr>
  </w:style>
  <w:style w:type="character" w:styleId="Sprotnaopomba-sklic">
    <w:name w:val="footnote reference"/>
    <w:aliases w:val="Footnote symbol,Footnote,Fussnota"/>
    <w:basedOn w:val="Privzetapisavaodstavka"/>
    <w:unhideWhenUsed/>
    <w:rsid w:val="007F41C6"/>
    <w:rPr>
      <w:w w:val="100"/>
      <w:sz w:val="20"/>
      <w:szCs w:val="20"/>
      <w:shd w:val="clear" w:color="auto" w:fill="auto"/>
      <w:vertAlign w:val="superscript"/>
    </w:rPr>
  </w:style>
  <w:style w:type="paragraph" w:customStyle="1" w:styleId="ZPpregtekst">
    <w:name w:val="ZP_preg_tekst"/>
    <w:basedOn w:val="Navaden"/>
    <w:next w:val="Navaden"/>
    <w:qFormat/>
    <w:rsid w:val="007F41C6"/>
    <w:pPr>
      <w:keepNext/>
      <w:keepLines/>
      <w:autoSpaceDE w:val="0"/>
      <w:autoSpaceDN w:val="0"/>
      <w:adjustRightInd w:val="0"/>
      <w:spacing w:before="120" w:after="0" w:line="240" w:lineRule="auto"/>
      <w:jc w:val="both"/>
    </w:pPr>
    <w:rPr>
      <w:rFonts w:eastAsia="Times New Roman"/>
      <w:sz w:val="16"/>
      <w:szCs w:val="24"/>
      <w:lang w:eastAsia="sl-SI"/>
    </w:rPr>
  </w:style>
  <w:style w:type="paragraph" w:customStyle="1" w:styleId="ZPpregglava">
    <w:name w:val="ZP_preg_glava"/>
    <w:basedOn w:val="ZPpregtekst"/>
    <w:next w:val="ZPpregtekst"/>
    <w:qFormat/>
    <w:rsid w:val="007F41C6"/>
    <w:pPr>
      <w:spacing w:before="40" w:after="20"/>
      <w:jc w:val="right"/>
      <w:outlineLvl w:val="0"/>
    </w:pPr>
    <w:rPr>
      <w:b/>
    </w:rPr>
  </w:style>
  <w:style w:type="paragraph" w:customStyle="1" w:styleId="ZPpregnaslov">
    <w:name w:val="ZP_preg_naslov"/>
    <w:basedOn w:val="Navaden"/>
    <w:link w:val="ZPpregnaslovZnak"/>
    <w:qFormat/>
    <w:rsid w:val="007F41C6"/>
    <w:pPr>
      <w:keepNext/>
      <w:keepLines/>
      <w:spacing w:before="200" w:after="80" w:line="240" w:lineRule="auto"/>
      <w:ind w:left="1588" w:hanging="1588"/>
      <w:contextualSpacing/>
      <w:jc w:val="both"/>
      <w:outlineLvl w:val="0"/>
    </w:pPr>
    <w:rPr>
      <w:rFonts w:eastAsia="Times New Roman"/>
      <w:i/>
      <w:lang w:eastAsia="sl-SI"/>
    </w:rPr>
  </w:style>
  <w:style w:type="character" w:customStyle="1" w:styleId="ZPpregnaslovZnak">
    <w:name w:val="ZP_preg_naslov Znak"/>
    <w:link w:val="ZPpregnaslov"/>
    <w:rsid w:val="007F41C6"/>
    <w:rPr>
      <w:rFonts w:ascii="Arial" w:eastAsia="Times New Roman" w:hAnsi="Arial" w:cs="Arial"/>
      <w:i/>
      <w:szCs w:val="20"/>
      <w:lang w:eastAsia="sl-SI"/>
    </w:rPr>
  </w:style>
  <w:style w:type="paragraph" w:customStyle="1" w:styleId="ZPpregtevilke">
    <w:name w:val="ZP_preg_številke"/>
    <w:basedOn w:val="Navaden"/>
    <w:next w:val="ZPpregtekst"/>
    <w:qFormat/>
    <w:rsid w:val="007F41C6"/>
    <w:pPr>
      <w:keepNext/>
      <w:keepLines/>
      <w:autoSpaceDE w:val="0"/>
      <w:autoSpaceDN w:val="0"/>
      <w:adjustRightInd w:val="0"/>
      <w:spacing w:before="120" w:after="0" w:line="240" w:lineRule="auto"/>
      <w:jc w:val="right"/>
    </w:pPr>
    <w:rPr>
      <w:rFonts w:eastAsia="Times New Roman"/>
      <w:sz w:val="16"/>
      <w:szCs w:val="24"/>
      <w:lang w:eastAsia="sl-SI"/>
    </w:rPr>
  </w:style>
  <w:style w:type="character" w:styleId="Poudarek">
    <w:name w:val="Emphasis"/>
    <w:uiPriority w:val="20"/>
    <w:qFormat/>
    <w:rsid w:val="007F41C6"/>
    <w:rPr>
      <w:i/>
      <w:iCs/>
    </w:rPr>
  </w:style>
  <w:style w:type="paragraph" w:customStyle="1" w:styleId="1">
    <w:name w:val="1"/>
    <w:basedOn w:val="Navaden"/>
    <w:qFormat/>
    <w:rsid w:val="007F41C6"/>
    <w:pPr>
      <w:spacing w:before="120" w:after="0" w:line="260" w:lineRule="atLeast"/>
      <w:jc w:val="both"/>
    </w:pPr>
    <w:rPr>
      <w:rFonts w:eastAsia="Times New Roman"/>
      <w:sz w:val="20"/>
      <w:lang w:eastAsia="en-GB"/>
    </w:rPr>
  </w:style>
  <w:style w:type="paragraph" w:customStyle="1" w:styleId="SlogSprotnaopomba-besediloZnakZnak">
    <w:name w:val="Slog Sprotna opomba - besedilo Znak Znak"/>
    <w:link w:val="SlogSprotnaopomba-besediloZnakZnakZnak"/>
    <w:rsid w:val="007F41C6"/>
    <w:pPr>
      <w:spacing w:before="60" w:after="180" w:line="240" w:lineRule="auto"/>
      <w:ind w:left="227" w:hanging="227"/>
      <w:contextualSpacing/>
    </w:pPr>
    <w:rPr>
      <w:rFonts w:eastAsia="Times New Roman" w:cs="Times New Roman"/>
      <w:sz w:val="16"/>
      <w:szCs w:val="24"/>
    </w:rPr>
  </w:style>
  <w:style w:type="character" w:customStyle="1" w:styleId="SlogSprotnaopomba-besediloZnakZnakZnak">
    <w:name w:val="Slog Sprotna opomba - besedilo Znak Znak Znak"/>
    <w:link w:val="SlogSprotnaopomba-besediloZnakZnak"/>
    <w:rsid w:val="007F41C6"/>
    <w:rPr>
      <w:rFonts w:ascii="Arial" w:eastAsia="Times New Roman" w:hAnsi="Arial" w:cs="Times New Roman"/>
      <w:sz w:val="16"/>
      <w:szCs w:val="24"/>
    </w:rPr>
  </w:style>
  <w:style w:type="paragraph" w:styleId="Naslov">
    <w:name w:val="Title"/>
    <w:basedOn w:val="Navaden"/>
    <w:link w:val="NaslovZnak"/>
    <w:uiPriority w:val="6"/>
    <w:qFormat/>
    <w:rsid w:val="007F41C6"/>
    <w:pPr>
      <w:spacing w:before="120" w:after="0" w:line="240" w:lineRule="auto"/>
      <w:jc w:val="center"/>
    </w:pPr>
    <w:rPr>
      <w:rFonts w:eastAsia="Arial"/>
      <w:b/>
      <w:sz w:val="32"/>
      <w:szCs w:val="32"/>
      <w:lang w:eastAsia="en-GB"/>
    </w:rPr>
  </w:style>
  <w:style w:type="character" w:customStyle="1" w:styleId="NaslovZnak">
    <w:name w:val="Naslov Znak"/>
    <w:basedOn w:val="Privzetapisavaodstavka"/>
    <w:link w:val="Naslov"/>
    <w:uiPriority w:val="6"/>
    <w:rsid w:val="007F41C6"/>
    <w:rPr>
      <w:rFonts w:ascii="Arial" w:eastAsia="Arial" w:hAnsi="Arial" w:cs="Arial"/>
      <w:b/>
      <w:sz w:val="32"/>
      <w:szCs w:val="32"/>
      <w:lang w:eastAsia="en-GB"/>
    </w:rPr>
  </w:style>
  <w:style w:type="character" w:customStyle="1" w:styleId="tlid-translation">
    <w:name w:val="tlid-translation"/>
    <w:basedOn w:val="Privzetapisavaodstavka"/>
    <w:rsid w:val="007F41C6"/>
  </w:style>
  <w:style w:type="paragraph" w:styleId="Navadensplet">
    <w:name w:val="Normal (Web)"/>
    <w:basedOn w:val="Navaden"/>
    <w:uiPriority w:val="99"/>
    <w:unhideWhenUsed/>
    <w:rsid w:val="007F41C6"/>
    <w:pPr>
      <w:spacing w:before="100" w:beforeAutospacing="1" w:after="100" w:afterAutospacing="1" w:line="240" w:lineRule="auto"/>
      <w:jc w:val="both"/>
    </w:pPr>
    <w:rPr>
      <w:rFonts w:ascii="Times New Roman" w:eastAsia="Times New Roman" w:hAnsi="Times New Roman"/>
      <w:szCs w:val="24"/>
      <w:lang w:eastAsia="sl-SI"/>
    </w:rPr>
  </w:style>
  <w:style w:type="character" w:styleId="Krepko">
    <w:name w:val="Strong"/>
    <w:basedOn w:val="Privzetapisavaodstavka"/>
    <w:uiPriority w:val="22"/>
    <w:qFormat/>
    <w:rsid w:val="007F41C6"/>
    <w:rPr>
      <w:b/>
      <w:bCs/>
    </w:rPr>
  </w:style>
  <w:style w:type="character" w:customStyle="1" w:styleId="tableinformationtitle">
    <w:name w:val="tableinformation_title"/>
    <w:basedOn w:val="Privzetapisavaodstavka"/>
    <w:rsid w:val="007F41C6"/>
  </w:style>
  <w:style w:type="paragraph" w:styleId="NaslovTOC">
    <w:name w:val="TOC Heading"/>
    <w:basedOn w:val="Naslov1"/>
    <w:next w:val="Navaden"/>
    <w:uiPriority w:val="39"/>
    <w:unhideWhenUsed/>
    <w:qFormat/>
    <w:rsid w:val="007F41C6"/>
    <w:pPr>
      <w:spacing w:before="480"/>
      <w:outlineLvl w:val="9"/>
    </w:pPr>
    <w:rPr>
      <w:b/>
      <w:bCs/>
      <w:sz w:val="28"/>
      <w:szCs w:val="28"/>
      <w:lang w:eastAsia="sl-SI"/>
    </w:rPr>
  </w:style>
  <w:style w:type="paragraph" w:styleId="Kazalovsebine1">
    <w:name w:val="toc 1"/>
    <w:basedOn w:val="Navaden"/>
    <w:next w:val="Navaden"/>
    <w:autoRedefine/>
    <w:uiPriority w:val="39"/>
    <w:unhideWhenUsed/>
    <w:rsid w:val="007F41C6"/>
    <w:pPr>
      <w:spacing w:before="120" w:after="100" w:line="240" w:lineRule="auto"/>
      <w:jc w:val="both"/>
    </w:pPr>
    <w:rPr>
      <w:rFonts w:eastAsia="Times New Roman"/>
      <w:szCs w:val="24"/>
      <w:lang w:eastAsia="en-GB"/>
    </w:rPr>
  </w:style>
  <w:style w:type="paragraph" w:styleId="Kazalovsebine2">
    <w:name w:val="toc 2"/>
    <w:basedOn w:val="Navaden"/>
    <w:next w:val="Navaden"/>
    <w:autoRedefine/>
    <w:uiPriority w:val="39"/>
    <w:unhideWhenUsed/>
    <w:rsid w:val="007F41C6"/>
    <w:pPr>
      <w:spacing w:before="120" w:after="100" w:line="240" w:lineRule="auto"/>
      <w:ind w:left="240"/>
      <w:jc w:val="both"/>
    </w:pPr>
    <w:rPr>
      <w:rFonts w:eastAsia="Times New Roman"/>
      <w:szCs w:val="24"/>
      <w:lang w:eastAsia="en-GB"/>
    </w:rPr>
  </w:style>
  <w:style w:type="character" w:customStyle="1" w:styleId="TelobesedilaZnakZnak1ZnakZnakZnak">
    <w:name w:val="Telo besedila Znak Znak1 Znak Znak Znak"/>
    <w:aliases w:val="Telo besedila Znak2 Znak Znak1 Znak Znak Znak,Telo besedila Znak Znak Znak Znak1 Znak Znak Znak,Telo besedila Znak2 Znak Znak Znak Znak1 Znak Znak Znak"/>
    <w:rsid w:val="007F41C6"/>
    <w:rPr>
      <w:rFonts w:ascii="Arial" w:hAnsi="Arial"/>
      <w:sz w:val="22"/>
      <w:szCs w:val="24"/>
      <w:lang w:val="sl-SI" w:eastAsia="sl-SI" w:bidi="ar-SA"/>
    </w:rPr>
  </w:style>
  <w:style w:type="paragraph" w:styleId="Kazalovsebine3">
    <w:name w:val="toc 3"/>
    <w:basedOn w:val="Navaden"/>
    <w:next w:val="Navaden"/>
    <w:autoRedefine/>
    <w:uiPriority w:val="39"/>
    <w:unhideWhenUsed/>
    <w:rsid w:val="007F41C6"/>
    <w:pPr>
      <w:spacing w:before="120" w:after="100" w:line="240" w:lineRule="auto"/>
      <w:ind w:left="440"/>
      <w:jc w:val="both"/>
    </w:pPr>
    <w:rPr>
      <w:rFonts w:eastAsia="Times New Roman"/>
      <w:szCs w:val="24"/>
      <w:lang w:eastAsia="en-GB"/>
    </w:rPr>
  </w:style>
  <w:style w:type="paragraph" w:customStyle="1" w:styleId="ListBullet1">
    <w:name w:val="List Bullet 1"/>
    <w:basedOn w:val="Navaden"/>
    <w:rsid w:val="007F41C6"/>
    <w:pPr>
      <w:numPr>
        <w:numId w:val="2"/>
      </w:numPr>
      <w:spacing w:before="120" w:after="0" w:line="240" w:lineRule="auto"/>
      <w:ind w:left="0" w:firstLine="0"/>
      <w:jc w:val="both"/>
    </w:pPr>
    <w:rPr>
      <w:rFonts w:ascii="Times New Roman" w:eastAsia="Times New Roman" w:hAnsi="Times New Roman"/>
      <w:szCs w:val="24"/>
      <w:lang w:eastAsia="en-GB"/>
    </w:rPr>
  </w:style>
  <w:style w:type="paragraph" w:customStyle="1" w:styleId="TAbela">
    <w:name w:val="TAbela"/>
    <w:basedOn w:val="Navaden"/>
    <w:uiPriority w:val="1"/>
    <w:rsid w:val="007F41C6"/>
    <w:pPr>
      <w:spacing w:before="120" w:after="0" w:line="240" w:lineRule="auto"/>
      <w:jc w:val="both"/>
    </w:pPr>
    <w:rPr>
      <w:rFonts w:eastAsia="Arial"/>
      <w:sz w:val="16"/>
      <w:szCs w:val="24"/>
    </w:rPr>
  </w:style>
  <w:style w:type="paragraph" w:customStyle="1" w:styleId="ZPnaslovneov">
    <w:name w:val="ZP_naslov_neoš_vč"/>
    <w:basedOn w:val="Navaden"/>
    <w:next w:val="ZPtekst"/>
    <w:qFormat/>
    <w:rsid w:val="007F41C6"/>
    <w:pPr>
      <w:keepNext/>
      <w:autoSpaceDE w:val="0"/>
      <w:autoSpaceDN w:val="0"/>
      <w:adjustRightInd w:val="0"/>
      <w:spacing w:before="240" w:after="240" w:line="240" w:lineRule="auto"/>
    </w:pPr>
    <w:rPr>
      <w:rFonts w:eastAsia="Times New Roman"/>
      <w:b/>
      <w:szCs w:val="24"/>
      <w:lang w:eastAsia="sl-SI"/>
    </w:rPr>
  </w:style>
  <w:style w:type="paragraph" w:customStyle="1" w:styleId="ZPnaslovneom">
    <w:name w:val="ZP_naslov_neoš_mč"/>
    <w:basedOn w:val="Navaden"/>
    <w:next w:val="Navaden"/>
    <w:qFormat/>
    <w:rsid w:val="007F41C6"/>
    <w:pPr>
      <w:keepNext/>
      <w:autoSpaceDE w:val="0"/>
      <w:autoSpaceDN w:val="0"/>
      <w:adjustRightInd w:val="0"/>
      <w:spacing w:before="240" w:after="120" w:line="240" w:lineRule="auto"/>
      <w:jc w:val="both"/>
    </w:pPr>
    <w:rPr>
      <w:rFonts w:eastAsia="Times New Roman"/>
      <w:b/>
      <w:i/>
      <w:lang w:eastAsia="sl-SI"/>
    </w:rPr>
  </w:style>
  <w:style w:type="paragraph" w:customStyle="1" w:styleId="Virpodrazpredelnico">
    <w:name w:val="Vir pod razpredelnico"/>
    <w:aliases w:val="sliko ZP"/>
    <w:basedOn w:val="Navaden"/>
    <w:rsid w:val="007F41C6"/>
    <w:pPr>
      <w:keepNext/>
      <w:keepLines/>
      <w:spacing w:before="60" w:after="240" w:line="240" w:lineRule="auto"/>
      <w:contextualSpacing/>
    </w:pPr>
    <w:rPr>
      <w:rFonts w:eastAsia="Times New Roman" w:cs="Times New Roman"/>
      <w:sz w:val="16"/>
    </w:rPr>
  </w:style>
  <w:style w:type="paragraph" w:styleId="Kazalovsebine4">
    <w:name w:val="toc 4"/>
    <w:basedOn w:val="Navaden"/>
    <w:next w:val="Navaden"/>
    <w:autoRedefine/>
    <w:uiPriority w:val="39"/>
    <w:unhideWhenUsed/>
    <w:rsid w:val="007F41C6"/>
    <w:pPr>
      <w:spacing w:after="100"/>
      <w:ind w:left="660"/>
    </w:pPr>
    <w:rPr>
      <w:rFonts w:eastAsiaTheme="minorEastAsia"/>
      <w:lang w:eastAsia="sl-SI"/>
    </w:rPr>
  </w:style>
  <w:style w:type="paragraph" w:styleId="Kazalovsebine5">
    <w:name w:val="toc 5"/>
    <w:basedOn w:val="Navaden"/>
    <w:next w:val="Navaden"/>
    <w:autoRedefine/>
    <w:uiPriority w:val="39"/>
    <w:unhideWhenUsed/>
    <w:rsid w:val="007F41C6"/>
    <w:pPr>
      <w:spacing w:after="100"/>
      <w:ind w:left="880"/>
    </w:pPr>
    <w:rPr>
      <w:rFonts w:eastAsiaTheme="minorEastAsia"/>
      <w:lang w:eastAsia="sl-SI"/>
    </w:rPr>
  </w:style>
  <w:style w:type="paragraph" w:styleId="Kazalovsebine6">
    <w:name w:val="toc 6"/>
    <w:basedOn w:val="Navaden"/>
    <w:next w:val="Navaden"/>
    <w:autoRedefine/>
    <w:uiPriority w:val="39"/>
    <w:unhideWhenUsed/>
    <w:rsid w:val="007F41C6"/>
    <w:pPr>
      <w:spacing w:after="100"/>
      <w:ind w:left="1100"/>
    </w:pPr>
    <w:rPr>
      <w:rFonts w:eastAsiaTheme="minorEastAsia"/>
      <w:lang w:eastAsia="sl-SI"/>
    </w:rPr>
  </w:style>
  <w:style w:type="paragraph" w:styleId="Kazalovsebine7">
    <w:name w:val="toc 7"/>
    <w:basedOn w:val="Navaden"/>
    <w:next w:val="Navaden"/>
    <w:autoRedefine/>
    <w:uiPriority w:val="39"/>
    <w:unhideWhenUsed/>
    <w:rsid w:val="007F41C6"/>
    <w:pPr>
      <w:spacing w:after="100"/>
      <w:ind w:left="1320"/>
    </w:pPr>
    <w:rPr>
      <w:rFonts w:eastAsiaTheme="minorEastAsia"/>
      <w:lang w:eastAsia="sl-SI"/>
    </w:rPr>
  </w:style>
  <w:style w:type="paragraph" w:styleId="Kazalovsebine8">
    <w:name w:val="toc 8"/>
    <w:basedOn w:val="Navaden"/>
    <w:next w:val="Navaden"/>
    <w:autoRedefine/>
    <w:uiPriority w:val="39"/>
    <w:unhideWhenUsed/>
    <w:rsid w:val="007F41C6"/>
    <w:pPr>
      <w:spacing w:after="100"/>
      <w:ind w:left="1540"/>
    </w:pPr>
    <w:rPr>
      <w:rFonts w:eastAsiaTheme="minorEastAsia"/>
      <w:lang w:eastAsia="sl-SI"/>
    </w:rPr>
  </w:style>
  <w:style w:type="paragraph" w:styleId="Kazalovsebine9">
    <w:name w:val="toc 9"/>
    <w:basedOn w:val="Navaden"/>
    <w:next w:val="Navaden"/>
    <w:autoRedefine/>
    <w:uiPriority w:val="39"/>
    <w:unhideWhenUsed/>
    <w:rsid w:val="007F41C6"/>
    <w:pPr>
      <w:spacing w:after="100"/>
      <w:ind w:left="1760"/>
    </w:pPr>
    <w:rPr>
      <w:rFonts w:eastAsiaTheme="minorEastAsia"/>
      <w:lang w:eastAsia="sl-SI"/>
    </w:rPr>
  </w:style>
  <w:style w:type="paragraph" w:styleId="Konnaopomba-besedilo">
    <w:name w:val="endnote text"/>
    <w:basedOn w:val="Navaden"/>
    <w:link w:val="Konnaopomba-besediloZnak"/>
    <w:uiPriority w:val="99"/>
    <w:semiHidden/>
    <w:unhideWhenUsed/>
    <w:rsid w:val="007F41C6"/>
    <w:pPr>
      <w:spacing w:after="0" w:line="240" w:lineRule="auto"/>
      <w:jc w:val="both"/>
    </w:pPr>
    <w:rPr>
      <w:rFonts w:eastAsia="Times New Roman"/>
      <w:sz w:val="20"/>
      <w:lang w:eastAsia="en-GB"/>
    </w:rPr>
  </w:style>
  <w:style w:type="character" w:customStyle="1" w:styleId="Konnaopomba-besediloZnak">
    <w:name w:val="Končna opomba - besedilo Znak"/>
    <w:basedOn w:val="Privzetapisavaodstavka"/>
    <w:link w:val="Konnaopomba-besedilo"/>
    <w:uiPriority w:val="99"/>
    <w:semiHidden/>
    <w:rsid w:val="007F41C6"/>
    <w:rPr>
      <w:rFonts w:ascii="Arial" w:eastAsia="Times New Roman" w:hAnsi="Arial" w:cs="Arial"/>
      <w:sz w:val="20"/>
      <w:szCs w:val="20"/>
      <w:lang w:eastAsia="en-GB"/>
    </w:rPr>
  </w:style>
  <w:style w:type="character" w:styleId="Konnaopomba-sklic">
    <w:name w:val="endnote reference"/>
    <w:basedOn w:val="Privzetapisavaodstavka"/>
    <w:uiPriority w:val="99"/>
    <w:semiHidden/>
    <w:unhideWhenUsed/>
    <w:rsid w:val="007F41C6"/>
    <w:rPr>
      <w:vertAlign w:val="superscript"/>
    </w:rPr>
  </w:style>
  <w:style w:type="paragraph" w:customStyle="1" w:styleId="Text1">
    <w:name w:val="Text 1"/>
    <w:basedOn w:val="Navaden"/>
    <w:rsid w:val="007F41C6"/>
    <w:pPr>
      <w:spacing w:after="0" w:line="240" w:lineRule="auto"/>
      <w:ind w:left="482"/>
      <w:jc w:val="both"/>
    </w:pPr>
    <w:rPr>
      <w:rFonts w:ascii="Times New Roman" w:eastAsia="Times New Roman" w:hAnsi="Times New Roman" w:cs="Times New Roman"/>
      <w:szCs w:val="24"/>
      <w:lang w:val="en-GB" w:eastAsia="en-GB"/>
    </w:rPr>
  </w:style>
  <w:style w:type="paragraph" w:customStyle="1" w:styleId="SCSLIKA0">
    <w:name w:val="SC_SLIKA"/>
    <w:basedOn w:val="Napis"/>
    <w:link w:val="SCSLIKAZnak"/>
    <w:uiPriority w:val="1"/>
    <w:qFormat/>
    <w:rsid w:val="007F41C6"/>
    <w:pPr>
      <w:spacing w:line="240" w:lineRule="auto"/>
      <w:jc w:val="center"/>
    </w:pPr>
    <w:rPr>
      <w:szCs w:val="20"/>
    </w:rPr>
  </w:style>
  <w:style w:type="paragraph" w:customStyle="1" w:styleId="SCPREGLEDNICA0">
    <w:name w:val="SC_PREGLEDNICA"/>
    <w:basedOn w:val="Napis"/>
    <w:link w:val="SCPREGLEDNICAZnak0"/>
    <w:uiPriority w:val="1"/>
    <w:qFormat/>
    <w:rsid w:val="007F41C6"/>
    <w:pPr>
      <w:spacing w:line="240" w:lineRule="auto"/>
      <w:jc w:val="center"/>
    </w:pPr>
    <w:rPr>
      <w:b/>
      <w:szCs w:val="20"/>
    </w:rPr>
  </w:style>
  <w:style w:type="character" w:customStyle="1" w:styleId="SCSLIKAZnak">
    <w:name w:val="SC_SLIKA Znak"/>
    <w:basedOn w:val="NapisZnak"/>
    <w:link w:val="SCSLIKA0"/>
    <w:uiPriority w:val="1"/>
    <w:rsid w:val="007F41C6"/>
    <w:rPr>
      <w:rFonts w:ascii="Arial" w:eastAsia="Times New Roman" w:hAnsi="Arial" w:cs="Arial"/>
      <w:sz w:val="20"/>
      <w:szCs w:val="20"/>
      <w:lang w:eastAsia="en-GB"/>
    </w:rPr>
  </w:style>
  <w:style w:type="character" w:customStyle="1" w:styleId="SCPREGLEDNICAZnak0">
    <w:name w:val="SC_PREGLEDNICA Znak"/>
    <w:basedOn w:val="NapisZnak"/>
    <w:link w:val="SCPREGLEDNICA0"/>
    <w:uiPriority w:val="1"/>
    <w:rsid w:val="007F41C6"/>
    <w:rPr>
      <w:rFonts w:ascii="Arial" w:eastAsia="Times New Roman" w:hAnsi="Arial" w:cs="Arial"/>
      <w:b/>
      <w:sz w:val="20"/>
      <w:szCs w:val="20"/>
      <w:lang w:eastAsia="en-GB"/>
    </w:rPr>
  </w:style>
  <w:style w:type="paragraph" w:customStyle="1" w:styleId="Text2">
    <w:name w:val="Text 2"/>
    <w:basedOn w:val="Navaden"/>
    <w:link w:val="Text2Char"/>
    <w:rsid w:val="007F41C6"/>
    <w:pPr>
      <w:tabs>
        <w:tab w:val="left" w:pos="2160"/>
      </w:tabs>
      <w:spacing w:after="0" w:line="240" w:lineRule="auto"/>
      <w:ind w:left="1077"/>
      <w:jc w:val="both"/>
    </w:pPr>
    <w:rPr>
      <w:rFonts w:ascii="Times New Roman" w:eastAsia="Times New Roman" w:hAnsi="Times New Roman" w:cs="Times New Roman"/>
      <w:szCs w:val="24"/>
      <w:lang w:val="en-GB" w:eastAsia="en-GB"/>
    </w:rPr>
  </w:style>
  <w:style w:type="character" w:customStyle="1" w:styleId="Text2Char">
    <w:name w:val="Text 2 Char"/>
    <w:link w:val="Text2"/>
    <w:rsid w:val="007F41C6"/>
    <w:rPr>
      <w:rFonts w:ascii="Times New Roman" w:eastAsia="Times New Roman" w:hAnsi="Times New Roman" w:cs="Times New Roman"/>
      <w:sz w:val="24"/>
      <w:szCs w:val="24"/>
      <w:lang w:val="en-GB" w:eastAsia="en-GB"/>
    </w:rPr>
  </w:style>
  <w:style w:type="paragraph" w:styleId="Brezrazmikov">
    <w:name w:val="No Spacing"/>
    <w:uiPriority w:val="1"/>
    <w:qFormat/>
    <w:rsid w:val="007F41C6"/>
    <w:pPr>
      <w:spacing w:after="0" w:line="240" w:lineRule="auto"/>
      <w:jc w:val="both"/>
    </w:pPr>
    <w:rPr>
      <w:rFonts w:eastAsia="Times New Roman"/>
      <w:szCs w:val="24"/>
      <w:lang w:eastAsia="en-GB"/>
    </w:rPr>
  </w:style>
  <w:style w:type="character" w:styleId="SledenaHiperpovezava">
    <w:name w:val="FollowedHyperlink"/>
    <w:basedOn w:val="Privzetapisavaodstavka"/>
    <w:uiPriority w:val="99"/>
    <w:semiHidden/>
    <w:unhideWhenUsed/>
    <w:rsid w:val="007F41C6"/>
    <w:rPr>
      <w:color w:val="800080" w:themeColor="followedHyperlink"/>
      <w:u w:val="single"/>
    </w:rPr>
  </w:style>
  <w:style w:type="paragraph" w:customStyle="1" w:styleId="TableContents">
    <w:name w:val="Table Contents"/>
    <w:basedOn w:val="Navaden"/>
    <w:rsid w:val="007F41C6"/>
    <w:pPr>
      <w:suppressLineNumbers/>
      <w:suppressAutoHyphens/>
      <w:autoSpaceDN w:val="0"/>
      <w:spacing w:after="0" w:line="240" w:lineRule="auto"/>
      <w:textAlignment w:val="baseline"/>
    </w:pPr>
    <w:rPr>
      <w:rFonts w:ascii="Liberation Serif" w:eastAsia="SimSun" w:hAnsi="Liberation Serif"/>
      <w:kern w:val="3"/>
      <w:szCs w:val="24"/>
      <w:lang w:eastAsia="zh-CN" w:bidi="hi-IN"/>
    </w:rPr>
  </w:style>
  <w:style w:type="table" w:customStyle="1" w:styleId="Tabelamrea2">
    <w:name w:val="Tabela – mreža2"/>
    <w:basedOn w:val="Navadnatabela"/>
    <w:next w:val="Tabelamrea"/>
    <w:uiPriority w:val="39"/>
    <w:rsid w:val="007F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7F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oblikovano">
    <w:name w:val="HTML Preformatted"/>
    <w:basedOn w:val="Navaden"/>
    <w:link w:val="HTML-oblikovanoZnak"/>
    <w:uiPriority w:val="99"/>
    <w:semiHidden/>
    <w:unhideWhenUsed/>
    <w:rsid w:val="00E94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sl-SI"/>
    </w:rPr>
  </w:style>
  <w:style w:type="character" w:customStyle="1" w:styleId="HTML-oblikovanoZnak">
    <w:name w:val="HTML-oblikovano Znak"/>
    <w:basedOn w:val="Privzetapisavaodstavka"/>
    <w:link w:val="HTML-oblikovano"/>
    <w:uiPriority w:val="99"/>
    <w:semiHidden/>
    <w:rsid w:val="00E94EE3"/>
    <w:rPr>
      <w:rFonts w:ascii="Courier New" w:eastAsia="Times New Roman" w:hAnsi="Courier New" w:cs="Courier New"/>
      <w:sz w:val="20"/>
      <w:lang w:eastAsia="sl-SI"/>
    </w:rPr>
  </w:style>
  <w:style w:type="character" w:customStyle="1" w:styleId="Nerazreenaomemba1">
    <w:name w:val="Nerazrešena omemba1"/>
    <w:basedOn w:val="Privzetapisavaodstavka"/>
    <w:uiPriority w:val="99"/>
    <w:semiHidden/>
    <w:unhideWhenUsed/>
    <w:rsid w:val="007B2CC8"/>
    <w:rPr>
      <w:color w:val="605E5C"/>
      <w:shd w:val="clear" w:color="auto" w:fill="E1DFDD"/>
    </w:rPr>
  </w:style>
  <w:style w:type="paragraph" w:styleId="Kazaloslik">
    <w:name w:val="table of figures"/>
    <w:basedOn w:val="Navaden"/>
    <w:next w:val="Navaden"/>
    <w:uiPriority w:val="99"/>
    <w:unhideWhenUsed/>
    <w:rsid w:val="00342C52"/>
    <w:pPr>
      <w:spacing w:after="0"/>
    </w:pPr>
  </w:style>
  <w:style w:type="table" w:customStyle="1" w:styleId="Tabelamrea21">
    <w:name w:val="Tabela – mreža21"/>
    <w:basedOn w:val="Navadnatabela"/>
    <w:next w:val="Tabelamrea"/>
    <w:uiPriority w:val="39"/>
    <w:rsid w:val="0076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basedOn w:val="Navaden"/>
    <w:next w:val="Navaden"/>
    <w:link w:val="PodnaslovZnak"/>
    <w:uiPriority w:val="11"/>
    <w:qFormat/>
    <w:rsid w:val="009F4F9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uiPriority w:val="11"/>
    <w:rsid w:val="009F4F97"/>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8581">
      <w:bodyDiv w:val="1"/>
      <w:marLeft w:val="0"/>
      <w:marRight w:val="0"/>
      <w:marTop w:val="0"/>
      <w:marBottom w:val="0"/>
      <w:divBdr>
        <w:top w:val="none" w:sz="0" w:space="0" w:color="auto"/>
        <w:left w:val="none" w:sz="0" w:space="0" w:color="auto"/>
        <w:bottom w:val="none" w:sz="0" w:space="0" w:color="auto"/>
        <w:right w:val="none" w:sz="0" w:space="0" w:color="auto"/>
      </w:divBdr>
    </w:div>
    <w:div w:id="248857226">
      <w:bodyDiv w:val="1"/>
      <w:marLeft w:val="0"/>
      <w:marRight w:val="0"/>
      <w:marTop w:val="0"/>
      <w:marBottom w:val="0"/>
      <w:divBdr>
        <w:top w:val="none" w:sz="0" w:space="0" w:color="auto"/>
        <w:left w:val="none" w:sz="0" w:space="0" w:color="auto"/>
        <w:bottom w:val="none" w:sz="0" w:space="0" w:color="auto"/>
        <w:right w:val="none" w:sz="0" w:space="0" w:color="auto"/>
      </w:divBdr>
    </w:div>
    <w:div w:id="268464574">
      <w:bodyDiv w:val="1"/>
      <w:marLeft w:val="0"/>
      <w:marRight w:val="0"/>
      <w:marTop w:val="0"/>
      <w:marBottom w:val="0"/>
      <w:divBdr>
        <w:top w:val="none" w:sz="0" w:space="0" w:color="auto"/>
        <w:left w:val="none" w:sz="0" w:space="0" w:color="auto"/>
        <w:bottom w:val="none" w:sz="0" w:space="0" w:color="auto"/>
        <w:right w:val="none" w:sz="0" w:space="0" w:color="auto"/>
      </w:divBdr>
    </w:div>
    <w:div w:id="322781970">
      <w:bodyDiv w:val="1"/>
      <w:marLeft w:val="0"/>
      <w:marRight w:val="0"/>
      <w:marTop w:val="0"/>
      <w:marBottom w:val="0"/>
      <w:divBdr>
        <w:top w:val="none" w:sz="0" w:space="0" w:color="auto"/>
        <w:left w:val="none" w:sz="0" w:space="0" w:color="auto"/>
        <w:bottom w:val="none" w:sz="0" w:space="0" w:color="auto"/>
        <w:right w:val="none" w:sz="0" w:space="0" w:color="auto"/>
      </w:divBdr>
    </w:div>
    <w:div w:id="362052465">
      <w:bodyDiv w:val="1"/>
      <w:marLeft w:val="0"/>
      <w:marRight w:val="0"/>
      <w:marTop w:val="0"/>
      <w:marBottom w:val="0"/>
      <w:divBdr>
        <w:top w:val="none" w:sz="0" w:space="0" w:color="auto"/>
        <w:left w:val="none" w:sz="0" w:space="0" w:color="auto"/>
        <w:bottom w:val="none" w:sz="0" w:space="0" w:color="auto"/>
        <w:right w:val="none" w:sz="0" w:space="0" w:color="auto"/>
      </w:divBdr>
    </w:div>
    <w:div w:id="382947921">
      <w:bodyDiv w:val="1"/>
      <w:marLeft w:val="0"/>
      <w:marRight w:val="0"/>
      <w:marTop w:val="0"/>
      <w:marBottom w:val="0"/>
      <w:divBdr>
        <w:top w:val="none" w:sz="0" w:space="0" w:color="auto"/>
        <w:left w:val="none" w:sz="0" w:space="0" w:color="auto"/>
        <w:bottom w:val="none" w:sz="0" w:space="0" w:color="auto"/>
        <w:right w:val="none" w:sz="0" w:space="0" w:color="auto"/>
      </w:divBdr>
    </w:div>
    <w:div w:id="390547180">
      <w:bodyDiv w:val="1"/>
      <w:marLeft w:val="0"/>
      <w:marRight w:val="0"/>
      <w:marTop w:val="0"/>
      <w:marBottom w:val="0"/>
      <w:divBdr>
        <w:top w:val="none" w:sz="0" w:space="0" w:color="auto"/>
        <w:left w:val="none" w:sz="0" w:space="0" w:color="auto"/>
        <w:bottom w:val="none" w:sz="0" w:space="0" w:color="auto"/>
        <w:right w:val="none" w:sz="0" w:space="0" w:color="auto"/>
      </w:divBdr>
    </w:div>
    <w:div w:id="440221019">
      <w:bodyDiv w:val="1"/>
      <w:marLeft w:val="0"/>
      <w:marRight w:val="0"/>
      <w:marTop w:val="0"/>
      <w:marBottom w:val="0"/>
      <w:divBdr>
        <w:top w:val="none" w:sz="0" w:space="0" w:color="auto"/>
        <w:left w:val="none" w:sz="0" w:space="0" w:color="auto"/>
        <w:bottom w:val="none" w:sz="0" w:space="0" w:color="auto"/>
        <w:right w:val="none" w:sz="0" w:space="0" w:color="auto"/>
      </w:divBdr>
    </w:div>
    <w:div w:id="484977782">
      <w:bodyDiv w:val="1"/>
      <w:marLeft w:val="0"/>
      <w:marRight w:val="0"/>
      <w:marTop w:val="0"/>
      <w:marBottom w:val="0"/>
      <w:divBdr>
        <w:top w:val="none" w:sz="0" w:space="0" w:color="auto"/>
        <w:left w:val="none" w:sz="0" w:space="0" w:color="auto"/>
        <w:bottom w:val="none" w:sz="0" w:space="0" w:color="auto"/>
        <w:right w:val="none" w:sz="0" w:space="0" w:color="auto"/>
      </w:divBdr>
    </w:div>
    <w:div w:id="507985185">
      <w:bodyDiv w:val="1"/>
      <w:marLeft w:val="0"/>
      <w:marRight w:val="0"/>
      <w:marTop w:val="0"/>
      <w:marBottom w:val="0"/>
      <w:divBdr>
        <w:top w:val="none" w:sz="0" w:space="0" w:color="auto"/>
        <w:left w:val="none" w:sz="0" w:space="0" w:color="auto"/>
        <w:bottom w:val="none" w:sz="0" w:space="0" w:color="auto"/>
        <w:right w:val="none" w:sz="0" w:space="0" w:color="auto"/>
      </w:divBdr>
    </w:div>
    <w:div w:id="554120753">
      <w:bodyDiv w:val="1"/>
      <w:marLeft w:val="0"/>
      <w:marRight w:val="0"/>
      <w:marTop w:val="0"/>
      <w:marBottom w:val="0"/>
      <w:divBdr>
        <w:top w:val="none" w:sz="0" w:space="0" w:color="auto"/>
        <w:left w:val="none" w:sz="0" w:space="0" w:color="auto"/>
        <w:bottom w:val="none" w:sz="0" w:space="0" w:color="auto"/>
        <w:right w:val="none" w:sz="0" w:space="0" w:color="auto"/>
      </w:divBdr>
    </w:div>
    <w:div w:id="755564560">
      <w:bodyDiv w:val="1"/>
      <w:marLeft w:val="0"/>
      <w:marRight w:val="0"/>
      <w:marTop w:val="0"/>
      <w:marBottom w:val="0"/>
      <w:divBdr>
        <w:top w:val="none" w:sz="0" w:space="0" w:color="auto"/>
        <w:left w:val="none" w:sz="0" w:space="0" w:color="auto"/>
        <w:bottom w:val="none" w:sz="0" w:space="0" w:color="auto"/>
        <w:right w:val="none" w:sz="0" w:space="0" w:color="auto"/>
      </w:divBdr>
    </w:div>
    <w:div w:id="917787104">
      <w:bodyDiv w:val="1"/>
      <w:marLeft w:val="0"/>
      <w:marRight w:val="0"/>
      <w:marTop w:val="0"/>
      <w:marBottom w:val="0"/>
      <w:divBdr>
        <w:top w:val="none" w:sz="0" w:space="0" w:color="auto"/>
        <w:left w:val="none" w:sz="0" w:space="0" w:color="auto"/>
        <w:bottom w:val="none" w:sz="0" w:space="0" w:color="auto"/>
        <w:right w:val="none" w:sz="0" w:space="0" w:color="auto"/>
      </w:divBdr>
    </w:div>
    <w:div w:id="1195386573">
      <w:bodyDiv w:val="1"/>
      <w:marLeft w:val="0"/>
      <w:marRight w:val="0"/>
      <w:marTop w:val="0"/>
      <w:marBottom w:val="0"/>
      <w:divBdr>
        <w:top w:val="none" w:sz="0" w:space="0" w:color="auto"/>
        <w:left w:val="none" w:sz="0" w:space="0" w:color="auto"/>
        <w:bottom w:val="none" w:sz="0" w:space="0" w:color="auto"/>
        <w:right w:val="none" w:sz="0" w:space="0" w:color="auto"/>
      </w:divBdr>
    </w:div>
    <w:div w:id="1233395892">
      <w:bodyDiv w:val="1"/>
      <w:marLeft w:val="0"/>
      <w:marRight w:val="0"/>
      <w:marTop w:val="0"/>
      <w:marBottom w:val="0"/>
      <w:divBdr>
        <w:top w:val="none" w:sz="0" w:space="0" w:color="auto"/>
        <w:left w:val="none" w:sz="0" w:space="0" w:color="auto"/>
        <w:bottom w:val="none" w:sz="0" w:space="0" w:color="auto"/>
        <w:right w:val="none" w:sz="0" w:space="0" w:color="auto"/>
      </w:divBdr>
    </w:div>
    <w:div w:id="1575167174">
      <w:bodyDiv w:val="1"/>
      <w:marLeft w:val="0"/>
      <w:marRight w:val="0"/>
      <w:marTop w:val="0"/>
      <w:marBottom w:val="0"/>
      <w:divBdr>
        <w:top w:val="none" w:sz="0" w:space="0" w:color="auto"/>
        <w:left w:val="none" w:sz="0" w:space="0" w:color="auto"/>
        <w:bottom w:val="none" w:sz="0" w:space="0" w:color="auto"/>
        <w:right w:val="none" w:sz="0" w:space="0" w:color="auto"/>
      </w:divBdr>
    </w:div>
    <w:div w:id="1671061349">
      <w:bodyDiv w:val="1"/>
      <w:marLeft w:val="0"/>
      <w:marRight w:val="0"/>
      <w:marTop w:val="0"/>
      <w:marBottom w:val="0"/>
      <w:divBdr>
        <w:top w:val="none" w:sz="0" w:space="0" w:color="auto"/>
        <w:left w:val="none" w:sz="0" w:space="0" w:color="auto"/>
        <w:bottom w:val="none" w:sz="0" w:space="0" w:color="auto"/>
        <w:right w:val="none" w:sz="0" w:space="0" w:color="auto"/>
      </w:divBdr>
    </w:div>
    <w:div w:id="1687098273">
      <w:bodyDiv w:val="1"/>
      <w:marLeft w:val="0"/>
      <w:marRight w:val="0"/>
      <w:marTop w:val="0"/>
      <w:marBottom w:val="0"/>
      <w:divBdr>
        <w:top w:val="none" w:sz="0" w:space="0" w:color="auto"/>
        <w:left w:val="none" w:sz="0" w:space="0" w:color="auto"/>
        <w:bottom w:val="none" w:sz="0" w:space="0" w:color="auto"/>
        <w:right w:val="none" w:sz="0" w:space="0" w:color="auto"/>
      </w:divBdr>
    </w:div>
    <w:div w:id="1687170191">
      <w:bodyDiv w:val="1"/>
      <w:marLeft w:val="0"/>
      <w:marRight w:val="0"/>
      <w:marTop w:val="0"/>
      <w:marBottom w:val="0"/>
      <w:divBdr>
        <w:top w:val="none" w:sz="0" w:space="0" w:color="auto"/>
        <w:left w:val="none" w:sz="0" w:space="0" w:color="auto"/>
        <w:bottom w:val="none" w:sz="0" w:space="0" w:color="auto"/>
        <w:right w:val="none" w:sz="0" w:space="0" w:color="auto"/>
      </w:divBdr>
    </w:div>
    <w:div w:id="1698044933">
      <w:bodyDiv w:val="1"/>
      <w:marLeft w:val="0"/>
      <w:marRight w:val="0"/>
      <w:marTop w:val="0"/>
      <w:marBottom w:val="0"/>
      <w:divBdr>
        <w:top w:val="none" w:sz="0" w:space="0" w:color="auto"/>
        <w:left w:val="none" w:sz="0" w:space="0" w:color="auto"/>
        <w:bottom w:val="none" w:sz="0" w:space="0" w:color="auto"/>
        <w:right w:val="none" w:sz="0" w:space="0" w:color="auto"/>
      </w:divBdr>
    </w:div>
    <w:div w:id="1720737180">
      <w:bodyDiv w:val="1"/>
      <w:marLeft w:val="0"/>
      <w:marRight w:val="0"/>
      <w:marTop w:val="0"/>
      <w:marBottom w:val="0"/>
      <w:divBdr>
        <w:top w:val="none" w:sz="0" w:space="0" w:color="auto"/>
        <w:left w:val="none" w:sz="0" w:space="0" w:color="auto"/>
        <w:bottom w:val="none" w:sz="0" w:space="0" w:color="auto"/>
        <w:right w:val="none" w:sz="0" w:space="0" w:color="auto"/>
      </w:divBdr>
    </w:div>
    <w:div w:id="1812943484">
      <w:bodyDiv w:val="1"/>
      <w:marLeft w:val="0"/>
      <w:marRight w:val="0"/>
      <w:marTop w:val="0"/>
      <w:marBottom w:val="0"/>
      <w:divBdr>
        <w:top w:val="none" w:sz="0" w:space="0" w:color="auto"/>
        <w:left w:val="none" w:sz="0" w:space="0" w:color="auto"/>
        <w:bottom w:val="none" w:sz="0" w:space="0" w:color="auto"/>
        <w:right w:val="none" w:sz="0" w:space="0" w:color="auto"/>
      </w:divBdr>
    </w:div>
    <w:div w:id="1956715566">
      <w:bodyDiv w:val="1"/>
      <w:marLeft w:val="0"/>
      <w:marRight w:val="0"/>
      <w:marTop w:val="0"/>
      <w:marBottom w:val="0"/>
      <w:divBdr>
        <w:top w:val="none" w:sz="0" w:space="0" w:color="auto"/>
        <w:left w:val="none" w:sz="0" w:space="0" w:color="auto"/>
        <w:bottom w:val="none" w:sz="0" w:space="0" w:color="auto"/>
        <w:right w:val="none" w:sz="0" w:space="0" w:color="auto"/>
      </w:divBdr>
    </w:div>
    <w:div w:id="1971588707">
      <w:bodyDiv w:val="1"/>
      <w:marLeft w:val="0"/>
      <w:marRight w:val="0"/>
      <w:marTop w:val="0"/>
      <w:marBottom w:val="0"/>
      <w:divBdr>
        <w:top w:val="none" w:sz="0" w:space="0" w:color="auto"/>
        <w:left w:val="none" w:sz="0" w:space="0" w:color="auto"/>
        <w:bottom w:val="none" w:sz="0" w:space="0" w:color="auto"/>
        <w:right w:val="none" w:sz="0" w:space="0" w:color="auto"/>
      </w:divBdr>
    </w:div>
    <w:div w:id="2036152685">
      <w:bodyDiv w:val="1"/>
      <w:marLeft w:val="0"/>
      <w:marRight w:val="0"/>
      <w:marTop w:val="0"/>
      <w:marBottom w:val="0"/>
      <w:divBdr>
        <w:top w:val="none" w:sz="0" w:space="0" w:color="auto"/>
        <w:left w:val="none" w:sz="0" w:space="0" w:color="auto"/>
        <w:bottom w:val="none" w:sz="0" w:space="0" w:color="auto"/>
        <w:right w:val="none" w:sz="0" w:space="0" w:color="auto"/>
      </w:divBdr>
    </w:div>
    <w:div w:id="2065249820">
      <w:bodyDiv w:val="1"/>
      <w:marLeft w:val="0"/>
      <w:marRight w:val="0"/>
      <w:marTop w:val="0"/>
      <w:marBottom w:val="0"/>
      <w:divBdr>
        <w:top w:val="none" w:sz="0" w:space="0" w:color="auto"/>
        <w:left w:val="none" w:sz="0" w:space="0" w:color="auto"/>
        <w:bottom w:val="none" w:sz="0" w:space="0" w:color="auto"/>
        <w:right w:val="none" w:sz="0" w:space="0" w:color="auto"/>
      </w:divBdr>
    </w:div>
    <w:div w:id="2089686308">
      <w:bodyDiv w:val="1"/>
      <w:marLeft w:val="0"/>
      <w:marRight w:val="0"/>
      <w:marTop w:val="0"/>
      <w:marBottom w:val="0"/>
      <w:divBdr>
        <w:top w:val="none" w:sz="0" w:space="0" w:color="auto"/>
        <w:left w:val="none" w:sz="0" w:space="0" w:color="auto"/>
        <w:bottom w:val="none" w:sz="0" w:space="0" w:color="auto"/>
        <w:right w:val="none" w:sz="0" w:space="0" w:color="auto"/>
      </w:divBdr>
    </w:div>
    <w:div w:id="214257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agromet.mkgp.gov.si/pp/" TargetMode="External"/><Relationship Id="rId39" Type="http://schemas.openxmlformats.org/officeDocument/2006/relationships/hyperlink" Target="http://www.uradni-list.si/1/objava.jsp?sop=2016-01-0516" TargetMode="External"/><Relationship Id="rId21" Type="http://schemas.openxmlformats.org/officeDocument/2006/relationships/image" Target="media/image9.png"/><Relationship Id="rId34" Type="http://schemas.openxmlformats.org/officeDocument/2006/relationships/image" Target="media/image11.jpeg"/><Relationship Id="rId42" Type="http://schemas.openxmlformats.org/officeDocument/2006/relationships/chart" Target="charts/chart3.xml"/><Relationship Id="rId47" Type="http://schemas.openxmlformats.org/officeDocument/2006/relationships/hyperlink" Target="http://www.uradni-list.si/1/objava.jsp?sop=2012-01-3528" TargetMode="External"/><Relationship Id="rId50" Type="http://schemas.openxmlformats.org/officeDocument/2006/relationships/hyperlink" Target="http://www.uradni-list.si/1/objava.jsp?sop=2017-01-1446" TargetMode="External"/><Relationship Id="rId55"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chart" Target="charts/chart1.xml"/><Relationship Id="rId29" Type="http://schemas.openxmlformats.org/officeDocument/2006/relationships/hyperlink" Target="http://www.pisrs.si/Pis.web/pregledPredpisa?id=PRAV11530" TargetMode="External"/><Relationship Id="rId11" Type="http://schemas.openxmlformats.org/officeDocument/2006/relationships/endnotes" Target="endnotes.xml"/><Relationship Id="rId24" Type="http://schemas.openxmlformats.org/officeDocument/2006/relationships/hyperlink" Target="https://www.gov.si/teme/ostanki-fitofarmacevtskih-sredstev/" TargetMode="External"/><Relationship Id="rId32" Type="http://schemas.openxmlformats.org/officeDocument/2006/relationships/hyperlink" Target="https://www.gov.si/teme/bioticno-varstvo-rastlin/" TargetMode="External"/><Relationship Id="rId37" Type="http://schemas.openxmlformats.org/officeDocument/2006/relationships/hyperlink" Target="http://www.uradni-list.si/1/objava.jsp?sop=2013-01-4294" TargetMode="External"/><Relationship Id="rId40" Type="http://schemas.openxmlformats.org/officeDocument/2006/relationships/hyperlink" Target="http://www.uradni-list.si/1/objava.jsp?sop=2018-01-3784" TargetMode="External"/><Relationship Id="rId45" Type="http://schemas.openxmlformats.org/officeDocument/2006/relationships/hyperlink" Target="http://www.uradni-list.si/1/objava.jsp?sop=2008-01-1978" TargetMode="External"/><Relationship Id="rId53" Type="http://schemas.openxmlformats.org/officeDocument/2006/relationships/hyperlink" Target="https://www.jkp-radlje.si/doc2/aktualno/hrana_med_odpadki_2016.pdf" TargetMode="External"/><Relationship Id="rId5" Type="http://schemas.openxmlformats.org/officeDocument/2006/relationships/customXml" Target="../customXml/item5.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stat.si/StatWeb/News/Index/8014" TargetMode="External"/><Relationship Id="rId27" Type="http://schemas.openxmlformats.org/officeDocument/2006/relationships/hyperlink" Target="http://www.fito-info.si" TargetMode="External"/><Relationship Id="rId30" Type="http://schemas.openxmlformats.org/officeDocument/2006/relationships/hyperlink" Target="https://www.ivr.si/" TargetMode="External"/><Relationship Id="rId35" Type="http://schemas.openxmlformats.org/officeDocument/2006/relationships/image" Target="media/image12.jpg"/><Relationship Id="rId43" Type="http://schemas.openxmlformats.org/officeDocument/2006/relationships/chart" Target="charts/chart4.xml"/><Relationship Id="rId48" Type="http://schemas.openxmlformats.org/officeDocument/2006/relationships/hyperlink" Target="http://www.uradni-list.si/1/objava.jsp?sop=2014-01-1069"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uradni-list.si/1/objava.jsp?sop=2018-01-0946"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5.emf"/><Relationship Id="rId25" Type="http://schemas.openxmlformats.org/officeDocument/2006/relationships/hyperlink" Target="https://www.arso.gov.si" TargetMode="External"/><Relationship Id="rId33" Type="http://schemas.openxmlformats.org/officeDocument/2006/relationships/image" Target="media/image10.jpg"/><Relationship Id="rId38" Type="http://schemas.openxmlformats.org/officeDocument/2006/relationships/hyperlink" Target="http://www.uradni-list.si/1/objava.jsp?sop=2014-01-3506" TargetMode="External"/><Relationship Id="rId46" Type="http://schemas.openxmlformats.org/officeDocument/2006/relationships/hyperlink" Target="http://www.uradni-list.si/1/objava.jsp?sop=2012-01-2416" TargetMode="External"/><Relationship Id="rId20" Type="http://schemas.openxmlformats.org/officeDocument/2006/relationships/image" Target="media/image8.png"/><Relationship Id="rId41" Type="http://schemas.openxmlformats.org/officeDocument/2006/relationships/chart" Target="charts/chart2.xml"/><Relationship Id="rId54" Type="http://schemas.openxmlformats.org/officeDocument/2006/relationships/hyperlink" Target="https://bioeast.eu/wp-content/uploads/2020/03/BIOEAST-food-waste-and-circular-economy-21-Feb-2020.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gov.si/assets/organi-v-sestavi/UVHVVR/FFS/NAP2VladaCistopis.doc" TargetMode="External"/><Relationship Id="rId28" Type="http://schemas.openxmlformats.org/officeDocument/2006/relationships/hyperlink" Target="http://agromet.mko.gov.si/APP/Home/METEO/-1" TargetMode="External"/><Relationship Id="rId36" Type="http://schemas.openxmlformats.org/officeDocument/2006/relationships/image" Target="media/image13.png"/><Relationship Id="rId49" Type="http://schemas.openxmlformats.org/officeDocument/2006/relationships/hyperlink" Target="http://www.uradni-list.si/1/objava.jsp?sop=2015-01-1327" TargetMode="Externa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www.ivr.si/" TargetMode="External"/><Relationship Id="rId44" Type="http://schemas.openxmlformats.org/officeDocument/2006/relationships/chart" Target="charts/chart5.xml"/><Relationship Id="rId52" Type="http://schemas.openxmlformats.org/officeDocument/2006/relationships/hyperlink" Target="https://www.jkp-radlje.si/doc2/aktualno/hrana_med_odpadki_2016.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p.europa.eu/en/publication-detail/-/publication/8950fa88-d651-11e7-a506-01aa75ed71a1" TargetMode="External"/><Relationship Id="rId2" Type="http://schemas.openxmlformats.org/officeDocument/2006/relationships/hyperlink" Target="http://www.bf.uni-lj.si/oddelek-za-zootehniko/oddelek/raziskovalno-delo/projekti/crp-tehnoloske-resitve-za-izboljsanje-dobrega-pocutja-rejnih-zivali-v-perutninarstvu-in-prasicereji/" TargetMode="External"/><Relationship Id="rId1" Type="http://schemas.openxmlformats.org/officeDocument/2006/relationships/hyperlink" Target="https://www.ema.europa.eu/en/documents/report/sales-veterinary-antimicrobial-agents-31-european-countries-2017_en.pdf" TargetMode="External"/><Relationship Id="rId4" Type="http://schemas.openxmlformats.org/officeDocument/2006/relationships/hyperlink" Target="https://www.govedo.si/files/cpzgss/knjiznica/porocila/kontrola_porocila/REZULTATI_KONTROLE_2019.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Users\uporabnik\Documents\MOJI%20DOKUM%202020\SKP%2020\graf%20as%206.7.20-trend%20prodaje,2010-2018.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H:\kreiranje%20strate&#353;ega%20na&#269;rta%20SP\verzije%20SN\po%20delih_SSN_oktober%202019\!SC9\Odpadna%20hrana%20skupaj.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266237847029684"/>
          <c:y val="0.23535629104453226"/>
          <c:w val="0.8574315182433182"/>
          <c:h val="0.56312771588198773"/>
        </c:manualLayout>
      </c:layout>
      <c:barChart>
        <c:barDir val="col"/>
        <c:grouping val="clustered"/>
        <c:varyColors val="0"/>
        <c:ser>
          <c:idx val="1"/>
          <c:order val="1"/>
          <c:tx>
            <c:strRef>
              <c:f>'[graf as 6.7.20-trend prodaje,2010-2018.xls]List7'!$D$6</c:f>
              <c:strCache>
                <c:ptCount val="1"/>
                <c:pt idx="0">
                  <c:v>mg/PCU - SLO</c:v>
                </c:pt>
              </c:strCache>
            </c:strRef>
          </c:tx>
          <c:spPr>
            <a:solidFill>
              <a:schemeClr val="accent1"/>
            </a:solidFill>
            <a:ln>
              <a:solidFill>
                <a:schemeClr val="accent1"/>
              </a:solidFill>
            </a:ln>
            <a:effectLst/>
          </c:spPr>
          <c:invertIfNegative val="0"/>
          <c:dLbls>
            <c:dLbl>
              <c:idx val="0"/>
              <c:tx>
                <c:rich>
                  <a:bodyPr/>
                  <a:lstStyle/>
                  <a:p>
                    <a:r>
                      <a:rPr lang="en-US"/>
                      <a:t>46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32A-42E5-BEB8-2361E23741C8}"/>
                </c:ext>
              </c:extLst>
            </c:dLbl>
            <c:dLbl>
              <c:idx val="2"/>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32A-42E5-BEB8-2361E23741C8}"/>
                </c:ext>
              </c:extLst>
            </c:dLbl>
            <c:dLbl>
              <c:idx val="3"/>
              <c:tx>
                <c:rich>
                  <a:bodyPr/>
                  <a:lstStyle/>
                  <a:p>
                    <a:r>
                      <a:rPr lang="en-US"/>
                      <a:t>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32A-42E5-BEB8-2361E23741C8}"/>
                </c:ext>
              </c:extLst>
            </c:dLbl>
            <c:dLbl>
              <c:idx val="4"/>
              <c:tx>
                <c:rich>
                  <a:bodyPr/>
                  <a:lstStyle/>
                  <a:p>
                    <a:r>
                      <a:rPr lang="en-US"/>
                      <a:t>26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32A-42E5-BEB8-2361E23741C8}"/>
                </c:ext>
              </c:extLst>
            </c:dLbl>
            <c:dLbl>
              <c:idx val="5"/>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132A-42E5-BEB8-2361E23741C8}"/>
                </c:ext>
              </c:extLst>
            </c:dLbl>
            <c:dLbl>
              <c:idx val="6"/>
              <c:tx>
                <c:rich>
                  <a:bodyPr/>
                  <a:lstStyle/>
                  <a:p>
                    <a:r>
                      <a:rPr lang="en-US"/>
                      <a:t>37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132A-42E5-BEB8-2361E23741C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 as 6.7.20-trend prodaje,2010-2018.xls]List7'!$B$7:$B$13</c:f>
              <c:numCache>
                <c:formatCode>General</c:formatCode>
                <c:ptCount val="7"/>
                <c:pt idx="0">
                  <c:v>2011</c:v>
                </c:pt>
                <c:pt idx="1">
                  <c:v>2012</c:v>
                </c:pt>
                <c:pt idx="2">
                  <c:v>2013</c:v>
                </c:pt>
                <c:pt idx="3">
                  <c:v>2014</c:v>
                </c:pt>
                <c:pt idx="4">
                  <c:v>2015</c:v>
                </c:pt>
                <c:pt idx="5">
                  <c:v>2016</c:v>
                </c:pt>
                <c:pt idx="6">
                  <c:v>2017</c:v>
                </c:pt>
              </c:numCache>
            </c:numRef>
          </c:cat>
          <c:val>
            <c:numRef>
              <c:f>'[graf as 6.7.20-trend prodaje,2010-2018.xls]List7'!$D$7:$D$13</c:f>
              <c:numCache>
                <c:formatCode>General</c:formatCode>
                <c:ptCount val="7"/>
                <c:pt idx="0">
                  <c:v>46.1</c:v>
                </c:pt>
                <c:pt idx="1">
                  <c:v>37</c:v>
                </c:pt>
                <c:pt idx="2">
                  <c:v>22.4</c:v>
                </c:pt>
                <c:pt idx="3">
                  <c:v>33.4</c:v>
                </c:pt>
                <c:pt idx="4">
                  <c:v>26.4</c:v>
                </c:pt>
                <c:pt idx="5">
                  <c:v>30.3</c:v>
                </c:pt>
                <c:pt idx="6">
                  <c:v>36.5</c:v>
                </c:pt>
              </c:numCache>
            </c:numRef>
          </c:val>
          <c:extLst>
            <c:ext xmlns:c16="http://schemas.microsoft.com/office/drawing/2014/chart" uri="{C3380CC4-5D6E-409C-BE32-E72D297353CC}">
              <c16:uniqueId val="{00000006-132A-42E5-BEB8-2361E23741C8}"/>
            </c:ext>
          </c:extLst>
        </c:ser>
        <c:dLbls>
          <c:showLegendKey val="0"/>
          <c:showVal val="0"/>
          <c:showCatName val="0"/>
          <c:showSerName val="0"/>
          <c:showPercent val="0"/>
          <c:showBubbleSize val="0"/>
        </c:dLbls>
        <c:gapWidth val="150"/>
        <c:axId val="161634944"/>
        <c:axId val="161646464"/>
      </c:barChart>
      <c:lineChart>
        <c:grouping val="standard"/>
        <c:varyColors val="0"/>
        <c:ser>
          <c:idx val="0"/>
          <c:order val="0"/>
          <c:tx>
            <c:strRef>
              <c:f>'[graf as 6.7.20-trend prodaje,2010-2018.xls]List7'!$C$6</c:f>
              <c:strCache>
                <c:ptCount val="1"/>
                <c:pt idx="0">
                  <c:v>mg/PCU - EU/EGP</c:v>
                </c:pt>
              </c:strCache>
            </c:strRef>
          </c:tx>
          <c:spPr>
            <a:ln w="28575" cap="rnd">
              <a:solidFill>
                <a:schemeClr val="accent2"/>
              </a:solidFill>
              <a:round/>
            </a:ln>
            <a:effectLst/>
          </c:spPr>
          <c:marker>
            <c:symbol val="none"/>
          </c:marker>
          <c:dLbls>
            <c:dLbl>
              <c:idx val="1"/>
              <c:tx>
                <c:rich>
                  <a:bodyPr/>
                  <a:lstStyle/>
                  <a:p>
                    <a:r>
                      <a:rPr lang="en-US"/>
                      <a:t>152</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132A-42E5-BEB8-2361E23741C8}"/>
                </c:ext>
              </c:extLst>
            </c:dLbl>
            <c:dLbl>
              <c:idx val="2"/>
              <c:tx>
                <c:rich>
                  <a:bodyPr/>
                  <a:lstStyle/>
                  <a:p>
                    <a:r>
                      <a:rPr lang="en-US"/>
                      <a:t>147</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132A-42E5-BEB8-2361E23741C8}"/>
                </c:ext>
              </c:extLst>
            </c:dLbl>
            <c:dLbl>
              <c:idx val="3"/>
              <c:tx>
                <c:rich>
                  <a:bodyPr/>
                  <a:lstStyle/>
                  <a:p>
                    <a:r>
                      <a:rPr lang="en-US"/>
                      <a:t>156</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132A-42E5-BEB8-2361E23741C8}"/>
                </c:ext>
              </c:extLst>
            </c:dLbl>
            <c:dLbl>
              <c:idx val="4"/>
              <c:tx>
                <c:rich>
                  <a:bodyPr/>
                  <a:lstStyle/>
                  <a:p>
                    <a:r>
                      <a:rPr lang="en-US"/>
                      <a:t>141</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132A-42E5-BEB8-2361E23741C8}"/>
                </c:ext>
              </c:extLst>
            </c:dLbl>
            <c:dLbl>
              <c:idx val="5"/>
              <c:tx>
                <c:rich>
                  <a:bodyPr/>
                  <a:lstStyle/>
                  <a:p>
                    <a:r>
                      <a:rPr lang="en-US"/>
                      <a:t>129</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132A-42E5-BEB8-2361E23741C8}"/>
                </c:ext>
              </c:extLst>
            </c:dLbl>
            <c:dLbl>
              <c:idx val="6"/>
              <c:tx>
                <c:rich>
                  <a:bodyPr/>
                  <a:lstStyle/>
                  <a:p>
                    <a:r>
                      <a:rPr lang="en-US"/>
                      <a:t>109</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132A-42E5-BEB8-2361E23741C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 as 6.7.20-trend prodaje,2010-2018.xls]List7'!$B$7:$B$13</c:f>
              <c:numCache>
                <c:formatCode>General</c:formatCode>
                <c:ptCount val="7"/>
                <c:pt idx="0">
                  <c:v>2011</c:v>
                </c:pt>
                <c:pt idx="1">
                  <c:v>2012</c:v>
                </c:pt>
                <c:pt idx="2">
                  <c:v>2013</c:v>
                </c:pt>
                <c:pt idx="3">
                  <c:v>2014</c:v>
                </c:pt>
                <c:pt idx="4">
                  <c:v>2015</c:v>
                </c:pt>
                <c:pt idx="5">
                  <c:v>2016</c:v>
                </c:pt>
                <c:pt idx="6">
                  <c:v>2017</c:v>
                </c:pt>
              </c:numCache>
            </c:numRef>
          </c:cat>
          <c:val>
            <c:numRef>
              <c:f>'[graf as 6.7.20-trend prodaje,2010-2018.xls]List7'!$C$7:$C$13</c:f>
              <c:numCache>
                <c:formatCode>General</c:formatCode>
                <c:ptCount val="7"/>
                <c:pt idx="0">
                  <c:v>162</c:v>
                </c:pt>
                <c:pt idx="1">
                  <c:v>152.4</c:v>
                </c:pt>
                <c:pt idx="2">
                  <c:v>146.9</c:v>
                </c:pt>
                <c:pt idx="3">
                  <c:v>156.19999999999999</c:v>
                </c:pt>
                <c:pt idx="4">
                  <c:v>140.80000000000001</c:v>
                </c:pt>
                <c:pt idx="5">
                  <c:v>128.69999999999999</c:v>
                </c:pt>
                <c:pt idx="6">
                  <c:v>109.3</c:v>
                </c:pt>
              </c:numCache>
            </c:numRef>
          </c:val>
          <c:smooth val="0"/>
          <c:extLst>
            <c:ext xmlns:c16="http://schemas.microsoft.com/office/drawing/2014/chart" uri="{C3380CC4-5D6E-409C-BE32-E72D297353CC}">
              <c16:uniqueId val="{0000000D-132A-42E5-BEB8-2361E23741C8}"/>
            </c:ext>
          </c:extLst>
        </c:ser>
        <c:dLbls>
          <c:dLblPos val="t"/>
          <c:showLegendKey val="0"/>
          <c:showVal val="1"/>
          <c:showCatName val="0"/>
          <c:showSerName val="0"/>
          <c:showPercent val="0"/>
          <c:showBubbleSize val="0"/>
        </c:dLbls>
        <c:marker val="1"/>
        <c:smooth val="0"/>
        <c:axId val="161634944"/>
        <c:axId val="161646464"/>
      </c:lineChart>
      <c:catAx>
        <c:axId val="1616349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Leto</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1646464"/>
        <c:crosses val="autoZero"/>
        <c:auto val="1"/>
        <c:lblAlgn val="ctr"/>
        <c:lblOffset val="100"/>
        <c:noMultiLvlLbl val="0"/>
      </c:catAx>
      <c:valAx>
        <c:axId val="161646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mg/PCU</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1634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List2!$A$28</c:f>
              <c:strCache>
                <c:ptCount val="1"/>
                <c:pt idx="0">
                  <c:v>Stalež prašičev v GVŽ</c:v>
                </c:pt>
              </c:strCache>
            </c:strRef>
          </c:tx>
          <c:spPr>
            <a:solidFill>
              <a:schemeClr val="accent1"/>
            </a:solidFill>
            <a:ln>
              <a:noFill/>
            </a:ln>
            <a:effectLst/>
          </c:spPr>
          <c:invertIfNegative val="0"/>
          <c:cat>
            <c:numRef>
              <c:f>List2!$B$27:$G$27</c:f>
              <c:numCache>
                <c:formatCode>General</c:formatCode>
                <c:ptCount val="6"/>
                <c:pt idx="0">
                  <c:v>2014</c:v>
                </c:pt>
                <c:pt idx="1">
                  <c:v>2015</c:v>
                </c:pt>
                <c:pt idx="2">
                  <c:v>2016</c:v>
                </c:pt>
                <c:pt idx="3">
                  <c:v>2017</c:v>
                </c:pt>
                <c:pt idx="4">
                  <c:v>2018</c:v>
                </c:pt>
                <c:pt idx="5">
                  <c:v>2019</c:v>
                </c:pt>
              </c:numCache>
            </c:numRef>
          </c:cat>
          <c:val>
            <c:numRef>
              <c:f>List2!$B$28:$G$28</c:f>
              <c:numCache>
                <c:formatCode>0</c:formatCode>
                <c:ptCount val="6"/>
                <c:pt idx="0">
                  <c:v>75319.899999999994</c:v>
                </c:pt>
                <c:pt idx="1">
                  <c:v>73618.799999999988</c:v>
                </c:pt>
                <c:pt idx="2">
                  <c:v>71110.399999999994</c:v>
                </c:pt>
                <c:pt idx="3">
                  <c:v>58390.6</c:v>
                </c:pt>
                <c:pt idx="4">
                  <c:v>63739.799999999996</c:v>
                </c:pt>
                <c:pt idx="5">
                  <c:v>64036.1</c:v>
                </c:pt>
              </c:numCache>
            </c:numRef>
          </c:val>
          <c:extLst>
            <c:ext xmlns:c16="http://schemas.microsoft.com/office/drawing/2014/chart" uri="{C3380CC4-5D6E-409C-BE32-E72D297353CC}">
              <c16:uniqueId val="{00000000-1768-4841-A7F6-412E50F990B0}"/>
            </c:ext>
          </c:extLst>
        </c:ser>
        <c:ser>
          <c:idx val="1"/>
          <c:order val="1"/>
          <c:tx>
            <c:strRef>
              <c:f>List2!$A$29</c:f>
              <c:strCache>
                <c:ptCount val="1"/>
                <c:pt idx="0">
                  <c:v>Število GVŽ prašičev v DŽ</c:v>
                </c:pt>
              </c:strCache>
            </c:strRef>
          </c:tx>
          <c:spPr>
            <a:solidFill>
              <a:schemeClr val="accent2"/>
            </a:solidFill>
            <a:ln>
              <a:noFill/>
            </a:ln>
            <a:effectLst/>
          </c:spPr>
          <c:invertIfNegative val="0"/>
          <c:cat>
            <c:numRef>
              <c:f>List2!$B$27:$G$27</c:f>
              <c:numCache>
                <c:formatCode>General</c:formatCode>
                <c:ptCount val="6"/>
                <c:pt idx="0">
                  <c:v>2014</c:v>
                </c:pt>
                <c:pt idx="1">
                  <c:v>2015</c:v>
                </c:pt>
                <c:pt idx="2">
                  <c:v>2016</c:v>
                </c:pt>
                <c:pt idx="3">
                  <c:v>2017</c:v>
                </c:pt>
                <c:pt idx="4">
                  <c:v>2018</c:v>
                </c:pt>
                <c:pt idx="5">
                  <c:v>2019</c:v>
                </c:pt>
              </c:numCache>
            </c:numRef>
          </c:cat>
          <c:val>
            <c:numRef>
              <c:f>List2!$B$29:$G$29</c:f>
              <c:numCache>
                <c:formatCode>0</c:formatCode>
                <c:ptCount val="6"/>
                <c:pt idx="0">
                  <c:v>28564</c:v>
                </c:pt>
                <c:pt idx="1">
                  <c:v>27446</c:v>
                </c:pt>
                <c:pt idx="2">
                  <c:v>30362</c:v>
                </c:pt>
                <c:pt idx="3">
                  <c:v>30486</c:v>
                </c:pt>
                <c:pt idx="4">
                  <c:v>31975</c:v>
                </c:pt>
              </c:numCache>
            </c:numRef>
          </c:val>
          <c:extLst>
            <c:ext xmlns:c16="http://schemas.microsoft.com/office/drawing/2014/chart" uri="{C3380CC4-5D6E-409C-BE32-E72D297353CC}">
              <c16:uniqueId val="{00000001-1768-4841-A7F6-412E50F990B0}"/>
            </c:ext>
          </c:extLst>
        </c:ser>
        <c:dLbls>
          <c:showLegendKey val="0"/>
          <c:showVal val="0"/>
          <c:showCatName val="0"/>
          <c:showSerName val="0"/>
          <c:showPercent val="0"/>
          <c:showBubbleSize val="0"/>
        </c:dLbls>
        <c:gapWidth val="219"/>
        <c:overlap val="-27"/>
        <c:axId val="161674752"/>
        <c:axId val="161676288"/>
      </c:barChart>
      <c:lineChart>
        <c:grouping val="standard"/>
        <c:varyColors val="0"/>
        <c:ser>
          <c:idx val="2"/>
          <c:order val="2"/>
          <c:tx>
            <c:strRef>
              <c:f>List2!$A$30</c:f>
              <c:strCache>
                <c:ptCount val="1"/>
                <c:pt idx="0">
                  <c:v>Delež GVŽ prašičev v DŽ (%)</c:v>
                </c:pt>
              </c:strCache>
            </c:strRef>
          </c:tx>
          <c:spPr>
            <a:ln w="28575" cap="rnd">
              <a:solidFill>
                <a:schemeClr val="accent3"/>
              </a:solidFill>
              <a:round/>
            </a:ln>
            <a:effectLst/>
          </c:spPr>
          <c:marker>
            <c:symbol val="none"/>
          </c:marker>
          <c:cat>
            <c:numRef>
              <c:f>List2!$B$27:$G$27</c:f>
              <c:numCache>
                <c:formatCode>General</c:formatCode>
                <c:ptCount val="6"/>
                <c:pt idx="0">
                  <c:v>2014</c:v>
                </c:pt>
                <c:pt idx="1">
                  <c:v>2015</c:v>
                </c:pt>
                <c:pt idx="2">
                  <c:v>2016</c:v>
                </c:pt>
                <c:pt idx="3">
                  <c:v>2017</c:v>
                </c:pt>
                <c:pt idx="4">
                  <c:v>2018</c:v>
                </c:pt>
                <c:pt idx="5">
                  <c:v>2019</c:v>
                </c:pt>
              </c:numCache>
            </c:numRef>
          </c:cat>
          <c:val>
            <c:numRef>
              <c:f>List2!$B$30:$G$30</c:f>
              <c:numCache>
                <c:formatCode>0</c:formatCode>
                <c:ptCount val="6"/>
                <c:pt idx="0">
                  <c:v>37.92357663778099</c:v>
                </c:pt>
                <c:pt idx="1">
                  <c:v>37.281237944655444</c:v>
                </c:pt>
                <c:pt idx="2">
                  <c:v>42.696989469894703</c:v>
                </c:pt>
                <c:pt idx="3">
                  <c:v>52.210458532709033</c:v>
                </c:pt>
                <c:pt idx="4">
                  <c:v>50.164889127358421</c:v>
                </c:pt>
              </c:numCache>
            </c:numRef>
          </c:val>
          <c:smooth val="0"/>
          <c:extLst>
            <c:ext xmlns:c16="http://schemas.microsoft.com/office/drawing/2014/chart" uri="{C3380CC4-5D6E-409C-BE32-E72D297353CC}">
              <c16:uniqueId val="{00000002-1768-4841-A7F6-412E50F990B0}"/>
            </c:ext>
          </c:extLst>
        </c:ser>
        <c:dLbls>
          <c:showLegendKey val="0"/>
          <c:showVal val="0"/>
          <c:showCatName val="0"/>
          <c:showSerName val="0"/>
          <c:showPercent val="0"/>
          <c:showBubbleSize val="0"/>
        </c:dLbls>
        <c:marker val="1"/>
        <c:smooth val="0"/>
        <c:axId val="161880320"/>
        <c:axId val="161878784"/>
      </c:lineChart>
      <c:catAx>
        <c:axId val="16167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1676288"/>
        <c:crosses val="autoZero"/>
        <c:auto val="1"/>
        <c:lblAlgn val="ctr"/>
        <c:lblOffset val="100"/>
        <c:noMultiLvlLbl val="0"/>
      </c:catAx>
      <c:valAx>
        <c:axId val="161676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1674752"/>
        <c:crosses val="autoZero"/>
        <c:crossBetween val="between"/>
      </c:valAx>
      <c:valAx>
        <c:axId val="161878784"/>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1880320"/>
        <c:crosses val="max"/>
        <c:crossBetween val="between"/>
      </c:valAx>
      <c:catAx>
        <c:axId val="161880320"/>
        <c:scaling>
          <c:orientation val="minMax"/>
        </c:scaling>
        <c:delete val="1"/>
        <c:axPos val="b"/>
        <c:numFmt formatCode="General" sourceLinked="1"/>
        <c:majorTickMark val="out"/>
        <c:minorTickMark val="none"/>
        <c:tickLblPos val="nextTo"/>
        <c:crossAx val="16187878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List2!$A$18</c:f>
              <c:strCache>
                <c:ptCount val="1"/>
                <c:pt idx="0">
                  <c:v>Stalež goveda v GVŽ </c:v>
                </c:pt>
              </c:strCache>
            </c:strRef>
          </c:tx>
          <c:spPr>
            <a:solidFill>
              <a:schemeClr val="accent1"/>
            </a:solidFill>
            <a:ln>
              <a:noFill/>
            </a:ln>
            <a:effectLst/>
          </c:spPr>
          <c:invertIfNegative val="0"/>
          <c:cat>
            <c:numRef>
              <c:f>List2!$B$17:$G$17</c:f>
              <c:numCache>
                <c:formatCode>General</c:formatCode>
                <c:ptCount val="6"/>
                <c:pt idx="0">
                  <c:v>2014</c:v>
                </c:pt>
                <c:pt idx="1">
                  <c:v>2015</c:v>
                </c:pt>
                <c:pt idx="2">
                  <c:v>2016</c:v>
                </c:pt>
                <c:pt idx="3">
                  <c:v>2017</c:v>
                </c:pt>
                <c:pt idx="4">
                  <c:v>2018</c:v>
                </c:pt>
                <c:pt idx="5">
                  <c:v>2019</c:v>
                </c:pt>
              </c:numCache>
            </c:numRef>
          </c:cat>
          <c:val>
            <c:numRef>
              <c:f>List2!$B$18:$G$18</c:f>
              <c:numCache>
                <c:formatCode>0</c:formatCode>
                <c:ptCount val="6"/>
                <c:pt idx="0">
                  <c:v>327558.40000000002</c:v>
                </c:pt>
                <c:pt idx="1">
                  <c:v>336744.2</c:v>
                </c:pt>
                <c:pt idx="2">
                  <c:v>347189.80000000005</c:v>
                </c:pt>
                <c:pt idx="3">
                  <c:v>349703</c:v>
                </c:pt>
                <c:pt idx="4">
                  <c:v>341506</c:v>
                </c:pt>
                <c:pt idx="5">
                  <c:v>341254.6</c:v>
                </c:pt>
              </c:numCache>
            </c:numRef>
          </c:val>
          <c:extLst>
            <c:ext xmlns:c16="http://schemas.microsoft.com/office/drawing/2014/chart" uri="{C3380CC4-5D6E-409C-BE32-E72D297353CC}">
              <c16:uniqueId val="{00000000-D1BB-4C20-B6FD-3400583F1E8D}"/>
            </c:ext>
          </c:extLst>
        </c:ser>
        <c:ser>
          <c:idx val="1"/>
          <c:order val="1"/>
          <c:tx>
            <c:strRef>
              <c:f>List2!$A$19</c:f>
              <c:strCache>
                <c:ptCount val="1"/>
                <c:pt idx="0">
                  <c:v>Število GVŽ  goveda v DŽ</c:v>
                </c:pt>
              </c:strCache>
            </c:strRef>
          </c:tx>
          <c:spPr>
            <a:solidFill>
              <a:schemeClr val="accent2"/>
            </a:solidFill>
            <a:ln>
              <a:noFill/>
            </a:ln>
            <a:effectLst/>
          </c:spPr>
          <c:invertIfNegative val="0"/>
          <c:cat>
            <c:numRef>
              <c:f>List2!$B$17:$G$17</c:f>
              <c:numCache>
                <c:formatCode>General</c:formatCode>
                <c:ptCount val="6"/>
                <c:pt idx="0">
                  <c:v>2014</c:v>
                </c:pt>
                <c:pt idx="1">
                  <c:v>2015</c:v>
                </c:pt>
                <c:pt idx="2">
                  <c:v>2016</c:v>
                </c:pt>
                <c:pt idx="3">
                  <c:v>2017</c:v>
                </c:pt>
                <c:pt idx="4">
                  <c:v>2018</c:v>
                </c:pt>
                <c:pt idx="5">
                  <c:v>2019</c:v>
                </c:pt>
              </c:numCache>
            </c:numRef>
          </c:cat>
          <c:val>
            <c:numRef>
              <c:f>List2!$B$19:$G$19</c:f>
              <c:numCache>
                <c:formatCode>General</c:formatCode>
                <c:ptCount val="6"/>
                <c:pt idx="2" formatCode="0">
                  <c:v>71035.8</c:v>
                </c:pt>
                <c:pt idx="3" formatCode="0">
                  <c:v>83745.19999999975</c:v>
                </c:pt>
                <c:pt idx="4" formatCode="0">
                  <c:v>86117.8</c:v>
                </c:pt>
                <c:pt idx="5" formatCode="0">
                  <c:v>95742.600000000253</c:v>
                </c:pt>
              </c:numCache>
            </c:numRef>
          </c:val>
          <c:extLst>
            <c:ext xmlns:c16="http://schemas.microsoft.com/office/drawing/2014/chart" uri="{C3380CC4-5D6E-409C-BE32-E72D297353CC}">
              <c16:uniqueId val="{00000001-D1BB-4C20-B6FD-3400583F1E8D}"/>
            </c:ext>
          </c:extLst>
        </c:ser>
        <c:dLbls>
          <c:showLegendKey val="0"/>
          <c:showVal val="0"/>
          <c:showCatName val="0"/>
          <c:showSerName val="0"/>
          <c:showPercent val="0"/>
          <c:showBubbleSize val="0"/>
        </c:dLbls>
        <c:gapWidth val="219"/>
        <c:overlap val="-27"/>
        <c:axId val="162019200"/>
        <c:axId val="162020736"/>
      </c:barChart>
      <c:lineChart>
        <c:grouping val="standard"/>
        <c:varyColors val="0"/>
        <c:ser>
          <c:idx val="2"/>
          <c:order val="2"/>
          <c:tx>
            <c:strRef>
              <c:f>List2!$A$20</c:f>
              <c:strCache>
                <c:ptCount val="1"/>
                <c:pt idx="0">
                  <c:v>Delež GVŽ goveda v DŽ (%)</c:v>
                </c:pt>
              </c:strCache>
            </c:strRef>
          </c:tx>
          <c:spPr>
            <a:ln w="28575" cap="rnd">
              <a:solidFill>
                <a:schemeClr val="accent3"/>
              </a:solidFill>
              <a:round/>
            </a:ln>
            <a:effectLst/>
          </c:spPr>
          <c:marker>
            <c:symbol val="none"/>
          </c:marker>
          <c:cat>
            <c:numRef>
              <c:f>List2!$B$17:$G$17</c:f>
              <c:numCache>
                <c:formatCode>General</c:formatCode>
                <c:ptCount val="6"/>
                <c:pt idx="0">
                  <c:v>2014</c:v>
                </c:pt>
                <c:pt idx="1">
                  <c:v>2015</c:v>
                </c:pt>
                <c:pt idx="2">
                  <c:v>2016</c:v>
                </c:pt>
                <c:pt idx="3">
                  <c:v>2017</c:v>
                </c:pt>
                <c:pt idx="4">
                  <c:v>2018</c:v>
                </c:pt>
                <c:pt idx="5">
                  <c:v>2019</c:v>
                </c:pt>
              </c:numCache>
            </c:numRef>
          </c:cat>
          <c:val>
            <c:numRef>
              <c:f>List2!$B$20:$G$20</c:f>
              <c:numCache>
                <c:formatCode>General</c:formatCode>
                <c:ptCount val="6"/>
                <c:pt idx="2" formatCode="0">
                  <c:v>20.460220893586158</c:v>
                </c:pt>
                <c:pt idx="3" formatCode="0">
                  <c:v>23.947521182260303</c:v>
                </c:pt>
                <c:pt idx="4" formatCode="0">
                  <c:v>25.217067928528341</c:v>
                </c:pt>
                <c:pt idx="5" formatCode="0">
                  <c:v>28.056061368843164</c:v>
                </c:pt>
              </c:numCache>
            </c:numRef>
          </c:val>
          <c:smooth val="0"/>
          <c:extLst>
            <c:ext xmlns:c16="http://schemas.microsoft.com/office/drawing/2014/chart" uri="{C3380CC4-5D6E-409C-BE32-E72D297353CC}">
              <c16:uniqueId val="{00000002-D1BB-4C20-B6FD-3400583F1E8D}"/>
            </c:ext>
          </c:extLst>
        </c:ser>
        <c:dLbls>
          <c:showLegendKey val="0"/>
          <c:showVal val="0"/>
          <c:showCatName val="0"/>
          <c:showSerName val="0"/>
          <c:showPercent val="0"/>
          <c:showBubbleSize val="0"/>
        </c:dLbls>
        <c:marker val="1"/>
        <c:smooth val="0"/>
        <c:axId val="162036352"/>
        <c:axId val="162034816"/>
      </c:lineChart>
      <c:catAx>
        <c:axId val="16201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2020736"/>
        <c:crosses val="autoZero"/>
        <c:auto val="1"/>
        <c:lblAlgn val="ctr"/>
        <c:lblOffset val="100"/>
        <c:noMultiLvlLbl val="0"/>
      </c:catAx>
      <c:valAx>
        <c:axId val="162020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2019200"/>
        <c:crosses val="autoZero"/>
        <c:crossBetween val="between"/>
      </c:valAx>
      <c:valAx>
        <c:axId val="16203481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2036352"/>
        <c:crosses val="max"/>
        <c:crossBetween val="between"/>
      </c:valAx>
      <c:catAx>
        <c:axId val="162036352"/>
        <c:scaling>
          <c:orientation val="minMax"/>
        </c:scaling>
        <c:delete val="1"/>
        <c:axPos val="b"/>
        <c:numFmt formatCode="General" sourceLinked="1"/>
        <c:majorTickMark val="out"/>
        <c:minorTickMark val="none"/>
        <c:tickLblPos val="nextTo"/>
        <c:crossAx val="16203481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List2!$A$23</c:f>
              <c:strCache>
                <c:ptCount val="1"/>
                <c:pt idx="0">
                  <c:v>Stalež drobnice v GVŽ </c:v>
                </c:pt>
              </c:strCache>
            </c:strRef>
          </c:tx>
          <c:spPr>
            <a:solidFill>
              <a:schemeClr val="accent1"/>
            </a:solidFill>
            <a:ln>
              <a:noFill/>
            </a:ln>
            <a:effectLst/>
          </c:spPr>
          <c:invertIfNegative val="0"/>
          <c:cat>
            <c:numRef>
              <c:f>List2!$B$22:$G$22</c:f>
              <c:numCache>
                <c:formatCode>General</c:formatCode>
                <c:ptCount val="6"/>
                <c:pt idx="0">
                  <c:v>2014</c:v>
                </c:pt>
                <c:pt idx="1">
                  <c:v>2015</c:v>
                </c:pt>
                <c:pt idx="2">
                  <c:v>2016</c:v>
                </c:pt>
                <c:pt idx="3">
                  <c:v>2017</c:v>
                </c:pt>
                <c:pt idx="4">
                  <c:v>2018</c:v>
                </c:pt>
                <c:pt idx="5">
                  <c:v>2019</c:v>
                </c:pt>
              </c:numCache>
            </c:numRef>
          </c:cat>
          <c:val>
            <c:numRef>
              <c:f>List2!$B$23:$G$23</c:f>
              <c:numCache>
                <c:formatCode>0</c:formatCode>
                <c:ptCount val="6"/>
                <c:pt idx="0">
                  <c:v>14092.65</c:v>
                </c:pt>
                <c:pt idx="1">
                  <c:v>14162.249999999998</c:v>
                </c:pt>
                <c:pt idx="2">
                  <c:v>14331.75</c:v>
                </c:pt>
                <c:pt idx="3">
                  <c:v>15126.3</c:v>
                </c:pt>
                <c:pt idx="4">
                  <c:v>15106.499999999998</c:v>
                </c:pt>
                <c:pt idx="5">
                  <c:v>14775.3</c:v>
                </c:pt>
              </c:numCache>
            </c:numRef>
          </c:val>
          <c:extLst>
            <c:ext xmlns:c16="http://schemas.microsoft.com/office/drawing/2014/chart" uri="{C3380CC4-5D6E-409C-BE32-E72D297353CC}">
              <c16:uniqueId val="{00000000-246A-4DC1-994A-E12C97A8F4CD}"/>
            </c:ext>
          </c:extLst>
        </c:ser>
        <c:ser>
          <c:idx val="1"/>
          <c:order val="1"/>
          <c:tx>
            <c:strRef>
              <c:f>List2!$A$24</c:f>
              <c:strCache>
                <c:ptCount val="1"/>
                <c:pt idx="0">
                  <c:v>Število GVŽ drobnice v DŽ</c:v>
                </c:pt>
              </c:strCache>
            </c:strRef>
          </c:tx>
          <c:spPr>
            <a:solidFill>
              <a:schemeClr val="accent2"/>
            </a:solidFill>
            <a:ln>
              <a:noFill/>
            </a:ln>
            <a:effectLst/>
          </c:spPr>
          <c:invertIfNegative val="0"/>
          <c:cat>
            <c:numRef>
              <c:f>List2!$B$22:$G$22</c:f>
              <c:numCache>
                <c:formatCode>General</c:formatCode>
                <c:ptCount val="6"/>
                <c:pt idx="0">
                  <c:v>2014</c:v>
                </c:pt>
                <c:pt idx="1">
                  <c:v>2015</c:v>
                </c:pt>
                <c:pt idx="2">
                  <c:v>2016</c:v>
                </c:pt>
                <c:pt idx="3">
                  <c:v>2017</c:v>
                </c:pt>
                <c:pt idx="4">
                  <c:v>2018</c:v>
                </c:pt>
                <c:pt idx="5">
                  <c:v>2019</c:v>
                </c:pt>
              </c:numCache>
            </c:numRef>
          </c:cat>
          <c:val>
            <c:numRef>
              <c:f>List2!$B$24:$G$24</c:f>
              <c:numCache>
                <c:formatCode>General</c:formatCode>
                <c:ptCount val="6"/>
                <c:pt idx="3" formatCode="0">
                  <c:v>3791.3999999999987</c:v>
                </c:pt>
                <c:pt idx="4" formatCode="0">
                  <c:v>3925.3500000000017</c:v>
                </c:pt>
                <c:pt idx="5" formatCode="0">
                  <c:v>4058.7000000000012</c:v>
                </c:pt>
              </c:numCache>
            </c:numRef>
          </c:val>
          <c:extLst>
            <c:ext xmlns:c16="http://schemas.microsoft.com/office/drawing/2014/chart" uri="{C3380CC4-5D6E-409C-BE32-E72D297353CC}">
              <c16:uniqueId val="{00000001-246A-4DC1-994A-E12C97A8F4CD}"/>
            </c:ext>
          </c:extLst>
        </c:ser>
        <c:dLbls>
          <c:showLegendKey val="0"/>
          <c:showVal val="0"/>
          <c:showCatName val="0"/>
          <c:showSerName val="0"/>
          <c:showPercent val="0"/>
          <c:showBubbleSize val="0"/>
        </c:dLbls>
        <c:gapWidth val="219"/>
        <c:overlap val="-27"/>
        <c:axId val="162523392"/>
        <c:axId val="208519168"/>
      </c:barChart>
      <c:lineChart>
        <c:grouping val="standard"/>
        <c:varyColors val="0"/>
        <c:ser>
          <c:idx val="2"/>
          <c:order val="2"/>
          <c:tx>
            <c:strRef>
              <c:f>List2!$A$25</c:f>
              <c:strCache>
                <c:ptCount val="1"/>
                <c:pt idx="0">
                  <c:v>Delež GVŽ drobnice v DŽ (%)</c:v>
                </c:pt>
              </c:strCache>
            </c:strRef>
          </c:tx>
          <c:spPr>
            <a:ln w="28575" cap="rnd">
              <a:solidFill>
                <a:schemeClr val="accent3"/>
              </a:solidFill>
              <a:round/>
            </a:ln>
            <a:effectLst/>
          </c:spPr>
          <c:marker>
            <c:symbol val="none"/>
          </c:marker>
          <c:cat>
            <c:numRef>
              <c:f>List2!$B$22:$G$22</c:f>
              <c:numCache>
                <c:formatCode>General</c:formatCode>
                <c:ptCount val="6"/>
                <c:pt idx="0">
                  <c:v>2014</c:v>
                </c:pt>
                <c:pt idx="1">
                  <c:v>2015</c:v>
                </c:pt>
                <c:pt idx="2">
                  <c:v>2016</c:v>
                </c:pt>
                <c:pt idx="3">
                  <c:v>2017</c:v>
                </c:pt>
                <c:pt idx="4">
                  <c:v>2018</c:v>
                </c:pt>
                <c:pt idx="5">
                  <c:v>2019</c:v>
                </c:pt>
              </c:numCache>
            </c:numRef>
          </c:cat>
          <c:val>
            <c:numRef>
              <c:f>List2!$B$25:$G$25</c:f>
              <c:numCache>
                <c:formatCode>General</c:formatCode>
                <c:ptCount val="6"/>
                <c:pt idx="3" formatCode="0">
                  <c:v>25.064953094940595</c:v>
                </c:pt>
                <c:pt idx="4" formatCode="0">
                  <c:v>25.984509979148065</c:v>
                </c:pt>
                <c:pt idx="5" formatCode="0">
                  <c:v>27.469493005218176</c:v>
                </c:pt>
              </c:numCache>
            </c:numRef>
          </c:val>
          <c:smooth val="0"/>
          <c:extLst>
            <c:ext xmlns:c16="http://schemas.microsoft.com/office/drawing/2014/chart" uri="{C3380CC4-5D6E-409C-BE32-E72D297353CC}">
              <c16:uniqueId val="{00000002-246A-4DC1-994A-E12C97A8F4CD}"/>
            </c:ext>
          </c:extLst>
        </c:ser>
        <c:dLbls>
          <c:showLegendKey val="0"/>
          <c:showVal val="0"/>
          <c:showCatName val="0"/>
          <c:showSerName val="0"/>
          <c:showPercent val="0"/>
          <c:showBubbleSize val="0"/>
        </c:dLbls>
        <c:marker val="1"/>
        <c:smooth val="0"/>
        <c:axId val="208522240"/>
        <c:axId val="208520704"/>
      </c:lineChart>
      <c:catAx>
        <c:axId val="16252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08519168"/>
        <c:crosses val="autoZero"/>
        <c:auto val="1"/>
        <c:lblAlgn val="ctr"/>
        <c:lblOffset val="100"/>
        <c:noMultiLvlLbl val="0"/>
      </c:catAx>
      <c:valAx>
        <c:axId val="208519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2523392"/>
        <c:crosses val="autoZero"/>
        <c:crossBetween val="between"/>
      </c:valAx>
      <c:valAx>
        <c:axId val="20852070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08522240"/>
        <c:crosses val="max"/>
        <c:crossBetween val="between"/>
      </c:valAx>
      <c:catAx>
        <c:axId val="208522240"/>
        <c:scaling>
          <c:orientation val="minMax"/>
        </c:scaling>
        <c:delete val="1"/>
        <c:axPos val="b"/>
        <c:numFmt formatCode="General" sourceLinked="1"/>
        <c:majorTickMark val="out"/>
        <c:minorTickMark val="none"/>
        <c:tickLblPos val="nextTo"/>
        <c:crossAx val="2085207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List1!$A$2</c:f>
              <c:strCache>
                <c:ptCount val="1"/>
                <c:pt idx="0">
                  <c:v>Nastala odpadna hrana - SKUPAJ (tone)</c:v>
                </c:pt>
              </c:strCache>
            </c:strRef>
          </c:tx>
          <c:spPr>
            <a:ln w="41275" cap="flat" cmpd="sng" algn="ctr">
              <a:solidFill>
                <a:schemeClr val="accent2"/>
              </a:solidFill>
              <a:prstDash val="solid"/>
            </a:ln>
            <a:effectLst/>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List1!$B$1:$G$1</c:f>
              <c:numCache>
                <c:formatCode>General</c:formatCode>
                <c:ptCount val="6"/>
                <c:pt idx="0">
                  <c:v>2013</c:v>
                </c:pt>
                <c:pt idx="1">
                  <c:v>2014</c:v>
                </c:pt>
                <c:pt idx="2">
                  <c:v>2015</c:v>
                </c:pt>
                <c:pt idx="3">
                  <c:v>2016</c:v>
                </c:pt>
                <c:pt idx="4">
                  <c:v>2017</c:v>
                </c:pt>
                <c:pt idx="5">
                  <c:v>2018</c:v>
                </c:pt>
              </c:numCache>
            </c:numRef>
          </c:cat>
          <c:val>
            <c:numRef>
              <c:f>List1!$B$2:$G$2</c:f>
              <c:numCache>
                <c:formatCode>#,##0</c:formatCode>
                <c:ptCount val="6"/>
                <c:pt idx="0">
                  <c:v>118.45</c:v>
                </c:pt>
                <c:pt idx="1">
                  <c:v>125.102</c:v>
                </c:pt>
                <c:pt idx="2">
                  <c:v>133.898</c:v>
                </c:pt>
                <c:pt idx="3">
                  <c:v>137.63800000000001</c:v>
                </c:pt>
                <c:pt idx="4">
                  <c:v>131.761</c:v>
                </c:pt>
                <c:pt idx="5">
                  <c:v>139.85599999999999</c:v>
                </c:pt>
              </c:numCache>
            </c:numRef>
          </c:val>
          <c:smooth val="0"/>
          <c:extLst>
            <c:ext xmlns:c16="http://schemas.microsoft.com/office/drawing/2014/chart" uri="{C3380CC4-5D6E-409C-BE32-E72D297353CC}">
              <c16:uniqueId val="{00000000-5608-4055-BC91-5680F2E8F75A}"/>
            </c:ext>
          </c:extLst>
        </c:ser>
        <c:ser>
          <c:idx val="1"/>
          <c:order val="1"/>
          <c:tx>
            <c:strRef>
              <c:f>List1!$A$6</c:f>
              <c:strCache>
                <c:ptCount val="1"/>
                <c:pt idx="0">
                  <c:v>Nastala odpadna hrana v gospodinjstvih (tone)</c:v>
                </c:pt>
              </c:strCache>
            </c:strRef>
          </c:tx>
          <c:spPr>
            <a:ln>
              <a:solidFill>
                <a:schemeClr val="accent3">
                  <a:lumMod val="50000"/>
                </a:schemeClr>
              </a:solidFill>
            </a:ln>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List1!$B$6:$G$6</c:f>
              <c:numCache>
                <c:formatCode>#,##0</c:formatCode>
                <c:ptCount val="6"/>
                <c:pt idx="0">
                  <c:v>63.023000000000003</c:v>
                </c:pt>
                <c:pt idx="1">
                  <c:v>64.760999999999996</c:v>
                </c:pt>
                <c:pt idx="2">
                  <c:v>66.141000000000005</c:v>
                </c:pt>
                <c:pt idx="3">
                  <c:v>68.521000000000001</c:v>
                </c:pt>
                <c:pt idx="4">
                  <c:v>67.593999999999994</c:v>
                </c:pt>
                <c:pt idx="5">
                  <c:v>73.182000000000002</c:v>
                </c:pt>
              </c:numCache>
            </c:numRef>
          </c:val>
          <c:smooth val="0"/>
          <c:extLst>
            <c:ext xmlns:c16="http://schemas.microsoft.com/office/drawing/2014/chart" uri="{C3380CC4-5D6E-409C-BE32-E72D297353CC}">
              <c16:uniqueId val="{00000001-5608-4055-BC91-5680F2E8F75A}"/>
            </c:ext>
          </c:extLst>
        </c:ser>
        <c:dLbls>
          <c:showLegendKey val="0"/>
          <c:showVal val="0"/>
          <c:showCatName val="0"/>
          <c:showSerName val="0"/>
          <c:showPercent val="0"/>
          <c:showBubbleSize val="0"/>
        </c:dLbls>
        <c:smooth val="0"/>
        <c:axId val="210825984"/>
        <c:axId val="210827520"/>
      </c:lineChart>
      <c:catAx>
        <c:axId val="210825984"/>
        <c:scaling>
          <c:orientation val="minMax"/>
        </c:scaling>
        <c:delete val="0"/>
        <c:axPos val="b"/>
        <c:numFmt formatCode="General" sourceLinked="1"/>
        <c:majorTickMark val="in"/>
        <c:minorTickMark val="none"/>
        <c:tickLblPos val="nextTo"/>
        <c:crossAx val="210827520"/>
        <c:crosses val="autoZero"/>
        <c:auto val="1"/>
        <c:lblAlgn val="ctr"/>
        <c:lblOffset val="100"/>
        <c:noMultiLvlLbl val="0"/>
      </c:catAx>
      <c:valAx>
        <c:axId val="210827520"/>
        <c:scaling>
          <c:orientation val="minMax"/>
        </c:scaling>
        <c:delete val="0"/>
        <c:axPos val="l"/>
        <c:title>
          <c:tx>
            <c:rich>
              <a:bodyPr rot="-5400000" vert="horz"/>
              <a:lstStyle/>
              <a:p>
                <a:pPr>
                  <a:defRPr sz="700"/>
                </a:pPr>
                <a:r>
                  <a:rPr lang="sl-SI" sz="700"/>
                  <a:t>O</a:t>
                </a:r>
                <a:r>
                  <a:rPr lang="en-US" sz="700"/>
                  <a:t>dpadna hran</a:t>
                </a:r>
                <a:r>
                  <a:rPr lang="sl-SI" sz="700"/>
                  <a:t>a po gospodinjstvih in skupaj (1000 t)</a:t>
                </a:r>
              </a:p>
            </c:rich>
          </c:tx>
          <c:layout>
            <c:manualLayout>
              <c:xMode val="edge"/>
              <c:yMode val="edge"/>
              <c:x val="1.9078955080987087E-2"/>
              <c:y val="0.22018796992481199"/>
            </c:manualLayout>
          </c:layout>
          <c:overlay val="0"/>
        </c:title>
        <c:numFmt formatCode="#,##0" sourceLinked="1"/>
        <c:majorTickMark val="in"/>
        <c:minorTickMark val="none"/>
        <c:tickLblPos val="nextTo"/>
        <c:crossAx val="210825984"/>
        <c:crosses val="autoZero"/>
        <c:crossBetween val="between"/>
      </c:valAx>
      <c:spPr>
        <a:noFill/>
        <a:ln w="25400">
          <a:noFill/>
        </a:ln>
      </c:spPr>
    </c:plotArea>
    <c:plotVisOnly val="1"/>
    <c:dispBlanksAs val="gap"/>
    <c:showDLblsOverMax val="0"/>
  </c:chart>
  <c:spPr>
    <a:noFill/>
    <a:ln>
      <a:noFill/>
    </a:ln>
  </c:spPr>
  <c:txPr>
    <a:bodyPr/>
    <a:lstStyle/>
    <a:p>
      <a:pPr>
        <a:defRPr>
          <a:latin typeface="Arial" panose="020B0604020202020204" pitchFamily="34" charset="0"/>
          <a:cs typeface="Arial" panose="020B0604020202020204" pitchFamily="34" charset="0"/>
        </a:defRPr>
      </a:pPr>
      <a:endParaRPr lang="sl-SI"/>
    </a:p>
  </c:tx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F225396475418A4B8D8FB4A494E5A7CA" ma:contentTypeVersion="1" ma:contentTypeDescription="Ustvari nov dokument." ma:contentTypeScope="" ma:versionID="740d13182d870ac1b231001472d0ea55">
  <xsd:schema xmlns:xsd="http://www.w3.org/2001/XMLSchema" xmlns:xs="http://www.w3.org/2001/XMLSchema" xmlns:p="http://schemas.microsoft.com/office/2006/metadata/properties" xmlns:ns1="http://schemas.microsoft.com/sharepoint/v3" targetNamespace="http://schemas.microsoft.com/office/2006/metadata/properties" ma:root="true" ma:fieldsID="479823c2837ba2e0561586e40a1e9a5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2F570-727D-4C14-A5B5-D81706A8F749}">
  <ds:schemaRefs>
    <ds:schemaRef ds:uri="http://purl.org/dc/elements/1.1/"/>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DF9E2EB2-96D9-46B1-A255-3A13EEEF26E1}">
  <ds:schemaRefs>
    <ds:schemaRef ds:uri="http://schemas.openxmlformats.org/officeDocument/2006/bibliography"/>
  </ds:schemaRefs>
</ds:datastoreItem>
</file>

<file path=customXml/itemProps3.xml><?xml version="1.0" encoding="utf-8"?>
<ds:datastoreItem xmlns:ds="http://schemas.openxmlformats.org/officeDocument/2006/customXml" ds:itemID="{E7DA2155-C5DC-46ED-80B9-AC8850E2DB45}">
  <ds:schemaRefs>
    <ds:schemaRef ds:uri="http://schemas.openxmlformats.org/officeDocument/2006/bibliography"/>
  </ds:schemaRefs>
</ds:datastoreItem>
</file>

<file path=customXml/itemProps4.xml><?xml version="1.0" encoding="utf-8"?>
<ds:datastoreItem xmlns:ds="http://schemas.openxmlformats.org/officeDocument/2006/customXml" ds:itemID="{48513521-F045-4B02-AAAD-834A70B25279}">
  <ds:schemaRefs>
    <ds:schemaRef ds:uri="http://schemas.microsoft.com/sharepoint/v3/contenttype/forms"/>
  </ds:schemaRefs>
</ds:datastoreItem>
</file>

<file path=customXml/itemProps5.xml><?xml version="1.0" encoding="utf-8"?>
<ds:datastoreItem xmlns:ds="http://schemas.openxmlformats.org/officeDocument/2006/customXml" ds:itemID="{79C62332-7B54-40BF-A4F0-C3C4D79D4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41</Pages>
  <Words>16946</Words>
  <Characters>96597</Characters>
  <Application>Microsoft Office Word</Application>
  <DocSecurity>0</DocSecurity>
  <Lines>804</Lines>
  <Paragraphs>226</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Urška Keše</dc:creator>
  <cp:lastModifiedBy>Svit Mal</cp:lastModifiedBy>
  <cp:revision>30</cp:revision>
  <cp:lastPrinted>2021-12-13T10:22:00Z</cp:lastPrinted>
  <dcterms:created xsi:type="dcterms:W3CDTF">2021-11-03T09:08:00Z</dcterms:created>
  <dcterms:modified xsi:type="dcterms:W3CDTF">2023-01-31T12:43:00Z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0x010100F225396475418A4B8D8FB4A494E5A7CA</vt:lpwstr>
  </property>
</Properties>
</file>