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6.xml" ContentType="application/vnd.openxmlformats-officedocument.themeOverride+xml"/>
  <Override PartName="/word/charts/chart4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43.xml" ContentType="application/vnd.openxmlformats-officedocument.drawingml.chart+xml"/>
  <Override PartName="/word/theme/themeOverride18.xml" ContentType="application/vnd.openxmlformats-officedocument.themeOverride+xml"/>
  <Override PartName="/word/charts/chart44.xml" ContentType="application/vnd.openxmlformats-officedocument.drawingml.chart+xml"/>
  <Override PartName="/word/theme/themeOverride19.xml" ContentType="application/vnd.openxmlformats-officedocument.themeOverride+xml"/>
  <Override PartName="/word/charts/chart45.xml" ContentType="application/vnd.openxmlformats-officedocument.drawingml.chart+xml"/>
  <Override PartName="/word/theme/themeOverride20.xml" ContentType="application/vnd.openxmlformats-officedocument.themeOverride+xml"/>
  <Override PartName="/word/charts/chart46.xml" ContentType="application/vnd.openxmlformats-officedocument.drawingml.chart+xml"/>
  <Override PartName="/word/theme/themeOverride21.xml" ContentType="application/vnd.openxmlformats-officedocument.themeOverride+xml"/>
  <Override PartName="/word/charts/chart47.xml" ContentType="application/vnd.openxmlformats-officedocument.drawingml.chart+xml"/>
  <Override PartName="/word/theme/themeOverride22.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theme/themeOverride23.xml" ContentType="application/vnd.openxmlformats-officedocument.themeOverride+xml"/>
  <Override PartName="/word/charts/chart51.xml" ContentType="application/vnd.openxmlformats-officedocument.drawingml.chart+xml"/>
  <Override PartName="/word/theme/themeOverride24.xml" ContentType="application/vnd.openxmlformats-officedocument.themeOverride+xml"/>
  <Override PartName="/word/charts/chart52.xml" ContentType="application/vnd.openxmlformats-officedocument.drawingml.chart+xml"/>
  <Override PartName="/word/theme/themeOverride25.xml" ContentType="application/vnd.openxmlformats-officedocument.themeOverride+xml"/>
  <Override PartName="/word/charts/chart53.xml" ContentType="application/vnd.openxmlformats-officedocument.drawingml.chart+xml"/>
  <Override PartName="/word/theme/themeOverride26.xml" ContentType="application/vnd.openxmlformats-officedocument.themeOverride+xml"/>
  <Override PartName="/word/charts/chart54.xml" ContentType="application/vnd.openxmlformats-officedocument.drawingml.chart+xml"/>
  <Override PartName="/word/theme/themeOverride27.xml" ContentType="application/vnd.openxmlformats-officedocument.themeOverride+xml"/>
  <Override PartName="/word/charts/chart55.xml" ContentType="application/vnd.openxmlformats-officedocument.drawingml.chart+xml"/>
  <Override PartName="/word/theme/themeOverride28.xml" ContentType="application/vnd.openxmlformats-officedocument.themeOverride+xml"/>
  <Override PartName="/word/charts/chart5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6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4.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60562" w14:textId="20C18F2B" w:rsidR="00C92429" w:rsidRDefault="0008694D"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58241" behindDoc="1" locked="0" layoutInCell="1" allowOverlap="1" wp14:anchorId="20EB26FD" wp14:editId="6526F3CC">
            <wp:simplePos x="0" y="0"/>
            <wp:positionH relativeFrom="page">
              <wp:posOffset>3818255</wp:posOffset>
            </wp:positionH>
            <wp:positionV relativeFrom="page">
              <wp:posOffset>655955</wp:posOffset>
            </wp:positionV>
            <wp:extent cx="4170045" cy="1086485"/>
            <wp:effectExtent l="0" t="0" r="1905" b="0"/>
            <wp:wrapNone/>
            <wp:docPr id="9" name="Slika 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r w:rsidR="00C92429">
        <w:rPr>
          <w:rFonts w:cstheme="minorBidi"/>
          <w:noProof/>
          <w:szCs w:val="22"/>
          <w:lang w:eastAsia="sl-SI"/>
        </w:rPr>
        <w:drawing>
          <wp:anchor distT="0" distB="0" distL="114300" distR="114300" simplePos="0" relativeHeight="251658240" behindDoc="1" locked="0" layoutInCell="1" allowOverlap="1" wp14:anchorId="67244520" wp14:editId="757CBE2E">
            <wp:simplePos x="0" y="0"/>
            <wp:positionH relativeFrom="margin">
              <wp:posOffset>-1270</wp:posOffset>
            </wp:positionH>
            <wp:positionV relativeFrom="paragraph">
              <wp:posOffset>50165</wp:posOffset>
            </wp:positionV>
            <wp:extent cx="2725420" cy="1036955"/>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8194310"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C2E9B12"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02FFEEB7"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2F75888C" w14:textId="7BC1D892"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w:t>
      </w:r>
      <w:r w:rsidR="00871B06">
        <w:rPr>
          <w:rFonts w:eastAsia="Malgun Gothic"/>
          <w:b/>
          <w:color w:val="92D050"/>
          <w:sz w:val="72"/>
          <w:szCs w:val="72"/>
        </w:rPr>
        <w:t>3</w:t>
      </w:r>
      <w:r>
        <w:rPr>
          <w:rFonts w:eastAsia="Malgun Gothic"/>
          <w:b/>
          <w:color w:val="92D050"/>
          <w:sz w:val="72"/>
          <w:szCs w:val="72"/>
        </w:rPr>
        <w:t>–2027</w:t>
      </w:r>
    </w:p>
    <w:p w14:paraId="4B0420D4"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786C37CF" w14:textId="7B060D5C"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2</w:t>
      </w:r>
    </w:p>
    <w:p w14:paraId="6AA5F563" w14:textId="720F8901" w:rsidR="00C92429" w:rsidRPr="0030046C" w:rsidRDefault="00C92429" w:rsidP="0030046C">
      <w:pPr>
        <w:pBdr>
          <w:top w:val="single" w:sz="4" w:space="1" w:color="auto"/>
          <w:left w:val="single" w:sz="4" w:space="1" w:color="auto"/>
          <w:bottom w:val="single" w:sz="4" w:space="1" w:color="auto"/>
          <w:right w:val="single" w:sz="4" w:space="1" w:color="auto"/>
        </w:pBdr>
        <w:jc w:val="center"/>
        <w:rPr>
          <w:b/>
          <w:color w:val="92D050"/>
          <w:sz w:val="28"/>
          <w:szCs w:val="28"/>
        </w:rPr>
      </w:pPr>
      <w:r w:rsidRPr="0030046C">
        <w:rPr>
          <w:b/>
          <w:color w:val="92D050"/>
          <w:sz w:val="28"/>
          <w:szCs w:val="28"/>
        </w:rPr>
        <w:t>KREPITEV TRŽNE USMERJENOSTI IN POVEČANJE KONKURENČNOSTI, TUDI Z VEČJIM POUDARKOM NA RAZISKAVAH, TEHNOLOGIJI IN DIGITALIZACIJI</w:t>
      </w:r>
    </w:p>
    <w:p w14:paraId="7BC3B419"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1DE11AD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5FCEA7F4"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160E284A"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198E0C0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796F61E5" w14:textId="28F7E13B" w:rsidR="00C92429" w:rsidRDefault="00C92429" w:rsidP="00C92429">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 xml:space="preserve">Ljubljana, </w:t>
      </w:r>
      <w:r w:rsidR="00E155C1">
        <w:rPr>
          <w:rFonts w:eastAsia="Malgun Gothic"/>
          <w:sz w:val="24"/>
        </w:rPr>
        <w:t xml:space="preserve">december </w:t>
      </w:r>
      <w:r>
        <w:rPr>
          <w:rFonts w:eastAsia="Malgun Gothic"/>
          <w:sz w:val="24"/>
        </w:rPr>
        <w:t>202</w:t>
      </w:r>
      <w:r w:rsidR="001C1D23">
        <w:rPr>
          <w:rFonts w:eastAsia="Malgun Gothic"/>
          <w:sz w:val="24"/>
        </w:rPr>
        <w:t>1</w:t>
      </w:r>
    </w:p>
    <w:p w14:paraId="410B7EBC"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7109C58A" w14:textId="2514DA84" w:rsidR="00C92429" w:rsidRDefault="00C92429" w:rsidP="00C92429">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w:t>
      </w:r>
      <w:r w:rsidR="00852A1D">
        <w:rPr>
          <w:rFonts w:eastAsia="Arial"/>
          <w:sz w:val="16"/>
          <w:szCs w:val="16"/>
        </w:rPr>
        <w:t xml:space="preserve"> in</w:t>
      </w:r>
      <w:r>
        <w:rPr>
          <w:rFonts w:eastAsia="Arial"/>
          <w:sz w:val="16"/>
          <w:szCs w:val="16"/>
        </w:rPr>
        <w:t xml:space="preserve"> analize SWOT za Strateški načrt SKP 202</w:t>
      </w:r>
      <w:bookmarkStart w:id="0" w:name="_GoBack"/>
      <w:bookmarkEnd w:id="0"/>
      <w:r w:rsidR="0013347D">
        <w:rPr>
          <w:rFonts w:eastAsia="Arial"/>
          <w:sz w:val="16"/>
          <w:szCs w:val="16"/>
        </w:rPr>
        <w:t>3</w:t>
      </w:r>
      <w:r>
        <w:rPr>
          <w:rFonts w:eastAsia="Arial"/>
          <w:sz w:val="16"/>
          <w:szCs w:val="16"/>
        </w:rPr>
        <w:t>−2027. Gre za delovni dokument, ki je podlaga za razpravo in nadaljnje delo pri pripravi Strateškega načrta SKP 202</w:t>
      </w:r>
      <w:r w:rsidR="0013347D">
        <w:rPr>
          <w:rFonts w:eastAsia="Arial"/>
          <w:sz w:val="16"/>
          <w:szCs w:val="16"/>
        </w:rPr>
        <w:t>3</w:t>
      </w:r>
      <w:r>
        <w:rPr>
          <w:rFonts w:eastAsia="Arial"/>
          <w:sz w:val="16"/>
          <w:szCs w:val="16"/>
        </w:rPr>
        <w:t>−2027. Vsebine, predstavljene v tem delovnem dokumentu, se lahko spremenijo in med nadaljnjo razpravo ustrezno prilagodijo.</w:t>
      </w:r>
    </w:p>
    <w:p w14:paraId="1EEC37C5" w14:textId="77777777" w:rsidR="00C92429" w:rsidRDefault="00C92429" w:rsidP="00C92429">
      <w:pPr>
        <w:spacing w:before="0" w:line="240" w:lineRule="auto"/>
      </w:pPr>
    </w:p>
    <w:p w14:paraId="14A0CCE2" w14:textId="507599EB" w:rsidR="00C92429" w:rsidRDefault="00C92429" w:rsidP="009F3567">
      <w:pPr>
        <w:spacing w:before="0" w:line="276" w:lineRule="auto"/>
        <w:rPr>
          <w:sz w:val="20"/>
          <w:szCs w:val="20"/>
        </w:rPr>
      </w:pPr>
    </w:p>
    <w:p w14:paraId="4A9EA7C9" w14:textId="330D29BC" w:rsidR="00C92429" w:rsidRPr="00FA0AA9" w:rsidRDefault="00C92429" w:rsidP="006249A0">
      <w:pPr>
        <w:spacing w:before="0" w:after="200" w:line="276" w:lineRule="auto"/>
        <w:jc w:val="left"/>
        <w:rPr>
          <w:sz w:val="20"/>
          <w:szCs w:val="20"/>
        </w:rPr>
      </w:pPr>
      <w:r>
        <w:rPr>
          <w:sz w:val="20"/>
          <w:szCs w:val="20"/>
        </w:rPr>
        <w:br w:type="page"/>
      </w:r>
    </w:p>
    <w:sdt>
      <w:sdtPr>
        <w:rPr>
          <w:rFonts w:ascii="Arial" w:eastAsia="Times New Roman" w:hAnsi="Arial" w:cs="Arial"/>
          <w:b w:val="0"/>
          <w:bCs w:val="0"/>
          <w:smallCaps w:val="0"/>
          <w:vanish/>
          <w:color w:val="auto"/>
          <w:sz w:val="22"/>
          <w:szCs w:val="20"/>
          <w:highlight w:val="yellow"/>
          <w:lang w:eastAsia="en-GB"/>
        </w:rPr>
        <w:id w:val="-1670627077"/>
        <w:docPartObj>
          <w:docPartGallery w:val="Table of Contents"/>
          <w:docPartUnique/>
        </w:docPartObj>
      </w:sdtPr>
      <w:sdtEndPr>
        <w:rPr>
          <w:sz w:val="20"/>
        </w:rPr>
      </w:sdtEndPr>
      <w:sdtContent>
        <w:p w14:paraId="2D09EEA3" w14:textId="77777777" w:rsidR="0007738B" w:rsidRPr="009F3567" w:rsidRDefault="00A45F69" w:rsidP="00871B06">
          <w:pPr>
            <w:pStyle w:val="NaslovTOC"/>
            <w:numPr>
              <w:ilvl w:val="0"/>
              <w:numId w:val="0"/>
            </w:numPr>
            <w:ind w:left="432"/>
            <w:rPr>
              <w:rFonts w:ascii="Arial" w:hAnsi="Arial" w:cs="Arial"/>
              <w:color w:val="auto"/>
              <w:szCs w:val="20"/>
            </w:rPr>
          </w:pPr>
          <w:r w:rsidRPr="009F3567">
            <w:rPr>
              <w:rFonts w:ascii="Arial" w:hAnsi="Arial" w:cs="Arial"/>
              <w:color w:val="auto"/>
              <w:szCs w:val="20"/>
            </w:rPr>
            <w:t>Kazalo vsebine</w:t>
          </w:r>
        </w:p>
        <w:p w14:paraId="56CA7F13" w14:textId="1D66554E" w:rsidR="00D25E8B" w:rsidRDefault="00A34306">
          <w:pPr>
            <w:pStyle w:val="Kazalovsebine1"/>
            <w:rPr>
              <w:rFonts w:asciiTheme="minorHAnsi" w:eastAsiaTheme="minorEastAsia" w:hAnsiTheme="minorHAnsi" w:cstheme="minorBidi"/>
              <w:szCs w:val="22"/>
              <w:lang w:eastAsia="sl-SI"/>
            </w:rPr>
          </w:pPr>
          <w:r w:rsidRPr="00852E36">
            <w:rPr>
              <w:sz w:val="20"/>
              <w:szCs w:val="20"/>
            </w:rPr>
            <w:fldChar w:fldCharType="begin"/>
          </w:r>
          <w:r w:rsidR="0007738B" w:rsidRPr="00081CD6">
            <w:rPr>
              <w:sz w:val="20"/>
              <w:szCs w:val="20"/>
            </w:rPr>
            <w:instrText xml:space="preserve"> TOC \o "1-3" \h \z \u </w:instrText>
          </w:r>
          <w:r w:rsidRPr="00852E36">
            <w:rPr>
              <w:sz w:val="20"/>
              <w:szCs w:val="20"/>
            </w:rPr>
            <w:fldChar w:fldCharType="separate"/>
          </w:r>
          <w:hyperlink w:anchor="_Toc90462205" w:history="1">
            <w:r w:rsidR="00D25E8B" w:rsidRPr="007217A7">
              <w:rPr>
                <w:rStyle w:val="Hiperpovezava"/>
              </w:rPr>
              <w:t>1</w:t>
            </w:r>
            <w:r w:rsidR="00D25E8B">
              <w:rPr>
                <w:rFonts w:asciiTheme="minorHAnsi" w:eastAsiaTheme="minorEastAsia" w:hAnsiTheme="minorHAnsi" w:cstheme="minorBidi"/>
                <w:szCs w:val="22"/>
                <w:lang w:eastAsia="sl-SI"/>
              </w:rPr>
              <w:tab/>
            </w:r>
            <w:r w:rsidR="00D25E8B" w:rsidRPr="007217A7">
              <w:rPr>
                <w:rStyle w:val="Hiperpovezava"/>
              </w:rPr>
              <w:t>SEZNAM UPORABLJENIH KRATIC IN SIMBOLOV</w:t>
            </w:r>
            <w:r w:rsidR="00D25E8B">
              <w:rPr>
                <w:webHidden/>
              </w:rPr>
              <w:tab/>
            </w:r>
            <w:r w:rsidR="00D25E8B">
              <w:rPr>
                <w:webHidden/>
              </w:rPr>
              <w:fldChar w:fldCharType="begin"/>
            </w:r>
            <w:r w:rsidR="00D25E8B">
              <w:rPr>
                <w:webHidden/>
              </w:rPr>
              <w:instrText xml:space="preserve"> PAGEREF _Toc90462205 \h </w:instrText>
            </w:r>
            <w:r w:rsidR="00D25E8B">
              <w:rPr>
                <w:webHidden/>
              </w:rPr>
            </w:r>
            <w:r w:rsidR="00D25E8B">
              <w:rPr>
                <w:webHidden/>
              </w:rPr>
              <w:fldChar w:fldCharType="separate"/>
            </w:r>
            <w:r w:rsidR="001E6B9E">
              <w:rPr>
                <w:webHidden/>
              </w:rPr>
              <w:t>13</w:t>
            </w:r>
            <w:r w:rsidR="00D25E8B">
              <w:rPr>
                <w:webHidden/>
              </w:rPr>
              <w:fldChar w:fldCharType="end"/>
            </w:r>
          </w:hyperlink>
        </w:p>
        <w:p w14:paraId="3179E780" w14:textId="2171731B" w:rsidR="00D25E8B" w:rsidRDefault="00FB6BEC">
          <w:pPr>
            <w:pStyle w:val="Kazalovsebine1"/>
            <w:rPr>
              <w:rFonts w:asciiTheme="minorHAnsi" w:eastAsiaTheme="minorEastAsia" w:hAnsiTheme="minorHAnsi" w:cstheme="minorBidi"/>
              <w:szCs w:val="22"/>
              <w:lang w:eastAsia="sl-SI"/>
            </w:rPr>
          </w:pPr>
          <w:hyperlink w:anchor="_Toc90462206" w:history="1">
            <w:r w:rsidR="00D25E8B" w:rsidRPr="007217A7">
              <w:rPr>
                <w:rStyle w:val="Hiperpovezava"/>
              </w:rPr>
              <w:t>2</w:t>
            </w:r>
            <w:r w:rsidR="00D25E8B">
              <w:rPr>
                <w:rFonts w:asciiTheme="minorHAnsi" w:eastAsiaTheme="minorEastAsia" w:hAnsiTheme="minorHAnsi" w:cstheme="minorBidi"/>
                <w:szCs w:val="22"/>
                <w:lang w:eastAsia="sl-SI"/>
              </w:rPr>
              <w:tab/>
            </w:r>
            <w:r w:rsidR="00D25E8B" w:rsidRPr="007217A7">
              <w:rPr>
                <w:rStyle w:val="Hiperpovezava"/>
              </w:rPr>
              <w:t>Uporabljeni kazalniki stanja</w:t>
            </w:r>
            <w:r w:rsidR="00D25E8B">
              <w:rPr>
                <w:webHidden/>
              </w:rPr>
              <w:tab/>
            </w:r>
            <w:r w:rsidR="00D25E8B">
              <w:rPr>
                <w:webHidden/>
              </w:rPr>
              <w:fldChar w:fldCharType="begin"/>
            </w:r>
            <w:r w:rsidR="00D25E8B">
              <w:rPr>
                <w:webHidden/>
              </w:rPr>
              <w:instrText xml:space="preserve"> PAGEREF _Toc90462206 \h </w:instrText>
            </w:r>
            <w:r w:rsidR="00D25E8B">
              <w:rPr>
                <w:webHidden/>
              </w:rPr>
            </w:r>
            <w:r w:rsidR="00D25E8B">
              <w:rPr>
                <w:webHidden/>
              </w:rPr>
              <w:fldChar w:fldCharType="separate"/>
            </w:r>
            <w:r w:rsidR="001E6B9E">
              <w:rPr>
                <w:webHidden/>
              </w:rPr>
              <w:t>14</w:t>
            </w:r>
            <w:r w:rsidR="00D25E8B">
              <w:rPr>
                <w:webHidden/>
              </w:rPr>
              <w:fldChar w:fldCharType="end"/>
            </w:r>
          </w:hyperlink>
        </w:p>
        <w:p w14:paraId="2CB2ED0C" w14:textId="3D47F2C7" w:rsidR="00D25E8B" w:rsidRDefault="00FB6BEC">
          <w:pPr>
            <w:pStyle w:val="Kazalovsebine1"/>
            <w:rPr>
              <w:rFonts w:asciiTheme="minorHAnsi" w:eastAsiaTheme="minorEastAsia" w:hAnsiTheme="minorHAnsi" w:cstheme="minorBidi"/>
              <w:szCs w:val="22"/>
              <w:lang w:eastAsia="sl-SI"/>
            </w:rPr>
          </w:pPr>
          <w:hyperlink w:anchor="_Toc90462207" w:history="1">
            <w:r w:rsidR="00D25E8B" w:rsidRPr="007217A7">
              <w:rPr>
                <w:rStyle w:val="Hiperpovezava"/>
              </w:rPr>
              <w:t>3</w:t>
            </w:r>
            <w:r w:rsidR="00D25E8B">
              <w:rPr>
                <w:rFonts w:asciiTheme="minorHAnsi" w:eastAsiaTheme="minorEastAsia" w:hAnsiTheme="minorHAnsi" w:cstheme="minorBidi"/>
                <w:szCs w:val="22"/>
                <w:lang w:eastAsia="sl-SI"/>
              </w:rPr>
              <w:tab/>
            </w:r>
            <w:r w:rsidR="00D25E8B" w:rsidRPr="007217A7">
              <w:rPr>
                <w:rStyle w:val="Hiperpovezava"/>
              </w:rPr>
              <w:t>Konkurenčnost in produktivnost gospodarstva in kmetijstva v Sloveniji</w:t>
            </w:r>
            <w:r w:rsidR="00D25E8B">
              <w:rPr>
                <w:webHidden/>
              </w:rPr>
              <w:tab/>
            </w:r>
            <w:r w:rsidR="00D25E8B">
              <w:rPr>
                <w:webHidden/>
              </w:rPr>
              <w:fldChar w:fldCharType="begin"/>
            </w:r>
            <w:r w:rsidR="00D25E8B">
              <w:rPr>
                <w:webHidden/>
              </w:rPr>
              <w:instrText xml:space="preserve"> PAGEREF _Toc90462207 \h </w:instrText>
            </w:r>
            <w:r w:rsidR="00D25E8B">
              <w:rPr>
                <w:webHidden/>
              </w:rPr>
            </w:r>
            <w:r w:rsidR="00D25E8B">
              <w:rPr>
                <w:webHidden/>
              </w:rPr>
              <w:fldChar w:fldCharType="separate"/>
            </w:r>
            <w:r w:rsidR="001E6B9E">
              <w:rPr>
                <w:webHidden/>
              </w:rPr>
              <w:t>15</w:t>
            </w:r>
            <w:r w:rsidR="00D25E8B">
              <w:rPr>
                <w:webHidden/>
              </w:rPr>
              <w:fldChar w:fldCharType="end"/>
            </w:r>
          </w:hyperlink>
        </w:p>
        <w:p w14:paraId="673CAD23" w14:textId="190A9EF9" w:rsidR="00D25E8B" w:rsidRDefault="00FB6BEC">
          <w:pPr>
            <w:pStyle w:val="Kazalovsebine2"/>
            <w:rPr>
              <w:rFonts w:asciiTheme="minorHAnsi" w:eastAsiaTheme="minorEastAsia" w:hAnsiTheme="minorHAnsi" w:cstheme="minorBidi"/>
              <w:noProof/>
              <w:szCs w:val="22"/>
              <w:lang w:eastAsia="sl-SI"/>
            </w:rPr>
          </w:pPr>
          <w:hyperlink w:anchor="_Toc90462208" w:history="1">
            <w:r w:rsidR="00D25E8B" w:rsidRPr="007217A7">
              <w:rPr>
                <w:rStyle w:val="Hiperpovezava"/>
                <w:noProof/>
              </w:rPr>
              <w:t>3.1</w:t>
            </w:r>
            <w:r w:rsidR="00D25E8B">
              <w:rPr>
                <w:rFonts w:asciiTheme="minorHAnsi" w:eastAsiaTheme="minorEastAsia" w:hAnsiTheme="minorHAnsi" w:cstheme="minorBidi"/>
                <w:noProof/>
                <w:szCs w:val="22"/>
                <w:lang w:eastAsia="sl-SI"/>
              </w:rPr>
              <w:tab/>
            </w:r>
            <w:r w:rsidR="00D25E8B" w:rsidRPr="007217A7">
              <w:rPr>
                <w:rStyle w:val="Hiperpovezava"/>
                <w:noProof/>
              </w:rPr>
              <w:t>Stanje slovenskega gospodarstva</w:t>
            </w:r>
            <w:r w:rsidR="00D25E8B">
              <w:rPr>
                <w:noProof/>
                <w:webHidden/>
              </w:rPr>
              <w:tab/>
            </w:r>
            <w:r w:rsidR="00D25E8B">
              <w:rPr>
                <w:noProof/>
                <w:webHidden/>
              </w:rPr>
              <w:fldChar w:fldCharType="begin"/>
            </w:r>
            <w:r w:rsidR="00D25E8B">
              <w:rPr>
                <w:noProof/>
                <w:webHidden/>
              </w:rPr>
              <w:instrText xml:space="preserve"> PAGEREF _Toc90462208 \h </w:instrText>
            </w:r>
            <w:r w:rsidR="00D25E8B">
              <w:rPr>
                <w:noProof/>
                <w:webHidden/>
              </w:rPr>
            </w:r>
            <w:r w:rsidR="00D25E8B">
              <w:rPr>
                <w:noProof/>
                <w:webHidden/>
              </w:rPr>
              <w:fldChar w:fldCharType="separate"/>
            </w:r>
            <w:r w:rsidR="001E6B9E">
              <w:rPr>
                <w:noProof/>
                <w:webHidden/>
              </w:rPr>
              <w:t>15</w:t>
            </w:r>
            <w:r w:rsidR="00D25E8B">
              <w:rPr>
                <w:noProof/>
                <w:webHidden/>
              </w:rPr>
              <w:fldChar w:fldCharType="end"/>
            </w:r>
          </w:hyperlink>
        </w:p>
        <w:p w14:paraId="1DCB185E" w14:textId="4D7BA875" w:rsidR="00D25E8B" w:rsidRDefault="00FB6BEC">
          <w:pPr>
            <w:pStyle w:val="Kazalovsebine2"/>
            <w:rPr>
              <w:rFonts w:asciiTheme="minorHAnsi" w:eastAsiaTheme="minorEastAsia" w:hAnsiTheme="minorHAnsi" w:cstheme="minorBidi"/>
              <w:noProof/>
              <w:szCs w:val="22"/>
              <w:lang w:eastAsia="sl-SI"/>
            </w:rPr>
          </w:pPr>
          <w:hyperlink w:anchor="_Toc90462209" w:history="1">
            <w:r w:rsidR="00D25E8B" w:rsidRPr="007217A7">
              <w:rPr>
                <w:rStyle w:val="Hiperpovezava"/>
                <w:noProof/>
              </w:rPr>
              <w:t>3.2</w:t>
            </w:r>
            <w:r w:rsidR="00D25E8B">
              <w:rPr>
                <w:rFonts w:asciiTheme="minorHAnsi" w:eastAsiaTheme="minorEastAsia" w:hAnsiTheme="minorHAnsi" w:cstheme="minorBidi"/>
                <w:noProof/>
                <w:szCs w:val="22"/>
                <w:lang w:eastAsia="sl-SI"/>
              </w:rPr>
              <w:tab/>
            </w:r>
            <w:r w:rsidR="00D25E8B" w:rsidRPr="007217A7">
              <w:rPr>
                <w:rStyle w:val="Hiperpovezava"/>
                <w:noProof/>
              </w:rPr>
              <w:t>Stanje kmetijstva v Sloveniji</w:t>
            </w:r>
            <w:r w:rsidR="00D25E8B">
              <w:rPr>
                <w:noProof/>
                <w:webHidden/>
              </w:rPr>
              <w:tab/>
            </w:r>
            <w:r w:rsidR="00D25E8B">
              <w:rPr>
                <w:noProof/>
                <w:webHidden/>
              </w:rPr>
              <w:fldChar w:fldCharType="begin"/>
            </w:r>
            <w:r w:rsidR="00D25E8B">
              <w:rPr>
                <w:noProof/>
                <w:webHidden/>
              </w:rPr>
              <w:instrText xml:space="preserve"> PAGEREF _Toc90462209 \h </w:instrText>
            </w:r>
            <w:r w:rsidR="00D25E8B">
              <w:rPr>
                <w:noProof/>
                <w:webHidden/>
              </w:rPr>
            </w:r>
            <w:r w:rsidR="00D25E8B">
              <w:rPr>
                <w:noProof/>
                <w:webHidden/>
              </w:rPr>
              <w:fldChar w:fldCharType="separate"/>
            </w:r>
            <w:r w:rsidR="001E6B9E">
              <w:rPr>
                <w:noProof/>
                <w:webHidden/>
              </w:rPr>
              <w:t>19</w:t>
            </w:r>
            <w:r w:rsidR="00D25E8B">
              <w:rPr>
                <w:noProof/>
                <w:webHidden/>
              </w:rPr>
              <w:fldChar w:fldCharType="end"/>
            </w:r>
          </w:hyperlink>
        </w:p>
        <w:p w14:paraId="1372A345" w14:textId="71FF35EE" w:rsidR="00D25E8B" w:rsidRDefault="00FB6BEC">
          <w:pPr>
            <w:pStyle w:val="Kazalovsebine2"/>
            <w:rPr>
              <w:rFonts w:asciiTheme="minorHAnsi" w:eastAsiaTheme="minorEastAsia" w:hAnsiTheme="minorHAnsi" w:cstheme="minorBidi"/>
              <w:noProof/>
              <w:szCs w:val="22"/>
              <w:lang w:eastAsia="sl-SI"/>
            </w:rPr>
          </w:pPr>
          <w:hyperlink w:anchor="_Toc90462210" w:history="1">
            <w:r w:rsidR="00D25E8B" w:rsidRPr="007217A7">
              <w:rPr>
                <w:rStyle w:val="Hiperpovezava"/>
                <w:noProof/>
              </w:rPr>
              <w:t>3.3</w:t>
            </w:r>
            <w:r w:rsidR="00D25E8B">
              <w:rPr>
                <w:rFonts w:asciiTheme="minorHAnsi" w:eastAsiaTheme="minorEastAsia" w:hAnsiTheme="minorHAnsi" w:cstheme="minorBidi"/>
                <w:noProof/>
                <w:szCs w:val="22"/>
                <w:lang w:eastAsia="sl-SI"/>
              </w:rPr>
              <w:tab/>
            </w:r>
            <w:r w:rsidR="00D25E8B" w:rsidRPr="007217A7">
              <w:rPr>
                <w:rStyle w:val="Hiperpovezava"/>
                <w:noProof/>
              </w:rPr>
              <w:t>Strukturne spremembe v kmetijstvu med letoma 2010 in 2020</w:t>
            </w:r>
            <w:r w:rsidR="00D25E8B">
              <w:rPr>
                <w:noProof/>
                <w:webHidden/>
              </w:rPr>
              <w:tab/>
            </w:r>
            <w:r w:rsidR="00D25E8B">
              <w:rPr>
                <w:noProof/>
                <w:webHidden/>
              </w:rPr>
              <w:fldChar w:fldCharType="begin"/>
            </w:r>
            <w:r w:rsidR="00D25E8B">
              <w:rPr>
                <w:noProof/>
                <w:webHidden/>
              </w:rPr>
              <w:instrText xml:space="preserve"> PAGEREF _Toc90462210 \h </w:instrText>
            </w:r>
            <w:r w:rsidR="00D25E8B">
              <w:rPr>
                <w:noProof/>
                <w:webHidden/>
              </w:rPr>
            </w:r>
            <w:r w:rsidR="00D25E8B">
              <w:rPr>
                <w:noProof/>
                <w:webHidden/>
              </w:rPr>
              <w:fldChar w:fldCharType="separate"/>
            </w:r>
            <w:r w:rsidR="001E6B9E">
              <w:rPr>
                <w:noProof/>
                <w:webHidden/>
              </w:rPr>
              <w:t>25</w:t>
            </w:r>
            <w:r w:rsidR="00D25E8B">
              <w:rPr>
                <w:noProof/>
                <w:webHidden/>
              </w:rPr>
              <w:fldChar w:fldCharType="end"/>
            </w:r>
          </w:hyperlink>
        </w:p>
        <w:p w14:paraId="2FEE4EBB" w14:textId="294744E4" w:rsidR="00D25E8B" w:rsidRDefault="00FB6BEC">
          <w:pPr>
            <w:pStyle w:val="Kazalovsebine2"/>
            <w:rPr>
              <w:rFonts w:asciiTheme="minorHAnsi" w:eastAsiaTheme="minorEastAsia" w:hAnsiTheme="minorHAnsi" w:cstheme="minorBidi"/>
              <w:noProof/>
              <w:szCs w:val="22"/>
              <w:lang w:eastAsia="sl-SI"/>
            </w:rPr>
          </w:pPr>
          <w:hyperlink w:anchor="_Toc90462211" w:history="1">
            <w:r w:rsidR="00D25E8B" w:rsidRPr="007217A7">
              <w:rPr>
                <w:rStyle w:val="Hiperpovezava"/>
                <w:noProof/>
              </w:rPr>
              <w:t>3.4</w:t>
            </w:r>
            <w:r w:rsidR="00D25E8B">
              <w:rPr>
                <w:rFonts w:asciiTheme="minorHAnsi" w:eastAsiaTheme="minorEastAsia" w:hAnsiTheme="minorHAnsi" w:cstheme="minorBidi"/>
                <w:noProof/>
                <w:szCs w:val="22"/>
                <w:lang w:eastAsia="sl-SI"/>
              </w:rPr>
              <w:tab/>
            </w:r>
            <w:r w:rsidR="00D25E8B" w:rsidRPr="007217A7">
              <w:rPr>
                <w:rStyle w:val="Hiperpovezava"/>
                <w:noProof/>
              </w:rPr>
              <w:t>Skupna faktorska produktivnost kmetijstva (C.28)</w:t>
            </w:r>
            <w:r w:rsidR="00D25E8B">
              <w:rPr>
                <w:noProof/>
                <w:webHidden/>
              </w:rPr>
              <w:tab/>
            </w:r>
            <w:r w:rsidR="00D25E8B">
              <w:rPr>
                <w:noProof/>
                <w:webHidden/>
              </w:rPr>
              <w:fldChar w:fldCharType="begin"/>
            </w:r>
            <w:r w:rsidR="00D25E8B">
              <w:rPr>
                <w:noProof/>
                <w:webHidden/>
              </w:rPr>
              <w:instrText xml:space="preserve"> PAGEREF _Toc90462211 \h </w:instrText>
            </w:r>
            <w:r w:rsidR="00D25E8B">
              <w:rPr>
                <w:noProof/>
                <w:webHidden/>
              </w:rPr>
            </w:r>
            <w:r w:rsidR="00D25E8B">
              <w:rPr>
                <w:noProof/>
                <w:webHidden/>
              </w:rPr>
              <w:fldChar w:fldCharType="separate"/>
            </w:r>
            <w:r w:rsidR="001E6B9E">
              <w:rPr>
                <w:noProof/>
                <w:webHidden/>
              </w:rPr>
              <w:t>28</w:t>
            </w:r>
            <w:r w:rsidR="00D25E8B">
              <w:rPr>
                <w:noProof/>
                <w:webHidden/>
              </w:rPr>
              <w:fldChar w:fldCharType="end"/>
            </w:r>
          </w:hyperlink>
        </w:p>
        <w:p w14:paraId="644F2C68" w14:textId="32B72673" w:rsidR="00D25E8B" w:rsidRDefault="00FB6BEC">
          <w:pPr>
            <w:pStyle w:val="Kazalovsebine2"/>
            <w:rPr>
              <w:rFonts w:asciiTheme="minorHAnsi" w:eastAsiaTheme="minorEastAsia" w:hAnsiTheme="minorHAnsi" w:cstheme="minorBidi"/>
              <w:noProof/>
              <w:szCs w:val="22"/>
              <w:lang w:eastAsia="sl-SI"/>
            </w:rPr>
          </w:pPr>
          <w:hyperlink w:anchor="_Toc90462212" w:history="1">
            <w:r w:rsidR="00D25E8B" w:rsidRPr="007217A7">
              <w:rPr>
                <w:rStyle w:val="Hiperpovezava"/>
                <w:noProof/>
              </w:rPr>
              <w:t>3.5</w:t>
            </w:r>
            <w:r w:rsidR="00D25E8B">
              <w:rPr>
                <w:rFonts w:asciiTheme="minorHAnsi" w:eastAsiaTheme="minorEastAsia" w:hAnsiTheme="minorHAnsi" w:cstheme="minorBidi"/>
                <w:noProof/>
                <w:szCs w:val="22"/>
                <w:lang w:eastAsia="sl-SI"/>
              </w:rPr>
              <w:tab/>
            </w:r>
            <w:r w:rsidR="00D25E8B" w:rsidRPr="007217A7">
              <w:rPr>
                <w:rStyle w:val="Hiperpovezava"/>
                <w:noProof/>
              </w:rPr>
              <w:t>Produktivnost dela</w:t>
            </w:r>
            <w:r w:rsidR="00D25E8B">
              <w:rPr>
                <w:noProof/>
                <w:webHidden/>
              </w:rPr>
              <w:tab/>
            </w:r>
            <w:r w:rsidR="00D25E8B">
              <w:rPr>
                <w:noProof/>
                <w:webHidden/>
              </w:rPr>
              <w:fldChar w:fldCharType="begin"/>
            </w:r>
            <w:r w:rsidR="00D25E8B">
              <w:rPr>
                <w:noProof/>
                <w:webHidden/>
              </w:rPr>
              <w:instrText xml:space="preserve"> PAGEREF _Toc90462212 \h </w:instrText>
            </w:r>
            <w:r w:rsidR="00D25E8B">
              <w:rPr>
                <w:noProof/>
                <w:webHidden/>
              </w:rPr>
            </w:r>
            <w:r w:rsidR="00D25E8B">
              <w:rPr>
                <w:noProof/>
                <w:webHidden/>
              </w:rPr>
              <w:fldChar w:fldCharType="separate"/>
            </w:r>
            <w:r w:rsidR="001E6B9E">
              <w:rPr>
                <w:noProof/>
                <w:webHidden/>
              </w:rPr>
              <w:t>31</w:t>
            </w:r>
            <w:r w:rsidR="00D25E8B">
              <w:rPr>
                <w:noProof/>
                <w:webHidden/>
              </w:rPr>
              <w:fldChar w:fldCharType="end"/>
            </w:r>
          </w:hyperlink>
        </w:p>
        <w:p w14:paraId="4C676EC4" w14:textId="4B6A7FD8"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13" w:history="1">
            <w:r w:rsidR="00D25E8B" w:rsidRPr="007217A7">
              <w:rPr>
                <w:rStyle w:val="Hiperpovezava"/>
                <w:noProof/>
              </w:rPr>
              <w:t>3.5.1</w:t>
            </w:r>
            <w:r w:rsidR="00D25E8B">
              <w:rPr>
                <w:rFonts w:asciiTheme="minorHAnsi" w:eastAsiaTheme="minorEastAsia" w:hAnsiTheme="minorHAnsi" w:cstheme="minorBidi"/>
                <w:noProof/>
                <w:szCs w:val="22"/>
                <w:lang w:eastAsia="sl-SI"/>
              </w:rPr>
              <w:tab/>
            </w:r>
            <w:r w:rsidR="00D25E8B" w:rsidRPr="007217A7">
              <w:rPr>
                <w:rStyle w:val="Hiperpovezava"/>
                <w:noProof/>
              </w:rPr>
              <w:t>Gibanje obsega delovne sile v kmetijstvu (C.13)</w:t>
            </w:r>
            <w:r w:rsidR="00D25E8B">
              <w:rPr>
                <w:noProof/>
                <w:webHidden/>
              </w:rPr>
              <w:tab/>
            </w:r>
            <w:r w:rsidR="00D25E8B">
              <w:rPr>
                <w:noProof/>
                <w:webHidden/>
              </w:rPr>
              <w:fldChar w:fldCharType="begin"/>
            </w:r>
            <w:r w:rsidR="00D25E8B">
              <w:rPr>
                <w:noProof/>
                <w:webHidden/>
              </w:rPr>
              <w:instrText xml:space="preserve"> PAGEREF _Toc90462213 \h </w:instrText>
            </w:r>
            <w:r w:rsidR="00D25E8B">
              <w:rPr>
                <w:noProof/>
                <w:webHidden/>
              </w:rPr>
            </w:r>
            <w:r w:rsidR="00D25E8B">
              <w:rPr>
                <w:noProof/>
                <w:webHidden/>
              </w:rPr>
              <w:fldChar w:fldCharType="separate"/>
            </w:r>
            <w:r w:rsidR="001E6B9E">
              <w:rPr>
                <w:noProof/>
                <w:webHidden/>
              </w:rPr>
              <w:t>31</w:t>
            </w:r>
            <w:r w:rsidR="00D25E8B">
              <w:rPr>
                <w:noProof/>
                <w:webHidden/>
              </w:rPr>
              <w:fldChar w:fldCharType="end"/>
            </w:r>
          </w:hyperlink>
        </w:p>
        <w:p w14:paraId="37113F01" w14:textId="4667EC31"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14" w:history="1">
            <w:r w:rsidR="00D25E8B" w:rsidRPr="007217A7">
              <w:rPr>
                <w:rStyle w:val="Hiperpovezava"/>
                <w:noProof/>
              </w:rPr>
              <w:t>3.5.2</w:t>
            </w:r>
            <w:r w:rsidR="00D25E8B">
              <w:rPr>
                <w:rFonts w:asciiTheme="minorHAnsi" w:eastAsiaTheme="minorEastAsia" w:hAnsiTheme="minorHAnsi" w:cstheme="minorBidi"/>
                <w:noProof/>
                <w:szCs w:val="22"/>
                <w:lang w:eastAsia="sl-SI"/>
              </w:rPr>
              <w:tab/>
            </w:r>
            <w:r w:rsidR="00D25E8B" w:rsidRPr="007217A7">
              <w:rPr>
                <w:rStyle w:val="Hiperpovezava"/>
                <w:noProof/>
              </w:rPr>
              <w:t>Povprečni vložek delovne sile na kmetijskem gospodarstvu</w:t>
            </w:r>
            <w:r w:rsidR="00D25E8B">
              <w:rPr>
                <w:noProof/>
                <w:webHidden/>
              </w:rPr>
              <w:tab/>
            </w:r>
            <w:r w:rsidR="00D25E8B">
              <w:rPr>
                <w:noProof/>
                <w:webHidden/>
              </w:rPr>
              <w:fldChar w:fldCharType="begin"/>
            </w:r>
            <w:r w:rsidR="00D25E8B">
              <w:rPr>
                <w:noProof/>
                <w:webHidden/>
              </w:rPr>
              <w:instrText xml:space="preserve"> PAGEREF _Toc90462214 \h </w:instrText>
            </w:r>
            <w:r w:rsidR="00D25E8B">
              <w:rPr>
                <w:noProof/>
                <w:webHidden/>
              </w:rPr>
            </w:r>
            <w:r w:rsidR="00D25E8B">
              <w:rPr>
                <w:noProof/>
                <w:webHidden/>
              </w:rPr>
              <w:fldChar w:fldCharType="separate"/>
            </w:r>
            <w:r w:rsidR="001E6B9E">
              <w:rPr>
                <w:noProof/>
                <w:webHidden/>
              </w:rPr>
              <w:t>31</w:t>
            </w:r>
            <w:r w:rsidR="00D25E8B">
              <w:rPr>
                <w:noProof/>
                <w:webHidden/>
              </w:rPr>
              <w:fldChar w:fldCharType="end"/>
            </w:r>
          </w:hyperlink>
        </w:p>
        <w:p w14:paraId="2BAACF20" w14:textId="07364B80"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15" w:history="1">
            <w:r w:rsidR="00D25E8B" w:rsidRPr="007217A7">
              <w:rPr>
                <w:rStyle w:val="Hiperpovezava"/>
                <w:noProof/>
              </w:rPr>
              <w:t>3.5.3</w:t>
            </w:r>
            <w:r w:rsidR="00D25E8B">
              <w:rPr>
                <w:rFonts w:asciiTheme="minorHAnsi" w:eastAsiaTheme="minorEastAsia" w:hAnsiTheme="minorHAnsi" w:cstheme="minorBidi"/>
                <w:noProof/>
                <w:szCs w:val="22"/>
                <w:lang w:eastAsia="sl-SI"/>
              </w:rPr>
              <w:tab/>
            </w:r>
            <w:r w:rsidR="00D25E8B" w:rsidRPr="007217A7">
              <w:rPr>
                <w:rStyle w:val="Hiperpovezava"/>
                <w:noProof/>
              </w:rPr>
              <w:t>Dodana vrednost na enoto dela (C.29)</w:t>
            </w:r>
            <w:r w:rsidR="00D25E8B">
              <w:rPr>
                <w:noProof/>
                <w:webHidden/>
              </w:rPr>
              <w:tab/>
            </w:r>
            <w:r w:rsidR="00D25E8B">
              <w:rPr>
                <w:noProof/>
                <w:webHidden/>
              </w:rPr>
              <w:fldChar w:fldCharType="begin"/>
            </w:r>
            <w:r w:rsidR="00D25E8B">
              <w:rPr>
                <w:noProof/>
                <w:webHidden/>
              </w:rPr>
              <w:instrText xml:space="preserve"> PAGEREF _Toc90462215 \h </w:instrText>
            </w:r>
            <w:r w:rsidR="00D25E8B">
              <w:rPr>
                <w:noProof/>
                <w:webHidden/>
              </w:rPr>
            </w:r>
            <w:r w:rsidR="00D25E8B">
              <w:rPr>
                <w:noProof/>
                <w:webHidden/>
              </w:rPr>
              <w:fldChar w:fldCharType="separate"/>
            </w:r>
            <w:r w:rsidR="001E6B9E">
              <w:rPr>
                <w:noProof/>
                <w:webHidden/>
              </w:rPr>
              <w:t>33</w:t>
            </w:r>
            <w:r w:rsidR="00D25E8B">
              <w:rPr>
                <w:noProof/>
                <w:webHidden/>
              </w:rPr>
              <w:fldChar w:fldCharType="end"/>
            </w:r>
          </w:hyperlink>
        </w:p>
        <w:p w14:paraId="52D8B639" w14:textId="678B6D34" w:rsidR="00D25E8B" w:rsidRDefault="00FB6BEC">
          <w:pPr>
            <w:pStyle w:val="Kazalovsebine2"/>
            <w:rPr>
              <w:rFonts w:asciiTheme="minorHAnsi" w:eastAsiaTheme="minorEastAsia" w:hAnsiTheme="minorHAnsi" w:cstheme="minorBidi"/>
              <w:noProof/>
              <w:szCs w:val="22"/>
              <w:lang w:eastAsia="sl-SI"/>
            </w:rPr>
          </w:pPr>
          <w:hyperlink w:anchor="_Toc90462216" w:history="1">
            <w:r w:rsidR="00D25E8B" w:rsidRPr="007217A7">
              <w:rPr>
                <w:rStyle w:val="Hiperpovezava"/>
                <w:noProof/>
              </w:rPr>
              <w:t>3.6</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_Toc90462216 \h </w:instrText>
            </w:r>
            <w:r w:rsidR="00D25E8B">
              <w:rPr>
                <w:noProof/>
                <w:webHidden/>
              </w:rPr>
            </w:r>
            <w:r w:rsidR="00D25E8B">
              <w:rPr>
                <w:noProof/>
                <w:webHidden/>
              </w:rPr>
              <w:fldChar w:fldCharType="separate"/>
            </w:r>
            <w:r w:rsidR="001E6B9E">
              <w:rPr>
                <w:noProof/>
                <w:webHidden/>
              </w:rPr>
              <w:t>35</w:t>
            </w:r>
            <w:r w:rsidR="00D25E8B">
              <w:rPr>
                <w:noProof/>
                <w:webHidden/>
              </w:rPr>
              <w:fldChar w:fldCharType="end"/>
            </w:r>
          </w:hyperlink>
        </w:p>
        <w:p w14:paraId="5ED37A01" w14:textId="12CC4B45" w:rsidR="00D25E8B" w:rsidRDefault="00FB6BEC">
          <w:pPr>
            <w:pStyle w:val="Kazalovsebine1"/>
            <w:rPr>
              <w:rFonts w:asciiTheme="minorHAnsi" w:eastAsiaTheme="minorEastAsia" w:hAnsiTheme="minorHAnsi" w:cstheme="minorBidi"/>
              <w:szCs w:val="22"/>
              <w:lang w:eastAsia="sl-SI"/>
            </w:rPr>
          </w:pPr>
          <w:hyperlink w:anchor="_Toc90462217" w:history="1">
            <w:r w:rsidR="00D25E8B" w:rsidRPr="007217A7">
              <w:rPr>
                <w:rStyle w:val="Hiperpovezava"/>
              </w:rPr>
              <w:t>4</w:t>
            </w:r>
            <w:r w:rsidR="00D25E8B">
              <w:rPr>
                <w:rFonts w:asciiTheme="minorHAnsi" w:eastAsiaTheme="minorEastAsia" w:hAnsiTheme="minorHAnsi" w:cstheme="minorBidi"/>
                <w:szCs w:val="22"/>
                <w:lang w:eastAsia="sl-SI"/>
              </w:rPr>
              <w:tab/>
            </w:r>
            <w:r w:rsidR="00D25E8B" w:rsidRPr="007217A7">
              <w:rPr>
                <w:rStyle w:val="Hiperpovezava"/>
              </w:rPr>
              <w:t>Produktivnost kapitala</w:t>
            </w:r>
            <w:r w:rsidR="00D25E8B">
              <w:rPr>
                <w:webHidden/>
              </w:rPr>
              <w:tab/>
            </w:r>
            <w:r w:rsidR="00D25E8B">
              <w:rPr>
                <w:webHidden/>
              </w:rPr>
              <w:fldChar w:fldCharType="begin"/>
            </w:r>
            <w:r w:rsidR="00D25E8B">
              <w:rPr>
                <w:webHidden/>
              </w:rPr>
              <w:instrText xml:space="preserve"> PAGEREF _Toc90462217 \h </w:instrText>
            </w:r>
            <w:r w:rsidR="00D25E8B">
              <w:rPr>
                <w:webHidden/>
              </w:rPr>
            </w:r>
            <w:r w:rsidR="00D25E8B">
              <w:rPr>
                <w:webHidden/>
              </w:rPr>
              <w:fldChar w:fldCharType="separate"/>
            </w:r>
            <w:r w:rsidR="001E6B9E">
              <w:rPr>
                <w:webHidden/>
              </w:rPr>
              <w:t>36</w:t>
            </w:r>
            <w:r w:rsidR="00D25E8B">
              <w:rPr>
                <w:webHidden/>
              </w:rPr>
              <w:fldChar w:fldCharType="end"/>
            </w:r>
          </w:hyperlink>
        </w:p>
        <w:p w14:paraId="71FC5546" w14:textId="6A491994" w:rsidR="00D25E8B" w:rsidRDefault="00FB6BEC">
          <w:pPr>
            <w:pStyle w:val="Kazalovsebine2"/>
            <w:rPr>
              <w:rFonts w:asciiTheme="minorHAnsi" w:eastAsiaTheme="minorEastAsia" w:hAnsiTheme="minorHAnsi" w:cstheme="minorBidi"/>
              <w:noProof/>
              <w:szCs w:val="22"/>
              <w:lang w:eastAsia="sl-SI"/>
            </w:rPr>
          </w:pPr>
          <w:hyperlink w:anchor="_Toc90462218" w:history="1">
            <w:r w:rsidR="00D25E8B" w:rsidRPr="007217A7">
              <w:rPr>
                <w:rStyle w:val="Hiperpovezava"/>
                <w:noProof/>
              </w:rPr>
              <w:t>4.1</w:t>
            </w:r>
            <w:r w:rsidR="00D25E8B">
              <w:rPr>
                <w:rFonts w:asciiTheme="minorHAnsi" w:eastAsiaTheme="minorEastAsia" w:hAnsiTheme="minorHAnsi" w:cstheme="minorBidi"/>
                <w:noProof/>
                <w:szCs w:val="22"/>
                <w:lang w:eastAsia="sl-SI"/>
              </w:rPr>
              <w:tab/>
            </w:r>
            <w:r w:rsidR="00D25E8B" w:rsidRPr="007217A7">
              <w:rPr>
                <w:rStyle w:val="Hiperpovezava"/>
                <w:noProof/>
              </w:rPr>
              <w:t>Bruto naložbe v osnovna sredstva v kmetijstvu (C. 27)</w:t>
            </w:r>
            <w:r w:rsidR="00D25E8B">
              <w:rPr>
                <w:noProof/>
                <w:webHidden/>
              </w:rPr>
              <w:tab/>
            </w:r>
            <w:r w:rsidR="00D25E8B">
              <w:rPr>
                <w:noProof/>
                <w:webHidden/>
              </w:rPr>
              <w:fldChar w:fldCharType="begin"/>
            </w:r>
            <w:r w:rsidR="00D25E8B">
              <w:rPr>
                <w:noProof/>
                <w:webHidden/>
              </w:rPr>
              <w:instrText xml:space="preserve"> PAGEREF _Toc90462218 \h </w:instrText>
            </w:r>
            <w:r w:rsidR="00D25E8B">
              <w:rPr>
                <w:noProof/>
                <w:webHidden/>
              </w:rPr>
            </w:r>
            <w:r w:rsidR="00D25E8B">
              <w:rPr>
                <w:noProof/>
                <w:webHidden/>
              </w:rPr>
              <w:fldChar w:fldCharType="separate"/>
            </w:r>
            <w:r w:rsidR="001E6B9E">
              <w:rPr>
                <w:noProof/>
                <w:webHidden/>
              </w:rPr>
              <w:t>37</w:t>
            </w:r>
            <w:r w:rsidR="00D25E8B">
              <w:rPr>
                <w:noProof/>
                <w:webHidden/>
              </w:rPr>
              <w:fldChar w:fldCharType="end"/>
            </w:r>
          </w:hyperlink>
        </w:p>
        <w:p w14:paraId="78604142" w14:textId="3DEEDEE4"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19" w:history="1">
            <w:r w:rsidR="00D25E8B" w:rsidRPr="007217A7">
              <w:rPr>
                <w:rStyle w:val="Hiperpovezava"/>
                <w:rFonts w:eastAsiaTheme="minorHAnsi"/>
                <w:noProof/>
              </w:rPr>
              <w:t>4.1.1</w:t>
            </w:r>
            <w:r w:rsidR="00D25E8B">
              <w:rPr>
                <w:rFonts w:asciiTheme="minorHAnsi" w:eastAsiaTheme="minorEastAsia" w:hAnsiTheme="minorHAnsi" w:cstheme="minorBidi"/>
                <w:noProof/>
                <w:szCs w:val="22"/>
                <w:lang w:eastAsia="sl-SI"/>
              </w:rPr>
              <w:tab/>
            </w:r>
            <w:r w:rsidR="00D25E8B" w:rsidRPr="007217A7">
              <w:rPr>
                <w:rStyle w:val="Hiperpovezava"/>
                <w:rFonts w:eastAsiaTheme="minorHAnsi"/>
                <w:noProof/>
              </w:rPr>
              <w:t>Investicije v kmetijstvu preko PRP 2007–2013 in PRP 2014-2020</w:t>
            </w:r>
            <w:r w:rsidR="00D25E8B">
              <w:rPr>
                <w:noProof/>
                <w:webHidden/>
              </w:rPr>
              <w:tab/>
            </w:r>
            <w:r w:rsidR="00D25E8B">
              <w:rPr>
                <w:noProof/>
                <w:webHidden/>
              </w:rPr>
              <w:fldChar w:fldCharType="begin"/>
            </w:r>
            <w:r w:rsidR="00D25E8B">
              <w:rPr>
                <w:noProof/>
                <w:webHidden/>
              </w:rPr>
              <w:instrText xml:space="preserve"> PAGEREF _Toc90462219 \h </w:instrText>
            </w:r>
            <w:r w:rsidR="00D25E8B">
              <w:rPr>
                <w:noProof/>
                <w:webHidden/>
              </w:rPr>
            </w:r>
            <w:r w:rsidR="00D25E8B">
              <w:rPr>
                <w:noProof/>
                <w:webHidden/>
              </w:rPr>
              <w:fldChar w:fldCharType="separate"/>
            </w:r>
            <w:r w:rsidR="001E6B9E">
              <w:rPr>
                <w:noProof/>
                <w:webHidden/>
              </w:rPr>
              <w:t>41</w:t>
            </w:r>
            <w:r w:rsidR="00D25E8B">
              <w:rPr>
                <w:noProof/>
                <w:webHidden/>
              </w:rPr>
              <w:fldChar w:fldCharType="end"/>
            </w:r>
          </w:hyperlink>
        </w:p>
        <w:p w14:paraId="1FB4714C" w14:textId="131FA9F8"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20" w:history="1">
            <w:r w:rsidR="00D25E8B" w:rsidRPr="007217A7">
              <w:rPr>
                <w:rStyle w:val="Hiperpovezava"/>
                <w:rFonts w:eastAsiaTheme="minorHAnsi"/>
                <w:bCs/>
                <w:noProof/>
              </w:rPr>
              <w:t>4.1.2</w:t>
            </w:r>
            <w:r w:rsidR="00D25E8B">
              <w:rPr>
                <w:rFonts w:asciiTheme="minorHAnsi" w:eastAsiaTheme="minorEastAsia" w:hAnsiTheme="minorHAnsi" w:cstheme="minorBidi"/>
                <w:noProof/>
                <w:szCs w:val="22"/>
                <w:lang w:eastAsia="sl-SI"/>
              </w:rPr>
              <w:tab/>
            </w:r>
            <w:r w:rsidR="00D25E8B" w:rsidRPr="007217A7">
              <w:rPr>
                <w:rStyle w:val="Hiperpovezava"/>
                <w:rFonts w:eastAsiaTheme="minorHAnsi"/>
                <w:noProof/>
              </w:rPr>
              <w:t>Kolektivne naložbe v kmetijstvu</w:t>
            </w:r>
            <w:r w:rsidR="00D25E8B">
              <w:rPr>
                <w:noProof/>
                <w:webHidden/>
              </w:rPr>
              <w:tab/>
            </w:r>
            <w:r w:rsidR="00D25E8B">
              <w:rPr>
                <w:noProof/>
                <w:webHidden/>
              </w:rPr>
              <w:fldChar w:fldCharType="begin"/>
            </w:r>
            <w:r w:rsidR="00D25E8B">
              <w:rPr>
                <w:noProof/>
                <w:webHidden/>
              </w:rPr>
              <w:instrText xml:space="preserve"> PAGEREF _Toc90462220 \h </w:instrText>
            </w:r>
            <w:r w:rsidR="00D25E8B">
              <w:rPr>
                <w:noProof/>
                <w:webHidden/>
              </w:rPr>
            </w:r>
            <w:r w:rsidR="00D25E8B">
              <w:rPr>
                <w:noProof/>
                <w:webHidden/>
              </w:rPr>
              <w:fldChar w:fldCharType="separate"/>
            </w:r>
            <w:r w:rsidR="001E6B9E">
              <w:rPr>
                <w:noProof/>
                <w:webHidden/>
              </w:rPr>
              <w:t>45</w:t>
            </w:r>
            <w:r w:rsidR="00D25E8B">
              <w:rPr>
                <w:noProof/>
                <w:webHidden/>
              </w:rPr>
              <w:fldChar w:fldCharType="end"/>
            </w:r>
          </w:hyperlink>
        </w:p>
        <w:p w14:paraId="686B2EDF" w14:textId="5CABF859" w:rsidR="00D25E8B" w:rsidRDefault="00FB6BEC">
          <w:pPr>
            <w:pStyle w:val="Kazalovsebine2"/>
            <w:rPr>
              <w:rFonts w:asciiTheme="minorHAnsi" w:eastAsiaTheme="minorEastAsia" w:hAnsiTheme="minorHAnsi" w:cstheme="minorBidi"/>
              <w:noProof/>
              <w:szCs w:val="22"/>
              <w:lang w:eastAsia="sl-SI"/>
            </w:rPr>
          </w:pPr>
          <w:hyperlink w:anchor="_Toc90462224" w:history="1">
            <w:r w:rsidR="00D25E8B" w:rsidRPr="007217A7">
              <w:rPr>
                <w:rStyle w:val="Hiperpovezava"/>
                <w:noProof/>
              </w:rPr>
              <w:t>4.2</w:t>
            </w:r>
            <w:r w:rsidR="00D25E8B">
              <w:rPr>
                <w:rFonts w:asciiTheme="minorHAnsi" w:eastAsiaTheme="minorEastAsia" w:hAnsiTheme="minorHAnsi" w:cstheme="minorBidi"/>
                <w:noProof/>
                <w:szCs w:val="22"/>
                <w:lang w:eastAsia="sl-SI"/>
              </w:rPr>
              <w:tab/>
            </w:r>
            <w:r w:rsidR="00D25E8B" w:rsidRPr="007217A7">
              <w:rPr>
                <w:rStyle w:val="Hiperpovezava"/>
                <w:noProof/>
              </w:rPr>
              <w:t>Amortizacija osnovnih sredstev</w:t>
            </w:r>
            <w:r w:rsidR="00D25E8B">
              <w:rPr>
                <w:noProof/>
                <w:webHidden/>
              </w:rPr>
              <w:tab/>
            </w:r>
            <w:r w:rsidR="00D25E8B">
              <w:rPr>
                <w:noProof/>
                <w:webHidden/>
              </w:rPr>
              <w:fldChar w:fldCharType="begin"/>
            </w:r>
            <w:r w:rsidR="00D25E8B">
              <w:rPr>
                <w:noProof/>
                <w:webHidden/>
              </w:rPr>
              <w:instrText xml:space="preserve"> PAGEREF _Toc90462224 \h </w:instrText>
            </w:r>
            <w:r w:rsidR="00D25E8B">
              <w:rPr>
                <w:noProof/>
                <w:webHidden/>
              </w:rPr>
            </w:r>
            <w:r w:rsidR="00D25E8B">
              <w:rPr>
                <w:noProof/>
                <w:webHidden/>
              </w:rPr>
              <w:fldChar w:fldCharType="separate"/>
            </w:r>
            <w:r w:rsidR="001E6B9E">
              <w:rPr>
                <w:noProof/>
                <w:webHidden/>
              </w:rPr>
              <w:t>47</w:t>
            </w:r>
            <w:r w:rsidR="00D25E8B">
              <w:rPr>
                <w:noProof/>
                <w:webHidden/>
              </w:rPr>
              <w:fldChar w:fldCharType="end"/>
            </w:r>
          </w:hyperlink>
        </w:p>
        <w:p w14:paraId="72F21F0A" w14:textId="1B9A6635" w:rsidR="00D25E8B" w:rsidRDefault="00FB6BEC">
          <w:pPr>
            <w:pStyle w:val="Kazalovsebine2"/>
            <w:rPr>
              <w:rFonts w:asciiTheme="minorHAnsi" w:eastAsiaTheme="minorEastAsia" w:hAnsiTheme="minorHAnsi" w:cstheme="minorBidi"/>
              <w:noProof/>
              <w:szCs w:val="22"/>
              <w:lang w:eastAsia="sl-SI"/>
            </w:rPr>
          </w:pPr>
          <w:hyperlink w:anchor="_Toc90462225" w:history="1">
            <w:r w:rsidR="00D25E8B" w:rsidRPr="007217A7">
              <w:rPr>
                <w:rStyle w:val="Hiperpovezava"/>
                <w:noProof/>
              </w:rPr>
              <w:t>4.3</w:t>
            </w:r>
            <w:r w:rsidR="00D25E8B">
              <w:rPr>
                <w:rFonts w:asciiTheme="minorHAnsi" w:eastAsiaTheme="minorEastAsia" w:hAnsiTheme="minorHAnsi" w:cstheme="minorBidi"/>
                <w:noProof/>
                <w:szCs w:val="22"/>
                <w:lang w:eastAsia="sl-SI"/>
              </w:rPr>
              <w:tab/>
            </w:r>
            <w:r w:rsidR="00D25E8B" w:rsidRPr="007217A7">
              <w:rPr>
                <w:rStyle w:val="Hiperpovezava"/>
                <w:noProof/>
              </w:rPr>
              <w:t>Potrebe po financiranju, dostop do finančnih sredstev in finančna vrzel v kmetijskem sektorju v Sloveniji</w:t>
            </w:r>
            <w:r w:rsidR="00D25E8B">
              <w:rPr>
                <w:noProof/>
                <w:webHidden/>
              </w:rPr>
              <w:tab/>
            </w:r>
            <w:r w:rsidR="00D25E8B">
              <w:rPr>
                <w:noProof/>
                <w:webHidden/>
              </w:rPr>
              <w:fldChar w:fldCharType="begin"/>
            </w:r>
            <w:r w:rsidR="00D25E8B">
              <w:rPr>
                <w:noProof/>
                <w:webHidden/>
              </w:rPr>
              <w:instrText xml:space="preserve"> PAGEREF _Toc90462225 \h </w:instrText>
            </w:r>
            <w:r w:rsidR="00D25E8B">
              <w:rPr>
                <w:noProof/>
                <w:webHidden/>
              </w:rPr>
            </w:r>
            <w:r w:rsidR="00D25E8B">
              <w:rPr>
                <w:noProof/>
                <w:webHidden/>
              </w:rPr>
              <w:fldChar w:fldCharType="separate"/>
            </w:r>
            <w:r w:rsidR="001E6B9E">
              <w:rPr>
                <w:noProof/>
                <w:webHidden/>
              </w:rPr>
              <w:t>48</w:t>
            </w:r>
            <w:r w:rsidR="00D25E8B">
              <w:rPr>
                <w:noProof/>
                <w:webHidden/>
              </w:rPr>
              <w:fldChar w:fldCharType="end"/>
            </w:r>
          </w:hyperlink>
        </w:p>
        <w:p w14:paraId="4D9DB067" w14:textId="44ED4897" w:rsidR="00D25E8B" w:rsidRDefault="00FB6BEC">
          <w:pPr>
            <w:pStyle w:val="Kazalovsebine2"/>
            <w:rPr>
              <w:rFonts w:asciiTheme="minorHAnsi" w:eastAsiaTheme="minorEastAsia" w:hAnsiTheme="minorHAnsi" w:cstheme="minorBidi"/>
              <w:noProof/>
              <w:szCs w:val="22"/>
              <w:lang w:eastAsia="sl-SI"/>
            </w:rPr>
          </w:pPr>
          <w:hyperlink w:anchor="_Toc90462226" w:history="1">
            <w:r w:rsidR="00D25E8B" w:rsidRPr="007217A7">
              <w:rPr>
                <w:rStyle w:val="Hiperpovezava"/>
                <w:noProof/>
              </w:rPr>
              <w:t>4.4</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_Toc90462226 \h </w:instrText>
            </w:r>
            <w:r w:rsidR="00D25E8B">
              <w:rPr>
                <w:noProof/>
                <w:webHidden/>
              </w:rPr>
            </w:r>
            <w:r w:rsidR="00D25E8B">
              <w:rPr>
                <w:noProof/>
                <w:webHidden/>
              </w:rPr>
              <w:fldChar w:fldCharType="separate"/>
            </w:r>
            <w:r w:rsidR="001E6B9E">
              <w:rPr>
                <w:noProof/>
                <w:webHidden/>
              </w:rPr>
              <w:t>50</w:t>
            </w:r>
            <w:r w:rsidR="00D25E8B">
              <w:rPr>
                <w:noProof/>
                <w:webHidden/>
              </w:rPr>
              <w:fldChar w:fldCharType="end"/>
            </w:r>
          </w:hyperlink>
        </w:p>
        <w:p w14:paraId="35853D4E" w14:textId="3E65E64E" w:rsidR="00D25E8B" w:rsidRDefault="00FB6BEC">
          <w:pPr>
            <w:pStyle w:val="Kazalovsebine1"/>
            <w:rPr>
              <w:rFonts w:asciiTheme="minorHAnsi" w:eastAsiaTheme="minorEastAsia" w:hAnsiTheme="minorHAnsi" w:cstheme="minorBidi"/>
              <w:szCs w:val="22"/>
              <w:lang w:eastAsia="sl-SI"/>
            </w:rPr>
          </w:pPr>
          <w:hyperlink w:anchor="_Toc90462227" w:history="1">
            <w:r w:rsidR="00D25E8B" w:rsidRPr="007217A7">
              <w:rPr>
                <w:rStyle w:val="Hiperpovezava"/>
              </w:rPr>
              <w:t>5</w:t>
            </w:r>
            <w:r w:rsidR="00D25E8B">
              <w:rPr>
                <w:rFonts w:asciiTheme="minorHAnsi" w:eastAsiaTheme="minorEastAsia" w:hAnsiTheme="minorHAnsi" w:cstheme="minorBidi"/>
                <w:szCs w:val="22"/>
                <w:lang w:eastAsia="sl-SI"/>
              </w:rPr>
              <w:tab/>
            </w:r>
            <w:r w:rsidR="00D25E8B" w:rsidRPr="007217A7">
              <w:rPr>
                <w:rStyle w:val="Hiperpovezava"/>
              </w:rPr>
              <w:t>Proizvodni potencial in dostop do kmetijskih zemljišč</w:t>
            </w:r>
            <w:r w:rsidR="00D25E8B">
              <w:rPr>
                <w:webHidden/>
              </w:rPr>
              <w:tab/>
            </w:r>
            <w:r w:rsidR="00D25E8B">
              <w:rPr>
                <w:webHidden/>
              </w:rPr>
              <w:fldChar w:fldCharType="begin"/>
            </w:r>
            <w:r w:rsidR="00D25E8B">
              <w:rPr>
                <w:webHidden/>
              </w:rPr>
              <w:instrText xml:space="preserve"> PAGEREF _Toc90462227 \h </w:instrText>
            </w:r>
            <w:r w:rsidR="00D25E8B">
              <w:rPr>
                <w:webHidden/>
              </w:rPr>
            </w:r>
            <w:r w:rsidR="00D25E8B">
              <w:rPr>
                <w:webHidden/>
              </w:rPr>
              <w:fldChar w:fldCharType="separate"/>
            </w:r>
            <w:r w:rsidR="001E6B9E">
              <w:rPr>
                <w:webHidden/>
              </w:rPr>
              <w:t>51</w:t>
            </w:r>
            <w:r w:rsidR="00D25E8B">
              <w:rPr>
                <w:webHidden/>
              </w:rPr>
              <w:fldChar w:fldCharType="end"/>
            </w:r>
          </w:hyperlink>
        </w:p>
        <w:p w14:paraId="538DA3AA" w14:textId="67EDA32D" w:rsidR="00D25E8B" w:rsidRDefault="00FB6BEC">
          <w:pPr>
            <w:pStyle w:val="Kazalovsebine2"/>
            <w:rPr>
              <w:rFonts w:asciiTheme="minorHAnsi" w:eastAsiaTheme="minorEastAsia" w:hAnsiTheme="minorHAnsi" w:cstheme="minorBidi"/>
              <w:noProof/>
              <w:szCs w:val="22"/>
              <w:lang w:eastAsia="sl-SI"/>
            </w:rPr>
          </w:pPr>
          <w:hyperlink w:anchor="_Toc90462228" w:history="1">
            <w:r w:rsidR="00D25E8B" w:rsidRPr="007217A7">
              <w:rPr>
                <w:rStyle w:val="Hiperpovezava"/>
                <w:noProof/>
              </w:rPr>
              <w:t>5.1</w:t>
            </w:r>
            <w:r w:rsidR="00D25E8B">
              <w:rPr>
                <w:rFonts w:asciiTheme="minorHAnsi" w:eastAsiaTheme="minorEastAsia" w:hAnsiTheme="minorHAnsi" w:cstheme="minorBidi"/>
                <w:noProof/>
                <w:szCs w:val="22"/>
                <w:lang w:eastAsia="sl-SI"/>
              </w:rPr>
              <w:tab/>
            </w:r>
            <w:r w:rsidR="00D25E8B" w:rsidRPr="007217A7">
              <w:rPr>
                <w:rStyle w:val="Hiperpovezava"/>
                <w:noProof/>
              </w:rPr>
              <w:t>Razdrobljenost kmetijskih zemljišč</w:t>
            </w:r>
            <w:r w:rsidR="00D25E8B">
              <w:rPr>
                <w:noProof/>
                <w:webHidden/>
              </w:rPr>
              <w:tab/>
            </w:r>
            <w:r w:rsidR="00D25E8B">
              <w:rPr>
                <w:noProof/>
                <w:webHidden/>
              </w:rPr>
              <w:fldChar w:fldCharType="begin"/>
            </w:r>
            <w:r w:rsidR="00D25E8B">
              <w:rPr>
                <w:noProof/>
                <w:webHidden/>
              </w:rPr>
              <w:instrText xml:space="preserve"> PAGEREF _Toc90462228 \h </w:instrText>
            </w:r>
            <w:r w:rsidR="00D25E8B">
              <w:rPr>
                <w:noProof/>
                <w:webHidden/>
              </w:rPr>
            </w:r>
            <w:r w:rsidR="00D25E8B">
              <w:rPr>
                <w:noProof/>
                <w:webHidden/>
              </w:rPr>
              <w:fldChar w:fldCharType="separate"/>
            </w:r>
            <w:r w:rsidR="001E6B9E">
              <w:rPr>
                <w:noProof/>
                <w:webHidden/>
              </w:rPr>
              <w:t>52</w:t>
            </w:r>
            <w:r w:rsidR="00D25E8B">
              <w:rPr>
                <w:noProof/>
                <w:webHidden/>
              </w:rPr>
              <w:fldChar w:fldCharType="end"/>
            </w:r>
          </w:hyperlink>
        </w:p>
        <w:p w14:paraId="7BCC91C9" w14:textId="04D311E7" w:rsidR="00D25E8B" w:rsidRDefault="00FB6BEC">
          <w:pPr>
            <w:pStyle w:val="Kazalovsebine2"/>
            <w:rPr>
              <w:rFonts w:asciiTheme="minorHAnsi" w:eastAsiaTheme="minorEastAsia" w:hAnsiTheme="minorHAnsi" w:cstheme="minorBidi"/>
              <w:noProof/>
              <w:szCs w:val="22"/>
              <w:lang w:eastAsia="sl-SI"/>
            </w:rPr>
          </w:pPr>
          <w:hyperlink w:anchor="_Toc90462229" w:history="1">
            <w:r w:rsidR="00D25E8B" w:rsidRPr="007217A7">
              <w:rPr>
                <w:rStyle w:val="Hiperpovezava"/>
                <w:noProof/>
              </w:rPr>
              <w:t>5.2</w:t>
            </w:r>
            <w:r w:rsidR="00D25E8B">
              <w:rPr>
                <w:rFonts w:asciiTheme="minorHAnsi" w:eastAsiaTheme="minorEastAsia" w:hAnsiTheme="minorHAnsi" w:cstheme="minorBidi"/>
                <w:noProof/>
                <w:szCs w:val="22"/>
                <w:lang w:eastAsia="sl-SI"/>
              </w:rPr>
              <w:tab/>
            </w:r>
            <w:r w:rsidR="00D25E8B" w:rsidRPr="007217A7">
              <w:rPr>
                <w:rStyle w:val="Hiperpovezava"/>
                <w:noProof/>
              </w:rPr>
              <w:t>Dostop do kmetijskih zemljišč</w:t>
            </w:r>
            <w:r w:rsidR="00D25E8B">
              <w:rPr>
                <w:noProof/>
                <w:webHidden/>
              </w:rPr>
              <w:tab/>
            </w:r>
            <w:r w:rsidR="00D25E8B">
              <w:rPr>
                <w:noProof/>
                <w:webHidden/>
              </w:rPr>
              <w:fldChar w:fldCharType="begin"/>
            </w:r>
            <w:r w:rsidR="00D25E8B">
              <w:rPr>
                <w:noProof/>
                <w:webHidden/>
              </w:rPr>
              <w:instrText xml:space="preserve"> PAGEREF _Toc90462229 \h </w:instrText>
            </w:r>
            <w:r w:rsidR="00D25E8B">
              <w:rPr>
                <w:noProof/>
                <w:webHidden/>
              </w:rPr>
            </w:r>
            <w:r w:rsidR="00D25E8B">
              <w:rPr>
                <w:noProof/>
                <w:webHidden/>
              </w:rPr>
              <w:fldChar w:fldCharType="separate"/>
            </w:r>
            <w:r w:rsidR="001E6B9E">
              <w:rPr>
                <w:noProof/>
                <w:webHidden/>
              </w:rPr>
              <w:t>55</w:t>
            </w:r>
            <w:r w:rsidR="00D25E8B">
              <w:rPr>
                <w:noProof/>
                <w:webHidden/>
              </w:rPr>
              <w:fldChar w:fldCharType="end"/>
            </w:r>
          </w:hyperlink>
        </w:p>
        <w:p w14:paraId="7201D4D6" w14:textId="4D138050" w:rsidR="00D25E8B" w:rsidRDefault="00FB6BEC">
          <w:pPr>
            <w:pStyle w:val="Kazalovsebine2"/>
            <w:rPr>
              <w:rFonts w:asciiTheme="minorHAnsi" w:eastAsiaTheme="minorEastAsia" w:hAnsiTheme="minorHAnsi" w:cstheme="minorBidi"/>
              <w:noProof/>
              <w:szCs w:val="22"/>
              <w:lang w:eastAsia="sl-SI"/>
            </w:rPr>
          </w:pPr>
          <w:hyperlink w:anchor="_Toc90462230" w:history="1">
            <w:r w:rsidR="00D25E8B" w:rsidRPr="007217A7">
              <w:rPr>
                <w:rStyle w:val="Hiperpovezava"/>
                <w:noProof/>
              </w:rPr>
              <w:t>5.3</w:t>
            </w:r>
            <w:r w:rsidR="00D25E8B">
              <w:rPr>
                <w:rFonts w:asciiTheme="minorHAnsi" w:eastAsiaTheme="minorEastAsia" w:hAnsiTheme="minorHAnsi" w:cstheme="minorBidi"/>
                <w:noProof/>
                <w:szCs w:val="22"/>
                <w:lang w:eastAsia="sl-SI"/>
              </w:rPr>
              <w:tab/>
            </w:r>
            <w:r w:rsidR="00D25E8B" w:rsidRPr="007217A7">
              <w:rPr>
                <w:rStyle w:val="Hiperpovezava"/>
                <w:noProof/>
              </w:rPr>
              <w:t>Proizvodni potencial in produktivnost kmetijskih zemljišč</w:t>
            </w:r>
            <w:r w:rsidR="00D25E8B">
              <w:rPr>
                <w:noProof/>
                <w:webHidden/>
              </w:rPr>
              <w:tab/>
            </w:r>
            <w:r w:rsidR="00D25E8B">
              <w:rPr>
                <w:noProof/>
                <w:webHidden/>
              </w:rPr>
              <w:fldChar w:fldCharType="begin"/>
            </w:r>
            <w:r w:rsidR="00D25E8B">
              <w:rPr>
                <w:noProof/>
                <w:webHidden/>
              </w:rPr>
              <w:instrText xml:space="preserve"> PAGEREF _Toc90462230 \h </w:instrText>
            </w:r>
            <w:r w:rsidR="00D25E8B">
              <w:rPr>
                <w:noProof/>
                <w:webHidden/>
              </w:rPr>
            </w:r>
            <w:r w:rsidR="00D25E8B">
              <w:rPr>
                <w:noProof/>
                <w:webHidden/>
              </w:rPr>
              <w:fldChar w:fldCharType="separate"/>
            </w:r>
            <w:r w:rsidR="001E6B9E">
              <w:rPr>
                <w:noProof/>
                <w:webHidden/>
              </w:rPr>
              <w:t>57</w:t>
            </w:r>
            <w:r w:rsidR="00D25E8B">
              <w:rPr>
                <w:noProof/>
                <w:webHidden/>
              </w:rPr>
              <w:fldChar w:fldCharType="end"/>
            </w:r>
          </w:hyperlink>
        </w:p>
        <w:p w14:paraId="4B4F09A8" w14:textId="0C613240" w:rsidR="00D25E8B" w:rsidRDefault="00FB6BEC">
          <w:pPr>
            <w:pStyle w:val="Kazalovsebine2"/>
            <w:rPr>
              <w:rFonts w:asciiTheme="minorHAnsi" w:eastAsiaTheme="minorEastAsia" w:hAnsiTheme="minorHAnsi" w:cstheme="minorBidi"/>
              <w:noProof/>
              <w:szCs w:val="22"/>
              <w:lang w:eastAsia="sl-SI"/>
            </w:rPr>
          </w:pPr>
          <w:hyperlink w:anchor="_Toc90462231" w:history="1">
            <w:r w:rsidR="00D25E8B" w:rsidRPr="007217A7">
              <w:rPr>
                <w:rStyle w:val="Hiperpovezava"/>
                <w:noProof/>
              </w:rPr>
              <w:t>5.4</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_Toc90462231 \h </w:instrText>
            </w:r>
            <w:r w:rsidR="00D25E8B">
              <w:rPr>
                <w:noProof/>
                <w:webHidden/>
              </w:rPr>
            </w:r>
            <w:r w:rsidR="00D25E8B">
              <w:rPr>
                <w:noProof/>
                <w:webHidden/>
              </w:rPr>
              <w:fldChar w:fldCharType="separate"/>
            </w:r>
            <w:r w:rsidR="001E6B9E">
              <w:rPr>
                <w:noProof/>
                <w:webHidden/>
              </w:rPr>
              <w:t>58</w:t>
            </w:r>
            <w:r w:rsidR="00D25E8B">
              <w:rPr>
                <w:noProof/>
                <w:webHidden/>
              </w:rPr>
              <w:fldChar w:fldCharType="end"/>
            </w:r>
          </w:hyperlink>
        </w:p>
        <w:p w14:paraId="32324BDF" w14:textId="08A32D31" w:rsidR="00D25E8B" w:rsidRDefault="00FB6BEC">
          <w:pPr>
            <w:pStyle w:val="Kazalovsebine1"/>
            <w:rPr>
              <w:rFonts w:asciiTheme="minorHAnsi" w:eastAsiaTheme="minorEastAsia" w:hAnsiTheme="minorHAnsi" w:cstheme="minorBidi"/>
              <w:szCs w:val="22"/>
              <w:lang w:eastAsia="sl-SI"/>
            </w:rPr>
          </w:pPr>
          <w:hyperlink w:anchor="_Toc90462232" w:history="1">
            <w:r w:rsidR="00D25E8B" w:rsidRPr="007217A7">
              <w:rPr>
                <w:rStyle w:val="Hiperpovezava"/>
              </w:rPr>
              <w:t>6</w:t>
            </w:r>
            <w:r w:rsidR="00D25E8B">
              <w:rPr>
                <w:rFonts w:asciiTheme="minorHAnsi" w:eastAsiaTheme="minorEastAsia" w:hAnsiTheme="minorHAnsi" w:cstheme="minorBidi"/>
                <w:szCs w:val="22"/>
                <w:lang w:eastAsia="sl-SI"/>
              </w:rPr>
              <w:tab/>
            </w:r>
            <w:r w:rsidR="00D25E8B" w:rsidRPr="007217A7">
              <w:rPr>
                <w:rStyle w:val="Hiperpovezava"/>
              </w:rPr>
              <w:t>Učinkovitost rabe inputov v kmetijski proizvodnji (vmesna potrošnja)</w:t>
            </w:r>
            <w:r w:rsidR="00D25E8B">
              <w:rPr>
                <w:webHidden/>
              </w:rPr>
              <w:tab/>
            </w:r>
            <w:r w:rsidR="00D25E8B">
              <w:rPr>
                <w:webHidden/>
              </w:rPr>
              <w:fldChar w:fldCharType="begin"/>
            </w:r>
            <w:r w:rsidR="00D25E8B">
              <w:rPr>
                <w:webHidden/>
              </w:rPr>
              <w:instrText xml:space="preserve"> PAGEREF _Toc90462232 \h </w:instrText>
            </w:r>
            <w:r w:rsidR="00D25E8B">
              <w:rPr>
                <w:webHidden/>
              </w:rPr>
            </w:r>
            <w:r w:rsidR="00D25E8B">
              <w:rPr>
                <w:webHidden/>
              </w:rPr>
              <w:fldChar w:fldCharType="separate"/>
            </w:r>
            <w:r w:rsidR="001E6B9E">
              <w:rPr>
                <w:webHidden/>
              </w:rPr>
              <w:t>59</w:t>
            </w:r>
            <w:r w:rsidR="00D25E8B">
              <w:rPr>
                <w:webHidden/>
              </w:rPr>
              <w:fldChar w:fldCharType="end"/>
            </w:r>
          </w:hyperlink>
        </w:p>
        <w:p w14:paraId="4E957BAF" w14:textId="40BB4200" w:rsidR="00D25E8B" w:rsidRDefault="00FB6BEC">
          <w:pPr>
            <w:pStyle w:val="Kazalovsebine2"/>
            <w:rPr>
              <w:rFonts w:asciiTheme="minorHAnsi" w:eastAsiaTheme="minorEastAsia" w:hAnsiTheme="minorHAnsi" w:cstheme="minorBidi"/>
              <w:noProof/>
              <w:szCs w:val="22"/>
              <w:lang w:eastAsia="sl-SI"/>
            </w:rPr>
          </w:pPr>
          <w:hyperlink w:anchor="_Toc90462233" w:history="1">
            <w:r w:rsidR="00D25E8B" w:rsidRPr="007217A7">
              <w:rPr>
                <w:rStyle w:val="Hiperpovezava"/>
                <w:noProof/>
              </w:rPr>
              <w:t>6.1</w:t>
            </w:r>
            <w:r w:rsidR="00D25E8B">
              <w:rPr>
                <w:rFonts w:asciiTheme="minorHAnsi" w:eastAsiaTheme="minorEastAsia" w:hAnsiTheme="minorHAnsi" w:cstheme="minorBidi"/>
                <w:noProof/>
                <w:szCs w:val="22"/>
                <w:lang w:eastAsia="sl-SI"/>
              </w:rPr>
              <w:tab/>
            </w:r>
            <w:r w:rsidR="00D25E8B" w:rsidRPr="007217A7">
              <w:rPr>
                <w:rStyle w:val="Hiperpovezava"/>
                <w:noProof/>
                <w:lang w:eastAsia="sl-SI"/>
              </w:rPr>
              <w:t>Prihodkovno-stroškovna struktura podjetniškega dohodka</w:t>
            </w:r>
            <w:r w:rsidR="00D25E8B">
              <w:rPr>
                <w:noProof/>
                <w:webHidden/>
              </w:rPr>
              <w:tab/>
            </w:r>
            <w:r w:rsidR="00D25E8B">
              <w:rPr>
                <w:noProof/>
                <w:webHidden/>
              </w:rPr>
              <w:fldChar w:fldCharType="begin"/>
            </w:r>
            <w:r w:rsidR="00D25E8B">
              <w:rPr>
                <w:noProof/>
                <w:webHidden/>
              </w:rPr>
              <w:instrText xml:space="preserve"> PAGEREF _Toc90462233 \h </w:instrText>
            </w:r>
            <w:r w:rsidR="00D25E8B">
              <w:rPr>
                <w:noProof/>
                <w:webHidden/>
              </w:rPr>
            </w:r>
            <w:r w:rsidR="00D25E8B">
              <w:rPr>
                <w:noProof/>
                <w:webHidden/>
              </w:rPr>
              <w:fldChar w:fldCharType="separate"/>
            </w:r>
            <w:r w:rsidR="001E6B9E">
              <w:rPr>
                <w:noProof/>
                <w:webHidden/>
              </w:rPr>
              <w:t>59</w:t>
            </w:r>
            <w:r w:rsidR="00D25E8B">
              <w:rPr>
                <w:noProof/>
                <w:webHidden/>
              </w:rPr>
              <w:fldChar w:fldCharType="end"/>
            </w:r>
          </w:hyperlink>
        </w:p>
        <w:p w14:paraId="57B6C1F6" w14:textId="26A97DF8" w:rsidR="00D25E8B" w:rsidRDefault="00FB6BEC">
          <w:pPr>
            <w:pStyle w:val="Kazalovsebine2"/>
            <w:rPr>
              <w:rFonts w:asciiTheme="minorHAnsi" w:eastAsiaTheme="minorEastAsia" w:hAnsiTheme="minorHAnsi" w:cstheme="minorBidi"/>
              <w:noProof/>
              <w:szCs w:val="22"/>
              <w:lang w:eastAsia="sl-SI"/>
            </w:rPr>
          </w:pPr>
          <w:hyperlink w:anchor="_Toc90462234" w:history="1">
            <w:r w:rsidR="00D25E8B" w:rsidRPr="007217A7">
              <w:rPr>
                <w:rStyle w:val="Hiperpovezava"/>
                <w:noProof/>
              </w:rPr>
              <w:t>6.2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_Toc90462234 \h </w:instrText>
            </w:r>
            <w:r w:rsidR="00D25E8B">
              <w:rPr>
                <w:noProof/>
                <w:webHidden/>
              </w:rPr>
            </w:r>
            <w:r w:rsidR="00D25E8B">
              <w:rPr>
                <w:noProof/>
                <w:webHidden/>
              </w:rPr>
              <w:fldChar w:fldCharType="separate"/>
            </w:r>
            <w:r w:rsidR="001E6B9E">
              <w:rPr>
                <w:noProof/>
                <w:webHidden/>
              </w:rPr>
              <w:t>63</w:t>
            </w:r>
            <w:r w:rsidR="00D25E8B">
              <w:rPr>
                <w:noProof/>
                <w:webHidden/>
              </w:rPr>
              <w:fldChar w:fldCharType="end"/>
            </w:r>
          </w:hyperlink>
        </w:p>
        <w:p w14:paraId="193BEEF5" w14:textId="27D9621E" w:rsidR="00D25E8B" w:rsidRDefault="00FB6BEC">
          <w:pPr>
            <w:pStyle w:val="Kazalovsebine1"/>
            <w:rPr>
              <w:rFonts w:asciiTheme="minorHAnsi" w:eastAsiaTheme="minorEastAsia" w:hAnsiTheme="minorHAnsi" w:cstheme="minorBidi"/>
              <w:szCs w:val="22"/>
              <w:lang w:eastAsia="sl-SI"/>
            </w:rPr>
          </w:pPr>
          <w:hyperlink w:anchor="_Toc90462235" w:history="1">
            <w:r w:rsidR="00D25E8B" w:rsidRPr="007217A7">
              <w:rPr>
                <w:rStyle w:val="Hiperpovezava"/>
              </w:rPr>
              <w:t>7</w:t>
            </w:r>
            <w:r w:rsidR="00D25E8B">
              <w:rPr>
                <w:rFonts w:asciiTheme="minorHAnsi" w:eastAsiaTheme="minorEastAsia" w:hAnsiTheme="minorHAnsi" w:cstheme="minorBidi"/>
                <w:szCs w:val="22"/>
                <w:lang w:eastAsia="sl-SI"/>
              </w:rPr>
              <w:tab/>
            </w:r>
            <w:r w:rsidR="00D25E8B" w:rsidRPr="007217A7">
              <w:rPr>
                <w:rStyle w:val="Hiperpovezava"/>
              </w:rPr>
              <w:t>Podrobnejša mikroekonomska analiza produktivnosti glede na tip kmetovanja, velikost kmetijskega gospodarstva ter območje kmetovanja</w:t>
            </w:r>
            <w:r w:rsidR="00D25E8B">
              <w:rPr>
                <w:webHidden/>
              </w:rPr>
              <w:tab/>
            </w:r>
            <w:r w:rsidR="00D25E8B">
              <w:rPr>
                <w:webHidden/>
              </w:rPr>
              <w:fldChar w:fldCharType="begin"/>
            </w:r>
            <w:r w:rsidR="00D25E8B">
              <w:rPr>
                <w:webHidden/>
              </w:rPr>
              <w:instrText xml:space="preserve"> PAGEREF _Toc90462235 \h </w:instrText>
            </w:r>
            <w:r w:rsidR="00D25E8B">
              <w:rPr>
                <w:webHidden/>
              </w:rPr>
            </w:r>
            <w:r w:rsidR="00D25E8B">
              <w:rPr>
                <w:webHidden/>
              </w:rPr>
              <w:fldChar w:fldCharType="separate"/>
            </w:r>
            <w:r w:rsidR="001E6B9E">
              <w:rPr>
                <w:webHidden/>
              </w:rPr>
              <w:t>64</w:t>
            </w:r>
            <w:r w:rsidR="00D25E8B">
              <w:rPr>
                <w:webHidden/>
              </w:rPr>
              <w:fldChar w:fldCharType="end"/>
            </w:r>
          </w:hyperlink>
        </w:p>
        <w:p w14:paraId="2B4AF8C2" w14:textId="68884E97" w:rsidR="00D25E8B" w:rsidRDefault="00FB6BEC">
          <w:pPr>
            <w:pStyle w:val="Kazalovsebine1"/>
            <w:rPr>
              <w:rFonts w:asciiTheme="minorHAnsi" w:eastAsiaTheme="minorEastAsia" w:hAnsiTheme="minorHAnsi" w:cstheme="minorBidi"/>
              <w:szCs w:val="22"/>
              <w:lang w:eastAsia="sl-SI"/>
            </w:rPr>
          </w:pPr>
          <w:hyperlink w:anchor="_Toc90462236" w:history="1">
            <w:r w:rsidR="00D25E8B" w:rsidRPr="007217A7">
              <w:rPr>
                <w:rStyle w:val="Hiperpovezava"/>
              </w:rPr>
              <w:t>8</w:t>
            </w:r>
            <w:r w:rsidR="00D25E8B">
              <w:rPr>
                <w:rFonts w:asciiTheme="minorHAnsi" w:eastAsiaTheme="minorEastAsia" w:hAnsiTheme="minorHAnsi" w:cstheme="minorBidi"/>
                <w:szCs w:val="22"/>
                <w:lang w:eastAsia="sl-SI"/>
              </w:rPr>
              <w:tab/>
            </w:r>
            <w:r w:rsidR="00D25E8B" w:rsidRPr="007217A7">
              <w:rPr>
                <w:rStyle w:val="Hiperpovezava"/>
              </w:rPr>
              <w:t>Specifični vidik: Nižja konkurenčnost kmetij na OMD</w:t>
            </w:r>
            <w:r w:rsidR="00D25E8B">
              <w:rPr>
                <w:webHidden/>
              </w:rPr>
              <w:tab/>
            </w:r>
            <w:r w:rsidR="00D25E8B">
              <w:rPr>
                <w:webHidden/>
              </w:rPr>
              <w:fldChar w:fldCharType="begin"/>
            </w:r>
            <w:r w:rsidR="00D25E8B">
              <w:rPr>
                <w:webHidden/>
              </w:rPr>
              <w:instrText xml:space="preserve"> PAGEREF _Toc90462236 \h </w:instrText>
            </w:r>
            <w:r w:rsidR="00D25E8B">
              <w:rPr>
                <w:webHidden/>
              </w:rPr>
            </w:r>
            <w:r w:rsidR="00D25E8B">
              <w:rPr>
                <w:webHidden/>
              </w:rPr>
              <w:fldChar w:fldCharType="separate"/>
            </w:r>
            <w:r w:rsidR="001E6B9E">
              <w:rPr>
                <w:webHidden/>
              </w:rPr>
              <w:t>73</w:t>
            </w:r>
            <w:r w:rsidR="00D25E8B">
              <w:rPr>
                <w:webHidden/>
              </w:rPr>
              <w:fldChar w:fldCharType="end"/>
            </w:r>
          </w:hyperlink>
        </w:p>
        <w:p w14:paraId="7635F673" w14:textId="22ED00E3" w:rsidR="00D25E8B" w:rsidRDefault="00FB6BEC">
          <w:pPr>
            <w:pStyle w:val="Kazalovsebine2"/>
            <w:rPr>
              <w:rFonts w:asciiTheme="minorHAnsi" w:eastAsiaTheme="minorEastAsia" w:hAnsiTheme="minorHAnsi" w:cstheme="minorBidi"/>
              <w:noProof/>
              <w:szCs w:val="22"/>
              <w:lang w:eastAsia="sl-SI"/>
            </w:rPr>
          </w:pPr>
          <w:hyperlink w:anchor="_Toc90462237" w:history="1">
            <w:r w:rsidR="00D25E8B" w:rsidRPr="007217A7">
              <w:rPr>
                <w:rStyle w:val="Hiperpovezava"/>
                <w:noProof/>
              </w:rPr>
              <w:t>8.1</w:t>
            </w:r>
            <w:r w:rsidR="00D25E8B">
              <w:rPr>
                <w:rFonts w:asciiTheme="minorHAnsi" w:eastAsiaTheme="minorEastAsia" w:hAnsiTheme="minorHAnsi" w:cstheme="minorBidi"/>
                <w:noProof/>
                <w:szCs w:val="22"/>
                <w:lang w:eastAsia="sl-SI"/>
              </w:rPr>
              <w:tab/>
            </w:r>
            <w:r w:rsidR="00D25E8B" w:rsidRPr="007217A7">
              <w:rPr>
                <w:rStyle w:val="Hiperpovezava"/>
                <w:noProof/>
              </w:rPr>
              <w:t>Analiza naložb v okviru podukrepa M04.1 Podpora za naložbe v kmetijska gospodarstva PRP 2014-2020 glede na OMD (stanje 30. 4. 2020)</w:t>
            </w:r>
            <w:r w:rsidR="00D25E8B">
              <w:rPr>
                <w:noProof/>
                <w:webHidden/>
              </w:rPr>
              <w:tab/>
            </w:r>
            <w:r w:rsidR="00D25E8B">
              <w:rPr>
                <w:noProof/>
                <w:webHidden/>
              </w:rPr>
              <w:fldChar w:fldCharType="begin"/>
            </w:r>
            <w:r w:rsidR="00D25E8B">
              <w:rPr>
                <w:noProof/>
                <w:webHidden/>
              </w:rPr>
              <w:instrText xml:space="preserve"> PAGEREF _Toc90462237 \h </w:instrText>
            </w:r>
            <w:r w:rsidR="00D25E8B">
              <w:rPr>
                <w:noProof/>
                <w:webHidden/>
              </w:rPr>
            </w:r>
            <w:r w:rsidR="00D25E8B">
              <w:rPr>
                <w:noProof/>
                <w:webHidden/>
              </w:rPr>
              <w:fldChar w:fldCharType="separate"/>
            </w:r>
            <w:r w:rsidR="001E6B9E">
              <w:rPr>
                <w:noProof/>
                <w:webHidden/>
              </w:rPr>
              <w:t>73</w:t>
            </w:r>
            <w:r w:rsidR="00D25E8B">
              <w:rPr>
                <w:noProof/>
                <w:webHidden/>
              </w:rPr>
              <w:fldChar w:fldCharType="end"/>
            </w:r>
          </w:hyperlink>
        </w:p>
        <w:p w14:paraId="0F3CA107" w14:textId="5419F42A" w:rsidR="00D25E8B" w:rsidRDefault="00FB6BEC">
          <w:pPr>
            <w:pStyle w:val="Kazalovsebine2"/>
            <w:rPr>
              <w:rFonts w:asciiTheme="minorHAnsi" w:eastAsiaTheme="minorEastAsia" w:hAnsiTheme="minorHAnsi" w:cstheme="minorBidi"/>
              <w:noProof/>
              <w:szCs w:val="22"/>
              <w:lang w:eastAsia="sl-SI"/>
            </w:rPr>
          </w:pPr>
          <w:hyperlink w:anchor="_Toc90462238" w:history="1">
            <w:r w:rsidR="00D25E8B" w:rsidRPr="007217A7">
              <w:rPr>
                <w:rStyle w:val="Hiperpovezava"/>
                <w:noProof/>
              </w:rPr>
              <w:t>8.2</w:t>
            </w:r>
            <w:r w:rsidR="00D25E8B">
              <w:rPr>
                <w:rFonts w:asciiTheme="minorHAnsi" w:eastAsiaTheme="minorEastAsia" w:hAnsiTheme="minorHAnsi" w:cstheme="minorBidi"/>
                <w:noProof/>
                <w:szCs w:val="22"/>
                <w:lang w:eastAsia="sl-SI"/>
              </w:rPr>
              <w:tab/>
            </w:r>
            <w:r w:rsidR="00D25E8B" w:rsidRPr="007217A7">
              <w:rPr>
                <w:rStyle w:val="Hiperpovezava"/>
                <w:noProof/>
              </w:rPr>
              <w:t>Analiza naložb v okviru podukrepa M04.2 Podpora za naložbe v predelavo/trženje in/ali razvoj kmetijskih proizvodov PRP 2014–2020 glede na OMD (stanje 30. 4. 2020)</w:t>
            </w:r>
            <w:r w:rsidR="00D25E8B">
              <w:rPr>
                <w:noProof/>
                <w:webHidden/>
              </w:rPr>
              <w:tab/>
            </w:r>
            <w:r w:rsidR="00D25E8B">
              <w:rPr>
                <w:noProof/>
                <w:webHidden/>
              </w:rPr>
              <w:fldChar w:fldCharType="begin"/>
            </w:r>
            <w:r w:rsidR="00D25E8B">
              <w:rPr>
                <w:noProof/>
                <w:webHidden/>
              </w:rPr>
              <w:instrText xml:space="preserve"> PAGEREF _Toc90462238 \h </w:instrText>
            </w:r>
            <w:r w:rsidR="00D25E8B">
              <w:rPr>
                <w:noProof/>
                <w:webHidden/>
              </w:rPr>
            </w:r>
            <w:r w:rsidR="00D25E8B">
              <w:rPr>
                <w:noProof/>
                <w:webHidden/>
              </w:rPr>
              <w:fldChar w:fldCharType="separate"/>
            </w:r>
            <w:r w:rsidR="001E6B9E">
              <w:rPr>
                <w:noProof/>
                <w:webHidden/>
              </w:rPr>
              <w:t>78</w:t>
            </w:r>
            <w:r w:rsidR="00D25E8B">
              <w:rPr>
                <w:noProof/>
                <w:webHidden/>
              </w:rPr>
              <w:fldChar w:fldCharType="end"/>
            </w:r>
          </w:hyperlink>
        </w:p>
        <w:p w14:paraId="23FA37C7" w14:textId="06861011" w:rsidR="00D25E8B" w:rsidRDefault="00FB6BEC">
          <w:pPr>
            <w:pStyle w:val="Kazalovsebine2"/>
            <w:rPr>
              <w:rFonts w:asciiTheme="minorHAnsi" w:eastAsiaTheme="minorEastAsia" w:hAnsiTheme="minorHAnsi" w:cstheme="minorBidi"/>
              <w:noProof/>
              <w:szCs w:val="22"/>
              <w:lang w:eastAsia="sl-SI"/>
            </w:rPr>
          </w:pPr>
          <w:hyperlink w:anchor="_Toc90462239" w:history="1">
            <w:r w:rsidR="00D25E8B" w:rsidRPr="007217A7">
              <w:rPr>
                <w:rStyle w:val="Hiperpovezava"/>
                <w:noProof/>
              </w:rPr>
              <w:t>8.3</w:t>
            </w:r>
            <w:r w:rsidR="00D25E8B">
              <w:rPr>
                <w:rFonts w:asciiTheme="minorHAnsi" w:eastAsiaTheme="minorEastAsia" w:hAnsiTheme="minorHAnsi" w:cstheme="minorBidi"/>
                <w:noProof/>
                <w:szCs w:val="22"/>
                <w:lang w:eastAsia="sl-SI"/>
              </w:rPr>
              <w:tab/>
            </w:r>
            <w:r w:rsidR="00D25E8B" w:rsidRPr="007217A7">
              <w:rPr>
                <w:rStyle w:val="Hiperpovezava"/>
                <w:noProof/>
              </w:rPr>
              <w:t>Analiza podpor kmetijam na OMD v okviru podukrepa M06.3 Pomoč za zagon dejavnosti, namenjena zagonu majhnih kmetij PRP 2014–2020</w:t>
            </w:r>
            <w:r w:rsidR="00D25E8B">
              <w:rPr>
                <w:noProof/>
                <w:webHidden/>
              </w:rPr>
              <w:tab/>
            </w:r>
            <w:r w:rsidR="00D25E8B">
              <w:rPr>
                <w:noProof/>
                <w:webHidden/>
              </w:rPr>
              <w:fldChar w:fldCharType="begin"/>
            </w:r>
            <w:r w:rsidR="00D25E8B">
              <w:rPr>
                <w:noProof/>
                <w:webHidden/>
              </w:rPr>
              <w:instrText xml:space="preserve"> PAGEREF _Toc90462239 \h </w:instrText>
            </w:r>
            <w:r w:rsidR="00D25E8B">
              <w:rPr>
                <w:noProof/>
                <w:webHidden/>
              </w:rPr>
            </w:r>
            <w:r w:rsidR="00D25E8B">
              <w:rPr>
                <w:noProof/>
                <w:webHidden/>
              </w:rPr>
              <w:fldChar w:fldCharType="separate"/>
            </w:r>
            <w:r w:rsidR="001E6B9E">
              <w:rPr>
                <w:noProof/>
                <w:webHidden/>
              </w:rPr>
              <w:t>80</w:t>
            </w:r>
            <w:r w:rsidR="00D25E8B">
              <w:rPr>
                <w:noProof/>
                <w:webHidden/>
              </w:rPr>
              <w:fldChar w:fldCharType="end"/>
            </w:r>
          </w:hyperlink>
        </w:p>
        <w:p w14:paraId="513A838A" w14:textId="3D9D9101" w:rsidR="00D25E8B" w:rsidRDefault="00FB6BEC">
          <w:pPr>
            <w:pStyle w:val="Kazalovsebine2"/>
            <w:rPr>
              <w:rFonts w:asciiTheme="minorHAnsi" w:eastAsiaTheme="minorEastAsia" w:hAnsiTheme="minorHAnsi" w:cstheme="minorBidi"/>
              <w:noProof/>
              <w:szCs w:val="22"/>
              <w:lang w:eastAsia="sl-SI"/>
            </w:rPr>
          </w:pPr>
          <w:hyperlink w:anchor="_Toc90462240" w:history="1">
            <w:r w:rsidR="00D25E8B" w:rsidRPr="007217A7">
              <w:rPr>
                <w:rStyle w:val="Hiperpovezava"/>
                <w:noProof/>
              </w:rPr>
              <w:t>8.4</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_Toc90462240 \h </w:instrText>
            </w:r>
            <w:r w:rsidR="00D25E8B">
              <w:rPr>
                <w:noProof/>
                <w:webHidden/>
              </w:rPr>
            </w:r>
            <w:r w:rsidR="00D25E8B">
              <w:rPr>
                <w:noProof/>
                <w:webHidden/>
              </w:rPr>
              <w:fldChar w:fldCharType="separate"/>
            </w:r>
            <w:r w:rsidR="001E6B9E">
              <w:rPr>
                <w:noProof/>
                <w:webHidden/>
              </w:rPr>
              <w:t>81</w:t>
            </w:r>
            <w:r w:rsidR="00D25E8B">
              <w:rPr>
                <w:noProof/>
                <w:webHidden/>
              </w:rPr>
              <w:fldChar w:fldCharType="end"/>
            </w:r>
          </w:hyperlink>
        </w:p>
        <w:p w14:paraId="4CD53274" w14:textId="40551847" w:rsidR="00D25E8B" w:rsidRDefault="00FB6BEC">
          <w:pPr>
            <w:pStyle w:val="Kazalovsebine1"/>
            <w:rPr>
              <w:rFonts w:asciiTheme="minorHAnsi" w:eastAsiaTheme="minorEastAsia" w:hAnsiTheme="minorHAnsi" w:cstheme="minorBidi"/>
              <w:szCs w:val="22"/>
              <w:lang w:eastAsia="sl-SI"/>
            </w:rPr>
          </w:pPr>
          <w:hyperlink w:anchor="_Toc90462241" w:history="1">
            <w:r w:rsidR="00D25E8B" w:rsidRPr="007217A7">
              <w:rPr>
                <w:rStyle w:val="Hiperpovezava"/>
              </w:rPr>
              <w:t>9</w:t>
            </w:r>
            <w:r w:rsidR="00D25E8B">
              <w:rPr>
                <w:rFonts w:asciiTheme="minorHAnsi" w:eastAsiaTheme="minorEastAsia" w:hAnsiTheme="minorHAnsi" w:cstheme="minorBidi"/>
                <w:szCs w:val="22"/>
                <w:lang w:eastAsia="sl-SI"/>
              </w:rPr>
              <w:tab/>
            </w:r>
            <w:r w:rsidR="00D25E8B" w:rsidRPr="007217A7">
              <w:rPr>
                <w:rStyle w:val="Hiperpovezava"/>
              </w:rPr>
              <w:t>Tržna usmerjenost kmetijskih gospodarstev</w:t>
            </w:r>
            <w:r w:rsidR="00D25E8B">
              <w:rPr>
                <w:webHidden/>
              </w:rPr>
              <w:tab/>
            </w:r>
            <w:r w:rsidR="00D25E8B">
              <w:rPr>
                <w:webHidden/>
              </w:rPr>
              <w:fldChar w:fldCharType="begin"/>
            </w:r>
            <w:r w:rsidR="00D25E8B">
              <w:rPr>
                <w:webHidden/>
              </w:rPr>
              <w:instrText xml:space="preserve"> PAGEREF _Toc90462241 \h </w:instrText>
            </w:r>
            <w:r w:rsidR="00D25E8B">
              <w:rPr>
                <w:webHidden/>
              </w:rPr>
            </w:r>
            <w:r w:rsidR="00D25E8B">
              <w:rPr>
                <w:webHidden/>
              </w:rPr>
              <w:fldChar w:fldCharType="separate"/>
            </w:r>
            <w:r w:rsidR="001E6B9E">
              <w:rPr>
                <w:webHidden/>
              </w:rPr>
              <w:t>82</w:t>
            </w:r>
            <w:r w:rsidR="00D25E8B">
              <w:rPr>
                <w:webHidden/>
              </w:rPr>
              <w:fldChar w:fldCharType="end"/>
            </w:r>
          </w:hyperlink>
        </w:p>
        <w:p w14:paraId="29FD6681" w14:textId="2E2AA95C" w:rsidR="00D25E8B" w:rsidRDefault="00FB6BEC">
          <w:pPr>
            <w:pStyle w:val="Kazalovsebine2"/>
            <w:rPr>
              <w:rFonts w:asciiTheme="minorHAnsi" w:eastAsiaTheme="minorEastAsia" w:hAnsiTheme="minorHAnsi" w:cstheme="minorBidi"/>
              <w:noProof/>
              <w:szCs w:val="22"/>
              <w:lang w:eastAsia="sl-SI"/>
            </w:rPr>
          </w:pPr>
          <w:hyperlink w:anchor="_Toc90462242" w:history="1">
            <w:r w:rsidR="00D25E8B" w:rsidRPr="007217A7">
              <w:rPr>
                <w:rStyle w:val="Hiperpovezava"/>
                <w:noProof/>
              </w:rPr>
              <w:t>9.1</w:t>
            </w:r>
            <w:r w:rsidR="00D25E8B">
              <w:rPr>
                <w:rFonts w:asciiTheme="minorHAnsi" w:eastAsiaTheme="minorEastAsia" w:hAnsiTheme="minorHAnsi" w:cstheme="minorBidi"/>
                <w:noProof/>
                <w:szCs w:val="22"/>
                <w:lang w:eastAsia="sl-SI"/>
              </w:rPr>
              <w:tab/>
            </w:r>
            <w:r w:rsidR="00D25E8B" w:rsidRPr="007217A7">
              <w:rPr>
                <w:rStyle w:val="Hiperpovezava"/>
                <w:noProof/>
              </w:rPr>
              <w:t>Struktura kmetijskih gospodarstev glede na identificiranost za namen DDV</w:t>
            </w:r>
            <w:r w:rsidR="00D25E8B">
              <w:rPr>
                <w:noProof/>
                <w:webHidden/>
              </w:rPr>
              <w:tab/>
            </w:r>
            <w:r w:rsidR="00D25E8B">
              <w:rPr>
                <w:noProof/>
                <w:webHidden/>
              </w:rPr>
              <w:fldChar w:fldCharType="begin"/>
            </w:r>
            <w:r w:rsidR="00D25E8B">
              <w:rPr>
                <w:noProof/>
                <w:webHidden/>
              </w:rPr>
              <w:instrText xml:space="preserve"> PAGEREF _Toc90462242 \h </w:instrText>
            </w:r>
            <w:r w:rsidR="00D25E8B">
              <w:rPr>
                <w:noProof/>
                <w:webHidden/>
              </w:rPr>
            </w:r>
            <w:r w:rsidR="00D25E8B">
              <w:rPr>
                <w:noProof/>
                <w:webHidden/>
              </w:rPr>
              <w:fldChar w:fldCharType="separate"/>
            </w:r>
            <w:r w:rsidR="001E6B9E">
              <w:rPr>
                <w:noProof/>
                <w:webHidden/>
              </w:rPr>
              <w:t>82</w:t>
            </w:r>
            <w:r w:rsidR="00D25E8B">
              <w:rPr>
                <w:noProof/>
                <w:webHidden/>
              </w:rPr>
              <w:fldChar w:fldCharType="end"/>
            </w:r>
          </w:hyperlink>
        </w:p>
        <w:p w14:paraId="79523EF2" w14:textId="3AB3011C" w:rsidR="00D25E8B" w:rsidRDefault="00FB6BEC">
          <w:pPr>
            <w:pStyle w:val="Kazalovsebine2"/>
            <w:rPr>
              <w:rFonts w:asciiTheme="minorHAnsi" w:eastAsiaTheme="minorEastAsia" w:hAnsiTheme="minorHAnsi" w:cstheme="minorBidi"/>
              <w:noProof/>
              <w:szCs w:val="22"/>
              <w:lang w:eastAsia="sl-SI"/>
            </w:rPr>
          </w:pPr>
          <w:hyperlink w:anchor="_Toc90462243" w:history="1">
            <w:r w:rsidR="00D25E8B" w:rsidRPr="007217A7">
              <w:rPr>
                <w:rStyle w:val="Hiperpovezava"/>
                <w:noProof/>
              </w:rPr>
              <w:t>9.2</w:t>
            </w:r>
            <w:r w:rsidR="00D25E8B">
              <w:rPr>
                <w:rFonts w:asciiTheme="minorHAnsi" w:eastAsiaTheme="minorEastAsia" w:hAnsiTheme="minorHAnsi" w:cstheme="minorBidi"/>
                <w:noProof/>
                <w:szCs w:val="22"/>
                <w:lang w:eastAsia="sl-SI"/>
              </w:rPr>
              <w:tab/>
            </w:r>
            <w:r w:rsidR="00D25E8B" w:rsidRPr="007217A7">
              <w:rPr>
                <w:rStyle w:val="Hiperpovezava"/>
                <w:noProof/>
              </w:rPr>
              <w:t>Analiza kmetij, ki so prejele podporo za prestrukturiranje s ciljem večje tržne usmerjenosti v okviru podukrepa M04.1 Podpora za naložbe v kmetijska gospodarstva PRP 2014-2020</w:t>
            </w:r>
            <w:r w:rsidR="00D25E8B">
              <w:rPr>
                <w:noProof/>
                <w:webHidden/>
              </w:rPr>
              <w:tab/>
            </w:r>
            <w:r w:rsidR="00D25E8B">
              <w:rPr>
                <w:noProof/>
                <w:webHidden/>
              </w:rPr>
              <w:fldChar w:fldCharType="begin"/>
            </w:r>
            <w:r w:rsidR="00D25E8B">
              <w:rPr>
                <w:noProof/>
                <w:webHidden/>
              </w:rPr>
              <w:instrText xml:space="preserve"> PAGEREF _Toc90462243 \h </w:instrText>
            </w:r>
            <w:r w:rsidR="00D25E8B">
              <w:rPr>
                <w:noProof/>
                <w:webHidden/>
              </w:rPr>
            </w:r>
            <w:r w:rsidR="00D25E8B">
              <w:rPr>
                <w:noProof/>
                <w:webHidden/>
              </w:rPr>
              <w:fldChar w:fldCharType="separate"/>
            </w:r>
            <w:r w:rsidR="001E6B9E">
              <w:rPr>
                <w:noProof/>
                <w:webHidden/>
              </w:rPr>
              <w:t>85</w:t>
            </w:r>
            <w:r w:rsidR="00D25E8B">
              <w:rPr>
                <w:noProof/>
                <w:webHidden/>
              </w:rPr>
              <w:fldChar w:fldCharType="end"/>
            </w:r>
          </w:hyperlink>
        </w:p>
        <w:p w14:paraId="6345D32E" w14:textId="76383F49" w:rsidR="00D25E8B" w:rsidRDefault="00FB6BEC">
          <w:pPr>
            <w:pStyle w:val="Kazalovsebine2"/>
            <w:rPr>
              <w:rFonts w:asciiTheme="minorHAnsi" w:eastAsiaTheme="minorEastAsia" w:hAnsiTheme="minorHAnsi" w:cstheme="minorBidi"/>
              <w:noProof/>
              <w:szCs w:val="22"/>
              <w:lang w:eastAsia="sl-SI"/>
            </w:rPr>
          </w:pPr>
          <w:hyperlink w:anchor="_Toc90462244" w:history="1">
            <w:r w:rsidR="00D25E8B" w:rsidRPr="007217A7">
              <w:rPr>
                <w:rStyle w:val="Hiperpovezava"/>
                <w:noProof/>
              </w:rPr>
              <w:t>9.3</w:t>
            </w:r>
            <w:r w:rsidR="00D25E8B">
              <w:rPr>
                <w:rFonts w:asciiTheme="minorHAnsi" w:eastAsiaTheme="minorEastAsia" w:hAnsiTheme="minorHAnsi" w:cstheme="minorBidi"/>
                <w:noProof/>
                <w:szCs w:val="22"/>
                <w:lang w:eastAsia="sl-SI"/>
              </w:rPr>
              <w:tab/>
            </w:r>
            <w:r w:rsidR="00D25E8B" w:rsidRPr="007217A7">
              <w:rPr>
                <w:rStyle w:val="Hiperpovezava"/>
                <w:noProof/>
              </w:rPr>
              <w:t>Analiza vključenih kmetij v podukrep M16.4 PRP 2014–2020, namenjen vzpostavljanju kratkih dobavnih verig in lokalnih trgov</w:t>
            </w:r>
            <w:r w:rsidR="00D25E8B">
              <w:rPr>
                <w:noProof/>
                <w:webHidden/>
              </w:rPr>
              <w:tab/>
            </w:r>
            <w:r w:rsidR="00D25E8B">
              <w:rPr>
                <w:noProof/>
                <w:webHidden/>
              </w:rPr>
              <w:fldChar w:fldCharType="begin"/>
            </w:r>
            <w:r w:rsidR="00D25E8B">
              <w:rPr>
                <w:noProof/>
                <w:webHidden/>
              </w:rPr>
              <w:instrText xml:space="preserve"> PAGEREF _Toc90462244 \h </w:instrText>
            </w:r>
            <w:r w:rsidR="00D25E8B">
              <w:rPr>
                <w:noProof/>
                <w:webHidden/>
              </w:rPr>
            </w:r>
            <w:r w:rsidR="00D25E8B">
              <w:rPr>
                <w:noProof/>
                <w:webHidden/>
              </w:rPr>
              <w:fldChar w:fldCharType="separate"/>
            </w:r>
            <w:r w:rsidR="001E6B9E">
              <w:rPr>
                <w:noProof/>
                <w:webHidden/>
              </w:rPr>
              <w:t>85</w:t>
            </w:r>
            <w:r w:rsidR="00D25E8B">
              <w:rPr>
                <w:noProof/>
                <w:webHidden/>
              </w:rPr>
              <w:fldChar w:fldCharType="end"/>
            </w:r>
          </w:hyperlink>
        </w:p>
        <w:p w14:paraId="08C382ED" w14:textId="560E0F78" w:rsidR="00D25E8B" w:rsidRDefault="00FB6BEC">
          <w:pPr>
            <w:pStyle w:val="Kazalovsebine2"/>
            <w:rPr>
              <w:rFonts w:asciiTheme="minorHAnsi" w:eastAsiaTheme="minorEastAsia" w:hAnsiTheme="minorHAnsi" w:cstheme="minorBidi"/>
              <w:noProof/>
              <w:szCs w:val="22"/>
              <w:lang w:eastAsia="sl-SI"/>
            </w:rPr>
          </w:pPr>
          <w:hyperlink w:anchor="_Toc90462245" w:history="1">
            <w:r w:rsidR="00D25E8B" w:rsidRPr="007217A7">
              <w:rPr>
                <w:rStyle w:val="Hiperpovezava"/>
                <w:noProof/>
              </w:rPr>
              <w:t>9.4</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_Toc90462245 \h </w:instrText>
            </w:r>
            <w:r w:rsidR="00D25E8B">
              <w:rPr>
                <w:noProof/>
                <w:webHidden/>
              </w:rPr>
            </w:r>
            <w:r w:rsidR="00D25E8B">
              <w:rPr>
                <w:noProof/>
                <w:webHidden/>
              </w:rPr>
              <w:fldChar w:fldCharType="separate"/>
            </w:r>
            <w:r w:rsidR="001E6B9E">
              <w:rPr>
                <w:noProof/>
                <w:webHidden/>
              </w:rPr>
              <w:t>86</w:t>
            </w:r>
            <w:r w:rsidR="00D25E8B">
              <w:rPr>
                <w:noProof/>
                <w:webHidden/>
              </w:rPr>
              <w:fldChar w:fldCharType="end"/>
            </w:r>
          </w:hyperlink>
        </w:p>
        <w:p w14:paraId="4F827133" w14:textId="2C75F736" w:rsidR="00D25E8B" w:rsidRDefault="00FB6BEC">
          <w:pPr>
            <w:pStyle w:val="Kazalovsebine1"/>
            <w:rPr>
              <w:rFonts w:asciiTheme="minorHAnsi" w:eastAsiaTheme="minorEastAsia" w:hAnsiTheme="minorHAnsi" w:cstheme="minorBidi"/>
              <w:szCs w:val="22"/>
              <w:lang w:eastAsia="sl-SI"/>
            </w:rPr>
          </w:pPr>
          <w:hyperlink w:anchor="_Toc90462246" w:history="1">
            <w:r w:rsidR="00D25E8B" w:rsidRPr="007217A7">
              <w:rPr>
                <w:rStyle w:val="Hiperpovezava"/>
              </w:rPr>
              <w:t>10</w:t>
            </w:r>
            <w:r w:rsidR="00D25E8B">
              <w:rPr>
                <w:rFonts w:asciiTheme="minorHAnsi" w:eastAsiaTheme="minorEastAsia" w:hAnsiTheme="minorHAnsi" w:cstheme="minorBidi"/>
                <w:szCs w:val="22"/>
                <w:lang w:eastAsia="sl-SI"/>
              </w:rPr>
              <w:tab/>
            </w:r>
            <w:r w:rsidR="00D25E8B" w:rsidRPr="007217A7">
              <w:rPr>
                <w:rStyle w:val="Hiperpovezava"/>
              </w:rPr>
              <w:t>Opis stanja kmetijskih sektorjev</w:t>
            </w:r>
            <w:r w:rsidR="00D25E8B">
              <w:rPr>
                <w:webHidden/>
              </w:rPr>
              <w:tab/>
            </w:r>
            <w:r w:rsidR="00D25E8B">
              <w:rPr>
                <w:webHidden/>
              </w:rPr>
              <w:fldChar w:fldCharType="begin"/>
            </w:r>
            <w:r w:rsidR="00D25E8B">
              <w:rPr>
                <w:webHidden/>
              </w:rPr>
              <w:instrText xml:space="preserve"> PAGEREF _Toc90462246 \h </w:instrText>
            </w:r>
            <w:r w:rsidR="00D25E8B">
              <w:rPr>
                <w:webHidden/>
              </w:rPr>
            </w:r>
            <w:r w:rsidR="00D25E8B">
              <w:rPr>
                <w:webHidden/>
              </w:rPr>
              <w:fldChar w:fldCharType="separate"/>
            </w:r>
            <w:r w:rsidR="001E6B9E">
              <w:rPr>
                <w:webHidden/>
              </w:rPr>
              <w:t>86</w:t>
            </w:r>
            <w:r w:rsidR="00D25E8B">
              <w:rPr>
                <w:webHidden/>
              </w:rPr>
              <w:fldChar w:fldCharType="end"/>
            </w:r>
          </w:hyperlink>
        </w:p>
        <w:p w14:paraId="5A3D86B8" w14:textId="5690D524" w:rsidR="00D25E8B" w:rsidRDefault="00FB6BEC">
          <w:pPr>
            <w:pStyle w:val="Kazalovsebine2"/>
            <w:rPr>
              <w:rFonts w:asciiTheme="minorHAnsi" w:eastAsiaTheme="minorEastAsia" w:hAnsiTheme="minorHAnsi" w:cstheme="minorBidi"/>
              <w:noProof/>
              <w:szCs w:val="22"/>
              <w:lang w:eastAsia="sl-SI"/>
            </w:rPr>
          </w:pPr>
          <w:hyperlink w:anchor="_Toc90462247" w:history="1">
            <w:r w:rsidR="00D25E8B" w:rsidRPr="007217A7">
              <w:rPr>
                <w:rStyle w:val="Hiperpovezava"/>
                <w:noProof/>
              </w:rPr>
              <w:t>10.1</w:t>
            </w:r>
            <w:r w:rsidR="00D25E8B">
              <w:rPr>
                <w:rFonts w:asciiTheme="minorHAnsi" w:eastAsiaTheme="minorEastAsia" w:hAnsiTheme="minorHAnsi" w:cstheme="minorBidi"/>
                <w:noProof/>
                <w:szCs w:val="22"/>
                <w:lang w:eastAsia="sl-SI"/>
              </w:rPr>
              <w:tab/>
            </w:r>
            <w:r w:rsidR="00D25E8B" w:rsidRPr="007217A7">
              <w:rPr>
                <w:rStyle w:val="Hiperpovezava"/>
                <w:noProof/>
              </w:rPr>
              <w:t>Govedoreja</w:t>
            </w:r>
            <w:r w:rsidR="00D25E8B">
              <w:rPr>
                <w:noProof/>
                <w:webHidden/>
              </w:rPr>
              <w:tab/>
            </w:r>
            <w:r w:rsidR="00D25E8B">
              <w:rPr>
                <w:noProof/>
                <w:webHidden/>
              </w:rPr>
              <w:fldChar w:fldCharType="begin"/>
            </w:r>
            <w:r w:rsidR="00D25E8B">
              <w:rPr>
                <w:noProof/>
                <w:webHidden/>
              </w:rPr>
              <w:instrText xml:space="preserve"> PAGEREF _Toc90462247 \h </w:instrText>
            </w:r>
            <w:r w:rsidR="00D25E8B">
              <w:rPr>
                <w:noProof/>
                <w:webHidden/>
              </w:rPr>
            </w:r>
            <w:r w:rsidR="00D25E8B">
              <w:rPr>
                <w:noProof/>
                <w:webHidden/>
              </w:rPr>
              <w:fldChar w:fldCharType="separate"/>
            </w:r>
            <w:r w:rsidR="001E6B9E">
              <w:rPr>
                <w:noProof/>
                <w:webHidden/>
              </w:rPr>
              <w:t>86</w:t>
            </w:r>
            <w:r w:rsidR="00D25E8B">
              <w:rPr>
                <w:noProof/>
                <w:webHidden/>
              </w:rPr>
              <w:fldChar w:fldCharType="end"/>
            </w:r>
          </w:hyperlink>
        </w:p>
        <w:p w14:paraId="05662ED8" w14:textId="76BA8381"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48" w:history="1">
            <w:r w:rsidR="00D25E8B" w:rsidRPr="007217A7">
              <w:rPr>
                <w:rStyle w:val="Hiperpovezava"/>
                <w:rFonts w:eastAsia="Calibri"/>
                <w:noProof/>
              </w:rPr>
              <w:t>10.1.1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in osnovni ekonomski kazalniki</w:t>
            </w:r>
            <w:r w:rsidR="00D25E8B">
              <w:rPr>
                <w:noProof/>
                <w:webHidden/>
              </w:rPr>
              <w:tab/>
            </w:r>
            <w:r w:rsidR="00D25E8B">
              <w:rPr>
                <w:noProof/>
                <w:webHidden/>
              </w:rPr>
              <w:fldChar w:fldCharType="begin"/>
            </w:r>
            <w:r w:rsidR="00D25E8B">
              <w:rPr>
                <w:noProof/>
                <w:webHidden/>
              </w:rPr>
              <w:instrText xml:space="preserve"> PAGEREF _Toc90462248 \h </w:instrText>
            </w:r>
            <w:r w:rsidR="00D25E8B">
              <w:rPr>
                <w:noProof/>
                <w:webHidden/>
              </w:rPr>
            </w:r>
            <w:r w:rsidR="00D25E8B">
              <w:rPr>
                <w:noProof/>
                <w:webHidden/>
              </w:rPr>
              <w:fldChar w:fldCharType="separate"/>
            </w:r>
            <w:r w:rsidR="001E6B9E">
              <w:rPr>
                <w:noProof/>
                <w:webHidden/>
              </w:rPr>
              <w:t>86</w:t>
            </w:r>
            <w:r w:rsidR="00D25E8B">
              <w:rPr>
                <w:noProof/>
                <w:webHidden/>
              </w:rPr>
              <w:fldChar w:fldCharType="end"/>
            </w:r>
          </w:hyperlink>
        </w:p>
        <w:p w14:paraId="3C1FBA75" w14:textId="69FEA0A5"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49" w:history="1">
            <w:r w:rsidR="00D25E8B" w:rsidRPr="007217A7">
              <w:rPr>
                <w:rStyle w:val="Hiperpovezava"/>
                <w:rFonts w:eastAsia="Calibri"/>
                <w:noProof/>
              </w:rPr>
              <w:t>10.1.2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_Toc90462249 \h </w:instrText>
            </w:r>
            <w:r w:rsidR="00D25E8B">
              <w:rPr>
                <w:noProof/>
                <w:webHidden/>
              </w:rPr>
            </w:r>
            <w:r w:rsidR="00D25E8B">
              <w:rPr>
                <w:noProof/>
                <w:webHidden/>
              </w:rPr>
              <w:fldChar w:fldCharType="separate"/>
            </w:r>
            <w:r w:rsidR="001E6B9E">
              <w:rPr>
                <w:noProof/>
                <w:webHidden/>
              </w:rPr>
              <w:t>91</w:t>
            </w:r>
            <w:r w:rsidR="00D25E8B">
              <w:rPr>
                <w:noProof/>
                <w:webHidden/>
              </w:rPr>
              <w:fldChar w:fldCharType="end"/>
            </w:r>
          </w:hyperlink>
        </w:p>
        <w:p w14:paraId="2840F7DE" w14:textId="250A1F27" w:rsidR="00D25E8B" w:rsidRDefault="00FB6BEC">
          <w:pPr>
            <w:pStyle w:val="Kazalovsebine2"/>
            <w:rPr>
              <w:rFonts w:asciiTheme="minorHAnsi" w:eastAsiaTheme="minorEastAsia" w:hAnsiTheme="minorHAnsi" w:cstheme="minorBidi"/>
              <w:noProof/>
              <w:szCs w:val="22"/>
              <w:lang w:eastAsia="sl-SI"/>
            </w:rPr>
          </w:pPr>
          <w:hyperlink w:anchor="_Toc90462250" w:history="1">
            <w:r w:rsidR="00D25E8B" w:rsidRPr="007217A7">
              <w:rPr>
                <w:rStyle w:val="Hiperpovezava"/>
                <w:noProof/>
              </w:rPr>
              <w:t>10.2</w:t>
            </w:r>
            <w:r w:rsidR="00D25E8B">
              <w:rPr>
                <w:rFonts w:asciiTheme="minorHAnsi" w:eastAsiaTheme="minorEastAsia" w:hAnsiTheme="minorHAnsi" w:cstheme="minorBidi"/>
                <w:noProof/>
                <w:szCs w:val="22"/>
                <w:lang w:eastAsia="sl-SI"/>
              </w:rPr>
              <w:tab/>
            </w:r>
            <w:r w:rsidR="00D25E8B" w:rsidRPr="007217A7">
              <w:rPr>
                <w:rStyle w:val="Hiperpovezava"/>
                <w:noProof/>
              </w:rPr>
              <w:t>Prašičereja</w:t>
            </w:r>
            <w:r w:rsidR="00D25E8B">
              <w:rPr>
                <w:noProof/>
                <w:webHidden/>
              </w:rPr>
              <w:tab/>
            </w:r>
            <w:r w:rsidR="00D25E8B">
              <w:rPr>
                <w:noProof/>
                <w:webHidden/>
              </w:rPr>
              <w:fldChar w:fldCharType="begin"/>
            </w:r>
            <w:r w:rsidR="00D25E8B">
              <w:rPr>
                <w:noProof/>
                <w:webHidden/>
              </w:rPr>
              <w:instrText xml:space="preserve"> PAGEREF _Toc90462250 \h </w:instrText>
            </w:r>
            <w:r w:rsidR="00D25E8B">
              <w:rPr>
                <w:noProof/>
                <w:webHidden/>
              </w:rPr>
            </w:r>
            <w:r w:rsidR="00D25E8B">
              <w:rPr>
                <w:noProof/>
                <w:webHidden/>
              </w:rPr>
              <w:fldChar w:fldCharType="separate"/>
            </w:r>
            <w:r w:rsidR="001E6B9E">
              <w:rPr>
                <w:noProof/>
                <w:webHidden/>
              </w:rPr>
              <w:t>92</w:t>
            </w:r>
            <w:r w:rsidR="00D25E8B">
              <w:rPr>
                <w:noProof/>
                <w:webHidden/>
              </w:rPr>
              <w:fldChar w:fldCharType="end"/>
            </w:r>
          </w:hyperlink>
        </w:p>
        <w:p w14:paraId="5F71BF90" w14:textId="621F8D2E"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1" w:history="1">
            <w:r w:rsidR="00D25E8B" w:rsidRPr="007217A7">
              <w:rPr>
                <w:rStyle w:val="Hiperpovezava"/>
                <w:rFonts w:eastAsia="Calibri"/>
                <w:noProof/>
              </w:rPr>
              <w:t>10.2.1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_Toc90462251 \h </w:instrText>
            </w:r>
            <w:r w:rsidR="00D25E8B">
              <w:rPr>
                <w:noProof/>
                <w:webHidden/>
              </w:rPr>
            </w:r>
            <w:r w:rsidR="00D25E8B">
              <w:rPr>
                <w:noProof/>
                <w:webHidden/>
              </w:rPr>
              <w:fldChar w:fldCharType="separate"/>
            </w:r>
            <w:r w:rsidR="001E6B9E">
              <w:rPr>
                <w:noProof/>
                <w:webHidden/>
              </w:rPr>
              <w:t>92</w:t>
            </w:r>
            <w:r w:rsidR="00D25E8B">
              <w:rPr>
                <w:noProof/>
                <w:webHidden/>
              </w:rPr>
              <w:fldChar w:fldCharType="end"/>
            </w:r>
          </w:hyperlink>
        </w:p>
        <w:p w14:paraId="29CECED5" w14:textId="6877ACDC"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2" w:history="1">
            <w:r w:rsidR="00D25E8B" w:rsidRPr="007217A7">
              <w:rPr>
                <w:rStyle w:val="Hiperpovezava"/>
                <w:rFonts w:eastAsia="Calibri"/>
                <w:noProof/>
              </w:rPr>
              <w:t>10.2.2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_Toc90462252 \h </w:instrText>
            </w:r>
            <w:r w:rsidR="00D25E8B">
              <w:rPr>
                <w:noProof/>
                <w:webHidden/>
              </w:rPr>
            </w:r>
            <w:r w:rsidR="00D25E8B">
              <w:rPr>
                <w:noProof/>
                <w:webHidden/>
              </w:rPr>
              <w:fldChar w:fldCharType="separate"/>
            </w:r>
            <w:r w:rsidR="001E6B9E">
              <w:rPr>
                <w:noProof/>
                <w:webHidden/>
              </w:rPr>
              <w:t>95</w:t>
            </w:r>
            <w:r w:rsidR="00D25E8B">
              <w:rPr>
                <w:noProof/>
                <w:webHidden/>
              </w:rPr>
              <w:fldChar w:fldCharType="end"/>
            </w:r>
          </w:hyperlink>
        </w:p>
        <w:p w14:paraId="7DE17AD8" w14:textId="7C8A7AB7" w:rsidR="00D25E8B" w:rsidRDefault="00FB6BEC">
          <w:pPr>
            <w:pStyle w:val="Kazalovsebine2"/>
            <w:rPr>
              <w:rFonts w:asciiTheme="minorHAnsi" w:eastAsiaTheme="minorEastAsia" w:hAnsiTheme="minorHAnsi" w:cstheme="minorBidi"/>
              <w:noProof/>
              <w:szCs w:val="22"/>
              <w:lang w:eastAsia="sl-SI"/>
            </w:rPr>
          </w:pPr>
          <w:hyperlink w:anchor="_Toc90462253" w:history="1">
            <w:r w:rsidR="00D25E8B" w:rsidRPr="007217A7">
              <w:rPr>
                <w:rStyle w:val="Hiperpovezava"/>
                <w:noProof/>
              </w:rPr>
              <w:t>10.3</w:t>
            </w:r>
            <w:r w:rsidR="00D25E8B">
              <w:rPr>
                <w:rFonts w:asciiTheme="minorHAnsi" w:eastAsiaTheme="minorEastAsia" w:hAnsiTheme="minorHAnsi" w:cstheme="minorBidi"/>
                <w:noProof/>
                <w:szCs w:val="22"/>
                <w:lang w:eastAsia="sl-SI"/>
              </w:rPr>
              <w:tab/>
            </w:r>
            <w:r w:rsidR="00D25E8B" w:rsidRPr="007217A7">
              <w:rPr>
                <w:rStyle w:val="Hiperpovezava"/>
                <w:noProof/>
              </w:rPr>
              <w:t>Perutninarstvo</w:t>
            </w:r>
            <w:r w:rsidR="00D25E8B">
              <w:rPr>
                <w:noProof/>
                <w:webHidden/>
              </w:rPr>
              <w:tab/>
            </w:r>
            <w:r w:rsidR="00D25E8B">
              <w:rPr>
                <w:noProof/>
                <w:webHidden/>
              </w:rPr>
              <w:fldChar w:fldCharType="begin"/>
            </w:r>
            <w:r w:rsidR="00D25E8B">
              <w:rPr>
                <w:noProof/>
                <w:webHidden/>
              </w:rPr>
              <w:instrText xml:space="preserve"> PAGEREF _Toc90462253 \h </w:instrText>
            </w:r>
            <w:r w:rsidR="00D25E8B">
              <w:rPr>
                <w:noProof/>
                <w:webHidden/>
              </w:rPr>
            </w:r>
            <w:r w:rsidR="00D25E8B">
              <w:rPr>
                <w:noProof/>
                <w:webHidden/>
              </w:rPr>
              <w:fldChar w:fldCharType="separate"/>
            </w:r>
            <w:r w:rsidR="001E6B9E">
              <w:rPr>
                <w:noProof/>
                <w:webHidden/>
              </w:rPr>
              <w:t>95</w:t>
            </w:r>
            <w:r w:rsidR="00D25E8B">
              <w:rPr>
                <w:noProof/>
                <w:webHidden/>
              </w:rPr>
              <w:fldChar w:fldCharType="end"/>
            </w:r>
          </w:hyperlink>
        </w:p>
        <w:p w14:paraId="4E32BCE2" w14:textId="01D86647"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4" w:history="1">
            <w:r w:rsidR="00D25E8B" w:rsidRPr="007217A7">
              <w:rPr>
                <w:rStyle w:val="Hiperpovezava"/>
                <w:rFonts w:eastAsia="Calibri"/>
                <w:noProof/>
              </w:rPr>
              <w:t>10.3.1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_Toc90462254 \h </w:instrText>
            </w:r>
            <w:r w:rsidR="00D25E8B">
              <w:rPr>
                <w:noProof/>
                <w:webHidden/>
              </w:rPr>
            </w:r>
            <w:r w:rsidR="00D25E8B">
              <w:rPr>
                <w:noProof/>
                <w:webHidden/>
              </w:rPr>
              <w:fldChar w:fldCharType="separate"/>
            </w:r>
            <w:r w:rsidR="001E6B9E">
              <w:rPr>
                <w:noProof/>
                <w:webHidden/>
              </w:rPr>
              <w:t>95</w:t>
            </w:r>
            <w:r w:rsidR="00D25E8B">
              <w:rPr>
                <w:noProof/>
                <w:webHidden/>
              </w:rPr>
              <w:fldChar w:fldCharType="end"/>
            </w:r>
          </w:hyperlink>
        </w:p>
        <w:p w14:paraId="0B85133B" w14:textId="373C5610"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5" w:history="1">
            <w:r w:rsidR="00D25E8B" w:rsidRPr="007217A7">
              <w:rPr>
                <w:rStyle w:val="Hiperpovezava"/>
                <w:rFonts w:eastAsia="Calibri"/>
                <w:noProof/>
              </w:rPr>
              <w:t>10.3.2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_Toc90462255 \h </w:instrText>
            </w:r>
            <w:r w:rsidR="00D25E8B">
              <w:rPr>
                <w:noProof/>
                <w:webHidden/>
              </w:rPr>
            </w:r>
            <w:r w:rsidR="00D25E8B">
              <w:rPr>
                <w:noProof/>
                <w:webHidden/>
              </w:rPr>
              <w:fldChar w:fldCharType="separate"/>
            </w:r>
            <w:r w:rsidR="001E6B9E">
              <w:rPr>
                <w:noProof/>
                <w:webHidden/>
              </w:rPr>
              <w:t>98</w:t>
            </w:r>
            <w:r w:rsidR="00D25E8B">
              <w:rPr>
                <w:noProof/>
                <w:webHidden/>
              </w:rPr>
              <w:fldChar w:fldCharType="end"/>
            </w:r>
          </w:hyperlink>
        </w:p>
        <w:p w14:paraId="0B3F6BD8" w14:textId="478DF9D7" w:rsidR="00D25E8B" w:rsidRDefault="00FB6BEC">
          <w:pPr>
            <w:pStyle w:val="Kazalovsebine2"/>
            <w:rPr>
              <w:rFonts w:asciiTheme="minorHAnsi" w:eastAsiaTheme="minorEastAsia" w:hAnsiTheme="minorHAnsi" w:cstheme="minorBidi"/>
              <w:noProof/>
              <w:szCs w:val="22"/>
              <w:lang w:eastAsia="sl-SI"/>
            </w:rPr>
          </w:pPr>
          <w:hyperlink w:anchor="_Toc90462256" w:history="1">
            <w:r w:rsidR="00D25E8B" w:rsidRPr="007217A7">
              <w:rPr>
                <w:rStyle w:val="Hiperpovezava"/>
                <w:noProof/>
              </w:rPr>
              <w:t>10.4</w:t>
            </w:r>
            <w:r w:rsidR="00D25E8B">
              <w:rPr>
                <w:rFonts w:asciiTheme="minorHAnsi" w:eastAsiaTheme="minorEastAsia" w:hAnsiTheme="minorHAnsi" w:cstheme="minorBidi"/>
                <w:noProof/>
                <w:szCs w:val="22"/>
                <w:lang w:eastAsia="sl-SI"/>
              </w:rPr>
              <w:tab/>
            </w:r>
            <w:r w:rsidR="00D25E8B" w:rsidRPr="007217A7">
              <w:rPr>
                <w:rStyle w:val="Hiperpovezava"/>
                <w:noProof/>
              </w:rPr>
              <w:t>Drobnica</w:t>
            </w:r>
            <w:r w:rsidR="00D25E8B">
              <w:rPr>
                <w:noProof/>
                <w:webHidden/>
              </w:rPr>
              <w:tab/>
            </w:r>
            <w:r w:rsidR="00D25E8B">
              <w:rPr>
                <w:noProof/>
                <w:webHidden/>
              </w:rPr>
              <w:fldChar w:fldCharType="begin"/>
            </w:r>
            <w:r w:rsidR="00D25E8B">
              <w:rPr>
                <w:noProof/>
                <w:webHidden/>
              </w:rPr>
              <w:instrText xml:space="preserve"> PAGEREF _Toc90462256 \h </w:instrText>
            </w:r>
            <w:r w:rsidR="00D25E8B">
              <w:rPr>
                <w:noProof/>
                <w:webHidden/>
              </w:rPr>
            </w:r>
            <w:r w:rsidR="00D25E8B">
              <w:rPr>
                <w:noProof/>
                <w:webHidden/>
              </w:rPr>
              <w:fldChar w:fldCharType="separate"/>
            </w:r>
            <w:r w:rsidR="001E6B9E">
              <w:rPr>
                <w:noProof/>
                <w:webHidden/>
              </w:rPr>
              <w:t>98</w:t>
            </w:r>
            <w:r w:rsidR="00D25E8B">
              <w:rPr>
                <w:noProof/>
                <w:webHidden/>
              </w:rPr>
              <w:fldChar w:fldCharType="end"/>
            </w:r>
          </w:hyperlink>
        </w:p>
        <w:p w14:paraId="1B18F3CB" w14:textId="6FFF539F"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7" w:history="1">
            <w:r w:rsidR="00D25E8B" w:rsidRPr="007217A7">
              <w:rPr>
                <w:rStyle w:val="Hiperpovezava"/>
                <w:rFonts w:eastAsia="Calibri"/>
                <w:noProof/>
              </w:rPr>
              <w:t>10.4.1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_Toc90462257 \h </w:instrText>
            </w:r>
            <w:r w:rsidR="00D25E8B">
              <w:rPr>
                <w:noProof/>
                <w:webHidden/>
              </w:rPr>
            </w:r>
            <w:r w:rsidR="00D25E8B">
              <w:rPr>
                <w:noProof/>
                <w:webHidden/>
              </w:rPr>
              <w:fldChar w:fldCharType="separate"/>
            </w:r>
            <w:r w:rsidR="001E6B9E">
              <w:rPr>
                <w:noProof/>
                <w:webHidden/>
              </w:rPr>
              <w:t>99</w:t>
            </w:r>
            <w:r w:rsidR="00D25E8B">
              <w:rPr>
                <w:noProof/>
                <w:webHidden/>
              </w:rPr>
              <w:fldChar w:fldCharType="end"/>
            </w:r>
          </w:hyperlink>
        </w:p>
        <w:p w14:paraId="274D80AC" w14:textId="47AA1542"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58" w:history="1">
            <w:r w:rsidR="00D25E8B" w:rsidRPr="007217A7">
              <w:rPr>
                <w:rStyle w:val="Hiperpovezava"/>
                <w:rFonts w:eastAsia="Calibri"/>
                <w:noProof/>
              </w:rPr>
              <w:t>10.4.2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_Toc90462258 \h </w:instrText>
            </w:r>
            <w:r w:rsidR="00D25E8B">
              <w:rPr>
                <w:noProof/>
                <w:webHidden/>
              </w:rPr>
            </w:r>
            <w:r w:rsidR="00D25E8B">
              <w:rPr>
                <w:noProof/>
                <w:webHidden/>
              </w:rPr>
              <w:fldChar w:fldCharType="separate"/>
            </w:r>
            <w:r w:rsidR="001E6B9E">
              <w:rPr>
                <w:noProof/>
                <w:webHidden/>
              </w:rPr>
              <w:t>101</w:t>
            </w:r>
            <w:r w:rsidR="00D25E8B">
              <w:rPr>
                <w:noProof/>
                <w:webHidden/>
              </w:rPr>
              <w:fldChar w:fldCharType="end"/>
            </w:r>
          </w:hyperlink>
        </w:p>
        <w:p w14:paraId="634E1CBA" w14:textId="54AA9C89" w:rsidR="00D25E8B" w:rsidRDefault="00FB6BEC">
          <w:pPr>
            <w:pStyle w:val="Kazalovsebine2"/>
            <w:rPr>
              <w:rFonts w:asciiTheme="minorHAnsi" w:eastAsiaTheme="minorEastAsia" w:hAnsiTheme="minorHAnsi" w:cstheme="minorBidi"/>
              <w:noProof/>
              <w:szCs w:val="22"/>
              <w:lang w:eastAsia="sl-SI"/>
            </w:rPr>
          </w:pPr>
          <w:hyperlink w:anchor="_Toc90462259" w:history="1">
            <w:r w:rsidR="00D25E8B" w:rsidRPr="007217A7">
              <w:rPr>
                <w:rStyle w:val="Hiperpovezava"/>
                <w:noProof/>
              </w:rPr>
              <w:t>10.5</w:t>
            </w:r>
            <w:r w:rsidR="00D25E8B">
              <w:rPr>
                <w:rFonts w:asciiTheme="minorHAnsi" w:eastAsiaTheme="minorEastAsia" w:hAnsiTheme="minorHAnsi" w:cstheme="minorBidi"/>
                <w:noProof/>
                <w:szCs w:val="22"/>
                <w:lang w:eastAsia="sl-SI"/>
              </w:rPr>
              <w:tab/>
            </w:r>
            <w:r w:rsidR="00D25E8B" w:rsidRPr="007217A7">
              <w:rPr>
                <w:rStyle w:val="Hiperpovezava"/>
                <w:noProof/>
              </w:rPr>
              <w:t>Čebelarstvo</w:t>
            </w:r>
            <w:r w:rsidR="00D25E8B">
              <w:rPr>
                <w:noProof/>
                <w:webHidden/>
              </w:rPr>
              <w:tab/>
            </w:r>
            <w:r w:rsidR="00D25E8B">
              <w:rPr>
                <w:noProof/>
                <w:webHidden/>
              </w:rPr>
              <w:fldChar w:fldCharType="begin"/>
            </w:r>
            <w:r w:rsidR="00D25E8B">
              <w:rPr>
                <w:noProof/>
                <w:webHidden/>
              </w:rPr>
              <w:instrText xml:space="preserve"> PAGEREF _Toc90462259 \h </w:instrText>
            </w:r>
            <w:r w:rsidR="00D25E8B">
              <w:rPr>
                <w:noProof/>
                <w:webHidden/>
              </w:rPr>
            </w:r>
            <w:r w:rsidR="00D25E8B">
              <w:rPr>
                <w:noProof/>
                <w:webHidden/>
              </w:rPr>
              <w:fldChar w:fldCharType="separate"/>
            </w:r>
            <w:r w:rsidR="001E6B9E">
              <w:rPr>
                <w:noProof/>
                <w:webHidden/>
              </w:rPr>
              <w:t>101</w:t>
            </w:r>
            <w:r w:rsidR="00D25E8B">
              <w:rPr>
                <w:noProof/>
                <w:webHidden/>
              </w:rPr>
              <w:fldChar w:fldCharType="end"/>
            </w:r>
          </w:hyperlink>
        </w:p>
        <w:p w14:paraId="46B0E808" w14:textId="3E970229"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0" w:history="1">
            <w:r w:rsidR="00D25E8B" w:rsidRPr="007217A7">
              <w:rPr>
                <w:rStyle w:val="Hiperpovezava"/>
                <w:rFonts w:eastAsia="Calibri"/>
                <w:noProof/>
              </w:rPr>
              <w:t>10.5.1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in osnovni ekonomski kazalniki</w:t>
            </w:r>
            <w:r w:rsidR="00D25E8B">
              <w:rPr>
                <w:noProof/>
                <w:webHidden/>
              </w:rPr>
              <w:tab/>
            </w:r>
            <w:r w:rsidR="00D25E8B">
              <w:rPr>
                <w:noProof/>
                <w:webHidden/>
              </w:rPr>
              <w:fldChar w:fldCharType="begin"/>
            </w:r>
            <w:r w:rsidR="00D25E8B">
              <w:rPr>
                <w:noProof/>
                <w:webHidden/>
              </w:rPr>
              <w:instrText xml:space="preserve"> PAGEREF _Toc90462260 \h </w:instrText>
            </w:r>
            <w:r w:rsidR="00D25E8B">
              <w:rPr>
                <w:noProof/>
                <w:webHidden/>
              </w:rPr>
            </w:r>
            <w:r w:rsidR="00D25E8B">
              <w:rPr>
                <w:noProof/>
                <w:webHidden/>
              </w:rPr>
              <w:fldChar w:fldCharType="separate"/>
            </w:r>
            <w:r w:rsidR="001E6B9E">
              <w:rPr>
                <w:noProof/>
                <w:webHidden/>
              </w:rPr>
              <w:t>102</w:t>
            </w:r>
            <w:r w:rsidR="00D25E8B">
              <w:rPr>
                <w:noProof/>
                <w:webHidden/>
              </w:rPr>
              <w:fldChar w:fldCharType="end"/>
            </w:r>
          </w:hyperlink>
        </w:p>
        <w:p w14:paraId="0BC25A4B" w14:textId="63E19E0B"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1" w:history="1">
            <w:r w:rsidR="00D25E8B" w:rsidRPr="007217A7">
              <w:rPr>
                <w:rStyle w:val="Hiperpovezava"/>
                <w:noProof/>
              </w:rPr>
              <w:t>10.5.2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_Toc90462261 \h </w:instrText>
            </w:r>
            <w:r w:rsidR="00D25E8B">
              <w:rPr>
                <w:noProof/>
                <w:webHidden/>
              </w:rPr>
            </w:r>
            <w:r w:rsidR="00D25E8B">
              <w:rPr>
                <w:noProof/>
                <w:webHidden/>
              </w:rPr>
              <w:fldChar w:fldCharType="separate"/>
            </w:r>
            <w:r w:rsidR="001E6B9E">
              <w:rPr>
                <w:noProof/>
                <w:webHidden/>
              </w:rPr>
              <w:t>105</w:t>
            </w:r>
            <w:r w:rsidR="00D25E8B">
              <w:rPr>
                <w:noProof/>
                <w:webHidden/>
              </w:rPr>
              <w:fldChar w:fldCharType="end"/>
            </w:r>
          </w:hyperlink>
        </w:p>
        <w:p w14:paraId="3A0EAB7D" w14:textId="76BFACC8" w:rsidR="00D25E8B" w:rsidRDefault="00FB6BEC">
          <w:pPr>
            <w:pStyle w:val="Kazalovsebine2"/>
            <w:rPr>
              <w:rFonts w:asciiTheme="minorHAnsi" w:eastAsiaTheme="minorEastAsia" w:hAnsiTheme="minorHAnsi" w:cstheme="minorBidi"/>
              <w:noProof/>
              <w:szCs w:val="22"/>
              <w:lang w:eastAsia="sl-SI"/>
            </w:rPr>
          </w:pPr>
          <w:hyperlink w:anchor="_Toc90462262" w:history="1">
            <w:r w:rsidR="00D25E8B" w:rsidRPr="007217A7">
              <w:rPr>
                <w:rStyle w:val="Hiperpovezava"/>
                <w:noProof/>
              </w:rPr>
              <w:t>10.6</w:t>
            </w:r>
            <w:r w:rsidR="00D25E8B">
              <w:rPr>
                <w:rFonts w:asciiTheme="minorHAnsi" w:eastAsiaTheme="minorEastAsia" w:hAnsiTheme="minorHAnsi" w:cstheme="minorBidi"/>
                <w:noProof/>
                <w:szCs w:val="22"/>
                <w:lang w:eastAsia="sl-SI"/>
              </w:rPr>
              <w:tab/>
            </w:r>
            <w:r w:rsidR="00D25E8B" w:rsidRPr="007217A7">
              <w:rPr>
                <w:rStyle w:val="Hiperpovezava"/>
                <w:noProof/>
              </w:rPr>
              <w:t>Konjereja</w:t>
            </w:r>
            <w:r w:rsidR="00D25E8B">
              <w:rPr>
                <w:noProof/>
                <w:webHidden/>
              </w:rPr>
              <w:tab/>
            </w:r>
            <w:r w:rsidR="00D25E8B">
              <w:rPr>
                <w:noProof/>
                <w:webHidden/>
              </w:rPr>
              <w:fldChar w:fldCharType="begin"/>
            </w:r>
            <w:r w:rsidR="00D25E8B">
              <w:rPr>
                <w:noProof/>
                <w:webHidden/>
              </w:rPr>
              <w:instrText xml:space="preserve"> PAGEREF _Toc90462262 \h </w:instrText>
            </w:r>
            <w:r w:rsidR="00D25E8B">
              <w:rPr>
                <w:noProof/>
                <w:webHidden/>
              </w:rPr>
            </w:r>
            <w:r w:rsidR="00D25E8B">
              <w:rPr>
                <w:noProof/>
                <w:webHidden/>
              </w:rPr>
              <w:fldChar w:fldCharType="separate"/>
            </w:r>
            <w:r w:rsidR="001E6B9E">
              <w:rPr>
                <w:noProof/>
                <w:webHidden/>
              </w:rPr>
              <w:t>106</w:t>
            </w:r>
            <w:r w:rsidR="00D25E8B">
              <w:rPr>
                <w:noProof/>
                <w:webHidden/>
              </w:rPr>
              <w:fldChar w:fldCharType="end"/>
            </w:r>
          </w:hyperlink>
        </w:p>
        <w:p w14:paraId="5FD5B5BF" w14:textId="6B1164BE"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3" w:history="1">
            <w:r w:rsidR="00D25E8B" w:rsidRPr="007217A7">
              <w:rPr>
                <w:rStyle w:val="Hiperpovezava"/>
                <w:rFonts w:eastAsia="Calibri"/>
                <w:noProof/>
              </w:rPr>
              <w:t>10.6.1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in osnovni ekonomski kazalniki</w:t>
            </w:r>
            <w:r w:rsidR="00D25E8B">
              <w:rPr>
                <w:noProof/>
                <w:webHidden/>
              </w:rPr>
              <w:tab/>
            </w:r>
            <w:r w:rsidR="00D25E8B">
              <w:rPr>
                <w:noProof/>
                <w:webHidden/>
              </w:rPr>
              <w:fldChar w:fldCharType="begin"/>
            </w:r>
            <w:r w:rsidR="00D25E8B">
              <w:rPr>
                <w:noProof/>
                <w:webHidden/>
              </w:rPr>
              <w:instrText xml:space="preserve"> PAGEREF _Toc90462263 \h </w:instrText>
            </w:r>
            <w:r w:rsidR="00D25E8B">
              <w:rPr>
                <w:noProof/>
                <w:webHidden/>
              </w:rPr>
            </w:r>
            <w:r w:rsidR="00D25E8B">
              <w:rPr>
                <w:noProof/>
                <w:webHidden/>
              </w:rPr>
              <w:fldChar w:fldCharType="separate"/>
            </w:r>
            <w:r w:rsidR="001E6B9E">
              <w:rPr>
                <w:noProof/>
                <w:webHidden/>
              </w:rPr>
              <w:t>106</w:t>
            </w:r>
            <w:r w:rsidR="00D25E8B">
              <w:rPr>
                <w:noProof/>
                <w:webHidden/>
              </w:rPr>
              <w:fldChar w:fldCharType="end"/>
            </w:r>
          </w:hyperlink>
        </w:p>
        <w:p w14:paraId="24AA4A56" w14:textId="20174FC1"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4" w:history="1">
            <w:r w:rsidR="00D25E8B" w:rsidRPr="007217A7">
              <w:rPr>
                <w:rStyle w:val="Hiperpovezava"/>
                <w:rFonts w:eastAsia="Calibri"/>
                <w:noProof/>
              </w:rPr>
              <w:t>10.6.2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_Toc90462264 \h </w:instrText>
            </w:r>
            <w:r w:rsidR="00D25E8B">
              <w:rPr>
                <w:noProof/>
                <w:webHidden/>
              </w:rPr>
            </w:r>
            <w:r w:rsidR="00D25E8B">
              <w:rPr>
                <w:noProof/>
                <w:webHidden/>
              </w:rPr>
              <w:fldChar w:fldCharType="separate"/>
            </w:r>
            <w:r w:rsidR="001E6B9E">
              <w:rPr>
                <w:noProof/>
                <w:webHidden/>
              </w:rPr>
              <w:t>108</w:t>
            </w:r>
            <w:r w:rsidR="00D25E8B">
              <w:rPr>
                <w:noProof/>
                <w:webHidden/>
              </w:rPr>
              <w:fldChar w:fldCharType="end"/>
            </w:r>
          </w:hyperlink>
        </w:p>
        <w:p w14:paraId="33F298F0" w14:textId="01F1C036" w:rsidR="00D25E8B" w:rsidRDefault="00FB6BEC">
          <w:pPr>
            <w:pStyle w:val="Kazalovsebine2"/>
            <w:rPr>
              <w:rFonts w:asciiTheme="minorHAnsi" w:eastAsiaTheme="minorEastAsia" w:hAnsiTheme="minorHAnsi" w:cstheme="minorBidi"/>
              <w:noProof/>
              <w:szCs w:val="22"/>
              <w:lang w:eastAsia="sl-SI"/>
            </w:rPr>
          </w:pPr>
          <w:hyperlink w:anchor="_Toc90462265" w:history="1">
            <w:r w:rsidR="00D25E8B" w:rsidRPr="007217A7">
              <w:rPr>
                <w:rStyle w:val="Hiperpovezava"/>
                <w:noProof/>
              </w:rPr>
              <w:t>10.7</w:t>
            </w:r>
            <w:r w:rsidR="00D25E8B">
              <w:rPr>
                <w:rFonts w:asciiTheme="minorHAnsi" w:eastAsiaTheme="minorEastAsia" w:hAnsiTheme="minorHAnsi" w:cstheme="minorBidi"/>
                <w:noProof/>
                <w:szCs w:val="22"/>
                <w:lang w:eastAsia="sl-SI"/>
              </w:rPr>
              <w:tab/>
            </w:r>
            <w:r w:rsidR="00D25E8B" w:rsidRPr="007217A7">
              <w:rPr>
                <w:rStyle w:val="Hiperpovezava"/>
                <w:noProof/>
              </w:rPr>
              <w:t>Zelenjadarstvo</w:t>
            </w:r>
            <w:r w:rsidR="00D25E8B">
              <w:rPr>
                <w:noProof/>
                <w:webHidden/>
              </w:rPr>
              <w:tab/>
            </w:r>
            <w:r w:rsidR="00D25E8B">
              <w:rPr>
                <w:noProof/>
                <w:webHidden/>
              </w:rPr>
              <w:fldChar w:fldCharType="begin"/>
            </w:r>
            <w:r w:rsidR="00D25E8B">
              <w:rPr>
                <w:noProof/>
                <w:webHidden/>
              </w:rPr>
              <w:instrText xml:space="preserve"> PAGEREF _Toc90462265 \h </w:instrText>
            </w:r>
            <w:r w:rsidR="00D25E8B">
              <w:rPr>
                <w:noProof/>
                <w:webHidden/>
              </w:rPr>
            </w:r>
            <w:r w:rsidR="00D25E8B">
              <w:rPr>
                <w:noProof/>
                <w:webHidden/>
              </w:rPr>
              <w:fldChar w:fldCharType="separate"/>
            </w:r>
            <w:r w:rsidR="001E6B9E">
              <w:rPr>
                <w:noProof/>
                <w:webHidden/>
              </w:rPr>
              <w:t>108</w:t>
            </w:r>
            <w:r w:rsidR="00D25E8B">
              <w:rPr>
                <w:noProof/>
                <w:webHidden/>
              </w:rPr>
              <w:fldChar w:fldCharType="end"/>
            </w:r>
          </w:hyperlink>
        </w:p>
        <w:p w14:paraId="7CE204E7" w14:textId="46396CF5"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6" w:history="1">
            <w:r w:rsidR="00D25E8B" w:rsidRPr="007217A7">
              <w:rPr>
                <w:rStyle w:val="Hiperpovezava"/>
                <w:rFonts w:eastAsia="Calibri"/>
                <w:noProof/>
              </w:rPr>
              <w:t>10.7.1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_Toc90462266 \h </w:instrText>
            </w:r>
            <w:r w:rsidR="00D25E8B">
              <w:rPr>
                <w:noProof/>
                <w:webHidden/>
              </w:rPr>
            </w:r>
            <w:r w:rsidR="00D25E8B">
              <w:rPr>
                <w:noProof/>
                <w:webHidden/>
              </w:rPr>
              <w:fldChar w:fldCharType="separate"/>
            </w:r>
            <w:r w:rsidR="001E6B9E">
              <w:rPr>
                <w:noProof/>
                <w:webHidden/>
              </w:rPr>
              <w:t>108</w:t>
            </w:r>
            <w:r w:rsidR="00D25E8B">
              <w:rPr>
                <w:noProof/>
                <w:webHidden/>
              </w:rPr>
              <w:fldChar w:fldCharType="end"/>
            </w:r>
          </w:hyperlink>
        </w:p>
        <w:p w14:paraId="05E30A55" w14:textId="741E039A"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7" w:history="1">
            <w:r w:rsidR="00D25E8B" w:rsidRPr="007217A7">
              <w:rPr>
                <w:rStyle w:val="Hiperpovezava"/>
                <w:rFonts w:eastAsia="Calibri"/>
                <w:noProof/>
              </w:rPr>
              <w:t>10.7.2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_Toc90462267 \h </w:instrText>
            </w:r>
            <w:r w:rsidR="00D25E8B">
              <w:rPr>
                <w:noProof/>
                <w:webHidden/>
              </w:rPr>
            </w:r>
            <w:r w:rsidR="00D25E8B">
              <w:rPr>
                <w:noProof/>
                <w:webHidden/>
              </w:rPr>
              <w:fldChar w:fldCharType="separate"/>
            </w:r>
            <w:r w:rsidR="001E6B9E">
              <w:rPr>
                <w:noProof/>
                <w:webHidden/>
              </w:rPr>
              <w:t>114</w:t>
            </w:r>
            <w:r w:rsidR="00D25E8B">
              <w:rPr>
                <w:noProof/>
                <w:webHidden/>
              </w:rPr>
              <w:fldChar w:fldCharType="end"/>
            </w:r>
          </w:hyperlink>
        </w:p>
        <w:p w14:paraId="72100E75" w14:textId="6257A946" w:rsidR="00D25E8B" w:rsidRDefault="00FB6BEC">
          <w:pPr>
            <w:pStyle w:val="Kazalovsebine2"/>
            <w:rPr>
              <w:rFonts w:asciiTheme="minorHAnsi" w:eastAsiaTheme="minorEastAsia" w:hAnsiTheme="minorHAnsi" w:cstheme="minorBidi"/>
              <w:noProof/>
              <w:szCs w:val="22"/>
              <w:lang w:eastAsia="sl-SI"/>
            </w:rPr>
          </w:pPr>
          <w:hyperlink w:anchor="_Toc90462268" w:history="1">
            <w:r w:rsidR="00D25E8B" w:rsidRPr="007217A7">
              <w:rPr>
                <w:rStyle w:val="Hiperpovezava"/>
                <w:noProof/>
              </w:rPr>
              <w:t>10.8</w:t>
            </w:r>
            <w:r w:rsidR="00D25E8B">
              <w:rPr>
                <w:rFonts w:asciiTheme="minorHAnsi" w:eastAsiaTheme="minorEastAsia" w:hAnsiTheme="minorHAnsi" w:cstheme="minorBidi"/>
                <w:noProof/>
                <w:szCs w:val="22"/>
                <w:lang w:eastAsia="sl-SI"/>
              </w:rPr>
              <w:tab/>
            </w:r>
            <w:r w:rsidR="00D25E8B" w:rsidRPr="007217A7">
              <w:rPr>
                <w:rStyle w:val="Hiperpovezava"/>
                <w:noProof/>
              </w:rPr>
              <w:t>Zelišča</w:t>
            </w:r>
            <w:r w:rsidR="00D25E8B">
              <w:rPr>
                <w:noProof/>
                <w:webHidden/>
              </w:rPr>
              <w:tab/>
            </w:r>
            <w:r w:rsidR="00D25E8B">
              <w:rPr>
                <w:noProof/>
                <w:webHidden/>
              </w:rPr>
              <w:fldChar w:fldCharType="begin"/>
            </w:r>
            <w:r w:rsidR="00D25E8B">
              <w:rPr>
                <w:noProof/>
                <w:webHidden/>
              </w:rPr>
              <w:instrText xml:space="preserve"> PAGEREF _Toc90462268 \h </w:instrText>
            </w:r>
            <w:r w:rsidR="00D25E8B">
              <w:rPr>
                <w:noProof/>
                <w:webHidden/>
              </w:rPr>
            </w:r>
            <w:r w:rsidR="00D25E8B">
              <w:rPr>
                <w:noProof/>
                <w:webHidden/>
              </w:rPr>
              <w:fldChar w:fldCharType="separate"/>
            </w:r>
            <w:r w:rsidR="001E6B9E">
              <w:rPr>
                <w:noProof/>
                <w:webHidden/>
              </w:rPr>
              <w:t>114</w:t>
            </w:r>
            <w:r w:rsidR="00D25E8B">
              <w:rPr>
                <w:noProof/>
                <w:webHidden/>
              </w:rPr>
              <w:fldChar w:fldCharType="end"/>
            </w:r>
          </w:hyperlink>
        </w:p>
        <w:p w14:paraId="6D078574" w14:textId="736CE2B0"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69" w:history="1">
            <w:r w:rsidR="00D25E8B" w:rsidRPr="007217A7">
              <w:rPr>
                <w:rStyle w:val="Hiperpovezava"/>
                <w:rFonts w:eastAsia="Calibri"/>
                <w:noProof/>
              </w:rPr>
              <w:t>10.8.1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_Toc90462269 \h </w:instrText>
            </w:r>
            <w:r w:rsidR="00D25E8B">
              <w:rPr>
                <w:noProof/>
                <w:webHidden/>
              </w:rPr>
            </w:r>
            <w:r w:rsidR="00D25E8B">
              <w:rPr>
                <w:noProof/>
                <w:webHidden/>
              </w:rPr>
              <w:fldChar w:fldCharType="separate"/>
            </w:r>
            <w:r w:rsidR="001E6B9E">
              <w:rPr>
                <w:noProof/>
                <w:webHidden/>
              </w:rPr>
              <w:t>115</w:t>
            </w:r>
            <w:r w:rsidR="00D25E8B">
              <w:rPr>
                <w:noProof/>
                <w:webHidden/>
              </w:rPr>
              <w:fldChar w:fldCharType="end"/>
            </w:r>
          </w:hyperlink>
        </w:p>
        <w:p w14:paraId="5497A328" w14:textId="6E9C0F6A"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70" w:history="1">
            <w:r w:rsidR="00D25E8B" w:rsidRPr="007217A7">
              <w:rPr>
                <w:rStyle w:val="Hiperpovezava"/>
                <w:rFonts w:eastAsia="Calibri"/>
                <w:noProof/>
              </w:rPr>
              <w:t>10.8.2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_Toc90462270 \h </w:instrText>
            </w:r>
            <w:r w:rsidR="00D25E8B">
              <w:rPr>
                <w:noProof/>
                <w:webHidden/>
              </w:rPr>
            </w:r>
            <w:r w:rsidR="00D25E8B">
              <w:rPr>
                <w:noProof/>
                <w:webHidden/>
              </w:rPr>
              <w:fldChar w:fldCharType="separate"/>
            </w:r>
            <w:r w:rsidR="001E6B9E">
              <w:rPr>
                <w:noProof/>
                <w:webHidden/>
              </w:rPr>
              <w:t>116</w:t>
            </w:r>
            <w:r w:rsidR="00D25E8B">
              <w:rPr>
                <w:noProof/>
                <w:webHidden/>
              </w:rPr>
              <w:fldChar w:fldCharType="end"/>
            </w:r>
          </w:hyperlink>
        </w:p>
        <w:p w14:paraId="585B24A6" w14:textId="7F6B11D3" w:rsidR="00D25E8B" w:rsidRDefault="00FB6BEC">
          <w:pPr>
            <w:pStyle w:val="Kazalovsebine2"/>
            <w:rPr>
              <w:rFonts w:asciiTheme="minorHAnsi" w:eastAsiaTheme="minorEastAsia" w:hAnsiTheme="minorHAnsi" w:cstheme="minorBidi"/>
              <w:noProof/>
              <w:szCs w:val="22"/>
              <w:lang w:eastAsia="sl-SI"/>
            </w:rPr>
          </w:pPr>
          <w:hyperlink w:anchor="_Toc90462271" w:history="1">
            <w:r w:rsidR="00D25E8B" w:rsidRPr="007217A7">
              <w:rPr>
                <w:rStyle w:val="Hiperpovezava"/>
                <w:noProof/>
              </w:rPr>
              <w:t>10.9</w:t>
            </w:r>
            <w:r w:rsidR="00D25E8B">
              <w:rPr>
                <w:rFonts w:asciiTheme="minorHAnsi" w:eastAsiaTheme="minorEastAsia" w:hAnsiTheme="minorHAnsi" w:cstheme="minorBidi"/>
                <w:noProof/>
                <w:szCs w:val="22"/>
                <w:lang w:eastAsia="sl-SI"/>
              </w:rPr>
              <w:tab/>
            </w:r>
            <w:r w:rsidR="00D25E8B" w:rsidRPr="007217A7">
              <w:rPr>
                <w:rStyle w:val="Hiperpovezava"/>
                <w:noProof/>
              </w:rPr>
              <w:t>Sadjarstvo</w:t>
            </w:r>
            <w:r w:rsidR="00D25E8B">
              <w:rPr>
                <w:noProof/>
                <w:webHidden/>
              </w:rPr>
              <w:tab/>
            </w:r>
            <w:r w:rsidR="00D25E8B">
              <w:rPr>
                <w:noProof/>
                <w:webHidden/>
              </w:rPr>
              <w:fldChar w:fldCharType="begin"/>
            </w:r>
            <w:r w:rsidR="00D25E8B">
              <w:rPr>
                <w:noProof/>
                <w:webHidden/>
              </w:rPr>
              <w:instrText xml:space="preserve"> PAGEREF _Toc90462271 \h </w:instrText>
            </w:r>
            <w:r w:rsidR="00D25E8B">
              <w:rPr>
                <w:noProof/>
                <w:webHidden/>
              </w:rPr>
            </w:r>
            <w:r w:rsidR="00D25E8B">
              <w:rPr>
                <w:noProof/>
                <w:webHidden/>
              </w:rPr>
              <w:fldChar w:fldCharType="separate"/>
            </w:r>
            <w:r w:rsidR="001E6B9E">
              <w:rPr>
                <w:noProof/>
                <w:webHidden/>
              </w:rPr>
              <w:t>116</w:t>
            </w:r>
            <w:r w:rsidR="00D25E8B">
              <w:rPr>
                <w:noProof/>
                <w:webHidden/>
              </w:rPr>
              <w:fldChar w:fldCharType="end"/>
            </w:r>
          </w:hyperlink>
        </w:p>
        <w:p w14:paraId="3B99DC75" w14:textId="5C440708"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72" w:history="1">
            <w:r w:rsidR="00D25E8B" w:rsidRPr="007217A7">
              <w:rPr>
                <w:rStyle w:val="Hiperpovezava"/>
                <w:rFonts w:eastAsia="Calibri"/>
                <w:noProof/>
              </w:rPr>
              <w:t>10.9.1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_Toc90462272 \h </w:instrText>
            </w:r>
            <w:r w:rsidR="00D25E8B">
              <w:rPr>
                <w:noProof/>
                <w:webHidden/>
              </w:rPr>
            </w:r>
            <w:r w:rsidR="00D25E8B">
              <w:rPr>
                <w:noProof/>
                <w:webHidden/>
              </w:rPr>
              <w:fldChar w:fldCharType="separate"/>
            </w:r>
            <w:r w:rsidR="001E6B9E">
              <w:rPr>
                <w:noProof/>
                <w:webHidden/>
              </w:rPr>
              <w:t>116</w:t>
            </w:r>
            <w:r w:rsidR="00D25E8B">
              <w:rPr>
                <w:noProof/>
                <w:webHidden/>
              </w:rPr>
              <w:fldChar w:fldCharType="end"/>
            </w:r>
          </w:hyperlink>
        </w:p>
        <w:p w14:paraId="18AB3A6A" w14:textId="6C85BF2E"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73" w:history="1">
            <w:r w:rsidR="00D25E8B" w:rsidRPr="007217A7">
              <w:rPr>
                <w:rStyle w:val="Hiperpovezava"/>
                <w:rFonts w:eastAsia="Calibri"/>
                <w:noProof/>
              </w:rPr>
              <w:t>10.9.2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_Toc90462273 \h </w:instrText>
            </w:r>
            <w:r w:rsidR="00D25E8B">
              <w:rPr>
                <w:noProof/>
                <w:webHidden/>
              </w:rPr>
            </w:r>
            <w:r w:rsidR="00D25E8B">
              <w:rPr>
                <w:noProof/>
                <w:webHidden/>
              </w:rPr>
              <w:fldChar w:fldCharType="separate"/>
            </w:r>
            <w:r w:rsidR="001E6B9E">
              <w:rPr>
                <w:noProof/>
                <w:webHidden/>
              </w:rPr>
              <w:t>121</w:t>
            </w:r>
            <w:r w:rsidR="00D25E8B">
              <w:rPr>
                <w:noProof/>
                <w:webHidden/>
              </w:rPr>
              <w:fldChar w:fldCharType="end"/>
            </w:r>
          </w:hyperlink>
        </w:p>
        <w:p w14:paraId="7BECBA0A" w14:textId="57A120B0" w:rsidR="00D25E8B" w:rsidRDefault="00FB6BEC">
          <w:pPr>
            <w:pStyle w:val="Kazalovsebine2"/>
            <w:rPr>
              <w:rFonts w:asciiTheme="minorHAnsi" w:eastAsiaTheme="minorEastAsia" w:hAnsiTheme="minorHAnsi" w:cstheme="minorBidi"/>
              <w:noProof/>
              <w:szCs w:val="22"/>
              <w:lang w:eastAsia="sl-SI"/>
            </w:rPr>
          </w:pPr>
          <w:hyperlink w:anchor="_Toc90462274" w:history="1">
            <w:r w:rsidR="00D25E8B" w:rsidRPr="007217A7">
              <w:rPr>
                <w:rStyle w:val="Hiperpovezava"/>
                <w:noProof/>
              </w:rPr>
              <w:t>10.10</w:t>
            </w:r>
            <w:r w:rsidR="00D25E8B">
              <w:rPr>
                <w:rFonts w:asciiTheme="minorHAnsi" w:eastAsiaTheme="minorEastAsia" w:hAnsiTheme="minorHAnsi" w:cstheme="minorBidi"/>
                <w:noProof/>
                <w:szCs w:val="22"/>
                <w:lang w:eastAsia="sl-SI"/>
              </w:rPr>
              <w:tab/>
            </w:r>
            <w:r w:rsidR="00D25E8B" w:rsidRPr="007217A7">
              <w:rPr>
                <w:rStyle w:val="Hiperpovezava"/>
                <w:noProof/>
              </w:rPr>
              <w:t>Vinogradništvo in vinarstvo</w:t>
            </w:r>
            <w:r w:rsidR="00D25E8B">
              <w:rPr>
                <w:noProof/>
                <w:webHidden/>
              </w:rPr>
              <w:tab/>
            </w:r>
            <w:r w:rsidR="00D25E8B">
              <w:rPr>
                <w:noProof/>
                <w:webHidden/>
              </w:rPr>
              <w:fldChar w:fldCharType="begin"/>
            </w:r>
            <w:r w:rsidR="00D25E8B">
              <w:rPr>
                <w:noProof/>
                <w:webHidden/>
              </w:rPr>
              <w:instrText xml:space="preserve"> PAGEREF _Toc90462274 \h </w:instrText>
            </w:r>
            <w:r w:rsidR="00D25E8B">
              <w:rPr>
                <w:noProof/>
                <w:webHidden/>
              </w:rPr>
            </w:r>
            <w:r w:rsidR="00D25E8B">
              <w:rPr>
                <w:noProof/>
                <w:webHidden/>
              </w:rPr>
              <w:fldChar w:fldCharType="separate"/>
            </w:r>
            <w:r w:rsidR="001E6B9E">
              <w:rPr>
                <w:noProof/>
                <w:webHidden/>
              </w:rPr>
              <w:t>121</w:t>
            </w:r>
            <w:r w:rsidR="00D25E8B">
              <w:rPr>
                <w:noProof/>
                <w:webHidden/>
              </w:rPr>
              <w:fldChar w:fldCharType="end"/>
            </w:r>
          </w:hyperlink>
        </w:p>
        <w:p w14:paraId="43AA010D" w14:textId="717D655C"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75" w:history="1">
            <w:r w:rsidR="00D25E8B" w:rsidRPr="007217A7">
              <w:rPr>
                <w:rStyle w:val="Hiperpovezava"/>
                <w:rFonts w:eastAsia="Calibri"/>
                <w:noProof/>
              </w:rPr>
              <w:t>10.10.1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_Toc90462275 \h </w:instrText>
            </w:r>
            <w:r w:rsidR="00D25E8B">
              <w:rPr>
                <w:noProof/>
                <w:webHidden/>
              </w:rPr>
            </w:r>
            <w:r w:rsidR="00D25E8B">
              <w:rPr>
                <w:noProof/>
                <w:webHidden/>
              </w:rPr>
              <w:fldChar w:fldCharType="separate"/>
            </w:r>
            <w:r w:rsidR="001E6B9E">
              <w:rPr>
                <w:noProof/>
                <w:webHidden/>
              </w:rPr>
              <w:t>121</w:t>
            </w:r>
            <w:r w:rsidR="00D25E8B">
              <w:rPr>
                <w:noProof/>
                <w:webHidden/>
              </w:rPr>
              <w:fldChar w:fldCharType="end"/>
            </w:r>
          </w:hyperlink>
        </w:p>
        <w:p w14:paraId="6BF72D75" w14:textId="7875F563"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76" w:history="1">
            <w:r w:rsidR="00D25E8B" w:rsidRPr="007217A7">
              <w:rPr>
                <w:rStyle w:val="Hiperpovezava"/>
                <w:rFonts w:eastAsia="Calibri"/>
                <w:noProof/>
              </w:rPr>
              <w:t>10.10.2</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Ključne ugotovitve</w:t>
            </w:r>
            <w:r w:rsidR="00D25E8B">
              <w:rPr>
                <w:noProof/>
                <w:webHidden/>
              </w:rPr>
              <w:tab/>
            </w:r>
            <w:r w:rsidR="00D25E8B">
              <w:rPr>
                <w:noProof/>
                <w:webHidden/>
              </w:rPr>
              <w:fldChar w:fldCharType="begin"/>
            </w:r>
            <w:r w:rsidR="00D25E8B">
              <w:rPr>
                <w:noProof/>
                <w:webHidden/>
              </w:rPr>
              <w:instrText xml:space="preserve"> PAGEREF _Toc90462276 \h </w:instrText>
            </w:r>
            <w:r w:rsidR="00D25E8B">
              <w:rPr>
                <w:noProof/>
                <w:webHidden/>
              </w:rPr>
            </w:r>
            <w:r w:rsidR="00D25E8B">
              <w:rPr>
                <w:noProof/>
                <w:webHidden/>
              </w:rPr>
              <w:fldChar w:fldCharType="separate"/>
            </w:r>
            <w:r w:rsidR="001E6B9E">
              <w:rPr>
                <w:noProof/>
                <w:webHidden/>
              </w:rPr>
              <w:t>125</w:t>
            </w:r>
            <w:r w:rsidR="00D25E8B">
              <w:rPr>
                <w:noProof/>
                <w:webHidden/>
              </w:rPr>
              <w:fldChar w:fldCharType="end"/>
            </w:r>
          </w:hyperlink>
        </w:p>
        <w:p w14:paraId="0497C443" w14:textId="0B7DDDDB" w:rsidR="00D25E8B" w:rsidRDefault="00FB6BEC">
          <w:pPr>
            <w:pStyle w:val="Kazalovsebine2"/>
            <w:rPr>
              <w:rFonts w:asciiTheme="minorHAnsi" w:eastAsiaTheme="minorEastAsia" w:hAnsiTheme="minorHAnsi" w:cstheme="minorBidi"/>
              <w:noProof/>
              <w:szCs w:val="22"/>
              <w:lang w:eastAsia="sl-SI"/>
            </w:rPr>
          </w:pPr>
          <w:hyperlink w:anchor="_Toc90462277" w:history="1">
            <w:r w:rsidR="00D25E8B" w:rsidRPr="007217A7">
              <w:rPr>
                <w:rStyle w:val="Hiperpovezava"/>
                <w:noProof/>
              </w:rPr>
              <w:t>10.11</w:t>
            </w:r>
            <w:r w:rsidR="00D25E8B">
              <w:rPr>
                <w:rFonts w:asciiTheme="minorHAnsi" w:eastAsiaTheme="minorEastAsia" w:hAnsiTheme="minorHAnsi" w:cstheme="minorBidi"/>
                <w:noProof/>
                <w:szCs w:val="22"/>
                <w:lang w:eastAsia="sl-SI"/>
              </w:rPr>
              <w:tab/>
            </w:r>
            <w:r w:rsidR="00D25E8B" w:rsidRPr="007217A7">
              <w:rPr>
                <w:rStyle w:val="Hiperpovezava"/>
                <w:noProof/>
              </w:rPr>
              <w:t>Sektor oljkarstva</w:t>
            </w:r>
            <w:r w:rsidR="00D25E8B">
              <w:rPr>
                <w:noProof/>
                <w:webHidden/>
              </w:rPr>
              <w:tab/>
            </w:r>
            <w:r w:rsidR="00D25E8B">
              <w:rPr>
                <w:noProof/>
                <w:webHidden/>
              </w:rPr>
              <w:fldChar w:fldCharType="begin"/>
            </w:r>
            <w:r w:rsidR="00D25E8B">
              <w:rPr>
                <w:noProof/>
                <w:webHidden/>
              </w:rPr>
              <w:instrText xml:space="preserve"> PAGEREF _Toc90462277 \h </w:instrText>
            </w:r>
            <w:r w:rsidR="00D25E8B">
              <w:rPr>
                <w:noProof/>
                <w:webHidden/>
              </w:rPr>
            </w:r>
            <w:r w:rsidR="00D25E8B">
              <w:rPr>
                <w:noProof/>
                <w:webHidden/>
              </w:rPr>
              <w:fldChar w:fldCharType="separate"/>
            </w:r>
            <w:r w:rsidR="001E6B9E">
              <w:rPr>
                <w:noProof/>
                <w:webHidden/>
              </w:rPr>
              <w:t>125</w:t>
            </w:r>
            <w:r w:rsidR="00D25E8B">
              <w:rPr>
                <w:noProof/>
                <w:webHidden/>
              </w:rPr>
              <w:fldChar w:fldCharType="end"/>
            </w:r>
          </w:hyperlink>
        </w:p>
        <w:p w14:paraId="4D510166" w14:textId="0FD2B225"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78" w:history="1">
            <w:r w:rsidR="00D25E8B" w:rsidRPr="007217A7">
              <w:rPr>
                <w:rStyle w:val="Hiperpovezava"/>
                <w:rFonts w:eastAsia="Calibri"/>
                <w:noProof/>
              </w:rPr>
              <w:t>10.11.1</w:t>
            </w:r>
            <w:r w:rsidR="00D25E8B">
              <w:rPr>
                <w:rFonts w:asciiTheme="minorHAnsi" w:eastAsiaTheme="minorEastAsia" w:hAnsiTheme="minorHAnsi" w:cstheme="minorBidi"/>
                <w:noProof/>
                <w:szCs w:val="22"/>
                <w:lang w:eastAsia="sl-SI"/>
              </w:rPr>
              <w:tab/>
            </w:r>
            <w:r w:rsidR="00D25E8B" w:rsidRPr="007217A7">
              <w:rPr>
                <w:rStyle w:val="Hiperpovezava"/>
                <w:rFonts w:eastAsia="Calibri"/>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_Toc90462278 \h </w:instrText>
            </w:r>
            <w:r w:rsidR="00D25E8B">
              <w:rPr>
                <w:noProof/>
                <w:webHidden/>
              </w:rPr>
            </w:r>
            <w:r w:rsidR="00D25E8B">
              <w:rPr>
                <w:noProof/>
                <w:webHidden/>
              </w:rPr>
              <w:fldChar w:fldCharType="separate"/>
            </w:r>
            <w:r w:rsidR="001E6B9E">
              <w:rPr>
                <w:noProof/>
                <w:webHidden/>
              </w:rPr>
              <w:t>126</w:t>
            </w:r>
            <w:r w:rsidR="00D25E8B">
              <w:rPr>
                <w:noProof/>
                <w:webHidden/>
              </w:rPr>
              <w:fldChar w:fldCharType="end"/>
            </w:r>
          </w:hyperlink>
        </w:p>
        <w:p w14:paraId="37AF95B3" w14:textId="6F747EAD"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79" w:history="1">
            <w:r w:rsidR="00D25E8B" w:rsidRPr="007217A7">
              <w:rPr>
                <w:rStyle w:val="Hiperpovezava"/>
                <w:noProof/>
              </w:rPr>
              <w:t>10.11.2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_Toc90462279 \h </w:instrText>
            </w:r>
            <w:r w:rsidR="00D25E8B">
              <w:rPr>
                <w:noProof/>
                <w:webHidden/>
              </w:rPr>
            </w:r>
            <w:r w:rsidR="00D25E8B">
              <w:rPr>
                <w:noProof/>
                <w:webHidden/>
              </w:rPr>
              <w:fldChar w:fldCharType="separate"/>
            </w:r>
            <w:r w:rsidR="001E6B9E">
              <w:rPr>
                <w:noProof/>
                <w:webHidden/>
              </w:rPr>
              <w:t>130</w:t>
            </w:r>
            <w:r w:rsidR="00D25E8B">
              <w:rPr>
                <w:noProof/>
                <w:webHidden/>
              </w:rPr>
              <w:fldChar w:fldCharType="end"/>
            </w:r>
          </w:hyperlink>
        </w:p>
        <w:p w14:paraId="660EC03A" w14:textId="4356DD0F" w:rsidR="00D25E8B" w:rsidRDefault="00FB6BEC">
          <w:pPr>
            <w:pStyle w:val="Kazalovsebine2"/>
            <w:rPr>
              <w:rFonts w:asciiTheme="minorHAnsi" w:eastAsiaTheme="minorEastAsia" w:hAnsiTheme="minorHAnsi" w:cstheme="minorBidi"/>
              <w:noProof/>
              <w:szCs w:val="22"/>
              <w:lang w:eastAsia="sl-SI"/>
            </w:rPr>
          </w:pPr>
          <w:hyperlink w:anchor="_Toc90462280" w:history="1">
            <w:r w:rsidR="00D25E8B" w:rsidRPr="007217A7">
              <w:rPr>
                <w:rStyle w:val="Hiperpovezava"/>
                <w:noProof/>
              </w:rPr>
              <w:t>10.12</w:t>
            </w:r>
            <w:r w:rsidR="00D25E8B">
              <w:rPr>
                <w:rFonts w:asciiTheme="minorHAnsi" w:eastAsiaTheme="minorEastAsia" w:hAnsiTheme="minorHAnsi" w:cstheme="minorBidi"/>
                <w:noProof/>
                <w:szCs w:val="22"/>
                <w:lang w:eastAsia="sl-SI"/>
              </w:rPr>
              <w:tab/>
            </w:r>
            <w:r w:rsidR="00D25E8B" w:rsidRPr="007217A7">
              <w:rPr>
                <w:rStyle w:val="Hiperpovezava"/>
                <w:noProof/>
              </w:rPr>
              <w:t>Hmeljarstvo</w:t>
            </w:r>
            <w:r w:rsidR="00D25E8B">
              <w:rPr>
                <w:noProof/>
                <w:webHidden/>
              </w:rPr>
              <w:tab/>
            </w:r>
            <w:r w:rsidR="00D25E8B">
              <w:rPr>
                <w:noProof/>
                <w:webHidden/>
              </w:rPr>
              <w:fldChar w:fldCharType="begin"/>
            </w:r>
            <w:r w:rsidR="00D25E8B">
              <w:rPr>
                <w:noProof/>
                <w:webHidden/>
              </w:rPr>
              <w:instrText xml:space="preserve"> PAGEREF _Toc90462280 \h </w:instrText>
            </w:r>
            <w:r w:rsidR="00D25E8B">
              <w:rPr>
                <w:noProof/>
                <w:webHidden/>
              </w:rPr>
            </w:r>
            <w:r w:rsidR="00D25E8B">
              <w:rPr>
                <w:noProof/>
                <w:webHidden/>
              </w:rPr>
              <w:fldChar w:fldCharType="separate"/>
            </w:r>
            <w:r w:rsidR="001E6B9E">
              <w:rPr>
                <w:noProof/>
                <w:webHidden/>
              </w:rPr>
              <w:t>130</w:t>
            </w:r>
            <w:r w:rsidR="00D25E8B">
              <w:rPr>
                <w:noProof/>
                <w:webHidden/>
              </w:rPr>
              <w:fldChar w:fldCharType="end"/>
            </w:r>
          </w:hyperlink>
        </w:p>
        <w:p w14:paraId="5EF166DB" w14:textId="0F61B12C"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1" w:history="1">
            <w:r w:rsidR="00D25E8B" w:rsidRPr="007217A7">
              <w:rPr>
                <w:rStyle w:val="Hiperpovezava"/>
                <w:noProof/>
              </w:rPr>
              <w:t>10.12.1</w:t>
            </w:r>
            <w:r w:rsidR="00D25E8B">
              <w:rPr>
                <w:rFonts w:asciiTheme="minorHAnsi" w:eastAsiaTheme="minorEastAsia" w:hAnsiTheme="minorHAnsi" w:cstheme="minorBidi"/>
                <w:noProof/>
                <w:szCs w:val="22"/>
                <w:lang w:eastAsia="sl-SI"/>
              </w:rPr>
              <w:tab/>
            </w:r>
            <w:r w:rsidR="00D25E8B" w:rsidRPr="007217A7">
              <w:rPr>
                <w:rStyle w:val="Hiperpovezava"/>
                <w:noProof/>
              </w:rPr>
              <w:t>Stanje in osnovni ekonomski kazalniki</w:t>
            </w:r>
            <w:r w:rsidR="00D25E8B">
              <w:rPr>
                <w:noProof/>
                <w:webHidden/>
              </w:rPr>
              <w:tab/>
            </w:r>
            <w:r w:rsidR="00D25E8B">
              <w:rPr>
                <w:noProof/>
                <w:webHidden/>
              </w:rPr>
              <w:fldChar w:fldCharType="begin"/>
            </w:r>
            <w:r w:rsidR="00D25E8B">
              <w:rPr>
                <w:noProof/>
                <w:webHidden/>
              </w:rPr>
              <w:instrText xml:space="preserve"> PAGEREF _Toc90462281 \h </w:instrText>
            </w:r>
            <w:r w:rsidR="00D25E8B">
              <w:rPr>
                <w:noProof/>
                <w:webHidden/>
              </w:rPr>
            </w:r>
            <w:r w:rsidR="00D25E8B">
              <w:rPr>
                <w:noProof/>
                <w:webHidden/>
              </w:rPr>
              <w:fldChar w:fldCharType="separate"/>
            </w:r>
            <w:r w:rsidR="001E6B9E">
              <w:rPr>
                <w:noProof/>
                <w:webHidden/>
              </w:rPr>
              <w:t>130</w:t>
            </w:r>
            <w:r w:rsidR="00D25E8B">
              <w:rPr>
                <w:noProof/>
                <w:webHidden/>
              </w:rPr>
              <w:fldChar w:fldCharType="end"/>
            </w:r>
          </w:hyperlink>
        </w:p>
        <w:p w14:paraId="6E03CE13" w14:textId="11617002"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2" w:history="1">
            <w:r w:rsidR="00D25E8B" w:rsidRPr="007217A7">
              <w:rPr>
                <w:rStyle w:val="Hiperpovezava"/>
                <w:noProof/>
              </w:rPr>
              <w:t>10.12.2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_Toc90462282 \h </w:instrText>
            </w:r>
            <w:r w:rsidR="00D25E8B">
              <w:rPr>
                <w:noProof/>
                <w:webHidden/>
              </w:rPr>
            </w:r>
            <w:r w:rsidR="00D25E8B">
              <w:rPr>
                <w:noProof/>
                <w:webHidden/>
              </w:rPr>
              <w:fldChar w:fldCharType="separate"/>
            </w:r>
            <w:r w:rsidR="001E6B9E">
              <w:rPr>
                <w:noProof/>
                <w:webHidden/>
              </w:rPr>
              <w:t>133</w:t>
            </w:r>
            <w:r w:rsidR="00D25E8B">
              <w:rPr>
                <w:noProof/>
                <w:webHidden/>
              </w:rPr>
              <w:fldChar w:fldCharType="end"/>
            </w:r>
          </w:hyperlink>
        </w:p>
        <w:p w14:paraId="2305AC09" w14:textId="0169134B" w:rsidR="00D25E8B" w:rsidRDefault="00FB6BEC">
          <w:pPr>
            <w:pStyle w:val="Kazalovsebine2"/>
            <w:rPr>
              <w:rFonts w:asciiTheme="minorHAnsi" w:eastAsiaTheme="minorEastAsia" w:hAnsiTheme="minorHAnsi" w:cstheme="minorBidi"/>
              <w:noProof/>
              <w:szCs w:val="22"/>
              <w:lang w:eastAsia="sl-SI"/>
            </w:rPr>
          </w:pPr>
          <w:hyperlink w:anchor="_Toc90462283" w:history="1">
            <w:r w:rsidR="00D25E8B" w:rsidRPr="007217A7">
              <w:rPr>
                <w:rStyle w:val="Hiperpovezava"/>
                <w:noProof/>
              </w:rPr>
              <w:t>10.13</w:t>
            </w:r>
            <w:r w:rsidR="00D25E8B">
              <w:rPr>
                <w:rFonts w:asciiTheme="minorHAnsi" w:eastAsiaTheme="minorEastAsia" w:hAnsiTheme="minorHAnsi" w:cstheme="minorBidi"/>
                <w:noProof/>
                <w:szCs w:val="22"/>
                <w:lang w:eastAsia="sl-SI"/>
              </w:rPr>
              <w:tab/>
            </w:r>
            <w:r w:rsidR="00D25E8B" w:rsidRPr="007217A7">
              <w:rPr>
                <w:rStyle w:val="Hiperpovezava"/>
                <w:noProof/>
              </w:rPr>
              <w:t>Semenarstvo</w:t>
            </w:r>
            <w:r w:rsidR="00D25E8B">
              <w:rPr>
                <w:noProof/>
                <w:webHidden/>
              </w:rPr>
              <w:tab/>
            </w:r>
            <w:r w:rsidR="00D25E8B">
              <w:rPr>
                <w:noProof/>
                <w:webHidden/>
              </w:rPr>
              <w:fldChar w:fldCharType="begin"/>
            </w:r>
            <w:r w:rsidR="00D25E8B">
              <w:rPr>
                <w:noProof/>
                <w:webHidden/>
              </w:rPr>
              <w:instrText xml:space="preserve"> PAGEREF _Toc90462283 \h </w:instrText>
            </w:r>
            <w:r w:rsidR="00D25E8B">
              <w:rPr>
                <w:noProof/>
                <w:webHidden/>
              </w:rPr>
            </w:r>
            <w:r w:rsidR="00D25E8B">
              <w:rPr>
                <w:noProof/>
                <w:webHidden/>
              </w:rPr>
              <w:fldChar w:fldCharType="separate"/>
            </w:r>
            <w:r w:rsidR="001E6B9E">
              <w:rPr>
                <w:noProof/>
                <w:webHidden/>
              </w:rPr>
              <w:t>133</w:t>
            </w:r>
            <w:r w:rsidR="00D25E8B">
              <w:rPr>
                <w:noProof/>
                <w:webHidden/>
              </w:rPr>
              <w:fldChar w:fldCharType="end"/>
            </w:r>
          </w:hyperlink>
        </w:p>
        <w:p w14:paraId="2BA595EF" w14:textId="598F0212"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4" w:history="1">
            <w:r w:rsidR="00D25E8B" w:rsidRPr="007217A7">
              <w:rPr>
                <w:rStyle w:val="Hiperpovezava"/>
                <w:noProof/>
              </w:rPr>
              <w:t>10.13.1</w:t>
            </w:r>
            <w:r w:rsidR="00D25E8B">
              <w:rPr>
                <w:rFonts w:asciiTheme="minorHAnsi" w:eastAsiaTheme="minorEastAsia" w:hAnsiTheme="minorHAnsi" w:cstheme="minorBidi"/>
                <w:noProof/>
                <w:szCs w:val="22"/>
                <w:lang w:eastAsia="sl-SI"/>
              </w:rPr>
              <w:tab/>
            </w:r>
            <w:r w:rsidR="00D25E8B" w:rsidRPr="007217A7">
              <w:rPr>
                <w:rStyle w:val="Hiperpovezava"/>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_Toc90462284 \h </w:instrText>
            </w:r>
            <w:r w:rsidR="00D25E8B">
              <w:rPr>
                <w:noProof/>
                <w:webHidden/>
              </w:rPr>
            </w:r>
            <w:r w:rsidR="00D25E8B">
              <w:rPr>
                <w:noProof/>
                <w:webHidden/>
              </w:rPr>
              <w:fldChar w:fldCharType="separate"/>
            </w:r>
            <w:r w:rsidR="001E6B9E">
              <w:rPr>
                <w:noProof/>
                <w:webHidden/>
              </w:rPr>
              <w:t>133</w:t>
            </w:r>
            <w:r w:rsidR="00D25E8B">
              <w:rPr>
                <w:noProof/>
                <w:webHidden/>
              </w:rPr>
              <w:fldChar w:fldCharType="end"/>
            </w:r>
          </w:hyperlink>
        </w:p>
        <w:p w14:paraId="0A75C24D" w14:textId="26597A3A"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5" w:history="1">
            <w:r w:rsidR="00D25E8B" w:rsidRPr="007217A7">
              <w:rPr>
                <w:rStyle w:val="Hiperpovezava"/>
                <w:noProof/>
              </w:rPr>
              <w:t>10.13.2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_Toc90462285 \h </w:instrText>
            </w:r>
            <w:r w:rsidR="00D25E8B">
              <w:rPr>
                <w:noProof/>
                <w:webHidden/>
              </w:rPr>
            </w:r>
            <w:r w:rsidR="00D25E8B">
              <w:rPr>
                <w:noProof/>
                <w:webHidden/>
              </w:rPr>
              <w:fldChar w:fldCharType="separate"/>
            </w:r>
            <w:r w:rsidR="001E6B9E">
              <w:rPr>
                <w:noProof/>
                <w:webHidden/>
              </w:rPr>
              <w:t>137</w:t>
            </w:r>
            <w:r w:rsidR="00D25E8B">
              <w:rPr>
                <w:noProof/>
                <w:webHidden/>
              </w:rPr>
              <w:fldChar w:fldCharType="end"/>
            </w:r>
          </w:hyperlink>
        </w:p>
        <w:p w14:paraId="62ABBA98" w14:textId="51457CB1" w:rsidR="00D25E8B" w:rsidRDefault="00FB6BEC">
          <w:pPr>
            <w:pStyle w:val="Kazalovsebine2"/>
            <w:rPr>
              <w:rFonts w:asciiTheme="minorHAnsi" w:eastAsiaTheme="minorEastAsia" w:hAnsiTheme="minorHAnsi" w:cstheme="minorBidi"/>
              <w:noProof/>
              <w:szCs w:val="22"/>
              <w:lang w:eastAsia="sl-SI"/>
            </w:rPr>
          </w:pPr>
          <w:hyperlink w:anchor="_Toc90462286" w:history="1">
            <w:r w:rsidR="00D25E8B" w:rsidRPr="007217A7">
              <w:rPr>
                <w:rStyle w:val="Hiperpovezava"/>
                <w:noProof/>
              </w:rPr>
              <w:t>10.14</w:t>
            </w:r>
            <w:r w:rsidR="00D25E8B">
              <w:rPr>
                <w:rFonts w:asciiTheme="minorHAnsi" w:eastAsiaTheme="minorEastAsia" w:hAnsiTheme="minorHAnsi" w:cstheme="minorBidi"/>
                <w:noProof/>
                <w:szCs w:val="22"/>
                <w:lang w:eastAsia="sl-SI"/>
              </w:rPr>
              <w:tab/>
            </w:r>
            <w:r w:rsidR="00D25E8B" w:rsidRPr="007217A7">
              <w:rPr>
                <w:rStyle w:val="Hiperpovezava"/>
                <w:noProof/>
              </w:rPr>
              <w:t>Poljedelstvo</w:t>
            </w:r>
            <w:r w:rsidR="00D25E8B">
              <w:rPr>
                <w:noProof/>
                <w:webHidden/>
              </w:rPr>
              <w:tab/>
            </w:r>
            <w:r w:rsidR="00D25E8B">
              <w:rPr>
                <w:noProof/>
                <w:webHidden/>
              </w:rPr>
              <w:fldChar w:fldCharType="begin"/>
            </w:r>
            <w:r w:rsidR="00D25E8B">
              <w:rPr>
                <w:noProof/>
                <w:webHidden/>
              </w:rPr>
              <w:instrText xml:space="preserve"> PAGEREF _Toc90462286 \h </w:instrText>
            </w:r>
            <w:r w:rsidR="00D25E8B">
              <w:rPr>
                <w:noProof/>
                <w:webHidden/>
              </w:rPr>
            </w:r>
            <w:r w:rsidR="00D25E8B">
              <w:rPr>
                <w:noProof/>
                <w:webHidden/>
              </w:rPr>
              <w:fldChar w:fldCharType="separate"/>
            </w:r>
            <w:r w:rsidR="001E6B9E">
              <w:rPr>
                <w:noProof/>
                <w:webHidden/>
              </w:rPr>
              <w:t>137</w:t>
            </w:r>
            <w:r w:rsidR="00D25E8B">
              <w:rPr>
                <w:noProof/>
                <w:webHidden/>
              </w:rPr>
              <w:fldChar w:fldCharType="end"/>
            </w:r>
          </w:hyperlink>
        </w:p>
        <w:p w14:paraId="71224304" w14:textId="7391B207"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7" w:history="1">
            <w:r w:rsidR="00D25E8B" w:rsidRPr="007217A7">
              <w:rPr>
                <w:rStyle w:val="Hiperpovezava"/>
                <w:noProof/>
              </w:rPr>
              <w:t>10.14.1</w:t>
            </w:r>
            <w:r w:rsidR="00D25E8B">
              <w:rPr>
                <w:rFonts w:asciiTheme="minorHAnsi" w:eastAsiaTheme="minorEastAsia" w:hAnsiTheme="minorHAnsi" w:cstheme="minorBidi"/>
                <w:noProof/>
                <w:szCs w:val="22"/>
                <w:lang w:eastAsia="sl-SI"/>
              </w:rPr>
              <w:tab/>
            </w:r>
            <w:r w:rsidR="00D25E8B" w:rsidRPr="007217A7">
              <w:rPr>
                <w:rStyle w:val="Hiperpovezava"/>
                <w:noProof/>
              </w:rPr>
              <w:t>Stanje v sektorju in osnovni ekonomski kazalniki</w:t>
            </w:r>
            <w:r w:rsidR="00D25E8B">
              <w:rPr>
                <w:noProof/>
                <w:webHidden/>
              </w:rPr>
              <w:tab/>
            </w:r>
            <w:r w:rsidR="00D25E8B">
              <w:rPr>
                <w:noProof/>
                <w:webHidden/>
              </w:rPr>
              <w:fldChar w:fldCharType="begin"/>
            </w:r>
            <w:r w:rsidR="00D25E8B">
              <w:rPr>
                <w:noProof/>
                <w:webHidden/>
              </w:rPr>
              <w:instrText xml:space="preserve"> PAGEREF _Toc90462287 \h </w:instrText>
            </w:r>
            <w:r w:rsidR="00D25E8B">
              <w:rPr>
                <w:noProof/>
                <w:webHidden/>
              </w:rPr>
            </w:r>
            <w:r w:rsidR="00D25E8B">
              <w:rPr>
                <w:noProof/>
                <w:webHidden/>
              </w:rPr>
              <w:fldChar w:fldCharType="separate"/>
            </w:r>
            <w:r w:rsidR="001E6B9E">
              <w:rPr>
                <w:noProof/>
                <w:webHidden/>
              </w:rPr>
              <w:t>137</w:t>
            </w:r>
            <w:r w:rsidR="00D25E8B">
              <w:rPr>
                <w:noProof/>
                <w:webHidden/>
              </w:rPr>
              <w:fldChar w:fldCharType="end"/>
            </w:r>
          </w:hyperlink>
        </w:p>
        <w:p w14:paraId="4A71DC93" w14:textId="1FC69B8D" w:rsidR="00D25E8B" w:rsidRDefault="00FB6BEC">
          <w:pPr>
            <w:pStyle w:val="Kazalovsebine3"/>
            <w:tabs>
              <w:tab w:val="left" w:pos="1540"/>
              <w:tab w:val="right" w:leader="dot" w:pos="9062"/>
            </w:tabs>
            <w:rPr>
              <w:rFonts w:asciiTheme="minorHAnsi" w:eastAsiaTheme="minorEastAsia" w:hAnsiTheme="minorHAnsi" w:cstheme="minorBidi"/>
              <w:noProof/>
              <w:szCs w:val="22"/>
              <w:lang w:eastAsia="sl-SI"/>
            </w:rPr>
          </w:pPr>
          <w:hyperlink w:anchor="_Toc90462288" w:history="1">
            <w:r w:rsidR="00D25E8B" w:rsidRPr="007217A7">
              <w:rPr>
                <w:rStyle w:val="Hiperpovezava"/>
                <w:noProof/>
              </w:rPr>
              <w:t>10.14.2</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_Toc90462288 \h </w:instrText>
            </w:r>
            <w:r w:rsidR="00D25E8B">
              <w:rPr>
                <w:noProof/>
                <w:webHidden/>
              </w:rPr>
            </w:r>
            <w:r w:rsidR="00D25E8B">
              <w:rPr>
                <w:noProof/>
                <w:webHidden/>
              </w:rPr>
              <w:fldChar w:fldCharType="separate"/>
            </w:r>
            <w:r w:rsidR="001E6B9E">
              <w:rPr>
                <w:noProof/>
                <w:webHidden/>
              </w:rPr>
              <w:t>142</w:t>
            </w:r>
            <w:r w:rsidR="00D25E8B">
              <w:rPr>
                <w:noProof/>
                <w:webHidden/>
              </w:rPr>
              <w:fldChar w:fldCharType="end"/>
            </w:r>
          </w:hyperlink>
        </w:p>
        <w:p w14:paraId="0D27D171" w14:textId="370E5BC2" w:rsidR="00D25E8B" w:rsidRDefault="00FB6BEC">
          <w:pPr>
            <w:pStyle w:val="Kazalovsebine1"/>
            <w:rPr>
              <w:rFonts w:asciiTheme="minorHAnsi" w:eastAsiaTheme="minorEastAsia" w:hAnsiTheme="minorHAnsi" w:cstheme="minorBidi"/>
              <w:szCs w:val="22"/>
              <w:lang w:eastAsia="sl-SI"/>
            </w:rPr>
          </w:pPr>
          <w:hyperlink w:anchor="_Toc90462289" w:history="1">
            <w:r w:rsidR="00D25E8B" w:rsidRPr="007217A7">
              <w:rPr>
                <w:rStyle w:val="Hiperpovezava"/>
              </w:rPr>
              <w:t>11</w:t>
            </w:r>
            <w:r w:rsidR="00D25E8B">
              <w:rPr>
                <w:rFonts w:asciiTheme="minorHAnsi" w:eastAsiaTheme="minorEastAsia" w:hAnsiTheme="minorHAnsi" w:cstheme="minorBidi"/>
                <w:szCs w:val="22"/>
                <w:lang w:eastAsia="sl-SI"/>
              </w:rPr>
              <w:tab/>
            </w:r>
            <w:r w:rsidR="00D25E8B" w:rsidRPr="007217A7">
              <w:rPr>
                <w:rStyle w:val="Hiperpovezava"/>
              </w:rPr>
              <w:t>Živilskopredelovalna panoga</w:t>
            </w:r>
            <w:r w:rsidR="00D25E8B">
              <w:rPr>
                <w:webHidden/>
              </w:rPr>
              <w:tab/>
            </w:r>
            <w:r w:rsidR="00D25E8B">
              <w:rPr>
                <w:webHidden/>
              </w:rPr>
              <w:fldChar w:fldCharType="begin"/>
            </w:r>
            <w:r w:rsidR="00D25E8B">
              <w:rPr>
                <w:webHidden/>
              </w:rPr>
              <w:instrText xml:space="preserve"> PAGEREF _Toc90462289 \h </w:instrText>
            </w:r>
            <w:r w:rsidR="00D25E8B">
              <w:rPr>
                <w:webHidden/>
              </w:rPr>
            </w:r>
            <w:r w:rsidR="00D25E8B">
              <w:rPr>
                <w:webHidden/>
              </w:rPr>
              <w:fldChar w:fldCharType="separate"/>
            </w:r>
            <w:r w:rsidR="001E6B9E">
              <w:rPr>
                <w:webHidden/>
              </w:rPr>
              <w:t>143</w:t>
            </w:r>
            <w:r w:rsidR="00D25E8B">
              <w:rPr>
                <w:webHidden/>
              </w:rPr>
              <w:fldChar w:fldCharType="end"/>
            </w:r>
          </w:hyperlink>
        </w:p>
        <w:p w14:paraId="4B9A8DF4" w14:textId="67AE282D" w:rsidR="00D25E8B" w:rsidRDefault="00FB6BEC">
          <w:pPr>
            <w:pStyle w:val="Kazalovsebine2"/>
            <w:rPr>
              <w:rFonts w:asciiTheme="minorHAnsi" w:eastAsiaTheme="minorEastAsia" w:hAnsiTheme="minorHAnsi" w:cstheme="minorBidi"/>
              <w:noProof/>
              <w:szCs w:val="22"/>
              <w:lang w:eastAsia="sl-SI"/>
            </w:rPr>
          </w:pPr>
          <w:hyperlink w:anchor="_Toc90462290" w:history="1">
            <w:r w:rsidR="00D25E8B" w:rsidRPr="007217A7">
              <w:rPr>
                <w:rStyle w:val="Hiperpovezava"/>
                <w:rFonts w:eastAsiaTheme="minorHAnsi"/>
                <w:noProof/>
              </w:rPr>
              <w:t>11.1</w:t>
            </w:r>
            <w:r w:rsidR="00D25E8B">
              <w:rPr>
                <w:rFonts w:asciiTheme="minorHAnsi" w:eastAsiaTheme="minorEastAsia" w:hAnsiTheme="minorHAnsi" w:cstheme="minorBidi"/>
                <w:noProof/>
                <w:szCs w:val="22"/>
                <w:lang w:eastAsia="sl-SI"/>
              </w:rPr>
              <w:tab/>
            </w:r>
            <w:r w:rsidR="00D25E8B" w:rsidRPr="007217A7">
              <w:rPr>
                <w:rStyle w:val="Hiperpovezava"/>
                <w:noProof/>
              </w:rPr>
              <w:t>Število podjetij in zaposlenih</w:t>
            </w:r>
            <w:r w:rsidR="00D25E8B">
              <w:rPr>
                <w:noProof/>
                <w:webHidden/>
              </w:rPr>
              <w:tab/>
            </w:r>
            <w:r w:rsidR="00D25E8B">
              <w:rPr>
                <w:noProof/>
                <w:webHidden/>
              </w:rPr>
              <w:fldChar w:fldCharType="begin"/>
            </w:r>
            <w:r w:rsidR="00D25E8B">
              <w:rPr>
                <w:noProof/>
                <w:webHidden/>
              </w:rPr>
              <w:instrText xml:space="preserve"> PAGEREF _Toc90462290 \h </w:instrText>
            </w:r>
            <w:r w:rsidR="00D25E8B">
              <w:rPr>
                <w:noProof/>
                <w:webHidden/>
              </w:rPr>
            </w:r>
            <w:r w:rsidR="00D25E8B">
              <w:rPr>
                <w:noProof/>
                <w:webHidden/>
              </w:rPr>
              <w:fldChar w:fldCharType="separate"/>
            </w:r>
            <w:r w:rsidR="001E6B9E">
              <w:rPr>
                <w:noProof/>
                <w:webHidden/>
              </w:rPr>
              <w:t>143</w:t>
            </w:r>
            <w:r w:rsidR="00D25E8B">
              <w:rPr>
                <w:noProof/>
                <w:webHidden/>
              </w:rPr>
              <w:fldChar w:fldCharType="end"/>
            </w:r>
          </w:hyperlink>
        </w:p>
        <w:p w14:paraId="0344A26F" w14:textId="328B039D" w:rsidR="00D25E8B" w:rsidRDefault="00FB6BEC">
          <w:pPr>
            <w:pStyle w:val="Kazalovsebine2"/>
            <w:rPr>
              <w:rFonts w:asciiTheme="minorHAnsi" w:eastAsiaTheme="minorEastAsia" w:hAnsiTheme="minorHAnsi" w:cstheme="minorBidi"/>
              <w:noProof/>
              <w:szCs w:val="22"/>
              <w:lang w:eastAsia="sl-SI"/>
            </w:rPr>
          </w:pPr>
          <w:hyperlink w:anchor="_Toc90462291" w:history="1">
            <w:r w:rsidR="00D25E8B" w:rsidRPr="007217A7">
              <w:rPr>
                <w:rStyle w:val="Hiperpovezava"/>
                <w:noProof/>
              </w:rPr>
              <w:t>11.2</w:t>
            </w:r>
            <w:r w:rsidR="00D25E8B">
              <w:rPr>
                <w:rFonts w:asciiTheme="minorHAnsi" w:eastAsiaTheme="minorEastAsia" w:hAnsiTheme="minorHAnsi" w:cstheme="minorBidi"/>
                <w:noProof/>
                <w:szCs w:val="22"/>
                <w:lang w:eastAsia="sl-SI"/>
              </w:rPr>
              <w:tab/>
            </w:r>
            <w:r w:rsidR="00D25E8B" w:rsidRPr="007217A7">
              <w:rPr>
                <w:rStyle w:val="Hiperpovezava"/>
                <w:noProof/>
              </w:rPr>
              <w:t>Pomen živilskopredelovalne panoge v makroekonomskih agregatih in trendi v obsegu proizvodnje</w:t>
            </w:r>
            <w:r w:rsidR="00D25E8B">
              <w:rPr>
                <w:noProof/>
                <w:webHidden/>
              </w:rPr>
              <w:tab/>
            </w:r>
            <w:r w:rsidR="00D25E8B">
              <w:rPr>
                <w:noProof/>
                <w:webHidden/>
              </w:rPr>
              <w:fldChar w:fldCharType="begin"/>
            </w:r>
            <w:r w:rsidR="00D25E8B">
              <w:rPr>
                <w:noProof/>
                <w:webHidden/>
              </w:rPr>
              <w:instrText xml:space="preserve"> PAGEREF _Toc90462291 \h </w:instrText>
            </w:r>
            <w:r w:rsidR="00D25E8B">
              <w:rPr>
                <w:noProof/>
                <w:webHidden/>
              </w:rPr>
            </w:r>
            <w:r w:rsidR="00D25E8B">
              <w:rPr>
                <w:noProof/>
                <w:webHidden/>
              </w:rPr>
              <w:fldChar w:fldCharType="separate"/>
            </w:r>
            <w:r w:rsidR="001E6B9E">
              <w:rPr>
                <w:noProof/>
                <w:webHidden/>
              </w:rPr>
              <w:t>144</w:t>
            </w:r>
            <w:r w:rsidR="00D25E8B">
              <w:rPr>
                <w:noProof/>
                <w:webHidden/>
              </w:rPr>
              <w:fldChar w:fldCharType="end"/>
            </w:r>
          </w:hyperlink>
        </w:p>
        <w:p w14:paraId="7B18392A" w14:textId="66A93018" w:rsidR="00D25E8B" w:rsidRDefault="00FB6BEC">
          <w:pPr>
            <w:pStyle w:val="Kazalovsebine2"/>
            <w:rPr>
              <w:rFonts w:asciiTheme="minorHAnsi" w:eastAsiaTheme="minorEastAsia" w:hAnsiTheme="minorHAnsi" w:cstheme="minorBidi"/>
              <w:noProof/>
              <w:szCs w:val="22"/>
              <w:lang w:eastAsia="sl-SI"/>
            </w:rPr>
          </w:pPr>
          <w:hyperlink w:anchor="_Toc90462292" w:history="1">
            <w:r w:rsidR="00D25E8B" w:rsidRPr="007217A7">
              <w:rPr>
                <w:rStyle w:val="Hiperpovezava"/>
                <w:noProof/>
              </w:rPr>
              <w:t>11.3</w:t>
            </w:r>
            <w:r w:rsidR="00D25E8B">
              <w:rPr>
                <w:rFonts w:asciiTheme="minorHAnsi" w:eastAsiaTheme="minorEastAsia" w:hAnsiTheme="minorHAnsi" w:cstheme="minorBidi"/>
                <w:noProof/>
                <w:szCs w:val="22"/>
                <w:lang w:eastAsia="sl-SI"/>
              </w:rPr>
              <w:tab/>
            </w:r>
            <w:r w:rsidR="00D25E8B" w:rsidRPr="007217A7">
              <w:rPr>
                <w:rStyle w:val="Hiperpovezava"/>
                <w:noProof/>
              </w:rPr>
              <w:t>Cene v živilskopredelovalni industriji</w:t>
            </w:r>
            <w:r w:rsidR="00D25E8B">
              <w:rPr>
                <w:noProof/>
                <w:webHidden/>
              </w:rPr>
              <w:tab/>
            </w:r>
            <w:r w:rsidR="00D25E8B">
              <w:rPr>
                <w:noProof/>
                <w:webHidden/>
              </w:rPr>
              <w:fldChar w:fldCharType="begin"/>
            </w:r>
            <w:r w:rsidR="00D25E8B">
              <w:rPr>
                <w:noProof/>
                <w:webHidden/>
              </w:rPr>
              <w:instrText xml:space="preserve"> PAGEREF _Toc90462292 \h </w:instrText>
            </w:r>
            <w:r w:rsidR="00D25E8B">
              <w:rPr>
                <w:noProof/>
                <w:webHidden/>
              </w:rPr>
            </w:r>
            <w:r w:rsidR="00D25E8B">
              <w:rPr>
                <w:noProof/>
                <w:webHidden/>
              </w:rPr>
              <w:fldChar w:fldCharType="separate"/>
            </w:r>
            <w:r w:rsidR="001E6B9E">
              <w:rPr>
                <w:noProof/>
                <w:webHidden/>
              </w:rPr>
              <w:t>146</w:t>
            </w:r>
            <w:r w:rsidR="00D25E8B">
              <w:rPr>
                <w:noProof/>
                <w:webHidden/>
              </w:rPr>
              <w:fldChar w:fldCharType="end"/>
            </w:r>
          </w:hyperlink>
        </w:p>
        <w:p w14:paraId="6B55ECFB" w14:textId="37875481" w:rsidR="00D25E8B" w:rsidRDefault="00FB6BEC">
          <w:pPr>
            <w:pStyle w:val="Kazalovsebine2"/>
            <w:rPr>
              <w:rFonts w:asciiTheme="minorHAnsi" w:eastAsiaTheme="minorEastAsia" w:hAnsiTheme="minorHAnsi" w:cstheme="minorBidi"/>
              <w:noProof/>
              <w:szCs w:val="22"/>
              <w:lang w:eastAsia="sl-SI"/>
            </w:rPr>
          </w:pPr>
          <w:hyperlink w:anchor="_Toc90462293" w:history="1">
            <w:r w:rsidR="00D25E8B" w:rsidRPr="007217A7">
              <w:rPr>
                <w:rStyle w:val="Hiperpovezava"/>
                <w:noProof/>
              </w:rPr>
              <w:t>11.4</w:t>
            </w:r>
            <w:r w:rsidR="00D25E8B">
              <w:rPr>
                <w:rFonts w:asciiTheme="minorHAnsi" w:eastAsiaTheme="minorEastAsia" w:hAnsiTheme="minorHAnsi" w:cstheme="minorBidi"/>
                <w:noProof/>
                <w:szCs w:val="22"/>
                <w:lang w:eastAsia="sl-SI"/>
              </w:rPr>
              <w:tab/>
            </w:r>
            <w:r w:rsidR="00D25E8B" w:rsidRPr="007217A7">
              <w:rPr>
                <w:rStyle w:val="Hiperpovezava"/>
                <w:noProof/>
              </w:rPr>
              <w:t>Poslovni rezultati živilskopredelovalne industrije</w:t>
            </w:r>
            <w:r w:rsidR="00D25E8B">
              <w:rPr>
                <w:noProof/>
                <w:webHidden/>
              </w:rPr>
              <w:tab/>
            </w:r>
            <w:r w:rsidR="00D25E8B">
              <w:rPr>
                <w:noProof/>
                <w:webHidden/>
              </w:rPr>
              <w:fldChar w:fldCharType="begin"/>
            </w:r>
            <w:r w:rsidR="00D25E8B">
              <w:rPr>
                <w:noProof/>
                <w:webHidden/>
              </w:rPr>
              <w:instrText xml:space="preserve"> PAGEREF _Toc90462293 \h </w:instrText>
            </w:r>
            <w:r w:rsidR="00D25E8B">
              <w:rPr>
                <w:noProof/>
                <w:webHidden/>
              </w:rPr>
            </w:r>
            <w:r w:rsidR="00D25E8B">
              <w:rPr>
                <w:noProof/>
                <w:webHidden/>
              </w:rPr>
              <w:fldChar w:fldCharType="separate"/>
            </w:r>
            <w:r w:rsidR="001E6B9E">
              <w:rPr>
                <w:noProof/>
                <w:webHidden/>
              </w:rPr>
              <w:t>148</w:t>
            </w:r>
            <w:r w:rsidR="00D25E8B">
              <w:rPr>
                <w:noProof/>
                <w:webHidden/>
              </w:rPr>
              <w:fldChar w:fldCharType="end"/>
            </w:r>
          </w:hyperlink>
        </w:p>
        <w:p w14:paraId="5A71392A" w14:textId="6BDA4A96"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94" w:history="1">
            <w:r w:rsidR="00D25E8B" w:rsidRPr="007217A7">
              <w:rPr>
                <w:rStyle w:val="Hiperpovezava"/>
                <w:noProof/>
                <w:lang w:eastAsia="en-US"/>
              </w:rPr>
              <w:t>11.4.1</w:t>
            </w:r>
            <w:r w:rsidR="00D25E8B">
              <w:rPr>
                <w:rFonts w:asciiTheme="minorHAnsi" w:eastAsiaTheme="minorEastAsia" w:hAnsiTheme="minorHAnsi" w:cstheme="minorBidi"/>
                <w:noProof/>
                <w:szCs w:val="22"/>
                <w:lang w:eastAsia="sl-SI"/>
              </w:rPr>
              <w:tab/>
            </w:r>
            <w:r w:rsidR="00D25E8B" w:rsidRPr="007217A7">
              <w:rPr>
                <w:rStyle w:val="Hiperpovezava"/>
                <w:noProof/>
                <w:lang w:eastAsia="en-US"/>
              </w:rPr>
              <w:t>Poslovni rezultati celotne živilskopredelovalne panoge</w:t>
            </w:r>
            <w:r w:rsidR="00D25E8B">
              <w:rPr>
                <w:noProof/>
                <w:webHidden/>
              </w:rPr>
              <w:tab/>
            </w:r>
            <w:r w:rsidR="00D25E8B">
              <w:rPr>
                <w:noProof/>
                <w:webHidden/>
              </w:rPr>
              <w:fldChar w:fldCharType="begin"/>
            </w:r>
            <w:r w:rsidR="00D25E8B">
              <w:rPr>
                <w:noProof/>
                <w:webHidden/>
              </w:rPr>
              <w:instrText xml:space="preserve"> PAGEREF _Toc90462294 \h </w:instrText>
            </w:r>
            <w:r w:rsidR="00D25E8B">
              <w:rPr>
                <w:noProof/>
                <w:webHidden/>
              </w:rPr>
            </w:r>
            <w:r w:rsidR="00D25E8B">
              <w:rPr>
                <w:noProof/>
                <w:webHidden/>
              </w:rPr>
              <w:fldChar w:fldCharType="separate"/>
            </w:r>
            <w:r w:rsidR="001E6B9E">
              <w:rPr>
                <w:noProof/>
                <w:webHidden/>
              </w:rPr>
              <w:t>148</w:t>
            </w:r>
            <w:r w:rsidR="00D25E8B">
              <w:rPr>
                <w:noProof/>
                <w:webHidden/>
              </w:rPr>
              <w:fldChar w:fldCharType="end"/>
            </w:r>
          </w:hyperlink>
        </w:p>
        <w:p w14:paraId="44AAF452" w14:textId="4413B9B1"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295" w:history="1">
            <w:r w:rsidR="00D25E8B" w:rsidRPr="007217A7">
              <w:rPr>
                <w:rStyle w:val="Hiperpovezava"/>
                <w:noProof/>
                <w:lang w:eastAsia="en-US"/>
              </w:rPr>
              <w:t>11.4.2</w:t>
            </w:r>
            <w:r w:rsidR="00D25E8B">
              <w:rPr>
                <w:rFonts w:asciiTheme="minorHAnsi" w:eastAsiaTheme="minorEastAsia" w:hAnsiTheme="minorHAnsi" w:cstheme="minorBidi"/>
                <w:noProof/>
                <w:szCs w:val="22"/>
                <w:lang w:eastAsia="sl-SI"/>
              </w:rPr>
              <w:tab/>
            </w:r>
            <w:r w:rsidR="00D25E8B" w:rsidRPr="007217A7">
              <w:rPr>
                <w:rStyle w:val="Hiperpovezava"/>
                <w:noProof/>
                <w:lang w:eastAsia="en-US"/>
              </w:rPr>
              <w:t>Poslovni rezultati po posameznih dejavnostih</w:t>
            </w:r>
            <w:r w:rsidR="00D25E8B">
              <w:rPr>
                <w:noProof/>
                <w:webHidden/>
              </w:rPr>
              <w:tab/>
            </w:r>
            <w:r w:rsidR="00D25E8B">
              <w:rPr>
                <w:noProof/>
                <w:webHidden/>
              </w:rPr>
              <w:fldChar w:fldCharType="begin"/>
            </w:r>
            <w:r w:rsidR="00D25E8B">
              <w:rPr>
                <w:noProof/>
                <w:webHidden/>
              </w:rPr>
              <w:instrText xml:space="preserve"> PAGEREF _Toc90462295 \h </w:instrText>
            </w:r>
            <w:r w:rsidR="00D25E8B">
              <w:rPr>
                <w:noProof/>
                <w:webHidden/>
              </w:rPr>
            </w:r>
            <w:r w:rsidR="00D25E8B">
              <w:rPr>
                <w:noProof/>
                <w:webHidden/>
              </w:rPr>
              <w:fldChar w:fldCharType="separate"/>
            </w:r>
            <w:r w:rsidR="001E6B9E">
              <w:rPr>
                <w:noProof/>
                <w:webHidden/>
              </w:rPr>
              <w:t>149</w:t>
            </w:r>
            <w:r w:rsidR="00D25E8B">
              <w:rPr>
                <w:noProof/>
                <w:webHidden/>
              </w:rPr>
              <w:fldChar w:fldCharType="end"/>
            </w:r>
          </w:hyperlink>
        </w:p>
        <w:p w14:paraId="6D6BD57D" w14:textId="582A94D9" w:rsidR="00D25E8B" w:rsidRDefault="00FB6BEC">
          <w:pPr>
            <w:pStyle w:val="Kazalovsebine2"/>
            <w:rPr>
              <w:rFonts w:asciiTheme="minorHAnsi" w:eastAsiaTheme="minorEastAsia" w:hAnsiTheme="minorHAnsi" w:cstheme="minorBidi"/>
              <w:noProof/>
              <w:szCs w:val="22"/>
              <w:lang w:eastAsia="sl-SI"/>
            </w:rPr>
          </w:pPr>
          <w:hyperlink w:anchor="_Toc90462296" w:history="1">
            <w:r w:rsidR="00D25E8B" w:rsidRPr="007217A7">
              <w:rPr>
                <w:rStyle w:val="Hiperpovezava"/>
                <w:noProof/>
              </w:rPr>
              <w:t>11.5</w:t>
            </w:r>
            <w:r w:rsidR="00D25E8B">
              <w:rPr>
                <w:rFonts w:asciiTheme="minorHAnsi" w:eastAsiaTheme="minorEastAsia" w:hAnsiTheme="minorHAnsi" w:cstheme="minorBidi"/>
                <w:noProof/>
                <w:szCs w:val="22"/>
                <w:lang w:eastAsia="sl-SI"/>
              </w:rPr>
              <w:tab/>
            </w:r>
            <w:r w:rsidR="00D25E8B" w:rsidRPr="007217A7">
              <w:rPr>
                <w:rStyle w:val="Hiperpovezava"/>
                <w:noProof/>
              </w:rPr>
              <w:t>Izvozna usmerjenost živilskopredelovalne industrije</w:t>
            </w:r>
            <w:r w:rsidR="00D25E8B">
              <w:rPr>
                <w:noProof/>
                <w:webHidden/>
              </w:rPr>
              <w:tab/>
            </w:r>
            <w:r w:rsidR="00D25E8B">
              <w:rPr>
                <w:noProof/>
                <w:webHidden/>
              </w:rPr>
              <w:fldChar w:fldCharType="begin"/>
            </w:r>
            <w:r w:rsidR="00D25E8B">
              <w:rPr>
                <w:noProof/>
                <w:webHidden/>
              </w:rPr>
              <w:instrText xml:space="preserve"> PAGEREF _Toc90462296 \h </w:instrText>
            </w:r>
            <w:r w:rsidR="00D25E8B">
              <w:rPr>
                <w:noProof/>
                <w:webHidden/>
              </w:rPr>
            </w:r>
            <w:r w:rsidR="00D25E8B">
              <w:rPr>
                <w:noProof/>
                <w:webHidden/>
              </w:rPr>
              <w:fldChar w:fldCharType="separate"/>
            </w:r>
            <w:r w:rsidR="001E6B9E">
              <w:rPr>
                <w:noProof/>
                <w:webHidden/>
              </w:rPr>
              <w:t>150</w:t>
            </w:r>
            <w:r w:rsidR="00D25E8B">
              <w:rPr>
                <w:noProof/>
                <w:webHidden/>
              </w:rPr>
              <w:fldChar w:fldCharType="end"/>
            </w:r>
          </w:hyperlink>
        </w:p>
        <w:p w14:paraId="5CEA053C" w14:textId="4C30C7AE" w:rsidR="00D25E8B" w:rsidRDefault="00FB6BEC">
          <w:pPr>
            <w:pStyle w:val="Kazalovsebine2"/>
            <w:rPr>
              <w:rFonts w:asciiTheme="minorHAnsi" w:eastAsiaTheme="minorEastAsia" w:hAnsiTheme="minorHAnsi" w:cstheme="minorBidi"/>
              <w:noProof/>
              <w:szCs w:val="22"/>
              <w:lang w:eastAsia="sl-SI"/>
            </w:rPr>
          </w:pPr>
          <w:hyperlink w:anchor="_Toc90462297" w:history="1">
            <w:r w:rsidR="00D25E8B" w:rsidRPr="007217A7">
              <w:rPr>
                <w:rStyle w:val="Hiperpovezava"/>
                <w:noProof/>
              </w:rPr>
              <w:t>11.6</w:t>
            </w:r>
            <w:r w:rsidR="00D25E8B">
              <w:rPr>
                <w:rFonts w:asciiTheme="minorHAnsi" w:eastAsiaTheme="minorEastAsia" w:hAnsiTheme="minorHAnsi" w:cstheme="minorBidi"/>
                <w:noProof/>
                <w:szCs w:val="22"/>
                <w:lang w:eastAsia="sl-SI"/>
              </w:rPr>
              <w:tab/>
            </w:r>
            <w:r w:rsidR="00D25E8B" w:rsidRPr="007217A7">
              <w:rPr>
                <w:rStyle w:val="Hiperpovezava"/>
                <w:noProof/>
              </w:rPr>
              <w:t>Potrebe po financiranju in finančna vrzel v ŽPI v Sloveniji</w:t>
            </w:r>
            <w:r w:rsidR="00D25E8B">
              <w:rPr>
                <w:noProof/>
                <w:webHidden/>
              </w:rPr>
              <w:tab/>
            </w:r>
            <w:r w:rsidR="00D25E8B">
              <w:rPr>
                <w:noProof/>
                <w:webHidden/>
              </w:rPr>
              <w:fldChar w:fldCharType="begin"/>
            </w:r>
            <w:r w:rsidR="00D25E8B">
              <w:rPr>
                <w:noProof/>
                <w:webHidden/>
              </w:rPr>
              <w:instrText xml:space="preserve"> PAGEREF _Toc90462297 \h </w:instrText>
            </w:r>
            <w:r w:rsidR="00D25E8B">
              <w:rPr>
                <w:noProof/>
                <w:webHidden/>
              </w:rPr>
            </w:r>
            <w:r w:rsidR="00D25E8B">
              <w:rPr>
                <w:noProof/>
                <w:webHidden/>
              </w:rPr>
              <w:fldChar w:fldCharType="separate"/>
            </w:r>
            <w:r w:rsidR="001E6B9E">
              <w:rPr>
                <w:noProof/>
                <w:webHidden/>
              </w:rPr>
              <w:t>150</w:t>
            </w:r>
            <w:r w:rsidR="00D25E8B">
              <w:rPr>
                <w:noProof/>
                <w:webHidden/>
              </w:rPr>
              <w:fldChar w:fldCharType="end"/>
            </w:r>
          </w:hyperlink>
        </w:p>
        <w:p w14:paraId="18D7AD22" w14:textId="0F418942" w:rsidR="00D25E8B" w:rsidRDefault="00FB6BEC">
          <w:pPr>
            <w:pStyle w:val="Kazalovsebine2"/>
            <w:rPr>
              <w:rFonts w:asciiTheme="minorHAnsi" w:eastAsiaTheme="minorEastAsia" w:hAnsiTheme="minorHAnsi" w:cstheme="minorBidi"/>
              <w:noProof/>
              <w:szCs w:val="22"/>
              <w:lang w:eastAsia="sl-SI"/>
            </w:rPr>
          </w:pPr>
          <w:hyperlink w:anchor="_Toc90462298" w:history="1">
            <w:r w:rsidR="00D25E8B" w:rsidRPr="007217A7">
              <w:rPr>
                <w:rStyle w:val="Hiperpovezava"/>
                <w:noProof/>
              </w:rPr>
              <w:t>11.7</w:t>
            </w:r>
            <w:r w:rsidR="00D25E8B">
              <w:rPr>
                <w:rFonts w:asciiTheme="minorHAnsi" w:eastAsiaTheme="minorEastAsia" w:hAnsiTheme="minorHAnsi" w:cstheme="minorBidi"/>
                <w:noProof/>
                <w:szCs w:val="22"/>
                <w:lang w:eastAsia="sl-SI"/>
              </w:rPr>
              <w:tab/>
            </w:r>
            <w:r w:rsidR="00D25E8B" w:rsidRPr="007217A7">
              <w:rPr>
                <w:rStyle w:val="Hiperpovezava"/>
                <w:noProof/>
              </w:rPr>
              <w:t>Investicije v ŽPI preko PRP 2007–2013 in PRP 2014-2020</w:t>
            </w:r>
            <w:r w:rsidR="00D25E8B">
              <w:rPr>
                <w:noProof/>
                <w:webHidden/>
              </w:rPr>
              <w:tab/>
            </w:r>
            <w:r w:rsidR="00D25E8B">
              <w:rPr>
                <w:noProof/>
                <w:webHidden/>
              </w:rPr>
              <w:fldChar w:fldCharType="begin"/>
            </w:r>
            <w:r w:rsidR="00D25E8B">
              <w:rPr>
                <w:noProof/>
                <w:webHidden/>
              </w:rPr>
              <w:instrText xml:space="preserve"> PAGEREF _Toc90462298 \h </w:instrText>
            </w:r>
            <w:r w:rsidR="00D25E8B">
              <w:rPr>
                <w:noProof/>
                <w:webHidden/>
              </w:rPr>
            </w:r>
            <w:r w:rsidR="00D25E8B">
              <w:rPr>
                <w:noProof/>
                <w:webHidden/>
              </w:rPr>
              <w:fldChar w:fldCharType="separate"/>
            </w:r>
            <w:r w:rsidR="001E6B9E">
              <w:rPr>
                <w:noProof/>
                <w:webHidden/>
              </w:rPr>
              <w:t>151</w:t>
            </w:r>
            <w:r w:rsidR="00D25E8B">
              <w:rPr>
                <w:noProof/>
                <w:webHidden/>
              </w:rPr>
              <w:fldChar w:fldCharType="end"/>
            </w:r>
          </w:hyperlink>
        </w:p>
        <w:p w14:paraId="2519BF21" w14:textId="60DAD9DD" w:rsidR="00D25E8B" w:rsidRDefault="00FB6BEC">
          <w:pPr>
            <w:pStyle w:val="Kazalovsebine2"/>
            <w:rPr>
              <w:rFonts w:asciiTheme="minorHAnsi" w:eastAsiaTheme="minorEastAsia" w:hAnsiTheme="minorHAnsi" w:cstheme="minorBidi"/>
              <w:noProof/>
              <w:szCs w:val="22"/>
              <w:lang w:eastAsia="sl-SI"/>
            </w:rPr>
          </w:pPr>
          <w:hyperlink w:anchor="_Toc90462299" w:history="1">
            <w:r w:rsidR="00D25E8B" w:rsidRPr="007217A7">
              <w:rPr>
                <w:rStyle w:val="Hiperpovezava"/>
                <w:noProof/>
              </w:rPr>
              <w:t>11.8</w:t>
            </w:r>
            <w:r w:rsidR="00D25E8B">
              <w:rPr>
                <w:rFonts w:asciiTheme="minorHAnsi" w:eastAsiaTheme="minorEastAsia" w:hAnsiTheme="minorHAnsi" w:cstheme="minorBidi"/>
                <w:noProof/>
                <w:szCs w:val="22"/>
                <w:lang w:eastAsia="sl-SI"/>
              </w:rPr>
              <w:tab/>
            </w:r>
            <w:r w:rsidR="00D25E8B" w:rsidRPr="007217A7">
              <w:rPr>
                <w:rStyle w:val="Hiperpovezava"/>
                <w:noProof/>
              </w:rPr>
              <w:t>Dopolnilne dejavnosti predelave primarnih kmetijskih pridelkov na kmetijah</w:t>
            </w:r>
            <w:r w:rsidR="00D25E8B">
              <w:rPr>
                <w:noProof/>
                <w:webHidden/>
              </w:rPr>
              <w:tab/>
            </w:r>
            <w:r w:rsidR="00D25E8B">
              <w:rPr>
                <w:noProof/>
                <w:webHidden/>
              </w:rPr>
              <w:fldChar w:fldCharType="begin"/>
            </w:r>
            <w:r w:rsidR="00D25E8B">
              <w:rPr>
                <w:noProof/>
                <w:webHidden/>
              </w:rPr>
              <w:instrText xml:space="preserve"> PAGEREF _Toc90462299 \h </w:instrText>
            </w:r>
            <w:r w:rsidR="00D25E8B">
              <w:rPr>
                <w:noProof/>
                <w:webHidden/>
              </w:rPr>
            </w:r>
            <w:r w:rsidR="00D25E8B">
              <w:rPr>
                <w:noProof/>
                <w:webHidden/>
              </w:rPr>
              <w:fldChar w:fldCharType="separate"/>
            </w:r>
            <w:r w:rsidR="001E6B9E">
              <w:rPr>
                <w:noProof/>
                <w:webHidden/>
              </w:rPr>
              <w:t>154</w:t>
            </w:r>
            <w:r w:rsidR="00D25E8B">
              <w:rPr>
                <w:noProof/>
                <w:webHidden/>
              </w:rPr>
              <w:fldChar w:fldCharType="end"/>
            </w:r>
          </w:hyperlink>
        </w:p>
        <w:p w14:paraId="67C61D4B" w14:textId="52E31331" w:rsidR="00D25E8B" w:rsidRDefault="00FB6BEC">
          <w:pPr>
            <w:pStyle w:val="Kazalovsebine2"/>
            <w:rPr>
              <w:rFonts w:asciiTheme="minorHAnsi" w:eastAsiaTheme="minorEastAsia" w:hAnsiTheme="minorHAnsi" w:cstheme="minorBidi"/>
              <w:noProof/>
              <w:szCs w:val="22"/>
              <w:lang w:eastAsia="sl-SI"/>
            </w:rPr>
          </w:pPr>
          <w:hyperlink w:anchor="_Toc90462300" w:history="1">
            <w:r w:rsidR="00D25E8B" w:rsidRPr="007217A7">
              <w:rPr>
                <w:rStyle w:val="Hiperpovezava"/>
                <w:noProof/>
              </w:rPr>
              <w:t>11.9</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_Toc90462300 \h </w:instrText>
            </w:r>
            <w:r w:rsidR="00D25E8B">
              <w:rPr>
                <w:noProof/>
                <w:webHidden/>
              </w:rPr>
            </w:r>
            <w:r w:rsidR="00D25E8B">
              <w:rPr>
                <w:noProof/>
                <w:webHidden/>
              </w:rPr>
              <w:fldChar w:fldCharType="separate"/>
            </w:r>
            <w:r w:rsidR="001E6B9E">
              <w:rPr>
                <w:noProof/>
                <w:webHidden/>
              </w:rPr>
              <w:t>155</w:t>
            </w:r>
            <w:r w:rsidR="00D25E8B">
              <w:rPr>
                <w:noProof/>
                <w:webHidden/>
              </w:rPr>
              <w:fldChar w:fldCharType="end"/>
            </w:r>
          </w:hyperlink>
        </w:p>
        <w:p w14:paraId="365EAAF3" w14:textId="596DC217" w:rsidR="00D25E8B" w:rsidRDefault="00FB6BEC">
          <w:pPr>
            <w:pStyle w:val="Kazalovsebine1"/>
            <w:rPr>
              <w:rFonts w:asciiTheme="minorHAnsi" w:eastAsiaTheme="minorEastAsia" w:hAnsiTheme="minorHAnsi" w:cstheme="minorBidi"/>
              <w:szCs w:val="22"/>
              <w:lang w:eastAsia="sl-SI"/>
            </w:rPr>
          </w:pPr>
          <w:hyperlink w:anchor="_Toc90462301" w:history="1">
            <w:r w:rsidR="00D25E8B" w:rsidRPr="007217A7">
              <w:rPr>
                <w:rStyle w:val="Hiperpovezava"/>
              </w:rPr>
              <w:t>12</w:t>
            </w:r>
            <w:r w:rsidR="00D25E8B">
              <w:rPr>
                <w:rFonts w:asciiTheme="minorHAnsi" w:eastAsiaTheme="minorEastAsia" w:hAnsiTheme="minorHAnsi" w:cstheme="minorBidi"/>
                <w:szCs w:val="22"/>
                <w:lang w:eastAsia="sl-SI"/>
              </w:rPr>
              <w:tab/>
            </w:r>
            <w:r w:rsidR="00D25E8B" w:rsidRPr="007217A7">
              <w:rPr>
                <w:rStyle w:val="Hiperpovezava"/>
              </w:rPr>
              <w:t>Trgovinska bilanca z agro-živilskimi proizvodi</w:t>
            </w:r>
            <w:r w:rsidR="00D25E8B">
              <w:rPr>
                <w:webHidden/>
              </w:rPr>
              <w:tab/>
            </w:r>
            <w:r w:rsidR="00D25E8B">
              <w:rPr>
                <w:webHidden/>
              </w:rPr>
              <w:fldChar w:fldCharType="begin"/>
            </w:r>
            <w:r w:rsidR="00D25E8B">
              <w:rPr>
                <w:webHidden/>
              </w:rPr>
              <w:instrText xml:space="preserve"> PAGEREF _Toc90462301 \h </w:instrText>
            </w:r>
            <w:r w:rsidR="00D25E8B">
              <w:rPr>
                <w:webHidden/>
              </w:rPr>
            </w:r>
            <w:r w:rsidR="00D25E8B">
              <w:rPr>
                <w:webHidden/>
              </w:rPr>
              <w:fldChar w:fldCharType="separate"/>
            </w:r>
            <w:r w:rsidR="001E6B9E">
              <w:rPr>
                <w:webHidden/>
              </w:rPr>
              <w:t>156</w:t>
            </w:r>
            <w:r w:rsidR="00D25E8B">
              <w:rPr>
                <w:webHidden/>
              </w:rPr>
              <w:fldChar w:fldCharType="end"/>
            </w:r>
          </w:hyperlink>
        </w:p>
        <w:p w14:paraId="68D10AE9" w14:textId="5B27A162" w:rsidR="00D25E8B" w:rsidRDefault="00FB6BEC">
          <w:pPr>
            <w:pStyle w:val="Kazalovsebine2"/>
            <w:rPr>
              <w:rFonts w:asciiTheme="minorHAnsi" w:eastAsiaTheme="minorEastAsia" w:hAnsiTheme="minorHAnsi" w:cstheme="minorBidi"/>
              <w:noProof/>
              <w:szCs w:val="22"/>
              <w:lang w:eastAsia="sl-SI"/>
            </w:rPr>
          </w:pPr>
          <w:hyperlink w:anchor="_Toc90462302" w:history="1">
            <w:r w:rsidR="00D25E8B" w:rsidRPr="007217A7">
              <w:rPr>
                <w:rStyle w:val="Hiperpovezava"/>
                <w:noProof/>
              </w:rPr>
              <w:t>12.1</w:t>
            </w:r>
            <w:r w:rsidR="00D25E8B">
              <w:rPr>
                <w:rFonts w:asciiTheme="minorHAnsi" w:eastAsiaTheme="minorEastAsia" w:hAnsiTheme="minorHAnsi" w:cstheme="minorBidi"/>
                <w:noProof/>
                <w:szCs w:val="22"/>
                <w:lang w:eastAsia="sl-SI"/>
              </w:rPr>
              <w:tab/>
            </w:r>
            <w:r w:rsidR="00D25E8B" w:rsidRPr="007217A7">
              <w:rPr>
                <w:rStyle w:val="Hiperpovezava"/>
                <w:noProof/>
              </w:rPr>
              <w:t>Trgovinska bilanca kmetijskih proizvodov po skupinah blaga (C.30)</w:t>
            </w:r>
            <w:r w:rsidR="00D25E8B">
              <w:rPr>
                <w:noProof/>
                <w:webHidden/>
              </w:rPr>
              <w:tab/>
            </w:r>
            <w:r w:rsidR="00D25E8B">
              <w:rPr>
                <w:noProof/>
                <w:webHidden/>
              </w:rPr>
              <w:fldChar w:fldCharType="begin"/>
            </w:r>
            <w:r w:rsidR="00D25E8B">
              <w:rPr>
                <w:noProof/>
                <w:webHidden/>
              </w:rPr>
              <w:instrText xml:space="preserve"> PAGEREF _Toc90462302 \h </w:instrText>
            </w:r>
            <w:r w:rsidR="00D25E8B">
              <w:rPr>
                <w:noProof/>
                <w:webHidden/>
              </w:rPr>
            </w:r>
            <w:r w:rsidR="00D25E8B">
              <w:rPr>
                <w:noProof/>
                <w:webHidden/>
              </w:rPr>
              <w:fldChar w:fldCharType="separate"/>
            </w:r>
            <w:r w:rsidR="001E6B9E">
              <w:rPr>
                <w:noProof/>
                <w:webHidden/>
              </w:rPr>
              <w:t>156</w:t>
            </w:r>
            <w:r w:rsidR="00D25E8B">
              <w:rPr>
                <w:noProof/>
                <w:webHidden/>
              </w:rPr>
              <w:fldChar w:fldCharType="end"/>
            </w:r>
          </w:hyperlink>
        </w:p>
        <w:p w14:paraId="369C764B" w14:textId="7F7A172F" w:rsidR="00D25E8B" w:rsidRDefault="00FB6BEC">
          <w:pPr>
            <w:pStyle w:val="Kazalovsebine2"/>
            <w:rPr>
              <w:rFonts w:asciiTheme="minorHAnsi" w:eastAsiaTheme="minorEastAsia" w:hAnsiTheme="minorHAnsi" w:cstheme="minorBidi"/>
              <w:noProof/>
              <w:szCs w:val="22"/>
              <w:lang w:eastAsia="sl-SI"/>
            </w:rPr>
          </w:pPr>
          <w:hyperlink w:anchor="_Toc90462303" w:history="1">
            <w:r w:rsidR="00D25E8B" w:rsidRPr="007217A7">
              <w:rPr>
                <w:rStyle w:val="Hiperpovezava"/>
                <w:noProof/>
              </w:rPr>
              <w:t>12.2</w:t>
            </w:r>
            <w:r w:rsidR="00D25E8B">
              <w:rPr>
                <w:rFonts w:asciiTheme="minorHAnsi" w:eastAsiaTheme="minorEastAsia" w:hAnsiTheme="minorHAnsi" w:cstheme="minorBidi"/>
                <w:noProof/>
                <w:szCs w:val="22"/>
                <w:lang w:eastAsia="sl-SI"/>
              </w:rPr>
              <w:tab/>
            </w:r>
            <w:r w:rsidR="00D25E8B" w:rsidRPr="007217A7">
              <w:rPr>
                <w:rStyle w:val="Hiperpovezava"/>
                <w:noProof/>
              </w:rPr>
              <w:t>Samooskrba s kmetijskimi proizvodi</w:t>
            </w:r>
            <w:r w:rsidR="00D25E8B">
              <w:rPr>
                <w:noProof/>
                <w:webHidden/>
              </w:rPr>
              <w:tab/>
            </w:r>
            <w:r w:rsidR="00D25E8B">
              <w:rPr>
                <w:noProof/>
                <w:webHidden/>
              </w:rPr>
              <w:fldChar w:fldCharType="begin"/>
            </w:r>
            <w:r w:rsidR="00D25E8B">
              <w:rPr>
                <w:noProof/>
                <w:webHidden/>
              </w:rPr>
              <w:instrText xml:space="preserve"> PAGEREF _Toc90462303 \h </w:instrText>
            </w:r>
            <w:r w:rsidR="00D25E8B">
              <w:rPr>
                <w:noProof/>
                <w:webHidden/>
              </w:rPr>
            </w:r>
            <w:r w:rsidR="00D25E8B">
              <w:rPr>
                <w:noProof/>
                <w:webHidden/>
              </w:rPr>
              <w:fldChar w:fldCharType="separate"/>
            </w:r>
            <w:r w:rsidR="001E6B9E">
              <w:rPr>
                <w:noProof/>
                <w:webHidden/>
              </w:rPr>
              <w:t>160</w:t>
            </w:r>
            <w:r w:rsidR="00D25E8B">
              <w:rPr>
                <w:noProof/>
                <w:webHidden/>
              </w:rPr>
              <w:fldChar w:fldCharType="end"/>
            </w:r>
          </w:hyperlink>
        </w:p>
        <w:p w14:paraId="2B72F96F" w14:textId="4A9CA8C9" w:rsidR="00D25E8B" w:rsidRDefault="00FB6BEC">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90462304" w:history="1">
            <w:r w:rsidR="00D25E8B" w:rsidRPr="007217A7">
              <w:rPr>
                <w:rStyle w:val="Hiperpovezava"/>
                <w:noProof/>
              </w:rPr>
              <w:t>12.2.1</w:t>
            </w:r>
            <w:r w:rsidR="00D25E8B">
              <w:rPr>
                <w:rFonts w:asciiTheme="minorHAnsi" w:eastAsiaTheme="minorEastAsia" w:hAnsiTheme="minorHAnsi" w:cstheme="minorBidi"/>
                <w:noProof/>
                <w:szCs w:val="22"/>
                <w:lang w:eastAsia="sl-SI"/>
              </w:rPr>
              <w:tab/>
            </w:r>
            <w:r w:rsidR="00D25E8B" w:rsidRPr="007217A7">
              <w:rPr>
                <w:rStyle w:val="Hiperpovezava"/>
                <w:noProof/>
              </w:rPr>
              <w:t>Pregled primanjkljajev oziroma presežkov po posameznih skupinah kmetijskih proizvodov</w:t>
            </w:r>
            <w:r w:rsidR="00D25E8B">
              <w:rPr>
                <w:noProof/>
                <w:webHidden/>
              </w:rPr>
              <w:tab/>
            </w:r>
            <w:r w:rsidR="00D25E8B">
              <w:rPr>
                <w:noProof/>
                <w:webHidden/>
              </w:rPr>
              <w:fldChar w:fldCharType="begin"/>
            </w:r>
            <w:r w:rsidR="00D25E8B">
              <w:rPr>
                <w:noProof/>
                <w:webHidden/>
              </w:rPr>
              <w:instrText xml:space="preserve"> PAGEREF _Toc90462304 \h </w:instrText>
            </w:r>
            <w:r w:rsidR="00D25E8B">
              <w:rPr>
                <w:noProof/>
                <w:webHidden/>
              </w:rPr>
            </w:r>
            <w:r w:rsidR="00D25E8B">
              <w:rPr>
                <w:noProof/>
                <w:webHidden/>
              </w:rPr>
              <w:fldChar w:fldCharType="separate"/>
            </w:r>
            <w:r w:rsidR="001E6B9E">
              <w:rPr>
                <w:noProof/>
                <w:webHidden/>
              </w:rPr>
              <w:t>161</w:t>
            </w:r>
            <w:r w:rsidR="00D25E8B">
              <w:rPr>
                <w:noProof/>
                <w:webHidden/>
              </w:rPr>
              <w:fldChar w:fldCharType="end"/>
            </w:r>
          </w:hyperlink>
        </w:p>
        <w:p w14:paraId="74D7D729" w14:textId="703FE27A" w:rsidR="00D25E8B" w:rsidRDefault="00FB6BEC">
          <w:pPr>
            <w:pStyle w:val="Kazalovsebine2"/>
            <w:rPr>
              <w:rFonts w:asciiTheme="minorHAnsi" w:eastAsiaTheme="minorEastAsia" w:hAnsiTheme="minorHAnsi" w:cstheme="minorBidi"/>
              <w:noProof/>
              <w:szCs w:val="22"/>
              <w:lang w:eastAsia="sl-SI"/>
            </w:rPr>
          </w:pPr>
          <w:hyperlink w:anchor="_Toc90462305" w:history="1">
            <w:r w:rsidR="00D25E8B" w:rsidRPr="007217A7">
              <w:rPr>
                <w:rStyle w:val="Hiperpovezava"/>
                <w:noProof/>
              </w:rPr>
              <w:t>12.3</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_Toc90462305 \h </w:instrText>
            </w:r>
            <w:r w:rsidR="00D25E8B">
              <w:rPr>
                <w:noProof/>
                <w:webHidden/>
              </w:rPr>
            </w:r>
            <w:r w:rsidR="00D25E8B">
              <w:rPr>
                <w:noProof/>
                <w:webHidden/>
              </w:rPr>
              <w:fldChar w:fldCharType="separate"/>
            </w:r>
            <w:r w:rsidR="001E6B9E">
              <w:rPr>
                <w:noProof/>
                <w:webHidden/>
              </w:rPr>
              <w:t>165</w:t>
            </w:r>
            <w:r w:rsidR="00D25E8B">
              <w:rPr>
                <w:noProof/>
                <w:webHidden/>
              </w:rPr>
              <w:fldChar w:fldCharType="end"/>
            </w:r>
          </w:hyperlink>
        </w:p>
        <w:p w14:paraId="176636CF" w14:textId="04A93B00" w:rsidR="00D25E8B" w:rsidRDefault="00FB6BEC">
          <w:pPr>
            <w:pStyle w:val="Kazalovsebine1"/>
            <w:rPr>
              <w:rFonts w:asciiTheme="minorHAnsi" w:eastAsiaTheme="minorEastAsia" w:hAnsiTheme="minorHAnsi" w:cstheme="minorBidi"/>
              <w:szCs w:val="22"/>
              <w:lang w:eastAsia="sl-SI"/>
            </w:rPr>
          </w:pPr>
          <w:hyperlink w:anchor="_Toc90462306" w:history="1">
            <w:r w:rsidR="00D25E8B" w:rsidRPr="007217A7">
              <w:rPr>
                <w:rStyle w:val="Hiperpovezava"/>
              </w:rPr>
              <w:t>13</w:t>
            </w:r>
            <w:r w:rsidR="00D25E8B">
              <w:rPr>
                <w:rFonts w:asciiTheme="minorHAnsi" w:eastAsiaTheme="minorEastAsia" w:hAnsiTheme="minorHAnsi" w:cstheme="minorBidi"/>
                <w:szCs w:val="22"/>
                <w:lang w:eastAsia="sl-SI"/>
              </w:rPr>
              <w:tab/>
            </w:r>
            <w:r w:rsidR="00D25E8B" w:rsidRPr="007217A7">
              <w:rPr>
                <w:rStyle w:val="Hiperpovezava"/>
              </w:rPr>
              <w:t>Gozdarstvo</w:t>
            </w:r>
            <w:r w:rsidR="00D25E8B">
              <w:rPr>
                <w:webHidden/>
              </w:rPr>
              <w:tab/>
            </w:r>
            <w:r w:rsidR="00D25E8B">
              <w:rPr>
                <w:webHidden/>
              </w:rPr>
              <w:fldChar w:fldCharType="begin"/>
            </w:r>
            <w:r w:rsidR="00D25E8B">
              <w:rPr>
                <w:webHidden/>
              </w:rPr>
              <w:instrText xml:space="preserve"> PAGEREF _Toc90462306 \h </w:instrText>
            </w:r>
            <w:r w:rsidR="00D25E8B">
              <w:rPr>
                <w:webHidden/>
              </w:rPr>
            </w:r>
            <w:r w:rsidR="00D25E8B">
              <w:rPr>
                <w:webHidden/>
              </w:rPr>
              <w:fldChar w:fldCharType="separate"/>
            </w:r>
            <w:r w:rsidR="001E6B9E">
              <w:rPr>
                <w:webHidden/>
              </w:rPr>
              <w:t>167</w:t>
            </w:r>
            <w:r w:rsidR="00D25E8B">
              <w:rPr>
                <w:webHidden/>
              </w:rPr>
              <w:fldChar w:fldCharType="end"/>
            </w:r>
          </w:hyperlink>
        </w:p>
        <w:p w14:paraId="475160DD" w14:textId="6DC56A9F" w:rsidR="00D25E8B" w:rsidRDefault="00FB6BEC">
          <w:pPr>
            <w:pStyle w:val="Kazalovsebine2"/>
            <w:rPr>
              <w:rFonts w:asciiTheme="minorHAnsi" w:eastAsiaTheme="minorEastAsia" w:hAnsiTheme="minorHAnsi" w:cstheme="minorBidi"/>
              <w:noProof/>
              <w:szCs w:val="22"/>
              <w:lang w:eastAsia="sl-SI"/>
            </w:rPr>
          </w:pPr>
          <w:hyperlink w:anchor="_Toc90462307" w:history="1">
            <w:r w:rsidR="00D25E8B" w:rsidRPr="007217A7">
              <w:rPr>
                <w:rStyle w:val="Hiperpovezava"/>
                <w:noProof/>
              </w:rPr>
              <w:t>13.1</w:t>
            </w:r>
            <w:r w:rsidR="00D25E8B">
              <w:rPr>
                <w:rFonts w:asciiTheme="minorHAnsi" w:eastAsiaTheme="minorEastAsia" w:hAnsiTheme="minorHAnsi" w:cstheme="minorBidi"/>
                <w:noProof/>
                <w:szCs w:val="22"/>
                <w:lang w:eastAsia="sl-SI"/>
              </w:rPr>
              <w:tab/>
            </w:r>
            <w:r w:rsidR="00D25E8B" w:rsidRPr="007217A7">
              <w:rPr>
                <w:rStyle w:val="Hiperpovezava"/>
                <w:noProof/>
              </w:rPr>
              <w:t>Pomen gozda in gozdarstva v Sloveniji</w:t>
            </w:r>
            <w:r w:rsidR="00D25E8B">
              <w:rPr>
                <w:noProof/>
                <w:webHidden/>
              </w:rPr>
              <w:tab/>
            </w:r>
            <w:r w:rsidR="00D25E8B">
              <w:rPr>
                <w:noProof/>
                <w:webHidden/>
              </w:rPr>
              <w:fldChar w:fldCharType="begin"/>
            </w:r>
            <w:r w:rsidR="00D25E8B">
              <w:rPr>
                <w:noProof/>
                <w:webHidden/>
              </w:rPr>
              <w:instrText xml:space="preserve"> PAGEREF _Toc90462307 \h </w:instrText>
            </w:r>
            <w:r w:rsidR="00D25E8B">
              <w:rPr>
                <w:noProof/>
                <w:webHidden/>
              </w:rPr>
            </w:r>
            <w:r w:rsidR="00D25E8B">
              <w:rPr>
                <w:noProof/>
                <w:webHidden/>
              </w:rPr>
              <w:fldChar w:fldCharType="separate"/>
            </w:r>
            <w:r w:rsidR="001E6B9E">
              <w:rPr>
                <w:noProof/>
                <w:webHidden/>
              </w:rPr>
              <w:t>167</w:t>
            </w:r>
            <w:r w:rsidR="00D25E8B">
              <w:rPr>
                <w:noProof/>
                <w:webHidden/>
              </w:rPr>
              <w:fldChar w:fldCharType="end"/>
            </w:r>
          </w:hyperlink>
        </w:p>
        <w:p w14:paraId="17FDEAEF" w14:textId="72F04471" w:rsidR="00D25E8B" w:rsidRDefault="00FB6BEC">
          <w:pPr>
            <w:pStyle w:val="Kazalovsebine2"/>
            <w:rPr>
              <w:rFonts w:asciiTheme="minorHAnsi" w:eastAsiaTheme="minorEastAsia" w:hAnsiTheme="minorHAnsi" w:cstheme="minorBidi"/>
              <w:noProof/>
              <w:szCs w:val="22"/>
              <w:lang w:eastAsia="sl-SI"/>
            </w:rPr>
          </w:pPr>
          <w:hyperlink w:anchor="_Toc90462308" w:history="1">
            <w:r w:rsidR="00D25E8B" w:rsidRPr="007217A7">
              <w:rPr>
                <w:rStyle w:val="Hiperpovezava"/>
                <w:noProof/>
              </w:rPr>
              <w:t>13.2</w:t>
            </w:r>
            <w:r w:rsidR="00D25E8B">
              <w:rPr>
                <w:rFonts w:asciiTheme="minorHAnsi" w:eastAsiaTheme="minorEastAsia" w:hAnsiTheme="minorHAnsi" w:cstheme="minorBidi"/>
                <w:noProof/>
                <w:szCs w:val="22"/>
                <w:lang w:eastAsia="sl-SI"/>
              </w:rPr>
              <w:tab/>
            </w:r>
            <w:r w:rsidR="00D25E8B" w:rsidRPr="007217A7">
              <w:rPr>
                <w:rStyle w:val="Hiperpovezava"/>
                <w:noProof/>
              </w:rPr>
              <w:t>Stanje v proizvodnji okroglega lesa (gozdnih lesnih sortimentov)</w:t>
            </w:r>
            <w:r w:rsidR="00D25E8B">
              <w:rPr>
                <w:noProof/>
                <w:webHidden/>
              </w:rPr>
              <w:tab/>
            </w:r>
            <w:r w:rsidR="00D25E8B">
              <w:rPr>
                <w:noProof/>
                <w:webHidden/>
              </w:rPr>
              <w:fldChar w:fldCharType="begin"/>
            </w:r>
            <w:r w:rsidR="00D25E8B">
              <w:rPr>
                <w:noProof/>
                <w:webHidden/>
              </w:rPr>
              <w:instrText xml:space="preserve"> PAGEREF _Toc90462308 \h </w:instrText>
            </w:r>
            <w:r w:rsidR="00D25E8B">
              <w:rPr>
                <w:noProof/>
                <w:webHidden/>
              </w:rPr>
            </w:r>
            <w:r w:rsidR="00D25E8B">
              <w:rPr>
                <w:noProof/>
                <w:webHidden/>
              </w:rPr>
              <w:fldChar w:fldCharType="separate"/>
            </w:r>
            <w:r w:rsidR="001E6B9E">
              <w:rPr>
                <w:noProof/>
                <w:webHidden/>
              </w:rPr>
              <w:t>169</w:t>
            </w:r>
            <w:r w:rsidR="00D25E8B">
              <w:rPr>
                <w:noProof/>
                <w:webHidden/>
              </w:rPr>
              <w:fldChar w:fldCharType="end"/>
            </w:r>
          </w:hyperlink>
        </w:p>
        <w:p w14:paraId="032A94D7" w14:textId="41F97591" w:rsidR="00D25E8B" w:rsidRDefault="00FB6BEC">
          <w:pPr>
            <w:pStyle w:val="Kazalovsebine2"/>
            <w:rPr>
              <w:rFonts w:asciiTheme="minorHAnsi" w:eastAsiaTheme="minorEastAsia" w:hAnsiTheme="minorHAnsi" w:cstheme="minorBidi"/>
              <w:noProof/>
              <w:szCs w:val="22"/>
              <w:lang w:eastAsia="sl-SI"/>
            </w:rPr>
          </w:pPr>
          <w:hyperlink w:anchor="_Toc90462309" w:history="1">
            <w:r w:rsidR="00D25E8B" w:rsidRPr="007217A7">
              <w:rPr>
                <w:rStyle w:val="Hiperpovezava"/>
                <w:noProof/>
              </w:rPr>
              <w:t>13.3</w:t>
            </w:r>
            <w:r w:rsidR="00D25E8B">
              <w:rPr>
                <w:rFonts w:asciiTheme="minorHAnsi" w:eastAsiaTheme="minorEastAsia" w:hAnsiTheme="minorHAnsi" w:cstheme="minorBidi"/>
                <w:noProof/>
                <w:szCs w:val="22"/>
                <w:lang w:eastAsia="sl-SI"/>
              </w:rPr>
              <w:tab/>
            </w:r>
            <w:r w:rsidR="00D25E8B" w:rsidRPr="007217A7">
              <w:rPr>
                <w:rStyle w:val="Hiperpovezava"/>
                <w:noProof/>
              </w:rPr>
              <w:t>Stanje v gozdnem drevesničarstvu</w:t>
            </w:r>
            <w:r w:rsidR="00D25E8B">
              <w:rPr>
                <w:noProof/>
                <w:webHidden/>
              </w:rPr>
              <w:tab/>
            </w:r>
            <w:r w:rsidR="00D25E8B">
              <w:rPr>
                <w:noProof/>
                <w:webHidden/>
              </w:rPr>
              <w:fldChar w:fldCharType="begin"/>
            </w:r>
            <w:r w:rsidR="00D25E8B">
              <w:rPr>
                <w:noProof/>
                <w:webHidden/>
              </w:rPr>
              <w:instrText xml:space="preserve"> PAGEREF _Toc90462309 \h </w:instrText>
            </w:r>
            <w:r w:rsidR="00D25E8B">
              <w:rPr>
                <w:noProof/>
                <w:webHidden/>
              </w:rPr>
            </w:r>
            <w:r w:rsidR="00D25E8B">
              <w:rPr>
                <w:noProof/>
                <w:webHidden/>
              </w:rPr>
              <w:fldChar w:fldCharType="separate"/>
            </w:r>
            <w:r w:rsidR="001E6B9E">
              <w:rPr>
                <w:noProof/>
                <w:webHidden/>
              </w:rPr>
              <w:t>171</w:t>
            </w:r>
            <w:r w:rsidR="00D25E8B">
              <w:rPr>
                <w:noProof/>
                <w:webHidden/>
              </w:rPr>
              <w:fldChar w:fldCharType="end"/>
            </w:r>
          </w:hyperlink>
        </w:p>
        <w:p w14:paraId="139CB08F" w14:textId="5B705FED" w:rsidR="00D25E8B" w:rsidRDefault="00FB6BEC">
          <w:pPr>
            <w:pStyle w:val="Kazalovsebine2"/>
            <w:rPr>
              <w:rFonts w:asciiTheme="minorHAnsi" w:eastAsiaTheme="minorEastAsia" w:hAnsiTheme="minorHAnsi" w:cstheme="minorBidi"/>
              <w:noProof/>
              <w:szCs w:val="22"/>
              <w:lang w:eastAsia="sl-SI"/>
            </w:rPr>
          </w:pPr>
          <w:hyperlink w:anchor="_Toc90462310" w:history="1">
            <w:r w:rsidR="00D25E8B" w:rsidRPr="007217A7">
              <w:rPr>
                <w:rStyle w:val="Hiperpovezava"/>
                <w:noProof/>
              </w:rPr>
              <w:t>13.4</w:t>
            </w:r>
            <w:r w:rsidR="00D25E8B">
              <w:rPr>
                <w:rFonts w:asciiTheme="minorHAnsi" w:eastAsiaTheme="minorEastAsia" w:hAnsiTheme="minorHAnsi" w:cstheme="minorBidi"/>
                <w:noProof/>
                <w:szCs w:val="22"/>
                <w:lang w:eastAsia="sl-SI"/>
              </w:rPr>
              <w:tab/>
            </w:r>
            <w:r w:rsidR="00D25E8B" w:rsidRPr="007217A7">
              <w:rPr>
                <w:rStyle w:val="Hiperpovezava"/>
                <w:noProof/>
              </w:rPr>
              <w:t>Stanje v proizvodnji žaganega lesa</w:t>
            </w:r>
            <w:r w:rsidR="00D25E8B">
              <w:rPr>
                <w:noProof/>
                <w:webHidden/>
              </w:rPr>
              <w:tab/>
            </w:r>
            <w:r w:rsidR="00D25E8B">
              <w:rPr>
                <w:noProof/>
                <w:webHidden/>
              </w:rPr>
              <w:fldChar w:fldCharType="begin"/>
            </w:r>
            <w:r w:rsidR="00D25E8B">
              <w:rPr>
                <w:noProof/>
                <w:webHidden/>
              </w:rPr>
              <w:instrText xml:space="preserve"> PAGEREF _Toc90462310 \h </w:instrText>
            </w:r>
            <w:r w:rsidR="00D25E8B">
              <w:rPr>
                <w:noProof/>
                <w:webHidden/>
              </w:rPr>
            </w:r>
            <w:r w:rsidR="00D25E8B">
              <w:rPr>
                <w:noProof/>
                <w:webHidden/>
              </w:rPr>
              <w:fldChar w:fldCharType="separate"/>
            </w:r>
            <w:r w:rsidR="001E6B9E">
              <w:rPr>
                <w:noProof/>
                <w:webHidden/>
              </w:rPr>
              <w:t>172</w:t>
            </w:r>
            <w:r w:rsidR="00D25E8B">
              <w:rPr>
                <w:noProof/>
                <w:webHidden/>
              </w:rPr>
              <w:fldChar w:fldCharType="end"/>
            </w:r>
          </w:hyperlink>
        </w:p>
        <w:p w14:paraId="7D2E171E" w14:textId="4E2FEEDD" w:rsidR="00D25E8B" w:rsidRDefault="00FB6BEC">
          <w:pPr>
            <w:pStyle w:val="Kazalovsebine2"/>
            <w:rPr>
              <w:rFonts w:asciiTheme="minorHAnsi" w:eastAsiaTheme="minorEastAsia" w:hAnsiTheme="minorHAnsi" w:cstheme="minorBidi"/>
              <w:noProof/>
              <w:szCs w:val="22"/>
              <w:lang w:eastAsia="sl-SI"/>
            </w:rPr>
          </w:pPr>
          <w:hyperlink w:anchor="_Toc90462311" w:history="1">
            <w:r w:rsidR="00D25E8B" w:rsidRPr="007217A7">
              <w:rPr>
                <w:rStyle w:val="Hiperpovezava"/>
                <w:noProof/>
              </w:rPr>
              <w:t>13.5</w:t>
            </w:r>
            <w:r w:rsidR="00D25E8B">
              <w:rPr>
                <w:rFonts w:asciiTheme="minorHAnsi" w:eastAsiaTheme="minorEastAsia" w:hAnsiTheme="minorHAnsi" w:cstheme="minorBidi"/>
                <w:noProof/>
                <w:szCs w:val="22"/>
                <w:lang w:eastAsia="sl-SI"/>
              </w:rPr>
              <w:tab/>
            </w:r>
            <w:r w:rsidR="00D25E8B" w:rsidRPr="007217A7">
              <w:rPr>
                <w:rStyle w:val="Hiperpovezava"/>
                <w:noProof/>
              </w:rPr>
              <w:t>Ekonomski rezultati gozdarstva</w:t>
            </w:r>
            <w:r w:rsidR="00D25E8B">
              <w:rPr>
                <w:noProof/>
                <w:webHidden/>
              </w:rPr>
              <w:tab/>
            </w:r>
            <w:r w:rsidR="00D25E8B">
              <w:rPr>
                <w:noProof/>
                <w:webHidden/>
              </w:rPr>
              <w:fldChar w:fldCharType="begin"/>
            </w:r>
            <w:r w:rsidR="00D25E8B">
              <w:rPr>
                <w:noProof/>
                <w:webHidden/>
              </w:rPr>
              <w:instrText xml:space="preserve"> PAGEREF _Toc90462311 \h </w:instrText>
            </w:r>
            <w:r w:rsidR="00D25E8B">
              <w:rPr>
                <w:noProof/>
                <w:webHidden/>
              </w:rPr>
            </w:r>
            <w:r w:rsidR="00D25E8B">
              <w:rPr>
                <w:noProof/>
                <w:webHidden/>
              </w:rPr>
              <w:fldChar w:fldCharType="separate"/>
            </w:r>
            <w:r w:rsidR="001E6B9E">
              <w:rPr>
                <w:noProof/>
                <w:webHidden/>
              </w:rPr>
              <w:t>172</w:t>
            </w:r>
            <w:r w:rsidR="00D25E8B">
              <w:rPr>
                <w:noProof/>
                <w:webHidden/>
              </w:rPr>
              <w:fldChar w:fldCharType="end"/>
            </w:r>
          </w:hyperlink>
        </w:p>
        <w:p w14:paraId="6C39E171" w14:textId="28342482" w:rsidR="00D25E8B" w:rsidRDefault="00FB6BEC">
          <w:pPr>
            <w:pStyle w:val="Kazalovsebine2"/>
            <w:rPr>
              <w:rFonts w:asciiTheme="minorHAnsi" w:eastAsiaTheme="minorEastAsia" w:hAnsiTheme="minorHAnsi" w:cstheme="minorBidi"/>
              <w:noProof/>
              <w:szCs w:val="22"/>
              <w:lang w:eastAsia="sl-SI"/>
            </w:rPr>
          </w:pPr>
          <w:hyperlink w:anchor="_Toc90462312" w:history="1">
            <w:r w:rsidR="00D25E8B" w:rsidRPr="007217A7">
              <w:rPr>
                <w:rStyle w:val="Hiperpovezava"/>
                <w:noProof/>
              </w:rPr>
              <w:t>13.6</w:t>
            </w:r>
            <w:r w:rsidR="00D25E8B">
              <w:rPr>
                <w:rFonts w:asciiTheme="minorHAnsi" w:eastAsiaTheme="minorEastAsia" w:hAnsiTheme="minorHAnsi" w:cstheme="minorBidi"/>
                <w:noProof/>
                <w:szCs w:val="22"/>
                <w:lang w:eastAsia="sl-SI"/>
              </w:rPr>
              <w:tab/>
            </w:r>
            <w:r w:rsidR="00D25E8B" w:rsidRPr="007217A7">
              <w:rPr>
                <w:rStyle w:val="Hiperpovezava"/>
                <w:noProof/>
              </w:rPr>
              <w:t>Investicije v gozdarstvo in gozdno-lesno verigo preko PRP 2007–2013 in PRP 2014-2020</w:t>
            </w:r>
            <w:r w:rsidR="00D25E8B">
              <w:rPr>
                <w:noProof/>
                <w:webHidden/>
              </w:rPr>
              <w:tab/>
            </w:r>
            <w:r w:rsidR="00D25E8B">
              <w:rPr>
                <w:noProof/>
                <w:webHidden/>
              </w:rPr>
              <w:fldChar w:fldCharType="begin"/>
            </w:r>
            <w:r w:rsidR="00D25E8B">
              <w:rPr>
                <w:noProof/>
                <w:webHidden/>
              </w:rPr>
              <w:instrText xml:space="preserve"> PAGEREF _Toc90462312 \h </w:instrText>
            </w:r>
            <w:r w:rsidR="00D25E8B">
              <w:rPr>
                <w:noProof/>
                <w:webHidden/>
              </w:rPr>
            </w:r>
            <w:r w:rsidR="00D25E8B">
              <w:rPr>
                <w:noProof/>
                <w:webHidden/>
              </w:rPr>
              <w:fldChar w:fldCharType="separate"/>
            </w:r>
            <w:r w:rsidR="001E6B9E">
              <w:rPr>
                <w:noProof/>
                <w:webHidden/>
              </w:rPr>
              <w:t>175</w:t>
            </w:r>
            <w:r w:rsidR="00D25E8B">
              <w:rPr>
                <w:noProof/>
                <w:webHidden/>
              </w:rPr>
              <w:fldChar w:fldCharType="end"/>
            </w:r>
          </w:hyperlink>
        </w:p>
        <w:p w14:paraId="038A9C86" w14:textId="2DC844A9" w:rsidR="00D25E8B" w:rsidRDefault="00FB6BEC">
          <w:pPr>
            <w:pStyle w:val="Kazalovsebine2"/>
            <w:rPr>
              <w:rFonts w:asciiTheme="minorHAnsi" w:eastAsiaTheme="minorEastAsia" w:hAnsiTheme="minorHAnsi" w:cstheme="minorBidi"/>
              <w:noProof/>
              <w:szCs w:val="22"/>
              <w:lang w:eastAsia="sl-SI"/>
            </w:rPr>
          </w:pPr>
          <w:hyperlink w:anchor="_Toc90462313" w:history="1">
            <w:r w:rsidR="00D25E8B" w:rsidRPr="007217A7">
              <w:rPr>
                <w:rStyle w:val="Hiperpovezava"/>
                <w:noProof/>
              </w:rPr>
              <w:t>13.7</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_Toc90462313 \h </w:instrText>
            </w:r>
            <w:r w:rsidR="00D25E8B">
              <w:rPr>
                <w:noProof/>
                <w:webHidden/>
              </w:rPr>
            </w:r>
            <w:r w:rsidR="00D25E8B">
              <w:rPr>
                <w:noProof/>
                <w:webHidden/>
              </w:rPr>
              <w:fldChar w:fldCharType="separate"/>
            </w:r>
            <w:r w:rsidR="001E6B9E">
              <w:rPr>
                <w:noProof/>
                <w:webHidden/>
              </w:rPr>
              <w:t>176</w:t>
            </w:r>
            <w:r w:rsidR="00D25E8B">
              <w:rPr>
                <w:noProof/>
                <w:webHidden/>
              </w:rPr>
              <w:fldChar w:fldCharType="end"/>
            </w:r>
          </w:hyperlink>
        </w:p>
        <w:p w14:paraId="77A36684" w14:textId="28282E18" w:rsidR="00D25E8B" w:rsidRDefault="00FB6BEC">
          <w:pPr>
            <w:pStyle w:val="Kazalovsebine1"/>
            <w:rPr>
              <w:rFonts w:asciiTheme="minorHAnsi" w:eastAsiaTheme="minorEastAsia" w:hAnsiTheme="minorHAnsi" w:cstheme="minorBidi"/>
              <w:szCs w:val="22"/>
              <w:lang w:eastAsia="sl-SI"/>
            </w:rPr>
          </w:pPr>
          <w:hyperlink w:anchor="_Toc90462314" w:history="1">
            <w:r w:rsidR="00D25E8B" w:rsidRPr="007217A7">
              <w:rPr>
                <w:rStyle w:val="Hiperpovezava"/>
              </w:rPr>
              <w:t>14</w:t>
            </w:r>
            <w:r w:rsidR="00D25E8B">
              <w:rPr>
                <w:rFonts w:asciiTheme="minorHAnsi" w:eastAsiaTheme="minorEastAsia" w:hAnsiTheme="minorHAnsi" w:cstheme="minorBidi"/>
                <w:szCs w:val="22"/>
                <w:lang w:eastAsia="sl-SI"/>
              </w:rPr>
              <w:tab/>
            </w:r>
            <w:r w:rsidR="00D25E8B" w:rsidRPr="007217A7">
              <w:rPr>
                <w:rStyle w:val="Hiperpovezava"/>
              </w:rPr>
              <w:t>Pomen digitalizacije in AKIS</w:t>
            </w:r>
            <w:r w:rsidR="00D25E8B">
              <w:rPr>
                <w:webHidden/>
              </w:rPr>
              <w:tab/>
            </w:r>
            <w:r w:rsidR="00D25E8B">
              <w:rPr>
                <w:webHidden/>
              </w:rPr>
              <w:fldChar w:fldCharType="begin"/>
            </w:r>
            <w:r w:rsidR="00D25E8B">
              <w:rPr>
                <w:webHidden/>
              </w:rPr>
              <w:instrText xml:space="preserve"> PAGEREF _Toc90462314 \h </w:instrText>
            </w:r>
            <w:r w:rsidR="00D25E8B">
              <w:rPr>
                <w:webHidden/>
              </w:rPr>
            </w:r>
            <w:r w:rsidR="00D25E8B">
              <w:rPr>
                <w:webHidden/>
              </w:rPr>
              <w:fldChar w:fldCharType="separate"/>
            </w:r>
            <w:r w:rsidR="001E6B9E">
              <w:rPr>
                <w:webHidden/>
              </w:rPr>
              <w:t>177</w:t>
            </w:r>
            <w:r w:rsidR="00D25E8B">
              <w:rPr>
                <w:webHidden/>
              </w:rPr>
              <w:fldChar w:fldCharType="end"/>
            </w:r>
          </w:hyperlink>
        </w:p>
        <w:p w14:paraId="52A0CBBD" w14:textId="6416CCCB" w:rsidR="00D25E8B" w:rsidRDefault="00FB6BEC">
          <w:pPr>
            <w:pStyle w:val="Kazalovsebine2"/>
            <w:rPr>
              <w:rFonts w:asciiTheme="minorHAnsi" w:eastAsiaTheme="minorEastAsia" w:hAnsiTheme="minorHAnsi" w:cstheme="minorBidi"/>
              <w:noProof/>
              <w:szCs w:val="22"/>
              <w:lang w:eastAsia="sl-SI"/>
            </w:rPr>
          </w:pPr>
          <w:hyperlink w:anchor="_Toc90462315" w:history="1">
            <w:r w:rsidR="00D25E8B" w:rsidRPr="007217A7">
              <w:rPr>
                <w:rStyle w:val="Hiperpovezava"/>
                <w:noProof/>
              </w:rPr>
              <w:t>14.1</w:t>
            </w:r>
            <w:r w:rsidR="00D25E8B">
              <w:rPr>
                <w:rFonts w:asciiTheme="minorHAnsi" w:eastAsiaTheme="minorEastAsia" w:hAnsiTheme="minorHAnsi" w:cstheme="minorBidi"/>
                <w:noProof/>
                <w:szCs w:val="22"/>
                <w:lang w:eastAsia="sl-SI"/>
              </w:rPr>
              <w:tab/>
            </w:r>
            <w:r w:rsidR="00D25E8B" w:rsidRPr="007217A7">
              <w:rPr>
                <w:rStyle w:val="Hiperpovezava"/>
                <w:noProof/>
              </w:rPr>
              <w:t>Uvajanje digitalizacije na ravni podatkovnih zbirk in investicij</w:t>
            </w:r>
            <w:r w:rsidR="00D25E8B">
              <w:rPr>
                <w:noProof/>
                <w:webHidden/>
              </w:rPr>
              <w:tab/>
            </w:r>
            <w:r w:rsidR="00D25E8B">
              <w:rPr>
                <w:noProof/>
                <w:webHidden/>
              </w:rPr>
              <w:fldChar w:fldCharType="begin"/>
            </w:r>
            <w:r w:rsidR="00D25E8B">
              <w:rPr>
                <w:noProof/>
                <w:webHidden/>
              </w:rPr>
              <w:instrText xml:space="preserve"> PAGEREF _Toc90462315 \h </w:instrText>
            </w:r>
            <w:r w:rsidR="00D25E8B">
              <w:rPr>
                <w:noProof/>
                <w:webHidden/>
              </w:rPr>
            </w:r>
            <w:r w:rsidR="00D25E8B">
              <w:rPr>
                <w:noProof/>
                <w:webHidden/>
              </w:rPr>
              <w:fldChar w:fldCharType="separate"/>
            </w:r>
            <w:r w:rsidR="001E6B9E">
              <w:rPr>
                <w:noProof/>
                <w:webHidden/>
              </w:rPr>
              <w:t>177</w:t>
            </w:r>
            <w:r w:rsidR="00D25E8B">
              <w:rPr>
                <w:noProof/>
                <w:webHidden/>
              </w:rPr>
              <w:fldChar w:fldCharType="end"/>
            </w:r>
          </w:hyperlink>
        </w:p>
        <w:p w14:paraId="7DB5002D" w14:textId="063F3649" w:rsidR="00D25E8B" w:rsidRDefault="00FB6BEC">
          <w:pPr>
            <w:pStyle w:val="Kazalovsebine2"/>
            <w:rPr>
              <w:rFonts w:asciiTheme="minorHAnsi" w:eastAsiaTheme="minorEastAsia" w:hAnsiTheme="minorHAnsi" w:cstheme="minorBidi"/>
              <w:noProof/>
              <w:szCs w:val="22"/>
              <w:lang w:eastAsia="sl-SI"/>
            </w:rPr>
          </w:pPr>
          <w:hyperlink w:anchor="_Toc90462316" w:history="1">
            <w:r w:rsidR="00D25E8B" w:rsidRPr="007217A7">
              <w:rPr>
                <w:rStyle w:val="Hiperpovezava"/>
                <w:noProof/>
              </w:rPr>
              <w:t>14.2</w:t>
            </w:r>
            <w:r w:rsidR="00D25E8B">
              <w:rPr>
                <w:rFonts w:asciiTheme="minorHAnsi" w:eastAsiaTheme="minorEastAsia" w:hAnsiTheme="minorHAnsi" w:cstheme="minorBidi"/>
                <w:noProof/>
                <w:szCs w:val="22"/>
                <w:lang w:eastAsia="sl-SI"/>
              </w:rPr>
              <w:tab/>
            </w:r>
            <w:r w:rsidR="00D25E8B" w:rsidRPr="007217A7">
              <w:rPr>
                <w:rStyle w:val="Hiperpovezava"/>
                <w:noProof/>
              </w:rPr>
              <w:t>Podpore uvajanju digitalizacije preko PRP 2014–2020</w:t>
            </w:r>
            <w:r w:rsidR="00D25E8B">
              <w:rPr>
                <w:noProof/>
                <w:webHidden/>
              </w:rPr>
              <w:tab/>
            </w:r>
            <w:r w:rsidR="00D25E8B">
              <w:rPr>
                <w:noProof/>
                <w:webHidden/>
              </w:rPr>
              <w:fldChar w:fldCharType="begin"/>
            </w:r>
            <w:r w:rsidR="00D25E8B">
              <w:rPr>
                <w:noProof/>
                <w:webHidden/>
              </w:rPr>
              <w:instrText xml:space="preserve"> PAGEREF _Toc90462316 \h </w:instrText>
            </w:r>
            <w:r w:rsidR="00D25E8B">
              <w:rPr>
                <w:noProof/>
                <w:webHidden/>
              </w:rPr>
            </w:r>
            <w:r w:rsidR="00D25E8B">
              <w:rPr>
                <w:noProof/>
                <w:webHidden/>
              </w:rPr>
              <w:fldChar w:fldCharType="separate"/>
            </w:r>
            <w:r w:rsidR="001E6B9E">
              <w:rPr>
                <w:noProof/>
                <w:webHidden/>
              </w:rPr>
              <w:t>179</w:t>
            </w:r>
            <w:r w:rsidR="00D25E8B">
              <w:rPr>
                <w:noProof/>
                <w:webHidden/>
              </w:rPr>
              <w:fldChar w:fldCharType="end"/>
            </w:r>
          </w:hyperlink>
        </w:p>
        <w:p w14:paraId="23D4BB7B" w14:textId="533B1122" w:rsidR="00D25E8B" w:rsidRDefault="00FB6BEC">
          <w:pPr>
            <w:pStyle w:val="Kazalovsebine2"/>
            <w:rPr>
              <w:rFonts w:asciiTheme="minorHAnsi" w:eastAsiaTheme="minorEastAsia" w:hAnsiTheme="minorHAnsi" w:cstheme="minorBidi"/>
              <w:noProof/>
              <w:szCs w:val="22"/>
              <w:lang w:eastAsia="sl-SI"/>
            </w:rPr>
          </w:pPr>
          <w:hyperlink w:anchor="_Toc90462317" w:history="1">
            <w:r w:rsidR="00D25E8B" w:rsidRPr="007217A7">
              <w:rPr>
                <w:rStyle w:val="Hiperpovezava"/>
                <w:noProof/>
              </w:rPr>
              <w:t>14.3</w:t>
            </w:r>
            <w:r w:rsidR="00D25E8B">
              <w:rPr>
                <w:rFonts w:asciiTheme="minorHAnsi" w:eastAsiaTheme="minorEastAsia" w:hAnsiTheme="minorHAnsi" w:cstheme="minorBidi"/>
                <w:noProof/>
                <w:szCs w:val="22"/>
                <w:lang w:eastAsia="sl-SI"/>
              </w:rPr>
              <w:tab/>
            </w:r>
            <w:r w:rsidR="00D25E8B" w:rsidRPr="007217A7">
              <w:rPr>
                <w:rStyle w:val="Hiperpovezava"/>
                <w:noProof/>
              </w:rPr>
              <w:t>Vse večja uporaba namenskih digitalnih portalov in e-komunikacije s kmeti</w:t>
            </w:r>
            <w:r w:rsidR="00D25E8B">
              <w:rPr>
                <w:noProof/>
                <w:webHidden/>
              </w:rPr>
              <w:tab/>
            </w:r>
            <w:r w:rsidR="00D25E8B">
              <w:rPr>
                <w:noProof/>
                <w:webHidden/>
              </w:rPr>
              <w:fldChar w:fldCharType="begin"/>
            </w:r>
            <w:r w:rsidR="00D25E8B">
              <w:rPr>
                <w:noProof/>
                <w:webHidden/>
              </w:rPr>
              <w:instrText xml:space="preserve"> PAGEREF _Toc90462317 \h </w:instrText>
            </w:r>
            <w:r w:rsidR="00D25E8B">
              <w:rPr>
                <w:noProof/>
                <w:webHidden/>
              </w:rPr>
            </w:r>
            <w:r w:rsidR="00D25E8B">
              <w:rPr>
                <w:noProof/>
                <w:webHidden/>
              </w:rPr>
              <w:fldChar w:fldCharType="separate"/>
            </w:r>
            <w:r w:rsidR="001E6B9E">
              <w:rPr>
                <w:noProof/>
                <w:webHidden/>
              </w:rPr>
              <w:t>179</w:t>
            </w:r>
            <w:r w:rsidR="00D25E8B">
              <w:rPr>
                <w:noProof/>
                <w:webHidden/>
              </w:rPr>
              <w:fldChar w:fldCharType="end"/>
            </w:r>
          </w:hyperlink>
        </w:p>
        <w:p w14:paraId="33291E59" w14:textId="3FC59D36" w:rsidR="00D25E8B" w:rsidRDefault="00FB6BEC">
          <w:pPr>
            <w:pStyle w:val="Kazalovsebine2"/>
            <w:rPr>
              <w:rFonts w:asciiTheme="minorHAnsi" w:eastAsiaTheme="minorEastAsia" w:hAnsiTheme="minorHAnsi" w:cstheme="minorBidi"/>
              <w:noProof/>
              <w:szCs w:val="22"/>
              <w:lang w:eastAsia="sl-SI"/>
            </w:rPr>
          </w:pPr>
          <w:hyperlink w:anchor="_Toc90462318" w:history="1">
            <w:r w:rsidR="00D25E8B" w:rsidRPr="007217A7">
              <w:rPr>
                <w:rStyle w:val="Hiperpovezava"/>
                <w:noProof/>
              </w:rPr>
              <w:t>14.4</w:t>
            </w:r>
            <w:r w:rsidR="00D25E8B">
              <w:rPr>
                <w:rFonts w:asciiTheme="minorHAnsi" w:eastAsiaTheme="minorEastAsia" w:hAnsiTheme="minorHAnsi" w:cstheme="minorBidi"/>
                <w:noProof/>
                <w:szCs w:val="22"/>
                <w:lang w:eastAsia="sl-SI"/>
              </w:rPr>
              <w:tab/>
            </w:r>
            <w:r w:rsidR="00D25E8B" w:rsidRPr="007217A7">
              <w:rPr>
                <w:rStyle w:val="Hiperpovezava"/>
                <w:noProof/>
              </w:rPr>
              <w:t>Vloga AKIS pri povečanju produktivnosti in prevzemanju novih tehnologij in inovacij</w:t>
            </w:r>
            <w:r w:rsidR="00D25E8B">
              <w:rPr>
                <w:noProof/>
                <w:webHidden/>
              </w:rPr>
              <w:tab/>
            </w:r>
            <w:r w:rsidR="00D25E8B">
              <w:rPr>
                <w:noProof/>
                <w:webHidden/>
              </w:rPr>
              <w:fldChar w:fldCharType="begin"/>
            </w:r>
            <w:r w:rsidR="00D25E8B">
              <w:rPr>
                <w:noProof/>
                <w:webHidden/>
              </w:rPr>
              <w:instrText xml:space="preserve"> PAGEREF _Toc90462318 \h </w:instrText>
            </w:r>
            <w:r w:rsidR="00D25E8B">
              <w:rPr>
                <w:noProof/>
                <w:webHidden/>
              </w:rPr>
            </w:r>
            <w:r w:rsidR="00D25E8B">
              <w:rPr>
                <w:noProof/>
                <w:webHidden/>
              </w:rPr>
              <w:fldChar w:fldCharType="separate"/>
            </w:r>
            <w:r w:rsidR="001E6B9E">
              <w:rPr>
                <w:noProof/>
                <w:webHidden/>
              </w:rPr>
              <w:t>182</w:t>
            </w:r>
            <w:r w:rsidR="00D25E8B">
              <w:rPr>
                <w:noProof/>
                <w:webHidden/>
              </w:rPr>
              <w:fldChar w:fldCharType="end"/>
            </w:r>
          </w:hyperlink>
        </w:p>
        <w:p w14:paraId="4B7E0CCE" w14:textId="295D177C" w:rsidR="00D25E8B" w:rsidRDefault="00FB6BEC">
          <w:pPr>
            <w:pStyle w:val="Kazalovsebine2"/>
            <w:rPr>
              <w:rFonts w:asciiTheme="minorHAnsi" w:eastAsiaTheme="minorEastAsia" w:hAnsiTheme="minorHAnsi" w:cstheme="minorBidi"/>
              <w:noProof/>
              <w:szCs w:val="22"/>
              <w:lang w:eastAsia="sl-SI"/>
            </w:rPr>
          </w:pPr>
          <w:hyperlink w:anchor="_Toc90462319" w:history="1">
            <w:r w:rsidR="00D25E8B" w:rsidRPr="007217A7">
              <w:rPr>
                <w:rStyle w:val="Hiperpovezava"/>
                <w:noProof/>
              </w:rPr>
              <w:t>14.5</w:t>
            </w:r>
            <w:r w:rsidR="00D25E8B">
              <w:rPr>
                <w:rFonts w:asciiTheme="minorHAnsi" w:eastAsiaTheme="minorEastAsia" w:hAnsiTheme="minorHAnsi" w:cstheme="minorBidi"/>
                <w:noProof/>
                <w:szCs w:val="22"/>
                <w:lang w:eastAsia="sl-SI"/>
              </w:rPr>
              <w:tab/>
            </w:r>
            <w:r w:rsidR="00D25E8B" w:rsidRPr="007217A7">
              <w:rPr>
                <w:rStyle w:val="Hiperpovezava"/>
                <w:noProof/>
              </w:rPr>
              <w:t>Vloga AKIS in digitalizacije pri spodbujanju prehoda v krožno in biogospodarstvo</w:t>
            </w:r>
            <w:r w:rsidR="00D25E8B">
              <w:rPr>
                <w:noProof/>
                <w:webHidden/>
              </w:rPr>
              <w:tab/>
            </w:r>
            <w:r w:rsidR="00D25E8B">
              <w:rPr>
                <w:noProof/>
                <w:webHidden/>
              </w:rPr>
              <w:fldChar w:fldCharType="begin"/>
            </w:r>
            <w:r w:rsidR="00D25E8B">
              <w:rPr>
                <w:noProof/>
                <w:webHidden/>
              </w:rPr>
              <w:instrText xml:space="preserve"> PAGEREF _Toc90462319 \h </w:instrText>
            </w:r>
            <w:r w:rsidR="00D25E8B">
              <w:rPr>
                <w:noProof/>
                <w:webHidden/>
              </w:rPr>
            </w:r>
            <w:r w:rsidR="00D25E8B">
              <w:rPr>
                <w:noProof/>
                <w:webHidden/>
              </w:rPr>
              <w:fldChar w:fldCharType="separate"/>
            </w:r>
            <w:r w:rsidR="001E6B9E">
              <w:rPr>
                <w:noProof/>
                <w:webHidden/>
              </w:rPr>
              <w:t>185</w:t>
            </w:r>
            <w:r w:rsidR="00D25E8B">
              <w:rPr>
                <w:noProof/>
                <w:webHidden/>
              </w:rPr>
              <w:fldChar w:fldCharType="end"/>
            </w:r>
          </w:hyperlink>
        </w:p>
        <w:p w14:paraId="3DBE17D3" w14:textId="7BDAA853" w:rsidR="00D25E8B" w:rsidRDefault="00FB6BEC">
          <w:pPr>
            <w:pStyle w:val="Kazalovsebine2"/>
            <w:rPr>
              <w:rFonts w:asciiTheme="minorHAnsi" w:eastAsiaTheme="minorEastAsia" w:hAnsiTheme="minorHAnsi" w:cstheme="minorBidi"/>
              <w:noProof/>
              <w:szCs w:val="22"/>
              <w:lang w:eastAsia="sl-SI"/>
            </w:rPr>
          </w:pPr>
          <w:hyperlink w:anchor="_Toc90462320" w:history="1">
            <w:r w:rsidR="00D25E8B" w:rsidRPr="007217A7">
              <w:rPr>
                <w:rStyle w:val="Hiperpovezava"/>
                <w:noProof/>
              </w:rPr>
              <w:t>14.6</w:t>
            </w:r>
            <w:r w:rsidR="00D25E8B">
              <w:rPr>
                <w:rFonts w:asciiTheme="minorHAnsi" w:eastAsiaTheme="minorEastAsia" w:hAnsiTheme="minorHAnsi" w:cstheme="minorBidi"/>
                <w:noProof/>
                <w:szCs w:val="22"/>
                <w:lang w:eastAsia="sl-SI"/>
              </w:rPr>
              <w:tab/>
            </w:r>
            <w:r w:rsidR="00D25E8B" w:rsidRPr="007217A7">
              <w:rPr>
                <w:rStyle w:val="Hiperpovezava"/>
                <w:noProof/>
              </w:rPr>
              <w:t>Ključne ugotovitve</w:t>
            </w:r>
            <w:r w:rsidR="00D25E8B">
              <w:rPr>
                <w:noProof/>
                <w:webHidden/>
              </w:rPr>
              <w:tab/>
            </w:r>
            <w:r w:rsidR="00D25E8B">
              <w:rPr>
                <w:noProof/>
                <w:webHidden/>
              </w:rPr>
              <w:fldChar w:fldCharType="begin"/>
            </w:r>
            <w:r w:rsidR="00D25E8B">
              <w:rPr>
                <w:noProof/>
                <w:webHidden/>
              </w:rPr>
              <w:instrText xml:space="preserve"> PAGEREF _Toc90462320 \h </w:instrText>
            </w:r>
            <w:r w:rsidR="00D25E8B">
              <w:rPr>
                <w:noProof/>
                <w:webHidden/>
              </w:rPr>
            </w:r>
            <w:r w:rsidR="00D25E8B">
              <w:rPr>
                <w:noProof/>
                <w:webHidden/>
              </w:rPr>
              <w:fldChar w:fldCharType="separate"/>
            </w:r>
            <w:r w:rsidR="001E6B9E">
              <w:rPr>
                <w:noProof/>
                <w:webHidden/>
              </w:rPr>
              <w:t>187</w:t>
            </w:r>
            <w:r w:rsidR="00D25E8B">
              <w:rPr>
                <w:noProof/>
                <w:webHidden/>
              </w:rPr>
              <w:fldChar w:fldCharType="end"/>
            </w:r>
          </w:hyperlink>
        </w:p>
        <w:p w14:paraId="40A4BD17" w14:textId="3E5D906D" w:rsidR="00D25E8B" w:rsidRDefault="00FB6BEC">
          <w:pPr>
            <w:pStyle w:val="Kazalovsebine1"/>
            <w:rPr>
              <w:rFonts w:asciiTheme="minorHAnsi" w:eastAsiaTheme="minorEastAsia" w:hAnsiTheme="minorHAnsi" w:cstheme="minorBidi"/>
              <w:szCs w:val="22"/>
              <w:lang w:eastAsia="sl-SI"/>
            </w:rPr>
          </w:pPr>
          <w:hyperlink w:anchor="_Toc90462321" w:history="1">
            <w:r w:rsidR="00D25E8B" w:rsidRPr="007217A7">
              <w:rPr>
                <w:rStyle w:val="Hiperpovezava"/>
                <w:rFonts w:eastAsiaTheme="minorHAnsi"/>
              </w:rPr>
              <w:t>15</w:t>
            </w:r>
            <w:r w:rsidR="00D25E8B">
              <w:rPr>
                <w:rFonts w:asciiTheme="minorHAnsi" w:eastAsiaTheme="minorEastAsia" w:hAnsiTheme="minorHAnsi" w:cstheme="minorBidi"/>
                <w:szCs w:val="22"/>
                <w:lang w:eastAsia="sl-SI"/>
              </w:rPr>
              <w:tab/>
            </w:r>
            <w:r w:rsidR="00D25E8B" w:rsidRPr="007217A7">
              <w:rPr>
                <w:rStyle w:val="Hiperpovezava"/>
              </w:rPr>
              <w:t>VIRI IN LITERATURA</w:t>
            </w:r>
            <w:r w:rsidR="00D25E8B">
              <w:rPr>
                <w:webHidden/>
              </w:rPr>
              <w:tab/>
            </w:r>
            <w:r w:rsidR="00D25E8B">
              <w:rPr>
                <w:webHidden/>
              </w:rPr>
              <w:fldChar w:fldCharType="begin"/>
            </w:r>
            <w:r w:rsidR="00D25E8B">
              <w:rPr>
                <w:webHidden/>
              </w:rPr>
              <w:instrText xml:space="preserve"> PAGEREF _Toc90462321 \h </w:instrText>
            </w:r>
            <w:r w:rsidR="00D25E8B">
              <w:rPr>
                <w:webHidden/>
              </w:rPr>
            </w:r>
            <w:r w:rsidR="00D25E8B">
              <w:rPr>
                <w:webHidden/>
              </w:rPr>
              <w:fldChar w:fldCharType="separate"/>
            </w:r>
            <w:r w:rsidR="001E6B9E">
              <w:rPr>
                <w:webHidden/>
              </w:rPr>
              <w:t>188</w:t>
            </w:r>
            <w:r w:rsidR="00D25E8B">
              <w:rPr>
                <w:webHidden/>
              </w:rPr>
              <w:fldChar w:fldCharType="end"/>
            </w:r>
          </w:hyperlink>
        </w:p>
        <w:p w14:paraId="0AF6E11E" w14:textId="457D5197" w:rsidR="00D25E8B" w:rsidRDefault="00FB6BEC">
          <w:pPr>
            <w:pStyle w:val="Kazalovsebine1"/>
            <w:rPr>
              <w:rFonts w:asciiTheme="minorHAnsi" w:eastAsiaTheme="minorEastAsia" w:hAnsiTheme="minorHAnsi" w:cstheme="minorBidi"/>
              <w:szCs w:val="22"/>
              <w:lang w:eastAsia="sl-SI"/>
            </w:rPr>
          </w:pPr>
          <w:hyperlink w:anchor="_Toc90462322" w:history="1">
            <w:r w:rsidR="00D25E8B" w:rsidRPr="007217A7">
              <w:rPr>
                <w:rStyle w:val="Hiperpovezava"/>
              </w:rPr>
              <w:t>16</w:t>
            </w:r>
            <w:r w:rsidR="00D25E8B">
              <w:rPr>
                <w:rFonts w:asciiTheme="minorHAnsi" w:eastAsiaTheme="minorEastAsia" w:hAnsiTheme="minorHAnsi" w:cstheme="minorBidi"/>
                <w:szCs w:val="22"/>
                <w:lang w:eastAsia="sl-SI"/>
              </w:rPr>
              <w:tab/>
            </w:r>
            <w:r w:rsidR="00D25E8B" w:rsidRPr="007217A7">
              <w:rPr>
                <w:rStyle w:val="Hiperpovezava"/>
              </w:rPr>
              <w:t>SWOT</w:t>
            </w:r>
            <w:r w:rsidR="00D25E8B">
              <w:rPr>
                <w:webHidden/>
              </w:rPr>
              <w:tab/>
            </w:r>
            <w:r w:rsidR="00D25E8B">
              <w:rPr>
                <w:webHidden/>
              </w:rPr>
              <w:fldChar w:fldCharType="begin"/>
            </w:r>
            <w:r w:rsidR="00D25E8B">
              <w:rPr>
                <w:webHidden/>
              </w:rPr>
              <w:instrText xml:space="preserve"> PAGEREF _Toc90462322 \h </w:instrText>
            </w:r>
            <w:r w:rsidR="00D25E8B">
              <w:rPr>
                <w:webHidden/>
              </w:rPr>
            </w:r>
            <w:r w:rsidR="00D25E8B">
              <w:rPr>
                <w:webHidden/>
              </w:rPr>
              <w:fldChar w:fldCharType="separate"/>
            </w:r>
            <w:r w:rsidR="001E6B9E">
              <w:rPr>
                <w:webHidden/>
              </w:rPr>
              <w:t>191</w:t>
            </w:r>
            <w:r w:rsidR="00D25E8B">
              <w:rPr>
                <w:webHidden/>
              </w:rPr>
              <w:fldChar w:fldCharType="end"/>
            </w:r>
          </w:hyperlink>
        </w:p>
        <w:p w14:paraId="5832757C" w14:textId="61070D9B" w:rsidR="00124A38" w:rsidRDefault="00A34306" w:rsidP="009F3567">
          <w:pPr>
            <w:spacing w:before="0" w:line="276" w:lineRule="auto"/>
            <w:rPr>
              <w:b/>
              <w:bCs/>
              <w:sz w:val="20"/>
              <w:szCs w:val="20"/>
            </w:rPr>
          </w:pPr>
          <w:r w:rsidRPr="00852E36">
            <w:rPr>
              <w:b/>
              <w:bCs/>
              <w:sz w:val="20"/>
              <w:szCs w:val="20"/>
            </w:rPr>
            <w:fldChar w:fldCharType="end"/>
          </w:r>
        </w:p>
        <w:p w14:paraId="22D1EF24" w14:textId="77777777" w:rsidR="0007738B" w:rsidRPr="0047652B" w:rsidRDefault="00FB6BEC" w:rsidP="009F3567">
          <w:pPr>
            <w:spacing w:before="0" w:line="276" w:lineRule="auto"/>
            <w:rPr>
              <w:sz w:val="20"/>
              <w:szCs w:val="20"/>
            </w:rPr>
          </w:pPr>
        </w:p>
      </w:sdtContent>
    </w:sdt>
    <w:p w14:paraId="6ACFEA6D" w14:textId="77777777" w:rsidR="00CD02E0" w:rsidRDefault="00CD02E0">
      <w:pPr>
        <w:spacing w:before="0" w:after="200" w:line="276" w:lineRule="auto"/>
        <w:jc w:val="left"/>
        <w:rPr>
          <w:b/>
          <w:sz w:val="20"/>
          <w:szCs w:val="20"/>
          <w:lang w:eastAsia="en-US"/>
        </w:rPr>
      </w:pPr>
      <w:r>
        <w:rPr>
          <w:b/>
          <w:sz w:val="20"/>
          <w:szCs w:val="20"/>
          <w:lang w:eastAsia="en-US"/>
        </w:rPr>
        <w:br w:type="page"/>
      </w:r>
    </w:p>
    <w:p w14:paraId="45615A33" w14:textId="77777777" w:rsidR="00EA3ECA" w:rsidRDefault="00EA3ECA" w:rsidP="009F3567">
      <w:pPr>
        <w:spacing w:before="0" w:line="276" w:lineRule="auto"/>
        <w:ind w:left="709" w:right="567" w:hanging="709"/>
        <w:jc w:val="left"/>
        <w:rPr>
          <w:b/>
          <w:sz w:val="20"/>
          <w:szCs w:val="20"/>
          <w:lang w:eastAsia="en-US"/>
        </w:rPr>
      </w:pPr>
    </w:p>
    <w:p w14:paraId="42CE2115" w14:textId="77777777" w:rsidR="00EA3ECA" w:rsidRPr="009F3567" w:rsidRDefault="00EA3ECA" w:rsidP="009F3567">
      <w:pPr>
        <w:spacing w:before="0" w:line="276" w:lineRule="auto"/>
        <w:jc w:val="left"/>
        <w:rPr>
          <w:b/>
          <w:sz w:val="24"/>
          <w:szCs w:val="20"/>
          <w:lang w:eastAsia="en-US"/>
        </w:rPr>
      </w:pPr>
      <w:r w:rsidRPr="009F3567">
        <w:rPr>
          <w:b/>
          <w:sz w:val="24"/>
          <w:szCs w:val="20"/>
          <w:lang w:eastAsia="en-US"/>
        </w:rPr>
        <w:t>Kazalo tabel</w:t>
      </w:r>
    </w:p>
    <w:p w14:paraId="28AC401C" w14:textId="5B3FE9B8" w:rsidR="00602857" w:rsidRDefault="00EA3ECA">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"Tabela" </w:instrText>
      </w:r>
      <w:r w:rsidRPr="0047652B">
        <w:rPr>
          <w:sz w:val="20"/>
          <w:szCs w:val="20"/>
          <w:lang w:eastAsia="en-US"/>
        </w:rPr>
        <w:fldChar w:fldCharType="separate"/>
      </w:r>
      <w:hyperlink w:anchor="_Toc89860993" w:history="1">
        <w:r w:rsidR="00602857" w:rsidRPr="003C03C4">
          <w:rPr>
            <w:rStyle w:val="Hiperpovezava"/>
            <w:rFonts w:eastAsia="Calibri"/>
            <w:noProof/>
          </w:rPr>
          <w:t>Tabela 1: Uporabljeni kazalniki stanja v okviru specifičnega cilja 2</w:t>
        </w:r>
        <w:r w:rsidR="00602857">
          <w:rPr>
            <w:noProof/>
            <w:webHidden/>
          </w:rPr>
          <w:tab/>
        </w:r>
        <w:r w:rsidR="00602857">
          <w:rPr>
            <w:noProof/>
            <w:webHidden/>
          </w:rPr>
          <w:fldChar w:fldCharType="begin"/>
        </w:r>
        <w:r w:rsidR="00602857">
          <w:rPr>
            <w:noProof/>
            <w:webHidden/>
          </w:rPr>
          <w:instrText xml:space="preserve"> PAGEREF _Toc89860993 \h </w:instrText>
        </w:r>
        <w:r w:rsidR="00602857">
          <w:rPr>
            <w:noProof/>
            <w:webHidden/>
          </w:rPr>
        </w:r>
        <w:r w:rsidR="00602857">
          <w:rPr>
            <w:noProof/>
            <w:webHidden/>
          </w:rPr>
          <w:fldChar w:fldCharType="separate"/>
        </w:r>
        <w:r w:rsidR="00602857">
          <w:rPr>
            <w:noProof/>
            <w:webHidden/>
          </w:rPr>
          <w:t>14</w:t>
        </w:r>
        <w:r w:rsidR="00602857">
          <w:rPr>
            <w:noProof/>
            <w:webHidden/>
          </w:rPr>
          <w:fldChar w:fldCharType="end"/>
        </w:r>
      </w:hyperlink>
    </w:p>
    <w:p w14:paraId="73242C17" w14:textId="6BC02015"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4" w:history="1">
        <w:r w:rsidR="00602857" w:rsidRPr="003C03C4">
          <w:rPr>
            <w:rStyle w:val="Hiperpovezava"/>
            <w:rFonts w:eastAsia="Calibri"/>
            <w:noProof/>
          </w:rPr>
          <w:t>Tabela 2: Pregled gospodarskih gibanj 2014–2019</w:t>
        </w:r>
        <w:r w:rsidR="00602857">
          <w:rPr>
            <w:noProof/>
            <w:webHidden/>
          </w:rPr>
          <w:tab/>
        </w:r>
        <w:r w:rsidR="00602857">
          <w:rPr>
            <w:noProof/>
            <w:webHidden/>
          </w:rPr>
          <w:fldChar w:fldCharType="begin"/>
        </w:r>
        <w:r w:rsidR="00602857">
          <w:rPr>
            <w:noProof/>
            <w:webHidden/>
          </w:rPr>
          <w:instrText xml:space="preserve"> PAGEREF _Toc89860994 \h </w:instrText>
        </w:r>
        <w:r w:rsidR="00602857">
          <w:rPr>
            <w:noProof/>
            <w:webHidden/>
          </w:rPr>
        </w:r>
        <w:r w:rsidR="00602857">
          <w:rPr>
            <w:noProof/>
            <w:webHidden/>
          </w:rPr>
          <w:fldChar w:fldCharType="separate"/>
        </w:r>
        <w:r w:rsidR="00602857">
          <w:rPr>
            <w:noProof/>
            <w:webHidden/>
          </w:rPr>
          <w:t>16</w:t>
        </w:r>
        <w:r w:rsidR="00602857">
          <w:rPr>
            <w:noProof/>
            <w:webHidden/>
          </w:rPr>
          <w:fldChar w:fldCharType="end"/>
        </w:r>
      </w:hyperlink>
    </w:p>
    <w:p w14:paraId="4DBC57DB" w14:textId="05F17D80"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5" w:history="1">
        <w:r w:rsidR="00602857" w:rsidRPr="003C03C4">
          <w:rPr>
            <w:rStyle w:val="Hiperpovezava"/>
            <w:rFonts w:eastAsia="Calibri"/>
            <w:noProof/>
          </w:rPr>
          <w:t>Tabela 3: BDP na prebivalca</w:t>
        </w:r>
        <w:r w:rsidR="00602857">
          <w:rPr>
            <w:noProof/>
            <w:webHidden/>
          </w:rPr>
          <w:tab/>
        </w:r>
        <w:r w:rsidR="00602857">
          <w:rPr>
            <w:noProof/>
            <w:webHidden/>
          </w:rPr>
          <w:fldChar w:fldCharType="begin"/>
        </w:r>
        <w:r w:rsidR="00602857">
          <w:rPr>
            <w:noProof/>
            <w:webHidden/>
          </w:rPr>
          <w:instrText xml:space="preserve"> PAGEREF _Toc89860995 \h </w:instrText>
        </w:r>
        <w:r w:rsidR="00602857">
          <w:rPr>
            <w:noProof/>
            <w:webHidden/>
          </w:rPr>
        </w:r>
        <w:r w:rsidR="00602857">
          <w:rPr>
            <w:noProof/>
            <w:webHidden/>
          </w:rPr>
          <w:fldChar w:fldCharType="separate"/>
        </w:r>
        <w:r w:rsidR="00602857">
          <w:rPr>
            <w:noProof/>
            <w:webHidden/>
          </w:rPr>
          <w:t>17</w:t>
        </w:r>
        <w:r w:rsidR="00602857">
          <w:rPr>
            <w:noProof/>
            <w:webHidden/>
          </w:rPr>
          <w:fldChar w:fldCharType="end"/>
        </w:r>
      </w:hyperlink>
    </w:p>
    <w:p w14:paraId="4D833CCE" w14:textId="15A7486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6" w:history="1">
        <w:r w:rsidR="00602857" w:rsidRPr="003C03C4">
          <w:rPr>
            <w:rStyle w:val="Hiperpovezava"/>
            <w:rFonts w:eastAsia="Calibri"/>
            <w:noProof/>
          </w:rPr>
          <w:t>Tabela 4: Bruto dodana vrednost 2010-2019</w:t>
        </w:r>
        <w:r w:rsidR="00602857">
          <w:rPr>
            <w:noProof/>
            <w:webHidden/>
          </w:rPr>
          <w:tab/>
        </w:r>
        <w:r w:rsidR="00602857">
          <w:rPr>
            <w:noProof/>
            <w:webHidden/>
          </w:rPr>
          <w:fldChar w:fldCharType="begin"/>
        </w:r>
        <w:r w:rsidR="00602857">
          <w:rPr>
            <w:noProof/>
            <w:webHidden/>
          </w:rPr>
          <w:instrText xml:space="preserve"> PAGEREF _Toc89860996 \h </w:instrText>
        </w:r>
        <w:r w:rsidR="00602857">
          <w:rPr>
            <w:noProof/>
            <w:webHidden/>
          </w:rPr>
        </w:r>
        <w:r w:rsidR="00602857">
          <w:rPr>
            <w:noProof/>
            <w:webHidden/>
          </w:rPr>
          <w:fldChar w:fldCharType="separate"/>
        </w:r>
        <w:r w:rsidR="00602857">
          <w:rPr>
            <w:noProof/>
            <w:webHidden/>
          </w:rPr>
          <w:t>18</w:t>
        </w:r>
        <w:r w:rsidR="00602857">
          <w:rPr>
            <w:noProof/>
            <w:webHidden/>
          </w:rPr>
          <w:fldChar w:fldCharType="end"/>
        </w:r>
      </w:hyperlink>
    </w:p>
    <w:p w14:paraId="3EC09948" w14:textId="16FEAF1E"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7" w:history="1">
        <w:r w:rsidR="00602857" w:rsidRPr="003C03C4">
          <w:rPr>
            <w:rStyle w:val="Hiperpovezava"/>
            <w:rFonts w:eastAsia="Calibri"/>
            <w:noProof/>
          </w:rPr>
          <w:t>Tabela 5: Velikost kmetijskih gospodarstev glede na KZU in standardni prihodek</w:t>
        </w:r>
        <w:r w:rsidR="00602857">
          <w:rPr>
            <w:noProof/>
            <w:webHidden/>
          </w:rPr>
          <w:tab/>
        </w:r>
        <w:r w:rsidR="00602857">
          <w:rPr>
            <w:noProof/>
            <w:webHidden/>
          </w:rPr>
          <w:fldChar w:fldCharType="begin"/>
        </w:r>
        <w:r w:rsidR="00602857">
          <w:rPr>
            <w:noProof/>
            <w:webHidden/>
          </w:rPr>
          <w:instrText xml:space="preserve"> PAGEREF _Toc89860997 \h </w:instrText>
        </w:r>
        <w:r w:rsidR="00602857">
          <w:rPr>
            <w:noProof/>
            <w:webHidden/>
          </w:rPr>
        </w:r>
        <w:r w:rsidR="00602857">
          <w:rPr>
            <w:noProof/>
            <w:webHidden/>
          </w:rPr>
          <w:fldChar w:fldCharType="separate"/>
        </w:r>
        <w:r w:rsidR="00602857">
          <w:rPr>
            <w:noProof/>
            <w:webHidden/>
          </w:rPr>
          <w:t>22</w:t>
        </w:r>
        <w:r w:rsidR="00602857">
          <w:rPr>
            <w:noProof/>
            <w:webHidden/>
          </w:rPr>
          <w:fldChar w:fldCharType="end"/>
        </w:r>
      </w:hyperlink>
    </w:p>
    <w:p w14:paraId="7DC52EF4" w14:textId="0498035B"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8" w:history="1">
        <w:r w:rsidR="00602857" w:rsidRPr="003C03C4">
          <w:rPr>
            <w:rStyle w:val="Hiperpovezava"/>
            <w:rFonts w:eastAsia="Calibri"/>
            <w:noProof/>
          </w:rPr>
          <w:t>Tabela 6:</w:t>
        </w:r>
        <w:r w:rsidR="00602857" w:rsidRPr="003C03C4">
          <w:rPr>
            <w:rStyle w:val="Hiperpovezava"/>
            <w:rFonts w:eastAsia="Calibri"/>
            <w:noProof/>
            <w:lang w:eastAsia="sl-SI"/>
          </w:rPr>
          <w:t xml:space="preserve"> Kolektivne naložbe v okviru podukrepa 4.1 Podpora za naložbe v kmetijska gospodarstva iz PRP 2014-2020 (stanje odobrenih vlog na dan 30. 6. 2021) – po vrednosti, vrsti, sektorju in regiji</w:t>
        </w:r>
        <w:r w:rsidR="00602857">
          <w:rPr>
            <w:noProof/>
            <w:webHidden/>
          </w:rPr>
          <w:tab/>
        </w:r>
        <w:r w:rsidR="00602857">
          <w:rPr>
            <w:noProof/>
            <w:webHidden/>
          </w:rPr>
          <w:fldChar w:fldCharType="begin"/>
        </w:r>
        <w:r w:rsidR="00602857">
          <w:rPr>
            <w:noProof/>
            <w:webHidden/>
          </w:rPr>
          <w:instrText xml:space="preserve"> PAGEREF _Toc89860998 \h </w:instrText>
        </w:r>
        <w:r w:rsidR="00602857">
          <w:rPr>
            <w:noProof/>
            <w:webHidden/>
          </w:rPr>
        </w:r>
        <w:r w:rsidR="00602857">
          <w:rPr>
            <w:noProof/>
            <w:webHidden/>
          </w:rPr>
          <w:fldChar w:fldCharType="separate"/>
        </w:r>
        <w:r w:rsidR="00602857">
          <w:rPr>
            <w:noProof/>
            <w:webHidden/>
          </w:rPr>
          <w:t>40</w:t>
        </w:r>
        <w:r w:rsidR="00602857">
          <w:rPr>
            <w:noProof/>
            <w:webHidden/>
          </w:rPr>
          <w:fldChar w:fldCharType="end"/>
        </w:r>
      </w:hyperlink>
    </w:p>
    <w:p w14:paraId="10A731A4" w14:textId="5619910B"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0999" w:history="1">
        <w:r w:rsidR="00602857" w:rsidRPr="003C03C4">
          <w:rPr>
            <w:rStyle w:val="Hiperpovezava"/>
            <w:rFonts w:eastAsia="Calibri"/>
            <w:noProof/>
          </w:rPr>
          <w:t>Tabela 6: Ekonomska velikost KMG (v 1.000 € SO/KMG) po proizvodnih tipih, PDM/KMG po proizvodnih tipih in ekonomski velikosti, KZU/KMG po proizvodnih tipih in ekonomski velikosti za obdobje 2015–2019 (uteženi FADN podatki)</w:t>
        </w:r>
        <w:r w:rsidR="00602857">
          <w:rPr>
            <w:noProof/>
            <w:webHidden/>
          </w:rPr>
          <w:tab/>
        </w:r>
        <w:r w:rsidR="00602857">
          <w:rPr>
            <w:noProof/>
            <w:webHidden/>
          </w:rPr>
          <w:fldChar w:fldCharType="begin"/>
        </w:r>
        <w:r w:rsidR="00602857">
          <w:rPr>
            <w:noProof/>
            <w:webHidden/>
          </w:rPr>
          <w:instrText xml:space="preserve"> PAGEREF _Toc89860999 \h </w:instrText>
        </w:r>
        <w:r w:rsidR="00602857">
          <w:rPr>
            <w:noProof/>
            <w:webHidden/>
          </w:rPr>
        </w:r>
        <w:r w:rsidR="00602857">
          <w:rPr>
            <w:noProof/>
            <w:webHidden/>
          </w:rPr>
          <w:fldChar w:fldCharType="separate"/>
        </w:r>
        <w:r w:rsidR="00602857">
          <w:rPr>
            <w:noProof/>
            <w:webHidden/>
          </w:rPr>
          <w:t>60</w:t>
        </w:r>
        <w:r w:rsidR="00602857">
          <w:rPr>
            <w:noProof/>
            <w:webHidden/>
          </w:rPr>
          <w:fldChar w:fldCharType="end"/>
        </w:r>
      </w:hyperlink>
    </w:p>
    <w:p w14:paraId="792822BD" w14:textId="47DBBF5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0" w:history="1">
        <w:r w:rsidR="00602857" w:rsidRPr="003C03C4">
          <w:rPr>
            <w:rStyle w:val="Hiperpovezava"/>
            <w:rFonts w:eastAsia="Calibri"/>
            <w:noProof/>
          </w:rPr>
          <w:t>Tabela 6: Bruto in neto dodana vrednost KMG na hektar KZU oziroma na PDM po ekonomskih velikostnih razredih za obdobje 2015–2019 (uteženi FADN podatki)</w:t>
        </w:r>
        <w:r w:rsidR="00602857">
          <w:rPr>
            <w:noProof/>
            <w:webHidden/>
          </w:rPr>
          <w:tab/>
        </w:r>
        <w:r w:rsidR="00602857">
          <w:rPr>
            <w:noProof/>
            <w:webHidden/>
          </w:rPr>
          <w:fldChar w:fldCharType="begin"/>
        </w:r>
        <w:r w:rsidR="00602857">
          <w:rPr>
            <w:noProof/>
            <w:webHidden/>
          </w:rPr>
          <w:instrText xml:space="preserve"> PAGEREF _Toc89861000 \h </w:instrText>
        </w:r>
        <w:r w:rsidR="00602857">
          <w:rPr>
            <w:noProof/>
            <w:webHidden/>
          </w:rPr>
        </w:r>
        <w:r w:rsidR="00602857">
          <w:rPr>
            <w:noProof/>
            <w:webHidden/>
          </w:rPr>
          <w:fldChar w:fldCharType="separate"/>
        </w:r>
        <w:r w:rsidR="00602857">
          <w:rPr>
            <w:noProof/>
            <w:webHidden/>
          </w:rPr>
          <w:t>61</w:t>
        </w:r>
        <w:r w:rsidR="00602857">
          <w:rPr>
            <w:noProof/>
            <w:webHidden/>
          </w:rPr>
          <w:fldChar w:fldCharType="end"/>
        </w:r>
      </w:hyperlink>
    </w:p>
    <w:p w14:paraId="13C9956A" w14:textId="54F1FB47"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1" w:history="1">
        <w:r w:rsidR="00602857" w:rsidRPr="003C03C4">
          <w:rPr>
            <w:rStyle w:val="Hiperpovezava"/>
            <w:rFonts w:eastAsia="Calibri"/>
            <w:noProof/>
          </w:rPr>
          <w:t>Tabela 8: Bruto in neto dodana vrednost KMG na PDM glede na fizično velikost KZU za obdobje 2015–2019 (uteženi FADN podatki)</w:t>
        </w:r>
        <w:r w:rsidR="00602857">
          <w:rPr>
            <w:noProof/>
            <w:webHidden/>
          </w:rPr>
          <w:tab/>
        </w:r>
        <w:r w:rsidR="00602857">
          <w:rPr>
            <w:noProof/>
            <w:webHidden/>
          </w:rPr>
          <w:fldChar w:fldCharType="begin"/>
        </w:r>
        <w:r w:rsidR="00602857">
          <w:rPr>
            <w:noProof/>
            <w:webHidden/>
          </w:rPr>
          <w:instrText xml:space="preserve"> PAGEREF _Toc89861001 \h </w:instrText>
        </w:r>
        <w:r w:rsidR="00602857">
          <w:rPr>
            <w:noProof/>
            <w:webHidden/>
          </w:rPr>
        </w:r>
        <w:r w:rsidR="00602857">
          <w:rPr>
            <w:noProof/>
            <w:webHidden/>
          </w:rPr>
          <w:fldChar w:fldCharType="separate"/>
        </w:r>
        <w:r w:rsidR="00602857">
          <w:rPr>
            <w:noProof/>
            <w:webHidden/>
          </w:rPr>
          <w:t>64</w:t>
        </w:r>
        <w:r w:rsidR="00602857">
          <w:rPr>
            <w:noProof/>
            <w:webHidden/>
          </w:rPr>
          <w:fldChar w:fldCharType="end"/>
        </w:r>
      </w:hyperlink>
    </w:p>
    <w:p w14:paraId="3775B496" w14:textId="4005A64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2" w:history="1">
        <w:r w:rsidR="00602857" w:rsidRPr="003C03C4">
          <w:rPr>
            <w:rStyle w:val="Hiperpovezava"/>
            <w:rFonts w:eastAsia="Calibri"/>
            <w:noProof/>
          </w:rPr>
          <w:t>Tabela 9: Neto dodana vrednost KMG na PDM glede tip kmetovanja za obdobje 2015–2019 (povprečni FADN podatki)</w:t>
        </w:r>
        <w:r w:rsidR="00602857">
          <w:rPr>
            <w:noProof/>
            <w:webHidden/>
          </w:rPr>
          <w:tab/>
        </w:r>
        <w:r w:rsidR="00602857">
          <w:rPr>
            <w:noProof/>
            <w:webHidden/>
          </w:rPr>
          <w:fldChar w:fldCharType="begin"/>
        </w:r>
        <w:r w:rsidR="00602857">
          <w:rPr>
            <w:noProof/>
            <w:webHidden/>
          </w:rPr>
          <w:instrText xml:space="preserve"> PAGEREF _Toc89861002 \h </w:instrText>
        </w:r>
        <w:r w:rsidR="00602857">
          <w:rPr>
            <w:noProof/>
            <w:webHidden/>
          </w:rPr>
        </w:r>
        <w:r w:rsidR="00602857">
          <w:rPr>
            <w:noProof/>
            <w:webHidden/>
          </w:rPr>
          <w:fldChar w:fldCharType="separate"/>
        </w:r>
        <w:r w:rsidR="00602857">
          <w:rPr>
            <w:noProof/>
            <w:webHidden/>
          </w:rPr>
          <w:t>65</w:t>
        </w:r>
        <w:r w:rsidR="00602857">
          <w:rPr>
            <w:noProof/>
            <w:webHidden/>
          </w:rPr>
          <w:fldChar w:fldCharType="end"/>
        </w:r>
      </w:hyperlink>
    </w:p>
    <w:p w14:paraId="399DB75C" w14:textId="4D4F4506"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3" w:history="1">
        <w:r w:rsidR="00602857" w:rsidRPr="003C03C4">
          <w:rPr>
            <w:rStyle w:val="Hiperpovezava"/>
            <w:rFonts w:eastAsia="Calibri"/>
            <w:noProof/>
          </w:rPr>
          <w:t>Tabela 10:</w:t>
        </w:r>
        <w:r w:rsidR="00602857" w:rsidRPr="003C03C4">
          <w:rPr>
            <w:rStyle w:val="Hiperpovezava"/>
            <w:rFonts w:eastAsia="Calibri"/>
            <w:noProof/>
            <w:shd w:val="clear" w:color="auto" w:fill="FFFFFF"/>
          </w:rPr>
          <w:t xml:space="preserve"> Donosnost sredstev (ROA) glede na ekonomsko velikost (SO)</w:t>
        </w:r>
        <w:r w:rsidR="00602857" w:rsidRPr="003C03C4">
          <w:rPr>
            <w:rStyle w:val="Hiperpovezava"/>
            <w:rFonts w:eastAsia="Calibri"/>
            <w:noProof/>
          </w:rPr>
          <w:t xml:space="preserve"> v obdobju 2015–2019</w:t>
        </w:r>
        <w:r w:rsidR="00602857">
          <w:rPr>
            <w:noProof/>
            <w:webHidden/>
          </w:rPr>
          <w:tab/>
        </w:r>
        <w:r w:rsidR="00602857">
          <w:rPr>
            <w:noProof/>
            <w:webHidden/>
          </w:rPr>
          <w:fldChar w:fldCharType="begin"/>
        </w:r>
        <w:r w:rsidR="00602857">
          <w:rPr>
            <w:noProof/>
            <w:webHidden/>
          </w:rPr>
          <w:instrText xml:space="preserve"> PAGEREF _Toc89861003 \h </w:instrText>
        </w:r>
        <w:r w:rsidR="00602857">
          <w:rPr>
            <w:noProof/>
            <w:webHidden/>
          </w:rPr>
        </w:r>
        <w:r w:rsidR="00602857">
          <w:rPr>
            <w:noProof/>
            <w:webHidden/>
          </w:rPr>
          <w:fldChar w:fldCharType="separate"/>
        </w:r>
        <w:r w:rsidR="00602857">
          <w:rPr>
            <w:noProof/>
            <w:webHidden/>
          </w:rPr>
          <w:t>66</w:t>
        </w:r>
        <w:r w:rsidR="00602857">
          <w:rPr>
            <w:noProof/>
            <w:webHidden/>
          </w:rPr>
          <w:fldChar w:fldCharType="end"/>
        </w:r>
      </w:hyperlink>
    </w:p>
    <w:p w14:paraId="7290083B" w14:textId="7601B221"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4" w:history="1">
        <w:r w:rsidR="00602857" w:rsidRPr="003C03C4">
          <w:rPr>
            <w:rStyle w:val="Hiperpovezava"/>
            <w:rFonts w:eastAsia="Calibri"/>
            <w:noProof/>
          </w:rPr>
          <w:t>Tabela 11:</w:t>
        </w:r>
        <w:r w:rsidR="00602857" w:rsidRPr="003C03C4">
          <w:rPr>
            <w:rStyle w:val="Hiperpovezava"/>
            <w:rFonts w:eastAsia="Calibri"/>
            <w:noProof/>
            <w:shd w:val="clear" w:color="auto" w:fill="FFFFFF"/>
          </w:rPr>
          <w:t xml:space="preserve"> Donosnost sredstev (ROA) glede na tip kmetovanja</w:t>
        </w:r>
        <w:r w:rsidR="00602857" w:rsidRPr="003C03C4">
          <w:rPr>
            <w:rStyle w:val="Hiperpovezava"/>
            <w:rFonts w:eastAsia="Calibri"/>
            <w:b/>
            <w:noProof/>
          </w:rPr>
          <w:t xml:space="preserve"> </w:t>
        </w:r>
        <w:r w:rsidR="00602857" w:rsidRPr="003C03C4">
          <w:rPr>
            <w:rStyle w:val="Hiperpovezava"/>
            <w:rFonts w:eastAsia="Calibri"/>
            <w:noProof/>
          </w:rPr>
          <w:t>v obdobju 2015–2019</w:t>
        </w:r>
        <w:r w:rsidR="00602857">
          <w:rPr>
            <w:noProof/>
            <w:webHidden/>
          </w:rPr>
          <w:tab/>
        </w:r>
        <w:r w:rsidR="00602857">
          <w:rPr>
            <w:noProof/>
            <w:webHidden/>
          </w:rPr>
          <w:fldChar w:fldCharType="begin"/>
        </w:r>
        <w:r w:rsidR="00602857">
          <w:rPr>
            <w:noProof/>
            <w:webHidden/>
          </w:rPr>
          <w:instrText xml:space="preserve"> PAGEREF _Toc89861004 \h </w:instrText>
        </w:r>
        <w:r w:rsidR="00602857">
          <w:rPr>
            <w:noProof/>
            <w:webHidden/>
          </w:rPr>
        </w:r>
        <w:r w:rsidR="00602857">
          <w:rPr>
            <w:noProof/>
            <w:webHidden/>
          </w:rPr>
          <w:fldChar w:fldCharType="separate"/>
        </w:r>
        <w:r w:rsidR="00602857">
          <w:rPr>
            <w:noProof/>
            <w:webHidden/>
          </w:rPr>
          <w:t>66</w:t>
        </w:r>
        <w:r w:rsidR="00602857">
          <w:rPr>
            <w:noProof/>
            <w:webHidden/>
          </w:rPr>
          <w:fldChar w:fldCharType="end"/>
        </w:r>
      </w:hyperlink>
    </w:p>
    <w:p w14:paraId="1A98A809" w14:textId="42A32042"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5" w:history="1">
        <w:r w:rsidR="00602857" w:rsidRPr="003C03C4">
          <w:rPr>
            <w:rStyle w:val="Hiperpovezava"/>
            <w:rFonts w:eastAsia="Calibri"/>
            <w:noProof/>
          </w:rPr>
          <w:t>Tabela 12:</w:t>
        </w:r>
        <w:r w:rsidR="00602857" w:rsidRPr="003C03C4">
          <w:rPr>
            <w:rStyle w:val="Hiperpovezava"/>
            <w:rFonts w:eastAsia="Calibri"/>
            <w:noProof/>
            <w:shd w:val="clear" w:color="auto" w:fill="FFFFFF"/>
          </w:rPr>
          <w:t xml:space="preserve"> Donosnost sredstev (ROA) glede na območje (OMD, ne OMD) v obdobju 2015–2019</w:t>
        </w:r>
        <w:r w:rsidR="00602857">
          <w:rPr>
            <w:noProof/>
            <w:webHidden/>
          </w:rPr>
          <w:tab/>
        </w:r>
        <w:r w:rsidR="00602857">
          <w:rPr>
            <w:noProof/>
            <w:webHidden/>
          </w:rPr>
          <w:fldChar w:fldCharType="begin"/>
        </w:r>
        <w:r w:rsidR="00602857">
          <w:rPr>
            <w:noProof/>
            <w:webHidden/>
          </w:rPr>
          <w:instrText xml:space="preserve"> PAGEREF _Toc89861005 \h </w:instrText>
        </w:r>
        <w:r w:rsidR="00602857">
          <w:rPr>
            <w:noProof/>
            <w:webHidden/>
          </w:rPr>
        </w:r>
        <w:r w:rsidR="00602857">
          <w:rPr>
            <w:noProof/>
            <w:webHidden/>
          </w:rPr>
          <w:fldChar w:fldCharType="separate"/>
        </w:r>
        <w:r w:rsidR="00602857">
          <w:rPr>
            <w:noProof/>
            <w:webHidden/>
          </w:rPr>
          <w:t>67</w:t>
        </w:r>
        <w:r w:rsidR="00602857">
          <w:rPr>
            <w:noProof/>
            <w:webHidden/>
          </w:rPr>
          <w:fldChar w:fldCharType="end"/>
        </w:r>
      </w:hyperlink>
    </w:p>
    <w:p w14:paraId="6D732A9F" w14:textId="22B5E5AC"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6" w:history="1">
        <w:r w:rsidR="00602857" w:rsidRPr="003C03C4">
          <w:rPr>
            <w:rStyle w:val="Hiperpovezava"/>
            <w:rFonts w:eastAsia="Calibri"/>
            <w:noProof/>
          </w:rPr>
          <w:t>Tabela 13: Povprečna vrednost podprtih naložb v okviru podukrepa M04.1 PRP 2014-2020 (30. 4. 2020) glede na OMD in vrsto kmetijske pridelave v EUR</w:t>
        </w:r>
        <w:r w:rsidR="00602857">
          <w:rPr>
            <w:noProof/>
            <w:webHidden/>
          </w:rPr>
          <w:tab/>
        </w:r>
        <w:r w:rsidR="00602857">
          <w:rPr>
            <w:noProof/>
            <w:webHidden/>
          </w:rPr>
          <w:fldChar w:fldCharType="begin"/>
        </w:r>
        <w:r w:rsidR="00602857">
          <w:rPr>
            <w:noProof/>
            <w:webHidden/>
          </w:rPr>
          <w:instrText xml:space="preserve"> PAGEREF _Toc89861006 \h </w:instrText>
        </w:r>
        <w:r w:rsidR="00602857">
          <w:rPr>
            <w:noProof/>
            <w:webHidden/>
          </w:rPr>
        </w:r>
        <w:r w:rsidR="00602857">
          <w:rPr>
            <w:noProof/>
            <w:webHidden/>
          </w:rPr>
          <w:fldChar w:fldCharType="separate"/>
        </w:r>
        <w:r w:rsidR="00602857">
          <w:rPr>
            <w:noProof/>
            <w:webHidden/>
          </w:rPr>
          <w:t>68</w:t>
        </w:r>
        <w:r w:rsidR="00602857">
          <w:rPr>
            <w:noProof/>
            <w:webHidden/>
          </w:rPr>
          <w:fldChar w:fldCharType="end"/>
        </w:r>
      </w:hyperlink>
    </w:p>
    <w:p w14:paraId="76370F4B" w14:textId="719345B7"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7" w:history="1">
        <w:r w:rsidR="00602857" w:rsidRPr="003C03C4">
          <w:rPr>
            <w:rStyle w:val="Hiperpovezava"/>
            <w:rFonts w:eastAsia="Calibri"/>
            <w:noProof/>
          </w:rPr>
          <w:t>Tabela 14: Vrednost podprtih naložb v okviru podukrepa M04.1 PRP 2014-2020 (30. 4. 2020) glede na OMD in vrsto naložbe v sektorju govedoreja</w:t>
        </w:r>
        <w:r w:rsidR="00602857">
          <w:rPr>
            <w:noProof/>
            <w:webHidden/>
          </w:rPr>
          <w:tab/>
        </w:r>
        <w:r w:rsidR="00602857">
          <w:rPr>
            <w:noProof/>
            <w:webHidden/>
          </w:rPr>
          <w:fldChar w:fldCharType="begin"/>
        </w:r>
        <w:r w:rsidR="00602857">
          <w:rPr>
            <w:noProof/>
            <w:webHidden/>
          </w:rPr>
          <w:instrText xml:space="preserve"> PAGEREF _Toc89861007 \h </w:instrText>
        </w:r>
        <w:r w:rsidR="00602857">
          <w:rPr>
            <w:noProof/>
            <w:webHidden/>
          </w:rPr>
        </w:r>
        <w:r w:rsidR="00602857">
          <w:rPr>
            <w:noProof/>
            <w:webHidden/>
          </w:rPr>
          <w:fldChar w:fldCharType="separate"/>
        </w:r>
        <w:r w:rsidR="00602857">
          <w:rPr>
            <w:noProof/>
            <w:webHidden/>
          </w:rPr>
          <w:t>69</w:t>
        </w:r>
        <w:r w:rsidR="00602857">
          <w:rPr>
            <w:noProof/>
            <w:webHidden/>
          </w:rPr>
          <w:fldChar w:fldCharType="end"/>
        </w:r>
      </w:hyperlink>
    </w:p>
    <w:p w14:paraId="3952A210" w14:textId="34BB1FDB"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8" w:history="1">
        <w:r w:rsidR="00602857" w:rsidRPr="003C03C4">
          <w:rPr>
            <w:rStyle w:val="Hiperpovezava"/>
            <w:rFonts w:eastAsia="Calibri"/>
            <w:noProof/>
          </w:rPr>
          <w:t>Tabela 16: Povprečna vrednost podprtih naložb v okviru podukrepa M04.2 PRP 2014–2020 (30.4.2020) glede na OMD in vrsto dejavnosti</w:t>
        </w:r>
        <w:r w:rsidR="00602857">
          <w:rPr>
            <w:noProof/>
            <w:webHidden/>
          </w:rPr>
          <w:tab/>
        </w:r>
        <w:r w:rsidR="00602857">
          <w:rPr>
            <w:noProof/>
            <w:webHidden/>
          </w:rPr>
          <w:fldChar w:fldCharType="begin"/>
        </w:r>
        <w:r w:rsidR="00602857">
          <w:rPr>
            <w:noProof/>
            <w:webHidden/>
          </w:rPr>
          <w:instrText xml:space="preserve"> PAGEREF _Toc89861008 \h </w:instrText>
        </w:r>
        <w:r w:rsidR="00602857">
          <w:rPr>
            <w:noProof/>
            <w:webHidden/>
          </w:rPr>
        </w:r>
        <w:r w:rsidR="00602857">
          <w:rPr>
            <w:noProof/>
            <w:webHidden/>
          </w:rPr>
          <w:fldChar w:fldCharType="separate"/>
        </w:r>
        <w:r w:rsidR="00602857">
          <w:rPr>
            <w:noProof/>
            <w:webHidden/>
          </w:rPr>
          <w:t>72</w:t>
        </w:r>
        <w:r w:rsidR="00602857">
          <w:rPr>
            <w:noProof/>
            <w:webHidden/>
          </w:rPr>
          <w:fldChar w:fldCharType="end"/>
        </w:r>
      </w:hyperlink>
    </w:p>
    <w:p w14:paraId="3220165B" w14:textId="52957E2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09" w:history="1">
        <w:r w:rsidR="00602857" w:rsidRPr="003C03C4">
          <w:rPr>
            <w:rStyle w:val="Hiperpovezava"/>
            <w:rFonts w:eastAsia="Calibri"/>
            <w:noProof/>
          </w:rPr>
          <w:t>Tabela 17: Celotna vrednost stroškov podprtih naložb v okviru podukrepa M04.2 PRP 2014-2020 (30. 4. 2020) glede na OMD in predmet naložbe v sektorju mleko in goveje meso</w:t>
        </w:r>
        <w:r w:rsidR="00602857">
          <w:rPr>
            <w:noProof/>
            <w:webHidden/>
          </w:rPr>
          <w:tab/>
        </w:r>
        <w:r w:rsidR="00602857">
          <w:rPr>
            <w:noProof/>
            <w:webHidden/>
          </w:rPr>
          <w:fldChar w:fldCharType="begin"/>
        </w:r>
        <w:r w:rsidR="00602857">
          <w:rPr>
            <w:noProof/>
            <w:webHidden/>
          </w:rPr>
          <w:instrText xml:space="preserve"> PAGEREF _Toc89861009 \h </w:instrText>
        </w:r>
        <w:r w:rsidR="00602857">
          <w:rPr>
            <w:noProof/>
            <w:webHidden/>
          </w:rPr>
        </w:r>
        <w:r w:rsidR="00602857">
          <w:rPr>
            <w:noProof/>
            <w:webHidden/>
          </w:rPr>
          <w:fldChar w:fldCharType="separate"/>
        </w:r>
        <w:r w:rsidR="00602857">
          <w:rPr>
            <w:noProof/>
            <w:webHidden/>
          </w:rPr>
          <w:t>73</w:t>
        </w:r>
        <w:r w:rsidR="00602857">
          <w:rPr>
            <w:noProof/>
            <w:webHidden/>
          </w:rPr>
          <w:fldChar w:fldCharType="end"/>
        </w:r>
      </w:hyperlink>
    </w:p>
    <w:p w14:paraId="14067308" w14:textId="5DF00F67"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0" w:history="1">
        <w:r w:rsidR="00602857" w:rsidRPr="003C03C4">
          <w:rPr>
            <w:rStyle w:val="Hiperpovezava"/>
            <w:rFonts w:eastAsia="Calibri"/>
            <w:noProof/>
          </w:rPr>
          <w:t>Tabela 18: Celotna vrednost podprtih naložb v okviru podukrepa M4.2 PRP 2014-2020 (30.4.2020) glede na OMD in vrsto naložbe</w:t>
        </w:r>
        <w:r w:rsidR="00602857">
          <w:rPr>
            <w:noProof/>
            <w:webHidden/>
          </w:rPr>
          <w:tab/>
        </w:r>
        <w:r w:rsidR="00602857">
          <w:rPr>
            <w:noProof/>
            <w:webHidden/>
          </w:rPr>
          <w:fldChar w:fldCharType="begin"/>
        </w:r>
        <w:r w:rsidR="00602857">
          <w:rPr>
            <w:noProof/>
            <w:webHidden/>
          </w:rPr>
          <w:instrText xml:space="preserve"> PAGEREF _Toc89861010 \h </w:instrText>
        </w:r>
        <w:r w:rsidR="00602857">
          <w:rPr>
            <w:noProof/>
            <w:webHidden/>
          </w:rPr>
        </w:r>
        <w:r w:rsidR="00602857">
          <w:rPr>
            <w:noProof/>
            <w:webHidden/>
          </w:rPr>
          <w:fldChar w:fldCharType="separate"/>
        </w:r>
        <w:r w:rsidR="00602857">
          <w:rPr>
            <w:noProof/>
            <w:webHidden/>
          </w:rPr>
          <w:t>74</w:t>
        </w:r>
        <w:r w:rsidR="00602857">
          <w:rPr>
            <w:noProof/>
            <w:webHidden/>
          </w:rPr>
          <w:fldChar w:fldCharType="end"/>
        </w:r>
      </w:hyperlink>
    </w:p>
    <w:p w14:paraId="5677C8CE" w14:textId="7BE5CFE2"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1" w:history="1">
        <w:r w:rsidR="00602857" w:rsidRPr="003C03C4">
          <w:rPr>
            <w:rStyle w:val="Hiperpovezava"/>
            <w:rFonts w:eastAsia="Calibri"/>
            <w:noProof/>
          </w:rPr>
          <w:t>Tabela 19: Stalež goveda v GVŽ</w:t>
        </w:r>
        <w:r w:rsidR="00602857">
          <w:rPr>
            <w:noProof/>
            <w:webHidden/>
          </w:rPr>
          <w:tab/>
        </w:r>
        <w:r w:rsidR="00602857">
          <w:rPr>
            <w:noProof/>
            <w:webHidden/>
          </w:rPr>
          <w:fldChar w:fldCharType="begin"/>
        </w:r>
        <w:r w:rsidR="00602857">
          <w:rPr>
            <w:noProof/>
            <w:webHidden/>
          </w:rPr>
          <w:instrText xml:space="preserve"> PAGEREF _Toc89861011 \h </w:instrText>
        </w:r>
        <w:r w:rsidR="00602857">
          <w:rPr>
            <w:noProof/>
            <w:webHidden/>
          </w:rPr>
        </w:r>
        <w:r w:rsidR="00602857">
          <w:rPr>
            <w:noProof/>
            <w:webHidden/>
          </w:rPr>
          <w:fldChar w:fldCharType="separate"/>
        </w:r>
        <w:r w:rsidR="00602857">
          <w:rPr>
            <w:noProof/>
            <w:webHidden/>
          </w:rPr>
          <w:t>83</w:t>
        </w:r>
        <w:r w:rsidR="00602857">
          <w:rPr>
            <w:noProof/>
            <w:webHidden/>
          </w:rPr>
          <w:fldChar w:fldCharType="end"/>
        </w:r>
      </w:hyperlink>
    </w:p>
    <w:p w14:paraId="4C5F6AF1" w14:textId="2AFF8C16"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2" w:history="1">
        <w:r w:rsidR="00602857" w:rsidRPr="003C03C4">
          <w:rPr>
            <w:rStyle w:val="Hiperpovezava"/>
            <w:rFonts w:eastAsia="Calibri"/>
            <w:noProof/>
          </w:rPr>
          <w:t>Tabela 20: Izvajanje ukrepa DŽ-govedo</w:t>
        </w:r>
        <w:r w:rsidR="00602857">
          <w:rPr>
            <w:noProof/>
            <w:webHidden/>
          </w:rPr>
          <w:tab/>
        </w:r>
        <w:r w:rsidR="00602857">
          <w:rPr>
            <w:noProof/>
            <w:webHidden/>
          </w:rPr>
          <w:fldChar w:fldCharType="begin"/>
        </w:r>
        <w:r w:rsidR="00602857">
          <w:rPr>
            <w:noProof/>
            <w:webHidden/>
          </w:rPr>
          <w:instrText xml:space="preserve"> PAGEREF _Toc89861012 \h </w:instrText>
        </w:r>
        <w:r w:rsidR="00602857">
          <w:rPr>
            <w:noProof/>
            <w:webHidden/>
          </w:rPr>
        </w:r>
        <w:r w:rsidR="00602857">
          <w:rPr>
            <w:noProof/>
            <w:webHidden/>
          </w:rPr>
          <w:fldChar w:fldCharType="separate"/>
        </w:r>
        <w:r w:rsidR="00602857">
          <w:rPr>
            <w:noProof/>
            <w:webHidden/>
          </w:rPr>
          <w:t>83</w:t>
        </w:r>
        <w:r w:rsidR="00602857">
          <w:rPr>
            <w:noProof/>
            <w:webHidden/>
          </w:rPr>
          <w:fldChar w:fldCharType="end"/>
        </w:r>
      </w:hyperlink>
    </w:p>
    <w:p w14:paraId="03966CCE" w14:textId="165F299E"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3" w:history="1">
        <w:r w:rsidR="00602857" w:rsidRPr="003C03C4">
          <w:rPr>
            <w:rStyle w:val="Hiperpovezava"/>
            <w:rFonts w:eastAsia="Calibri"/>
            <w:noProof/>
          </w:rPr>
          <w:t>Tabela 21: Število perutnine po vrstah in število kmetijskih gospodarstev v letih 2000-2016</w:t>
        </w:r>
        <w:r w:rsidR="00602857">
          <w:rPr>
            <w:noProof/>
            <w:webHidden/>
          </w:rPr>
          <w:tab/>
        </w:r>
        <w:r w:rsidR="00602857">
          <w:rPr>
            <w:noProof/>
            <w:webHidden/>
          </w:rPr>
          <w:fldChar w:fldCharType="begin"/>
        </w:r>
        <w:r w:rsidR="00602857">
          <w:rPr>
            <w:noProof/>
            <w:webHidden/>
          </w:rPr>
          <w:instrText xml:space="preserve"> PAGEREF _Toc89861013 \h </w:instrText>
        </w:r>
        <w:r w:rsidR="00602857">
          <w:rPr>
            <w:noProof/>
            <w:webHidden/>
          </w:rPr>
        </w:r>
        <w:r w:rsidR="00602857">
          <w:rPr>
            <w:noProof/>
            <w:webHidden/>
          </w:rPr>
          <w:fldChar w:fldCharType="separate"/>
        </w:r>
        <w:r w:rsidR="00602857">
          <w:rPr>
            <w:noProof/>
            <w:webHidden/>
          </w:rPr>
          <w:t>89</w:t>
        </w:r>
        <w:r w:rsidR="00602857">
          <w:rPr>
            <w:noProof/>
            <w:webHidden/>
          </w:rPr>
          <w:fldChar w:fldCharType="end"/>
        </w:r>
      </w:hyperlink>
    </w:p>
    <w:p w14:paraId="3CD8D8BA" w14:textId="68773A01"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4" w:history="1">
        <w:r w:rsidR="00602857" w:rsidRPr="003C03C4">
          <w:rPr>
            <w:rStyle w:val="Hiperpovezava"/>
            <w:rFonts w:eastAsia="Calibri"/>
            <w:noProof/>
          </w:rPr>
          <w:t>Tabela 22: Število čebelarjev, čebelnjakov in čebeljih družin ter količina pridelanega medu</w:t>
        </w:r>
        <w:r w:rsidR="00602857">
          <w:rPr>
            <w:noProof/>
            <w:webHidden/>
          </w:rPr>
          <w:tab/>
        </w:r>
        <w:r w:rsidR="00602857">
          <w:rPr>
            <w:noProof/>
            <w:webHidden/>
          </w:rPr>
          <w:fldChar w:fldCharType="begin"/>
        </w:r>
        <w:r w:rsidR="00602857">
          <w:rPr>
            <w:noProof/>
            <w:webHidden/>
          </w:rPr>
          <w:instrText xml:space="preserve"> PAGEREF _Toc89861014 \h </w:instrText>
        </w:r>
        <w:r w:rsidR="00602857">
          <w:rPr>
            <w:noProof/>
            <w:webHidden/>
          </w:rPr>
        </w:r>
        <w:r w:rsidR="00602857">
          <w:rPr>
            <w:noProof/>
            <w:webHidden/>
          </w:rPr>
          <w:fldChar w:fldCharType="separate"/>
        </w:r>
        <w:r w:rsidR="00602857">
          <w:rPr>
            <w:noProof/>
            <w:webHidden/>
          </w:rPr>
          <w:t>96</w:t>
        </w:r>
        <w:r w:rsidR="00602857">
          <w:rPr>
            <w:noProof/>
            <w:webHidden/>
          </w:rPr>
          <w:fldChar w:fldCharType="end"/>
        </w:r>
      </w:hyperlink>
    </w:p>
    <w:p w14:paraId="65FF32C2" w14:textId="2EB64DE0"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5" w:history="1">
        <w:r w:rsidR="00602857" w:rsidRPr="003C03C4">
          <w:rPr>
            <w:rStyle w:val="Hiperpovezava"/>
            <w:rFonts w:eastAsia="Calibri"/>
            <w:noProof/>
          </w:rPr>
          <w:t>Tabela 23: Število konj in število kmetijskih gospodarstev v letih 2000-2016</w:t>
        </w:r>
        <w:r w:rsidR="00602857">
          <w:rPr>
            <w:noProof/>
            <w:webHidden/>
          </w:rPr>
          <w:tab/>
        </w:r>
        <w:r w:rsidR="00602857">
          <w:rPr>
            <w:noProof/>
            <w:webHidden/>
          </w:rPr>
          <w:fldChar w:fldCharType="begin"/>
        </w:r>
        <w:r w:rsidR="00602857">
          <w:rPr>
            <w:noProof/>
            <w:webHidden/>
          </w:rPr>
          <w:instrText xml:space="preserve"> PAGEREF _Toc89861015 \h </w:instrText>
        </w:r>
        <w:r w:rsidR="00602857">
          <w:rPr>
            <w:noProof/>
            <w:webHidden/>
          </w:rPr>
        </w:r>
        <w:r w:rsidR="00602857">
          <w:rPr>
            <w:noProof/>
            <w:webHidden/>
          </w:rPr>
          <w:fldChar w:fldCharType="separate"/>
        </w:r>
        <w:r w:rsidR="00602857">
          <w:rPr>
            <w:noProof/>
            <w:webHidden/>
          </w:rPr>
          <w:t>100</w:t>
        </w:r>
        <w:r w:rsidR="00602857">
          <w:rPr>
            <w:noProof/>
            <w:webHidden/>
          </w:rPr>
          <w:fldChar w:fldCharType="end"/>
        </w:r>
      </w:hyperlink>
    </w:p>
    <w:p w14:paraId="0A4B187E" w14:textId="5781D9E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6" w:history="1">
        <w:r w:rsidR="00602857" w:rsidRPr="003C03C4">
          <w:rPr>
            <w:rStyle w:val="Hiperpovezava"/>
            <w:rFonts w:eastAsia="Calibri"/>
            <w:noProof/>
          </w:rPr>
          <w:t>Tabela 24: Bilanca proizvodnje in porabe konjskega mesa (t, klavna masa)</w:t>
        </w:r>
        <w:r w:rsidR="00602857">
          <w:rPr>
            <w:noProof/>
            <w:webHidden/>
          </w:rPr>
          <w:tab/>
        </w:r>
        <w:r w:rsidR="00602857">
          <w:rPr>
            <w:noProof/>
            <w:webHidden/>
          </w:rPr>
          <w:fldChar w:fldCharType="begin"/>
        </w:r>
        <w:r w:rsidR="00602857">
          <w:rPr>
            <w:noProof/>
            <w:webHidden/>
          </w:rPr>
          <w:instrText xml:space="preserve"> PAGEREF _Toc89861016 \h </w:instrText>
        </w:r>
        <w:r w:rsidR="00602857">
          <w:rPr>
            <w:noProof/>
            <w:webHidden/>
          </w:rPr>
        </w:r>
        <w:r w:rsidR="00602857">
          <w:rPr>
            <w:noProof/>
            <w:webHidden/>
          </w:rPr>
          <w:fldChar w:fldCharType="separate"/>
        </w:r>
        <w:r w:rsidR="00602857">
          <w:rPr>
            <w:noProof/>
            <w:webHidden/>
          </w:rPr>
          <w:t>100</w:t>
        </w:r>
        <w:r w:rsidR="00602857">
          <w:rPr>
            <w:noProof/>
            <w:webHidden/>
          </w:rPr>
          <w:fldChar w:fldCharType="end"/>
        </w:r>
      </w:hyperlink>
    </w:p>
    <w:p w14:paraId="7DF74F58" w14:textId="56A779F1"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7" w:history="1">
        <w:r w:rsidR="00602857" w:rsidRPr="003C03C4">
          <w:rPr>
            <w:rStyle w:val="Hiperpovezava"/>
            <w:rFonts w:eastAsia="Calibri"/>
            <w:noProof/>
          </w:rPr>
          <w:t>Tabela 25: Število konj v ekološki reji in prireja ekološkega mesa</w:t>
        </w:r>
        <w:r w:rsidR="00602857">
          <w:rPr>
            <w:noProof/>
            <w:webHidden/>
          </w:rPr>
          <w:tab/>
        </w:r>
        <w:r w:rsidR="00602857">
          <w:rPr>
            <w:noProof/>
            <w:webHidden/>
          </w:rPr>
          <w:fldChar w:fldCharType="begin"/>
        </w:r>
        <w:r w:rsidR="00602857">
          <w:rPr>
            <w:noProof/>
            <w:webHidden/>
          </w:rPr>
          <w:instrText xml:space="preserve"> PAGEREF _Toc89861017 \h </w:instrText>
        </w:r>
        <w:r w:rsidR="00602857">
          <w:rPr>
            <w:noProof/>
            <w:webHidden/>
          </w:rPr>
        </w:r>
        <w:r w:rsidR="00602857">
          <w:rPr>
            <w:noProof/>
            <w:webHidden/>
          </w:rPr>
          <w:fldChar w:fldCharType="separate"/>
        </w:r>
        <w:r w:rsidR="00602857">
          <w:rPr>
            <w:noProof/>
            <w:webHidden/>
          </w:rPr>
          <w:t>101</w:t>
        </w:r>
        <w:r w:rsidR="00602857">
          <w:rPr>
            <w:noProof/>
            <w:webHidden/>
          </w:rPr>
          <w:fldChar w:fldCharType="end"/>
        </w:r>
      </w:hyperlink>
    </w:p>
    <w:p w14:paraId="13ABDE4E" w14:textId="5E4A5F9C"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8" w:history="1">
        <w:r w:rsidR="00602857" w:rsidRPr="003C03C4">
          <w:rPr>
            <w:rStyle w:val="Hiperpovezava"/>
            <w:rFonts w:eastAsia="Calibri"/>
            <w:noProof/>
          </w:rPr>
          <w:t>Tabela 26: Število kmetijskih gospodarstev ter osnovna in pridelovalna površina zelenjadnic pri tržnih pridelovalcih za leta 2010, 2013, 2016 in 2019</w:t>
        </w:r>
        <w:r w:rsidR="00602857">
          <w:rPr>
            <w:noProof/>
            <w:webHidden/>
          </w:rPr>
          <w:tab/>
        </w:r>
        <w:r w:rsidR="00602857">
          <w:rPr>
            <w:noProof/>
            <w:webHidden/>
          </w:rPr>
          <w:fldChar w:fldCharType="begin"/>
        </w:r>
        <w:r w:rsidR="00602857">
          <w:rPr>
            <w:noProof/>
            <w:webHidden/>
          </w:rPr>
          <w:instrText xml:space="preserve"> PAGEREF _Toc89861018 \h </w:instrText>
        </w:r>
        <w:r w:rsidR="00602857">
          <w:rPr>
            <w:noProof/>
            <w:webHidden/>
          </w:rPr>
        </w:r>
        <w:r w:rsidR="00602857">
          <w:rPr>
            <w:noProof/>
            <w:webHidden/>
          </w:rPr>
          <w:fldChar w:fldCharType="separate"/>
        </w:r>
        <w:r w:rsidR="00602857">
          <w:rPr>
            <w:noProof/>
            <w:webHidden/>
          </w:rPr>
          <w:t>102</w:t>
        </w:r>
        <w:r w:rsidR="00602857">
          <w:rPr>
            <w:noProof/>
            <w:webHidden/>
          </w:rPr>
          <w:fldChar w:fldCharType="end"/>
        </w:r>
      </w:hyperlink>
    </w:p>
    <w:p w14:paraId="437C0936" w14:textId="345321D8"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19" w:history="1">
        <w:r w:rsidR="00602857" w:rsidRPr="003C03C4">
          <w:rPr>
            <w:rStyle w:val="Hiperpovezava"/>
            <w:rFonts w:eastAsia="Calibri"/>
            <w:noProof/>
          </w:rPr>
          <w:t>Tabela 27: Podatek o površinah vinogradov po letih (ha)</w:t>
        </w:r>
        <w:r w:rsidR="00602857">
          <w:rPr>
            <w:noProof/>
            <w:webHidden/>
          </w:rPr>
          <w:tab/>
        </w:r>
        <w:r w:rsidR="00602857">
          <w:rPr>
            <w:noProof/>
            <w:webHidden/>
          </w:rPr>
          <w:fldChar w:fldCharType="begin"/>
        </w:r>
        <w:r w:rsidR="00602857">
          <w:rPr>
            <w:noProof/>
            <w:webHidden/>
          </w:rPr>
          <w:instrText xml:space="preserve"> PAGEREF _Toc89861019 \h </w:instrText>
        </w:r>
        <w:r w:rsidR="00602857">
          <w:rPr>
            <w:noProof/>
            <w:webHidden/>
          </w:rPr>
        </w:r>
        <w:r w:rsidR="00602857">
          <w:rPr>
            <w:noProof/>
            <w:webHidden/>
          </w:rPr>
          <w:fldChar w:fldCharType="separate"/>
        </w:r>
        <w:r w:rsidR="00602857">
          <w:rPr>
            <w:noProof/>
            <w:webHidden/>
          </w:rPr>
          <w:t>116</w:t>
        </w:r>
        <w:r w:rsidR="00602857">
          <w:rPr>
            <w:noProof/>
            <w:webHidden/>
          </w:rPr>
          <w:fldChar w:fldCharType="end"/>
        </w:r>
      </w:hyperlink>
    </w:p>
    <w:p w14:paraId="087A4346" w14:textId="65307354"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0" w:history="1">
        <w:r w:rsidR="00602857" w:rsidRPr="003C03C4">
          <w:rPr>
            <w:rStyle w:val="Hiperpovezava"/>
            <w:rFonts w:eastAsia="Calibri"/>
            <w:noProof/>
          </w:rPr>
          <w:t>Tabela 28: Količina pridelka vina po letih, prijavljena v RPGV (v 1000 litrih)</w:t>
        </w:r>
        <w:r w:rsidR="00602857">
          <w:rPr>
            <w:noProof/>
            <w:webHidden/>
          </w:rPr>
          <w:tab/>
        </w:r>
        <w:r w:rsidR="00602857">
          <w:rPr>
            <w:noProof/>
            <w:webHidden/>
          </w:rPr>
          <w:fldChar w:fldCharType="begin"/>
        </w:r>
        <w:r w:rsidR="00602857">
          <w:rPr>
            <w:noProof/>
            <w:webHidden/>
          </w:rPr>
          <w:instrText xml:space="preserve"> PAGEREF _Toc89861020 \h </w:instrText>
        </w:r>
        <w:r w:rsidR="00602857">
          <w:rPr>
            <w:noProof/>
            <w:webHidden/>
          </w:rPr>
        </w:r>
        <w:r w:rsidR="00602857">
          <w:rPr>
            <w:noProof/>
            <w:webHidden/>
          </w:rPr>
          <w:fldChar w:fldCharType="separate"/>
        </w:r>
        <w:r w:rsidR="00602857">
          <w:rPr>
            <w:noProof/>
            <w:webHidden/>
          </w:rPr>
          <w:t>116</w:t>
        </w:r>
        <w:r w:rsidR="00602857">
          <w:rPr>
            <w:noProof/>
            <w:webHidden/>
          </w:rPr>
          <w:fldChar w:fldCharType="end"/>
        </w:r>
      </w:hyperlink>
    </w:p>
    <w:p w14:paraId="5573820F" w14:textId="051976FA"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1" w:history="1">
        <w:r w:rsidR="00602857" w:rsidRPr="003C03C4">
          <w:rPr>
            <w:rStyle w:val="Hiperpovezava"/>
            <w:rFonts w:eastAsia="Calibri"/>
            <w:noProof/>
          </w:rPr>
          <w:t>Tabela 29: Povprečna cena odkupljenega grozdja</w:t>
        </w:r>
        <w:r w:rsidR="00602857">
          <w:rPr>
            <w:noProof/>
            <w:webHidden/>
          </w:rPr>
          <w:tab/>
        </w:r>
        <w:r w:rsidR="00602857">
          <w:rPr>
            <w:noProof/>
            <w:webHidden/>
          </w:rPr>
          <w:fldChar w:fldCharType="begin"/>
        </w:r>
        <w:r w:rsidR="00602857">
          <w:rPr>
            <w:noProof/>
            <w:webHidden/>
          </w:rPr>
          <w:instrText xml:space="preserve"> PAGEREF _Toc89861021 \h </w:instrText>
        </w:r>
        <w:r w:rsidR="00602857">
          <w:rPr>
            <w:noProof/>
            <w:webHidden/>
          </w:rPr>
        </w:r>
        <w:r w:rsidR="00602857">
          <w:rPr>
            <w:noProof/>
            <w:webHidden/>
          </w:rPr>
          <w:fldChar w:fldCharType="separate"/>
        </w:r>
        <w:r w:rsidR="00602857">
          <w:rPr>
            <w:noProof/>
            <w:webHidden/>
          </w:rPr>
          <w:t>117</w:t>
        </w:r>
        <w:r w:rsidR="00602857">
          <w:rPr>
            <w:noProof/>
            <w:webHidden/>
          </w:rPr>
          <w:fldChar w:fldCharType="end"/>
        </w:r>
      </w:hyperlink>
    </w:p>
    <w:p w14:paraId="4B516B0A" w14:textId="7F1FA375"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2" w:history="1">
        <w:r w:rsidR="00602857" w:rsidRPr="003C03C4">
          <w:rPr>
            <w:rStyle w:val="Hiperpovezava"/>
            <w:rFonts w:eastAsia="Calibri"/>
            <w:noProof/>
          </w:rPr>
          <w:t>Tabela 30: Potrjene površine semenskih posevkov (v ha) od leta 2014 do 2019 po skupinah rastlin v primerjavi s povprečnimi površinami v obdobju 2000–2004 in 2009–2013</w:t>
        </w:r>
        <w:r w:rsidR="00602857">
          <w:rPr>
            <w:noProof/>
            <w:webHidden/>
          </w:rPr>
          <w:tab/>
        </w:r>
        <w:r w:rsidR="00602857">
          <w:rPr>
            <w:noProof/>
            <w:webHidden/>
          </w:rPr>
          <w:fldChar w:fldCharType="begin"/>
        </w:r>
        <w:r w:rsidR="00602857">
          <w:rPr>
            <w:noProof/>
            <w:webHidden/>
          </w:rPr>
          <w:instrText xml:space="preserve"> PAGEREF _Toc89861022 \h </w:instrText>
        </w:r>
        <w:r w:rsidR="00602857">
          <w:rPr>
            <w:noProof/>
            <w:webHidden/>
          </w:rPr>
        </w:r>
        <w:r w:rsidR="00602857">
          <w:rPr>
            <w:noProof/>
            <w:webHidden/>
          </w:rPr>
          <w:fldChar w:fldCharType="separate"/>
        </w:r>
        <w:r w:rsidR="00602857">
          <w:rPr>
            <w:noProof/>
            <w:webHidden/>
          </w:rPr>
          <w:t>128</w:t>
        </w:r>
        <w:r w:rsidR="00602857">
          <w:rPr>
            <w:noProof/>
            <w:webHidden/>
          </w:rPr>
          <w:fldChar w:fldCharType="end"/>
        </w:r>
      </w:hyperlink>
    </w:p>
    <w:p w14:paraId="0D844690" w14:textId="1D82932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3" w:history="1">
        <w:r w:rsidR="00602857" w:rsidRPr="003C03C4">
          <w:rPr>
            <w:rStyle w:val="Hiperpovezava"/>
            <w:rFonts w:eastAsia="Calibri"/>
            <w:noProof/>
          </w:rPr>
          <w:t>Tabela 31: Delež uradno pridelanega domačega semena v Sloveniji</w:t>
        </w:r>
        <w:r w:rsidR="00602857">
          <w:rPr>
            <w:noProof/>
            <w:webHidden/>
          </w:rPr>
          <w:tab/>
        </w:r>
        <w:r w:rsidR="00602857">
          <w:rPr>
            <w:noProof/>
            <w:webHidden/>
          </w:rPr>
          <w:fldChar w:fldCharType="begin"/>
        </w:r>
        <w:r w:rsidR="00602857">
          <w:rPr>
            <w:noProof/>
            <w:webHidden/>
          </w:rPr>
          <w:instrText xml:space="preserve"> PAGEREF _Toc89861023 \h </w:instrText>
        </w:r>
        <w:r w:rsidR="00602857">
          <w:rPr>
            <w:noProof/>
            <w:webHidden/>
          </w:rPr>
        </w:r>
        <w:r w:rsidR="00602857">
          <w:rPr>
            <w:noProof/>
            <w:webHidden/>
          </w:rPr>
          <w:fldChar w:fldCharType="separate"/>
        </w:r>
        <w:r w:rsidR="00602857">
          <w:rPr>
            <w:noProof/>
            <w:webHidden/>
          </w:rPr>
          <w:t>130</w:t>
        </w:r>
        <w:r w:rsidR="00602857">
          <w:rPr>
            <w:noProof/>
            <w:webHidden/>
          </w:rPr>
          <w:fldChar w:fldCharType="end"/>
        </w:r>
      </w:hyperlink>
    </w:p>
    <w:p w14:paraId="2693B351" w14:textId="7FAD8CF4"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4" w:history="1">
        <w:r w:rsidR="00602857" w:rsidRPr="003C03C4">
          <w:rPr>
            <w:rStyle w:val="Hiperpovezava"/>
            <w:rFonts w:eastAsia="Calibri"/>
            <w:noProof/>
          </w:rPr>
          <w:t>Tabela 32: Izvoz in uvoz žita v obliki zrnja (2015–2019)</w:t>
        </w:r>
        <w:r w:rsidR="00602857">
          <w:rPr>
            <w:noProof/>
            <w:webHidden/>
          </w:rPr>
          <w:tab/>
        </w:r>
        <w:r w:rsidR="00602857">
          <w:rPr>
            <w:noProof/>
            <w:webHidden/>
          </w:rPr>
          <w:fldChar w:fldCharType="begin"/>
        </w:r>
        <w:r w:rsidR="00602857">
          <w:rPr>
            <w:noProof/>
            <w:webHidden/>
          </w:rPr>
          <w:instrText xml:space="preserve"> PAGEREF _Toc89861024 \h </w:instrText>
        </w:r>
        <w:r w:rsidR="00602857">
          <w:rPr>
            <w:noProof/>
            <w:webHidden/>
          </w:rPr>
        </w:r>
        <w:r w:rsidR="00602857">
          <w:rPr>
            <w:noProof/>
            <w:webHidden/>
          </w:rPr>
          <w:fldChar w:fldCharType="separate"/>
        </w:r>
        <w:r w:rsidR="00602857">
          <w:rPr>
            <w:noProof/>
            <w:webHidden/>
          </w:rPr>
          <w:t>133</w:t>
        </w:r>
        <w:r w:rsidR="00602857">
          <w:rPr>
            <w:noProof/>
            <w:webHidden/>
          </w:rPr>
          <w:fldChar w:fldCharType="end"/>
        </w:r>
      </w:hyperlink>
    </w:p>
    <w:p w14:paraId="0B52FC53" w14:textId="7508398D"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5" w:history="1">
        <w:r w:rsidR="00602857" w:rsidRPr="003C03C4">
          <w:rPr>
            <w:rStyle w:val="Hiperpovezava"/>
            <w:rFonts w:eastAsia="Calibri"/>
            <w:noProof/>
          </w:rPr>
          <w:t>Tabela 33: Gibanje pomembnejših kazalnikov poslovanja živilskopredelovalne industrije; 2014-2019</w:t>
        </w:r>
        <w:r w:rsidR="00602857">
          <w:rPr>
            <w:noProof/>
            <w:webHidden/>
          </w:rPr>
          <w:tab/>
        </w:r>
        <w:r w:rsidR="00602857">
          <w:rPr>
            <w:noProof/>
            <w:webHidden/>
          </w:rPr>
          <w:fldChar w:fldCharType="begin"/>
        </w:r>
        <w:r w:rsidR="00602857">
          <w:rPr>
            <w:noProof/>
            <w:webHidden/>
          </w:rPr>
          <w:instrText xml:space="preserve"> PAGEREF _Toc89861025 \h </w:instrText>
        </w:r>
        <w:r w:rsidR="00602857">
          <w:rPr>
            <w:noProof/>
            <w:webHidden/>
          </w:rPr>
        </w:r>
        <w:r w:rsidR="00602857">
          <w:rPr>
            <w:noProof/>
            <w:webHidden/>
          </w:rPr>
          <w:fldChar w:fldCharType="separate"/>
        </w:r>
        <w:r w:rsidR="00602857">
          <w:rPr>
            <w:noProof/>
            <w:webHidden/>
          </w:rPr>
          <w:t>139</w:t>
        </w:r>
        <w:r w:rsidR="00602857">
          <w:rPr>
            <w:noProof/>
            <w:webHidden/>
          </w:rPr>
          <w:fldChar w:fldCharType="end"/>
        </w:r>
      </w:hyperlink>
    </w:p>
    <w:p w14:paraId="09A6C416" w14:textId="30465260"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6" w:history="1">
        <w:r w:rsidR="00602857" w:rsidRPr="003C03C4">
          <w:rPr>
            <w:rStyle w:val="Hiperpovezava"/>
            <w:rFonts w:eastAsia="Calibri"/>
            <w:noProof/>
          </w:rPr>
          <w:t>Tabela 34: Delež proizvodnje hrane in pijač (C10 in C11) v predelovalni dejavnosti (C); 2014–2019</w:t>
        </w:r>
        <w:r w:rsidR="00602857">
          <w:rPr>
            <w:noProof/>
            <w:webHidden/>
          </w:rPr>
          <w:tab/>
        </w:r>
        <w:r w:rsidR="00602857">
          <w:rPr>
            <w:noProof/>
            <w:webHidden/>
          </w:rPr>
          <w:fldChar w:fldCharType="begin"/>
        </w:r>
        <w:r w:rsidR="00602857">
          <w:rPr>
            <w:noProof/>
            <w:webHidden/>
          </w:rPr>
          <w:instrText xml:space="preserve"> PAGEREF _Toc89861026 \h </w:instrText>
        </w:r>
        <w:r w:rsidR="00602857">
          <w:rPr>
            <w:noProof/>
            <w:webHidden/>
          </w:rPr>
        </w:r>
        <w:r w:rsidR="00602857">
          <w:rPr>
            <w:noProof/>
            <w:webHidden/>
          </w:rPr>
          <w:fldChar w:fldCharType="separate"/>
        </w:r>
        <w:r w:rsidR="00602857">
          <w:rPr>
            <w:noProof/>
            <w:webHidden/>
          </w:rPr>
          <w:t>139</w:t>
        </w:r>
        <w:r w:rsidR="00602857">
          <w:rPr>
            <w:noProof/>
            <w:webHidden/>
          </w:rPr>
          <w:fldChar w:fldCharType="end"/>
        </w:r>
      </w:hyperlink>
    </w:p>
    <w:p w14:paraId="5DBD41DA" w14:textId="54D9FBF1"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7" w:history="1">
        <w:r w:rsidR="00602857" w:rsidRPr="003C03C4">
          <w:rPr>
            <w:rStyle w:val="Hiperpovezava"/>
            <w:rFonts w:eastAsia="Calibri"/>
            <w:noProof/>
          </w:rPr>
          <w:t>Tabela 35: Indeksi obsega industrijske proizvodnje (predhodno leto = 100); 2014–2019</w:t>
        </w:r>
        <w:r w:rsidR="00602857">
          <w:rPr>
            <w:noProof/>
            <w:webHidden/>
          </w:rPr>
          <w:tab/>
        </w:r>
        <w:r w:rsidR="00602857">
          <w:rPr>
            <w:noProof/>
            <w:webHidden/>
          </w:rPr>
          <w:fldChar w:fldCharType="begin"/>
        </w:r>
        <w:r w:rsidR="00602857">
          <w:rPr>
            <w:noProof/>
            <w:webHidden/>
          </w:rPr>
          <w:instrText xml:space="preserve"> PAGEREF _Toc89861027 \h </w:instrText>
        </w:r>
        <w:r w:rsidR="00602857">
          <w:rPr>
            <w:noProof/>
            <w:webHidden/>
          </w:rPr>
        </w:r>
        <w:r w:rsidR="00602857">
          <w:rPr>
            <w:noProof/>
            <w:webHidden/>
          </w:rPr>
          <w:fldChar w:fldCharType="separate"/>
        </w:r>
        <w:r w:rsidR="00602857">
          <w:rPr>
            <w:noProof/>
            <w:webHidden/>
          </w:rPr>
          <w:t>141</w:t>
        </w:r>
        <w:r w:rsidR="00602857">
          <w:rPr>
            <w:noProof/>
            <w:webHidden/>
          </w:rPr>
          <w:fldChar w:fldCharType="end"/>
        </w:r>
      </w:hyperlink>
    </w:p>
    <w:p w14:paraId="40943B6F" w14:textId="14B23759"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8" w:history="1">
        <w:r w:rsidR="00602857" w:rsidRPr="003C03C4">
          <w:rPr>
            <w:rStyle w:val="Hiperpovezava"/>
            <w:rFonts w:eastAsia="Calibri"/>
            <w:noProof/>
          </w:rPr>
          <w:t>Tabela 36: Indeksi cen pri proizvajalcih (nominalno, predhodno leto = 100); 2014–2019</w:t>
        </w:r>
        <w:r w:rsidR="00602857">
          <w:rPr>
            <w:noProof/>
            <w:webHidden/>
          </w:rPr>
          <w:tab/>
        </w:r>
        <w:r w:rsidR="00602857">
          <w:rPr>
            <w:noProof/>
            <w:webHidden/>
          </w:rPr>
          <w:fldChar w:fldCharType="begin"/>
        </w:r>
        <w:r w:rsidR="00602857">
          <w:rPr>
            <w:noProof/>
            <w:webHidden/>
          </w:rPr>
          <w:instrText xml:space="preserve"> PAGEREF _Toc89861028 \h </w:instrText>
        </w:r>
        <w:r w:rsidR="00602857">
          <w:rPr>
            <w:noProof/>
            <w:webHidden/>
          </w:rPr>
        </w:r>
        <w:r w:rsidR="00602857">
          <w:rPr>
            <w:noProof/>
            <w:webHidden/>
          </w:rPr>
          <w:fldChar w:fldCharType="separate"/>
        </w:r>
        <w:r w:rsidR="00602857">
          <w:rPr>
            <w:noProof/>
            <w:webHidden/>
          </w:rPr>
          <w:t>142</w:t>
        </w:r>
        <w:r w:rsidR="00602857">
          <w:rPr>
            <w:noProof/>
            <w:webHidden/>
          </w:rPr>
          <w:fldChar w:fldCharType="end"/>
        </w:r>
      </w:hyperlink>
    </w:p>
    <w:p w14:paraId="11B8F91A" w14:textId="796132EF"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29" w:history="1">
        <w:r w:rsidR="00602857" w:rsidRPr="003C03C4">
          <w:rPr>
            <w:rStyle w:val="Hiperpovezava"/>
            <w:rFonts w:eastAsia="Calibri"/>
            <w:noProof/>
          </w:rPr>
          <w:t>Tabela 37: Število dovoljenj za opravljanje najpogostejših dopolnilnih dejavnosti predelava primarnih kmetijskih pridelkov</w:t>
        </w:r>
        <w:r w:rsidR="00602857">
          <w:rPr>
            <w:noProof/>
            <w:webHidden/>
          </w:rPr>
          <w:tab/>
        </w:r>
        <w:r w:rsidR="00602857">
          <w:rPr>
            <w:noProof/>
            <w:webHidden/>
          </w:rPr>
          <w:fldChar w:fldCharType="begin"/>
        </w:r>
        <w:r w:rsidR="00602857">
          <w:rPr>
            <w:noProof/>
            <w:webHidden/>
          </w:rPr>
          <w:instrText xml:space="preserve"> PAGEREF _Toc89861029 \h </w:instrText>
        </w:r>
        <w:r w:rsidR="00602857">
          <w:rPr>
            <w:noProof/>
            <w:webHidden/>
          </w:rPr>
        </w:r>
        <w:r w:rsidR="00602857">
          <w:rPr>
            <w:noProof/>
            <w:webHidden/>
          </w:rPr>
          <w:fldChar w:fldCharType="separate"/>
        </w:r>
        <w:r w:rsidR="00602857">
          <w:rPr>
            <w:noProof/>
            <w:webHidden/>
          </w:rPr>
          <w:t>149</w:t>
        </w:r>
        <w:r w:rsidR="00602857">
          <w:rPr>
            <w:noProof/>
            <w:webHidden/>
          </w:rPr>
          <w:fldChar w:fldCharType="end"/>
        </w:r>
      </w:hyperlink>
    </w:p>
    <w:p w14:paraId="003923E1" w14:textId="353C2B35"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0" w:history="1">
        <w:r w:rsidR="00602857" w:rsidRPr="003C03C4">
          <w:rPr>
            <w:rStyle w:val="Hiperpovezava"/>
            <w:rFonts w:eastAsia="Calibri"/>
            <w:noProof/>
          </w:rPr>
          <w:t>Tabela 38: Skupna vrednost kmetijsko-živilske trgovine, po posameznih letih v obdobju 2010-2020, v mrd EUR</w:t>
        </w:r>
        <w:r w:rsidR="00602857">
          <w:rPr>
            <w:noProof/>
            <w:webHidden/>
          </w:rPr>
          <w:tab/>
        </w:r>
        <w:r w:rsidR="00602857">
          <w:rPr>
            <w:noProof/>
            <w:webHidden/>
          </w:rPr>
          <w:fldChar w:fldCharType="begin"/>
        </w:r>
        <w:r w:rsidR="00602857">
          <w:rPr>
            <w:noProof/>
            <w:webHidden/>
          </w:rPr>
          <w:instrText xml:space="preserve"> PAGEREF _Toc89861030 \h </w:instrText>
        </w:r>
        <w:r w:rsidR="00602857">
          <w:rPr>
            <w:noProof/>
            <w:webHidden/>
          </w:rPr>
        </w:r>
        <w:r w:rsidR="00602857">
          <w:rPr>
            <w:noProof/>
            <w:webHidden/>
          </w:rPr>
          <w:fldChar w:fldCharType="separate"/>
        </w:r>
        <w:r w:rsidR="00602857">
          <w:rPr>
            <w:noProof/>
            <w:webHidden/>
          </w:rPr>
          <w:t>152</w:t>
        </w:r>
        <w:r w:rsidR="00602857">
          <w:rPr>
            <w:noProof/>
            <w:webHidden/>
          </w:rPr>
          <w:fldChar w:fldCharType="end"/>
        </w:r>
      </w:hyperlink>
    </w:p>
    <w:p w14:paraId="2B222284" w14:textId="6746192A"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1" w:history="1">
        <w:r w:rsidR="00602857" w:rsidRPr="003C03C4">
          <w:rPr>
            <w:rStyle w:val="Hiperpovezava"/>
            <w:rFonts w:eastAsia="Calibri"/>
            <w:noProof/>
          </w:rPr>
          <w:t>Tabela 39: Blagovna menjava agroživilskih proizvodov; 2015-2019</w:t>
        </w:r>
        <w:r w:rsidR="00602857">
          <w:rPr>
            <w:noProof/>
            <w:webHidden/>
          </w:rPr>
          <w:tab/>
        </w:r>
        <w:r w:rsidR="00602857">
          <w:rPr>
            <w:noProof/>
            <w:webHidden/>
          </w:rPr>
          <w:fldChar w:fldCharType="begin"/>
        </w:r>
        <w:r w:rsidR="00602857">
          <w:rPr>
            <w:noProof/>
            <w:webHidden/>
          </w:rPr>
          <w:instrText xml:space="preserve"> PAGEREF _Toc89861031 \h </w:instrText>
        </w:r>
        <w:r w:rsidR="00602857">
          <w:rPr>
            <w:noProof/>
            <w:webHidden/>
          </w:rPr>
        </w:r>
        <w:r w:rsidR="00602857">
          <w:rPr>
            <w:noProof/>
            <w:webHidden/>
          </w:rPr>
          <w:fldChar w:fldCharType="separate"/>
        </w:r>
        <w:r w:rsidR="00602857">
          <w:rPr>
            <w:noProof/>
            <w:webHidden/>
          </w:rPr>
          <w:t>153</w:t>
        </w:r>
        <w:r w:rsidR="00602857">
          <w:rPr>
            <w:noProof/>
            <w:webHidden/>
          </w:rPr>
          <w:fldChar w:fldCharType="end"/>
        </w:r>
      </w:hyperlink>
    </w:p>
    <w:p w14:paraId="5792E923" w14:textId="6A812E10"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2" w:history="1">
        <w:r w:rsidR="00602857" w:rsidRPr="003C03C4">
          <w:rPr>
            <w:rStyle w:val="Hiperpovezava"/>
            <w:rFonts w:eastAsia="Calibri"/>
            <w:noProof/>
          </w:rPr>
          <w:t>Tabela 40: Gozdni lesni sortimenti, pridobljeni v Sloveniji (000 m</w:t>
        </w:r>
        <w:r w:rsidR="00602857" w:rsidRPr="003C03C4">
          <w:rPr>
            <w:rStyle w:val="Hiperpovezava"/>
            <w:rFonts w:eastAsia="Calibri"/>
            <w:noProof/>
            <w:vertAlign w:val="superscript"/>
          </w:rPr>
          <w:t>3</w:t>
        </w:r>
        <w:r w:rsidR="00602857" w:rsidRPr="003C03C4">
          <w:rPr>
            <w:rStyle w:val="Hiperpovezava"/>
            <w:rFonts w:eastAsia="Calibri"/>
            <w:noProof/>
          </w:rPr>
          <w:t>): 2009–2020</w:t>
        </w:r>
        <w:r w:rsidR="00602857">
          <w:rPr>
            <w:noProof/>
            <w:webHidden/>
          </w:rPr>
          <w:tab/>
        </w:r>
        <w:r w:rsidR="00602857">
          <w:rPr>
            <w:noProof/>
            <w:webHidden/>
          </w:rPr>
          <w:fldChar w:fldCharType="begin"/>
        </w:r>
        <w:r w:rsidR="00602857">
          <w:rPr>
            <w:noProof/>
            <w:webHidden/>
          </w:rPr>
          <w:instrText xml:space="preserve"> PAGEREF _Toc89861032 \h </w:instrText>
        </w:r>
        <w:r w:rsidR="00602857">
          <w:rPr>
            <w:noProof/>
            <w:webHidden/>
          </w:rPr>
        </w:r>
        <w:r w:rsidR="00602857">
          <w:rPr>
            <w:noProof/>
            <w:webHidden/>
          </w:rPr>
          <w:fldChar w:fldCharType="separate"/>
        </w:r>
        <w:r w:rsidR="00602857">
          <w:rPr>
            <w:noProof/>
            <w:webHidden/>
          </w:rPr>
          <w:t>165</w:t>
        </w:r>
        <w:r w:rsidR="00602857">
          <w:rPr>
            <w:noProof/>
            <w:webHidden/>
          </w:rPr>
          <w:fldChar w:fldCharType="end"/>
        </w:r>
      </w:hyperlink>
    </w:p>
    <w:p w14:paraId="3A06BB02" w14:textId="0A1A33A8"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3" w:history="1">
        <w:r w:rsidR="00602857" w:rsidRPr="003C03C4">
          <w:rPr>
            <w:rStyle w:val="Hiperpovezava"/>
            <w:rFonts w:eastAsia="Calibri"/>
            <w:noProof/>
          </w:rPr>
          <w:t>Tabela 41: Izvoz gozdnih lesnih sortimentov (000 m</w:t>
        </w:r>
        <w:r w:rsidR="00602857" w:rsidRPr="003C03C4">
          <w:rPr>
            <w:rStyle w:val="Hiperpovezava"/>
            <w:rFonts w:eastAsia="Calibri"/>
            <w:noProof/>
            <w:vertAlign w:val="superscript"/>
          </w:rPr>
          <w:t>3</w:t>
        </w:r>
        <w:r w:rsidR="00602857" w:rsidRPr="003C03C4">
          <w:rPr>
            <w:rStyle w:val="Hiperpovezava"/>
            <w:rFonts w:eastAsia="Calibri"/>
            <w:noProof/>
          </w:rPr>
          <w:t>); 2013–2020</w:t>
        </w:r>
        <w:r w:rsidR="00602857">
          <w:rPr>
            <w:noProof/>
            <w:webHidden/>
          </w:rPr>
          <w:tab/>
        </w:r>
        <w:r w:rsidR="00602857">
          <w:rPr>
            <w:noProof/>
            <w:webHidden/>
          </w:rPr>
          <w:fldChar w:fldCharType="begin"/>
        </w:r>
        <w:r w:rsidR="00602857">
          <w:rPr>
            <w:noProof/>
            <w:webHidden/>
          </w:rPr>
          <w:instrText xml:space="preserve"> PAGEREF _Toc89861033 \h </w:instrText>
        </w:r>
        <w:r w:rsidR="00602857">
          <w:rPr>
            <w:noProof/>
            <w:webHidden/>
          </w:rPr>
        </w:r>
        <w:r w:rsidR="00602857">
          <w:rPr>
            <w:noProof/>
            <w:webHidden/>
          </w:rPr>
          <w:fldChar w:fldCharType="separate"/>
        </w:r>
        <w:r w:rsidR="00602857">
          <w:rPr>
            <w:noProof/>
            <w:webHidden/>
          </w:rPr>
          <w:t>166</w:t>
        </w:r>
        <w:r w:rsidR="00602857">
          <w:rPr>
            <w:noProof/>
            <w:webHidden/>
          </w:rPr>
          <w:fldChar w:fldCharType="end"/>
        </w:r>
      </w:hyperlink>
    </w:p>
    <w:p w14:paraId="2F4106A8" w14:textId="5D41169F"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4" w:history="1">
        <w:r w:rsidR="00602857" w:rsidRPr="003C03C4">
          <w:rPr>
            <w:rStyle w:val="Hiperpovezava"/>
            <w:rFonts w:eastAsia="Calibri"/>
            <w:noProof/>
          </w:rPr>
          <w:t>Tabela 42: Uvoz gozdnih lesnih sortimentov (000 m</w:t>
        </w:r>
        <w:r w:rsidR="00602857" w:rsidRPr="003C03C4">
          <w:rPr>
            <w:rStyle w:val="Hiperpovezava"/>
            <w:rFonts w:eastAsia="Calibri"/>
            <w:noProof/>
            <w:vertAlign w:val="superscript"/>
          </w:rPr>
          <w:t>3</w:t>
        </w:r>
        <w:r w:rsidR="00602857" w:rsidRPr="003C03C4">
          <w:rPr>
            <w:rStyle w:val="Hiperpovezava"/>
            <w:rFonts w:eastAsia="Calibri"/>
            <w:noProof/>
          </w:rPr>
          <w:t>); 2013–2020</w:t>
        </w:r>
        <w:r w:rsidR="00602857">
          <w:rPr>
            <w:noProof/>
            <w:webHidden/>
          </w:rPr>
          <w:tab/>
        </w:r>
        <w:r w:rsidR="00602857">
          <w:rPr>
            <w:noProof/>
            <w:webHidden/>
          </w:rPr>
          <w:fldChar w:fldCharType="begin"/>
        </w:r>
        <w:r w:rsidR="00602857">
          <w:rPr>
            <w:noProof/>
            <w:webHidden/>
          </w:rPr>
          <w:instrText xml:space="preserve"> PAGEREF _Toc89861034 \h </w:instrText>
        </w:r>
        <w:r w:rsidR="00602857">
          <w:rPr>
            <w:noProof/>
            <w:webHidden/>
          </w:rPr>
        </w:r>
        <w:r w:rsidR="00602857">
          <w:rPr>
            <w:noProof/>
            <w:webHidden/>
          </w:rPr>
          <w:fldChar w:fldCharType="separate"/>
        </w:r>
        <w:r w:rsidR="00602857">
          <w:rPr>
            <w:noProof/>
            <w:webHidden/>
          </w:rPr>
          <w:t>166</w:t>
        </w:r>
        <w:r w:rsidR="00602857">
          <w:rPr>
            <w:noProof/>
            <w:webHidden/>
          </w:rPr>
          <w:fldChar w:fldCharType="end"/>
        </w:r>
      </w:hyperlink>
    </w:p>
    <w:p w14:paraId="6CA92715" w14:textId="00B908EB" w:rsidR="00602857" w:rsidRDefault="00FB6BEC">
      <w:pPr>
        <w:pStyle w:val="Kazaloslik"/>
        <w:tabs>
          <w:tab w:val="right" w:leader="dot" w:pos="9062"/>
        </w:tabs>
        <w:rPr>
          <w:rFonts w:asciiTheme="minorHAnsi" w:eastAsiaTheme="minorEastAsia" w:hAnsiTheme="minorHAnsi" w:cstheme="minorBidi"/>
          <w:noProof/>
          <w:szCs w:val="22"/>
          <w:lang w:eastAsia="sl-SI"/>
        </w:rPr>
      </w:pPr>
      <w:hyperlink w:anchor="_Toc89861035" w:history="1">
        <w:r w:rsidR="00602857" w:rsidRPr="003C03C4">
          <w:rPr>
            <w:rStyle w:val="Hiperpovezava"/>
            <w:rFonts w:eastAsia="Calibri"/>
            <w:noProof/>
          </w:rPr>
          <w:t>Tabela 43: Temeljni agregati ekonomskih računov za gozdarstvo</w:t>
        </w:r>
        <w:r w:rsidR="00602857">
          <w:rPr>
            <w:noProof/>
            <w:webHidden/>
          </w:rPr>
          <w:tab/>
        </w:r>
        <w:r w:rsidR="00602857">
          <w:rPr>
            <w:noProof/>
            <w:webHidden/>
          </w:rPr>
          <w:fldChar w:fldCharType="begin"/>
        </w:r>
        <w:r w:rsidR="00602857">
          <w:rPr>
            <w:noProof/>
            <w:webHidden/>
          </w:rPr>
          <w:instrText xml:space="preserve"> PAGEREF _Toc89861035 \h </w:instrText>
        </w:r>
        <w:r w:rsidR="00602857">
          <w:rPr>
            <w:noProof/>
            <w:webHidden/>
          </w:rPr>
        </w:r>
        <w:r w:rsidR="00602857">
          <w:rPr>
            <w:noProof/>
            <w:webHidden/>
          </w:rPr>
          <w:fldChar w:fldCharType="separate"/>
        </w:r>
        <w:r w:rsidR="00602857">
          <w:rPr>
            <w:noProof/>
            <w:webHidden/>
          </w:rPr>
          <w:t>170</w:t>
        </w:r>
        <w:r w:rsidR="00602857">
          <w:rPr>
            <w:noProof/>
            <w:webHidden/>
          </w:rPr>
          <w:fldChar w:fldCharType="end"/>
        </w:r>
      </w:hyperlink>
    </w:p>
    <w:p w14:paraId="25F56548" w14:textId="2E054469" w:rsidR="00EA3ECA" w:rsidRDefault="00EA3ECA">
      <w:pPr>
        <w:spacing w:before="0" w:after="200" w:line="276" w:lineRule="auto"/>
        <w:jc w:val="left"/>
        <w:rPr>
          <w:b/>
          <w:sz w:val="20"/>
          <w:szCs w:val="20"/>
          <w:lang w:eastAsia="en-US"/>
        </w:rPr>
      </w:pPr>
      <w:r w:rsidRPr="0047652B">
        <w:rPr>
          <w:sz w:val="20"/>
          <w:szCs w:val="20"/>
          <w:lang w:eastAsia="en-US"/>
        </w:rPr>
        <w:fldChar w:fldCharType="end"/>
      </w:r>
      <w:r>
        <w:rPr>
          <w:b/>
          <w:sz w:val="20"/>
          <w:szCs w:val="20"/>
          <w:lang w:eastAsia="en-US"/>
        </w:rPr>
        <w:br w:type="page"/>
      </w:r>
    </w:p>
    <w:p w14:paraId="523B5239" w14:textId="77777777" w:rsidR="00744809" w:rsidRPr="009F3567" w:rsidRDefault="00EA3ECA" w:rsidP="009F3567">
      <w:pPr>
        <w:spacing w:before="0" w:line="276" w:lineRule="auto"/>
        <w:ind w:left="709" w:right="567" w:hanging="709"/>
        <w:jc w:val="left"/>
        <w:rPr>
          <w:b/>
          <w:sz w:val="24"/>
          <w:szCs w:val="20"/>
          <w:lang w:eastAsia="en-US"/>
        </w:rPr>
      </w:pPr>
      <w:r w:rsidRPr="009F3567">
        <w:rPr>
          <w:b/>
          <w:sz w:val="24"/>
          <w:szCs w:val="20"/>
          <w:lang w:eastAsia="en-US"/>
        </w:rPr>
        <w:t xml:space="preserve">Kazalo </w:t>
      </w:r>
      <w:r w:rsidR="00CD02E0" w:rsidRPr="009F3567">
        <w:rPr>
          <w:b/>
          <w:sz w:val="24"/>
          <w:szCs w:val="20"/>
          <w:lang w:eastAsia="en-US"/>
        </w:rPr>
        <w:t>slik</w:t>
      </w:r>
    </w:p>
    <w:p w14:paraId="2CC499A9" w14:textId="09B2A7A0" w:rsidR="001B3E9B" w:rsidRDefault="00EA1952">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"Slika" </w:instrText>
      </w:r>
      <w:r w:rsidRPr="0047652B">
        <w:rPr>
          <w:sz w:val="20"/>
          <w:szCs w:val="20"/>
          <w:lang w:eastAsia="en-US"/>
        </w:rPr>
        <w:fldChar w:fldCharType="separate"/>
      </w:r>
      <w:hyperlink w:anchor="_Toc89851043" w:history="1">
        <w:r w:rsidR="001B3E9B" w:rsidRPr="00AD67AB">
          <w:rPr>
            <w:rStyle w:val="Hiperpovezava"/>
            <w:rFonts w:eastAsia="Calibri"/>
            <w:noProof/>
          </w:rPr>
          <w:t>Slika 1: BDP na prebivalca, indeks standarda kupne moči EU-28=100</w:t>
        </w:r>
        <w:r w:rsidR="001B3E9B">
          <w:rPr>
            <w:noProof/>
            <w:webHidden/>
          </w:rPr>
          <w:tab/>
        </w:r>
        <w:r w:rsidR="001B3E9B">
          <w:rPr>
            <w:noProof/>
            <w:webHidden/>
          </w:rPr>
          <w:fldChar w:fldCharType="begin"/>
        </w:r>
        <w:r w:rsidR="001B3E9B">
          <w:rPr>
            <w:noProof/>
            <w:webHidden/>
          </w:rPr>
          <w:instrText xml:space="preserve"> PAGEREF _Toc89851043 \h </w:instrText>
        </w:r>
        <w:r w:rsidR="001B3E9B">
          <w:rPr>
            <w:noProof/>
            <w:webHidden/>
          </w:rPr>
        </w:r>
        <w:r w:rsidR="001B3E9B">
          <w:rPr>
            <w:noProof/>
            <w:webHidden/>
          </w:rPr>
          <w:fldChar w:fldCharType="separate"/>
        </w:r>
        <w:r w:rsidR="001B3E9B">
          <w:rPr>
            <w:noProof/>
            <w:webHidden/>
          </w:rPr>
          <w:t>17</w:t>
        </w:r>
        <w:r w:rsidR="001B3E9B">
          <w:rPr>
            <w:noProof/>
            <w:webHidden/>
          </w:rPr>
          <w:fldChar w:fldCharType="end"/>
        </w:r>
      </w:hyperlink>
    </w:p>
    <w:p w14:paraId="0D47B80C" w14:textId="6E02665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4" w:history="1">
        <w:r w:rsidR="001B3E9B" w:rsidRPr="00AD67AB">
          <w:rPr>
            <w:rStyle w:val="Hiperpovezava"/>
            <w:rFonts w:eastAsia="Calibri"/>
            <w:noProof/>
          </w:rPr>
          <w:t>Slika 2: Delež bruto dodane vrednosti (BDV) kmetijstva, gozdarstva in ribištva v skupni BDV, Slovenija in EU-28 – tekoče cene</w:t>
        </w:r>
        <w:r w:rsidR="001B3E9B">
          <w:rPr>
            <w:noProof/>
            <w:webHidden/>
          </w:rPr>
          <w:tab/>
        </w:r>
        <w:r w:rsidR="001B3E9B">
          <w:rPr>
            <w:noProof/>
            <w:webHidden/>
          </w:rPr>
          <w:fldChar w:fldCharType="begin"/>
        </w:r>
        <w:r w:rsidR="001B3E9B">
          <w:rPr>
            <w:noProof/>
            <w:webHidden/>
          </w:rPr>
          <w:instrText xml:space="preserve"> PAGEREF _Toc89851044 \h </w:instrText>
        </w:r>
        <w:r w:rsidR="001B3E9B">
          <w:rPr>
            <w:noProof/>
            <w:webHidden/>
          </w:rPr>
        </w:r>
        <w:r w:rsidR="001B3E9B">
          <w:rPr>
            <w:noProof/>
            <w:webHidden/>
          </w:rPr>
          <w:fldChar w:fldCharType="separate"/>
        </w:r>
        <w:r w:rsidR="001B3E9B">
          <w:rPr>
            <w:noProof/>
            <w:webHidden/>
          </w:rPr>
          <w:t>19</w:t>
        </w:r>
        <w:r w:rsidR="001B3E9B">
          <w:rPr>
            <w:noProof/>
            <w:webHidden/>
          </w:rPr>
          <w:fldChar w:fldCharType="end"/>
        </w:r>
      </w:hyperlink>
    </w:p>
    <w:p w14:paraId="136C5B0F" w14:textId="1AE0E98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5" w:history="1">
        <w:r w:rsidR="001B3E9B" w:rsidRPr="00AD67AB">
          <w:rPr>
            <w:rStyle w:val="Hiperpovezava"/>
            <w:rFonts w:eastAsia="Calibri"/>
            <w:noProof/>
          </w:rPr>
          <w:t>Slika 3: Delež števila kmetijskih gospodarstev po tipu kmetovanja za leto 2016</w:t>
        </w:r>
        <w:r w:rsidR="001B3E9B">
          <w:rPr>
            <w:noProof/>
            <w:webHidden/>
          </w:rPr>
          <w:tab/>
        </w:r>
        <w:r w:rsidR="001B3E9B">
          <w:rPr>
            <w:noProof/>
            <w:webHidden/>
          </w:rPr>
          <w:fldChar w:fldCharType="begin"/>
        </w:r>
        <w:r w:rsidR="001B3E9B">
          <w:rPr>
            <w:noProof/>
            <w:webHidden/>
          </w:rPr>
          <w:instrText xml:space="preserve"> PAGEREF _Toc89851045 \h </w:instrText>
        </w:r>
        <w:r w:rsidR="001B3E9B">
          <w:rPr>
            <w:noProof/>
            <w:webHidden/>
          </w:rPr>
        </w:r>
        <w:r w:rsidR="001B3E9B">
          <w:rPr>
            <w:noProof/>
            <w:webHidden/>
          </w:rPr>
          <w:fldChar w:fldCharType="separate"/>
        </w:r>
        <w:r w:rsidR="001B3E9B">
          <w:rPr>
            <w:noProof/>
            <w:webHidden/>
          </w:rPr>
          <w:t>23</w:t>
        </w:r>
        <w:r w:rsidR="001B3E9B">
          <w:rPr>
            <w:noProof/>
            <w:webHidden/>
          </w:rPr>
          <w:fldChar w:fldCharType="end"/>
        </w:r>
      </w:hyperlink>
    </w:p>
    <w:p w14:paraId="3EEE18DA" w14:textId="469AE6F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6" w:history="1">
        <w:r w:rsidR="001B3E9B" w:rsidRPr="00AD67AB">
          <w:rPr>
            <w:rStyle w:val="Hiperpovezava"/>
            <w:rFonts w:eastAsia="Calibri"/>
            <w:noProof/>
          </w:rPr>
          <w:t>Slika 4: Rast skupne faktorske produktivnosti v EU-28, 2005–2015, indeks, 2005=100</w:t>
        </w:r>
        <w:r w:rsidR="001B3E9B">
          <w:rPr>
            <w:noProof/>
            <w:webHidden/>
          </w:rPr>
          <w:tab/>
        </w:r>
        <w:r w:rsidR="001B3E9B">
          <w:rPr>
            <w:noProof/>
            <w:webHidden/>
          </w:rPr>
          <w:fldChar w:fldCharType="begin"/>
        </w:r>
        <w:r w:rsidR="001B3E9B">
          <w:rPr>
            <w:noProof/>
            <w:webHidden/>
          </w:rPr>
          <w:instrText xml:space="preserve"> PAGEREF _Toc89851046 \h </w:instrText>
        </w:r>
        <w:r w:rsidR="001B3E9B">
          <w:rPr>
            <w:noProof/>
            <w:webHidden/>
          </w:rPr>
        </w:r>
        <w:r w:rsidR="001B3E9B">
          <w:rPr>
            <w:noProof/>
            <w:webHidden/>
          </w:rPr>
          <w:fldChar w:fldCharType="separate"/>
        </w:r>
        <w:r w:rsidR="001B3E9B">
          <w:rPr>
            <w:noProof/>
            <w:webHidden/>
          </w:rPr>
          <w:t>25</w:t>
        </w:r>
        <w:r w:rsidR="001B3E9B">
          <w:rPr>
            <w:noProof/>
            <w:webHidden/>
          </w:rPr>
          <w:fldChar w:fldCharType="end"/>
        </w:r>
      </w:hyperlink>
    </w:p>
    <w:p w14:paraId="4F3C4B32" w14:textId="479DE77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7" w:history="1">
        <w:r w:rsidR="001B3E9B" w:rsidRPr="00AD67AB">
          <w:rPr>
            <w:rStyle w:val="Hiperpovezava"/>
            <w:rFonts w:eastAsia="Calibri"/>
            <w:noProof/>
          </w:rPr>
          <w:t>Slika 5: Povprečna letna rast TFP v državah članicah EU med letoma 2005 in 2015</w:t>
        </w:r>
        <w:r w:rsidR="001B3E9B">
          <w:rPr>
            <w:noProof/>
            <w:webHidden/>
          </w:rPr>
          <w:tab/>
        </w:r>
        <w:r w:rsidR="001B3E9B">
          <w:rPr>
            <w:noProof/>
            <w:webHidden/>
          </w:rPr>
          <w:fldChar w:fldCharType="begin"/>
        </w:r>
        <w:r w:rsidR="001B3E9B">
          <w:rPr>
            <w:noProof/>
            <w:webHidden/>
          </w:rPr>
          <w:instrText xml:space="preserve"> PAGEREF _Toc89851047 \h </w:instrText>
        </w:r>
        <w:r w:rsidR="001B3E9B">
          <w:rPr>
            <w:noProof/>
            <w:webHidden/>
          </w:rPr>
        </w:r>
        <w:r w:rsidR="001B3E9B">
          <w:rPr>
            <w:noProof/>
            <w:webHidden/>
          </w:rPr>
          <w:fldChar w:fldCharType="separate"/>
        </w:r>
        <w:r w:rsidR="001B3E9B">
          <w:rPr>
            <w:noProof/>
            <w:webHidden/>
          </w:rPr>
          <w:t>25</w:t>
        </w:r>
        <w:r w:rsidR="001B3E9B">
          <w:rPr>
            <w:noProof/>
            <w:webHidden/>
          </w:rPr>
          <w:fldChar w:fldCharType="end"/>
        </w:r>
      </w:hyperlink>
    </w:p>
    <w:p w14:paraId="571D9B7F" w14:textId="656157E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8" w:history="1">
        <w:r w:rsidR="001B3E9B" w:rsidRPr="00AD67AB">
          <w:rPr>
            <w:rStyle w:val="Hiperpovezava"/>
            <w:rFonts w:eastAsia="Calibri"/>
            <w:noProof/>
          </w:rPr>
          <w:t>Slika 6: Povprečna letna rast produktivnosti dela v državah članicah EU med letoma 2005–2015</w:t>
        </w:r>
        <w:r w:rsidR="001B3E9B">
          <w:rPr>
            <w:noProof/>
            <w:webHidden/>
          </w:rPr>
          <w:tab/>
        </w:r>
        <w:r w:rsidR="001B3E9B">
          <w:rPr>
            <w:noProof/>
            <w:webHidden/>
          </w:rPr>
          <w:fldChar w:fldCharType="begin"/>
        </w:r>
        <w:r w:rsidR="001B3E9B">
          <w:rPr>
            <w:noProof/>
            <w:webHidden/>
          </w:rPr>
          <w:instrText xml:space="preserve"> PAGEREF _Toc89851048 \h </w:instrText>
        </w:r>
        <w:r w:rsidR="001B3E9B">
          <w:rPr>
            <w:noProof/>
            <w:webHidden/>
          </w:rPr>
        </w:r>
        <w:r w:rsidR="001B3E9B">
          <w:rPr>
            <w:noProof/>
            <w:webHidden/>
          </w:rPr>
          <w:fldChar w:fldCharType="separate"/>
        </w:r>
        <w:r w:rsidR="001B3E9B">
          <w:rPr>
            <w:noProof/>
            <w:webHidden/>
          </w:rPr>
          <w:t>26</w:t>
        </w:r>
        <w:r w:rsidR="001B3E9B">
          <w:rPr>
            <w:noProof/>
            <w:webHidden/>
          </w:rPr>
          <w:fldChar w:fldCharType="end"/>
        </w:r>
      </w:hyperlink>
    </w:p>
    <w:p w14:paraId="25E34B47" w14:textId="564A997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49" w:history="1">
        <w:r w:rsidR="001B3E9B" w:rsidRPr="00AD67AB">
          <w:rPr>
            <w:rStyle w:val="Hiperpovezava"/>
            <w:rFonts w:eastAsia="Calibri"/>
            <w:noProof/>
          </w:rPr>
          <w:t>Slika 7: Letna stopnja rasti skupne faktorske produktivnosti v kmetijstvu v Sloveniji in EU-27, 2010–2019, indeks 2005=100 (kazalnik stanja C.28: Skupna faktorska produktivnost v kmetijstvu)</w:t>
        </w:r>
        <w:r w:rsidR="001B3E9B">
          <w:rPr>
            <w:noProof/>
            <w:webHidden/>
          </w:rPr>
          <w:tab/>
        </w:r>
        <w:r w:rsidR="001B3E9B">
          <w:rPr>
            <w:noProof/>
            <w:webHidden/>
          </w:rPr>
          <w:fldChar w:fldCharType="begin"/>
        </w:r>
        <w:r w:rsidR="001B3E9B">
          <w:rPr>
            <w:noProof/>
            <w:webHidden/>
          </w:rPr>
          <w:instrText xml:space="preserve"> PAGEREF _Toc89851049 \h </w:instrText>
        </w:r>
        <w:r w:rsidR="001B3E9B">
          <w:rPr>
            <w:noProof/>
            <w:webHidden/>
          </w:rPr>
        </w:r>
        <w:r w:rsidR="001B3E9B">
          <w:rPr>
            <w:noProof/>
            <w:webHidden/>
          </w:rPr>
          <w:fldChar w:fldCharType="separate"/>
        </w:r>
        <w:r w:rsidR="001B3E9B">
          <w:rPr>
            <w:noProof/>
            <w:webHidden/>
          </w:rPr>
          <w:t>26</w:t>
        </w:r>
        <w:r w:rsidR="001B3E9B">
          <w:rPr>
            <w:noProof/>
            <w:webHidden/>
          </w:rPr>
          <w:fldChar w:fldCharType="end"/>
        </w:r>
      </w:hyperlink>
    </w:p>
    <w:p w14:paraId="1BCBAB1A" w14:textId="5ADC480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0" w:history="1">
        <w:r w:rsidR="001B3E9B" w:rsidRPr="00AD67AB">
          <w:rPr>
            <w:rStyle w:val="Hiperpovezava"/>
            <w:rFonts w:eastAsia="Calibri"/>
            <w:noProof/>
          </w:rPr>
          <w:t>Slika 8: Skupna faktorska produktivnost v kmetijstvu v Sloveniji in EU-28, 2010–2016, indeks 2005 EU=100</w:t>
        </w:r>
        <w:r w:rsidR="001B3E9B">
          <w:rPr>
            <w:noProof/>
            <w:webHidden/>
          </w:rPr>
          <w:tab/>
        </w:r>
        <w:r w:rsidR="001B3E9B">
          <w:rPr>
            <w:noProof/>
            <w:webHidden/>
          </w:rPr>
          <w:fldChar w:fldCharType="begin"/>
        </w:r>
        <w:r w:rsidR="001B3E9B">
          <w:rPr>
            <w:noProof/>
            <w:webHidden/>
          </w:rPr>
          <w:instrText xml:space="preserve"> PAGEREF _Toc89851050 \h </w:instrText>
        </w:r>
        <w:r w:rsidR="001B3E9B">
          <w:rPr>
            <w:noProof/>
            <w:webHidden/>
          </w:rPr>
        </w:r>
        <w:r w:rsidR="001B3E9B">
          <w:rPr>
            <w:noProof/>
            <w:webHidden/>
          </w:rPr>
          <w:fldChar w:fldCharType="separate"/>
        </w:r>
        <w:r w:rsidR="001B3E9B">
          <w:rPr>
            <w:noProof/>
            <w:webHidden/>
          </w:rPr>
          <w:t>26</w:t>
        </w:r>
        <w:r w:rsidR="001B3E9B">
          <w:rPr>
            <w:noProof/>
            <w:webHidden/>
          </w:rPr>
          <w:fldChar w:fldCharType="end"/>
        </w:r>
      </w:hyperlink>
    </w:p>
    <w:p w14:paraId="6F6FC2C8" w14:textId="614A74F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1" w:history="1">
        <w:r w:rsidR="001B3E9B" w:rsidRPr="00AD67AB">
          <w:rPr>
            <w:rStyle w:val="Hiperpovezava"/>
            <w:rFonts w:eastAsia="Calibri"/>
            <w:noProof/>
          </w:rPr>
          <w:t>Slika 9: Gibanje delovne sile v Sloveniji, EU-27</w:t>
        </w:r>
        <w:r w:rsidR="001B3E9B">
          <w:rPr>
            <w:noProof/>
            <w:webHidden/>
          </w:rPr>
          <w:tab/>
        </w:r>
        <w:r w:rsidR="001B3E9B">
          <w:rPr>
            <w:noProof/>
            <w:webHidden/>
          </w:rPr>
          <w:fldChar w:fldCharType="begin"/>
        </w:r>
        <w:r w:rsidR="001B3E9B">
          <w:rPr>
            <w:noProof/>
            <w:webHidden/>
          </w:rPr>
          <w:instrText xml:space="preserve"> PAGEREF _Toc89851051 \h </w:instrText>
        </w:r>
        <w:r w:rsidR="001B3E9B">
          <w:rPr>
            <w:noProof/>
            <w:webHidden/>
          </w:rPr>
        </w:r>
        <w:r w:rsidR="001B3E9B">
          <w:rPr>
            <w:noProof/>
            <w:webHidden/>
          </w:rPr>
          <w:fldChar w:fldCharType="separate"/>
        </w:r>
        <w:r w:rsidR="001B3E9B">
          <w:rPr>
            <w:noProof/>
            <w:webHidden/>
          </w:rPr>
          <w:t>27</w:t>
        </w:r>
        <w:r w:rsidR="001B3E9B">
          <w:rPr>
            <w:noProof/>
            <w:webHidden/>
          </w:rPr>
          <w:fldChar w:fldCharType="end"/>
        </w:r>
      </w:hyperlink>
    </w:p>
    <w:p w14:paraId="2D9077A8" w14:textId="288125F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2" w:history="1">
        <w:r w:rsidR="001B3E9B" w:rsidRPr="00AD67AB">
          <w:rPr>
            <w:rStyle w:val="Hiperpovezava"/>
            <w:rFonts w:eastAsia="Calibri"/>
            <w:noProof/>
          </w:rPr>
          <w:t>Slika 10: Gibanje delovne sile v Sloveniji, EU-27 (od 2020), v absolutnih številkah</w:t>
        </w:r>
        <w:r w:rsidR="001B3E9B">
          <w:rPr>
            <w:noProof/>
            <w:webHidden/>
          </w:rPr>
          <w:tab/>
        </w:r>
        <w:r w:rsidR="001B3E9B">
          <w:rPr>
            <w:noProof/>
            <w:webHidden/>
          </w:rPr>
          <w:fldChar w:fldCharType="begin"/>
        </w:r>
        <w:r w:rsidR="001B3E9B">
          <w:rPr>
            <w:noProof/>
            <w:webHidden/>
          </w:rPr>
          <w:instrText xml:space="preserve"> PAGEREF _Toc89851052 \h </w:instrText>
        </w:r>
        <w:r w:rsidR="001B3E9B">
          <w:rPr>
            <w:noProof/>
            <w:webHidden/>
          </w:rPr>
        </w:r>
        <w:r w:rsidR="001B3E9B">
          <w:rPr>
            <w:noProof/>
            <w:webHidden/>
          </w:rPr>
          <w:fldChar w:fldCharType="separate"/>
        </w:r>
        <w:r w:rsidR="001B3E9B">
          <w:rPr>
            <w:noProof/>
            <w:webHidden/>
          </w:rPr>
          <w:t>27</w:t>
        </w:r>
        <w:r w:rsidR="001B3E9B">
          <w:rPr>
            <w:noProof/>
            <w:webHidden/>
          </w:rPr>
          <w:fldChar w:fldCharType="end"/>
        </w:r>
      </w:hyperlink>
    </w:p>
    <w:p w14:paraId="1A4B2B65" w14:textId="7FE049F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3" w:history="1">
        <w:r w:rsidR="001B3E9B" w:rsidRPr="00AD67AB">
          <w:rPr>
            <w:rStyle w:val="Hiperpovezava"/>
            <w:rFonts w:eastAsia="Calibri"/>
            <w:noProof/>
          </w:rPr>
          <w:t>Slika 11:  Povprečno število PDM na kmetijsko gospodarstvo, 2016</w:t>
        </w:r>
        <w:r w:rsidR="001B3E9B">
          <w:rPr>
            <w:noProof/>
            <w:webHidden/>
          </w:rPr>
          <w:tab/>
        </w:r>
        <w:r w:rsidR="001B3E9B">
          <w:rPr>
            <w:noProof/>
            <w:webHidden/>
          </w:rPr>
          <w:fldChar w:fldCharType="begin"/>
        </w:r>
        <w:r w:rsidR="001B3E9B">
          <w:rPr>
            <w:noProof/>
            <w:webHidden/>
          </w:rPr>
          <w:instrText xml:space="preserve"> PAGEREF _Toc89851053 \h </w:instrText>
        </w:r>
        <w:r w:rsidR="001B3E9B">
          <w:rPr>
            <w:noProof/>
            <w:webHidden/>
          </w:rPr>
        </w:r>
        <w:r w:rsidR="001B3E9B">
          <w:rPr>
            <w:noProof/>
            <w:webHidden/>
          </w:rPr>
          <w:fldChar w:fldCharType="separate"/>
        </w:r>
        <w:r w:rsidR="001B3E9B">
          <w:rPr>
            <w:noProof/>
            <w:webHidden/>
          </w:rPr>
          <w:t>28</w:t>
        </w:r>
        <w:r w:rsidR="001B3E9B">
          <w:rPr>
            <w:noProof/>
            <w:webHidden/>
          </w:rPr>
          <w:fldChar w:fldCharType="end"/>
        </w:r>
      </w:hyperlink>
    </w:p>
    <w:p w14:paraId="50CC807B" w14:textId="6656B20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4" w:history="1">
        <w:r w:rsidR="001B3E9B" w:rsidRPr="00AD67AB">
          <w:rPr>
            <w:rStyle w:val="Hiperpovezava"/>
            <w:rFonts w:eastAsia="Calibri"/>
            <w:noProof/>
          </w:rPr>
          <w:t>Slika 12: Povprečna velikost ha/KMG in povprečno število ha KZU v obdelavi na en PDM, 2016</w:t>
        </w:r>
        <w:r w:rsidR="001B3E9B">
          <w:rPr>
            <w:noProof/>
            <w:webHidden/>
          </w:rPr>
          <w:tab/>
        </w:r>
        <w:r w:rsidR="001B3E9B">
          <w:rPr>
            <w:noProof/>
            <w:webHidden/>
          </w:rPr>
          <w:fldChar w:fldCharType="begin"/>
        </w:r>
        <w:r w:rsidR="001B3E9B">
          <w:rPr>
            <w:noProof/>
            <w:webHidden/>
          </w:rPr>
          <w:instrText xml:space="preserve"> PAGEREF _Toc89851054 \h </w:instrText>
        </w:r>
        <w:r w:rsidR="001B3E9B">
          <w:rPr>
            <w:noProof/>
            <w:webHidden/>
          </w:rPr>
        </w:r>
        <w:r w:rsidR="001B3E9B">
          <w:rPr>
            <w:noProof/>
            <w:webHidden/>
          </w:rPr>
          <w:fldChar w:fldCharType="separate"/>
        </w:r>
        <w:r w:rsidR="001B3E9B">
          <w:rPr>
            <w:noProof/>
            <w:webHidden/>
          </w:rPr>
          <w:t>28</w:t>
        </w:r>
        <w:r w:rsidR="001B3E9B">
          <w:rPr>
            <w:noProof/>
            <w:webHidden/>
          </w:rPr>
          <w:fldChar w:fldCharType="end"/>
        </w:r>
      </w:hyperlink>
    </w:p>
    <w:p w14:paraId="5069D0C4" w14:textId="79A1B69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5" w:history="1">
        <w:r w:rsidR="001B3E9B" w:rsidRPr="00AD67AB">
          <w:rPr>
            <w:rStyle w:val="Hiperpovezava"/>
            <w:rFonts w:eastAsia="Calibri"/>
            <w:noProof/>
          </w:rPr>
          <w:t>Slika 13: Produktivnost dela v kmetijstvu v letu 2020, v EUR/PDM</w:t>
        </w:r>
        <w:r w:rsidR="001B3E9B">
          <w:rPr>
            <w:noProof/>
            <w:webHidden/>
          </w:rPr>
          <w:tab/>
        </w:r>
        <w:r w:rsidR="001B3E9B">
          <w:rPr>
            <w:noProof/>
            <w:webHidden/>
          </w:rPr>
          <w:fldChar w:fldCharType="begin"/>
        </w:r>
        <w:r w:rsidR="001B3E9B">
          <w:rPr>
            <w:noProof/>
            <w:webHidden/>
          </w:rPr>
          <w:instrText xml:space="preserve"> PAGEREF _Toc89851055 \h </w:instrText>
        </w:r>
        <w:r w:rsidR="001B3E9B">
          <w:rPr>
            <w:noProof/>
            <w:webHidden/>
          </w:rPr>
        </w:r>
        <w:r w:rsidR="001B3E9B">
          <w:rPr>
            <w:noProof/>
            <w:webHidden/>
          </w:rPr>
          <w:fldChar w:fldCharType="separate"/>
        </w:r>
        <w:r w:rsidR="001B3E9B">
          <w:rPr>
            <w:noProof/>
            <w:webHidden/>
          </w:rPr>
          <w:t>30</w:t>
        </w:r>
        <w:r w:rsidR="001B3E9B">
          <w:rPr>
            <w:noProof/>
            <w:webHidden/>
          </w:rPr>
          <w:fldChar w:fldCharType="end"/>
        </w:r>
      </w:hyperlink>
    </w:p>
    <w:p w14:paraId="067AC021" w14:textId="3BC6860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6" w:history="1">
        <w:r w:rsidR="001B3E9B" w:rsidRPr="00AD67AB">
          <w:rPr>
            <w:rStyle w:val="Hiperpovezava"/>
            <w:rFonts w:eastAsia="Calibri"/>
            <w:noProof/>
          </w:rPr>
          <w:t>Slika 14: Neto dodana vrednost v kmetijstvu, izraženo na enoto vloženega dela (PDM), leto 2019, v EUR, v tekočih cenah</w:t>
        </w:r>
        <w:r w:rsidR="001B3E9B">
          <w:rPr>
            <w:noProof/>
            <w:webHidden/>
          </w:rPr>
          <w:tab/>
        </w:r>
        <w:r w:rsidR="001B3E9B">
          <w:rPr>
            <w:noProof/>
            <w:webHidden/>
          </w:rPr>
          <w:fldChar w:fldCharType="begin"/>
        </w:r>
        <w:r w:rsidR="001B3E9B">
          <w:rPr>
            <w:noProof/>
            <w:webHidden/>
          </w:rPr>
          <w:instrText xml:space="preserve"> PAGEREF _Toc89851056 \h </w:instrText>
        </w:r>
        <w:r w:rsidR="001B3E9B">
          <w:rPr>
            <w:noProof/>
            <w:webHidden/>
          </w:rPr>
        </w:r>
        <w:r w:rsidR="001B3E9B">
          <w:rPr>
            <w:noProof/>
            <w:webHidden/>
          </w:rPr>
          <w:fldChar w:fldCharType="separate"/>
        </w:r>
        <w:r w:rsidR="001B3E9B">
          <w:rPr>
            <w:noProof/>
            <w:webHidden/>
          </w:rPr>
          <w:t>31</w:t>
        </w:r>
        <w:r w:rsidR="001B3E9B">
          <w:rPr>
            <w:noProof/>
            <w:webHidden/>
          </w:rPr>
          <w:fldChar w:fldCharType="end"/>
        </w:r>
      </w:hyperlink>
    </w:p>
    <w:p w14:paraId="2E296C0F" w14:textId="5D7D6F5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7" w:history="1">
        <w:r w:rsidR="001B3E9B" w:rsidRPr="00AD67AB">
          <w:rPr>
            <w:rStyle w:val="Hiperpovezava"/>
            <w:rFonts w:eastAsia="Calibri"/>
            <w:noProof/>
          </w:rPr>
          <w:t>Slika 15: Bruto naložbe v osnovna sredstva v kmetijstvu, izraženo kot % BDV, 2019, EU, v tekočih cenah</w:t>
        </w:r>
        <w:r w:rsidR="001B3E9B">
          <w:rPr>
            <w:noProof/>
            <w:webHidden/>
          </w:rPr>
          <w:tab/>
        </w:r>
        <w:r w:rsidR="001B3E9B">
          <w:rPr>
            <w:noProof/>
            <w:webHidden/>
          </w:rPr>
          <w:fldChar w:fldCharType="begin"/>
        </w:r>
        <w:r w:rsidR="001B3E9B">
          <w:rPr>
            <w:noProof/>
            <w:webHidden/>
          </w:rPr>
          <w:instrText xml:space="preserve"> PAGEREF _Toc89851057 \h </w:instrText>
        </w:r>
        <w:r w:rsidR="001B3E9B">
          <w:rPr>
            <w:noProof/>
            <w:webHidden/>
          </w:rPr>
        </w:r>
        <w:r w:rsidR="001B3E9B">
          <w:rPr>
            <w:noProof/>
            <w:webHidden/>
          </w:rPr>
          <w:fldChar w:fldCharType="separate"/>
        </w:r>
        <w:r w:rsidR="001B3E9B">
          <w:rPr>
            <w:noProof/>
            <w:webHidden/>
          </w:rPr>
          <w:t>33</w:t>
        </w:r>
        <w:r w:rsidR="001B3E9B">
          <w:rPr>
            <w:noProof/>
            <w:webHidden/>
          </w:rPr>
          <w:fldChar w:fldCharType="end"/>
        </w:r>
      </w:hyperlink>
    </w:p>
    <w:p w14:paraId="06234C87" w14:textId="359E0F4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8" w:history="1">
        <w:r w:rsidR="001B3E9B" w:rsidRPr="00AD67AB">
          <w:rPr>
            <w:rStyle w:val="Hiperpovezava"/>
            <w:rFonts w:eastAsia="Calibri"/>
            <w:noProof/>
          </w:rPr>
          <w:t>Slika 16: Bruto investicije v osnovna sredstva v kmetijstvu, izraženo kot % BDV, leta 2005, 2010, 2018, EU, tekoče cene</w:t>
        </w:r>
        <w:r w:rsidR="001B3E9B">
          <w:rPr>
            <w:noProof/>
            <w:webHidden/>
          </w:rPr>
          <w:tab/>
        </w:r>
        <w:r w:rsidR="001B3E9B">
          <w:rPr>
            <w:noProof/>
            <w:webHidden/>
          </w:rPr>
          <w:fldChar w:fldCharType="begin"/>
        </w:r>
        <w:r w:rsidR="001B3E9B">
          <w:rPr>
            <w:noProof/>
            <w:webHidden/>
          </w:rPr>
          <w:instrText xml:space="preserve"> PAGEREF _Toc89851058 \h </w:instrText>
        </w:r>
        <w:r w:rsidR="001B3E9B">
          <w:rPr>
            <w:noProof/>
            <w:webHidden/>
          </w:rPr>
        </w:r>
        <w:r w:rsidR="001B3E9B">
          <w:rPr>
            <w:noProof/>
            <w:webHidden/>
          </w:rPr>
          <w:fldChar w:fldCharType="separate"/>
        </w:r>
        <w:r w:rsidR="001B3E9B">
          <w:rPr>
            <w:noProof/>
            <w:webHidden/>
          </w:rPr>
          <w:t>34</w:t>
        </w:r>
        <w:r w:rsidR="001B3E9B">
          <w:rPr>
            <w:noProof/>
            <w:webHidden/>
          </w:rPr>
          <w:fldChar w:fldCharType="end"/>
        </w:r>
      </w:hyperlink>
    </w:p>
    <w:p w14:paraId="133B78B0" w14:textId="3D53DE6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59" w:history="1">
        <w:r w:rsidR="001B3E9B" w:rsidRPr="00AD67AB">
          <w:rPr>
            <w:rStyle w:val="Hiperpovezava"/>
            <w:rFonts w:eastAsia="Calibri"/>
            <w:noProof/>
          </w:rPr>
          <w:t>Slika 17: Struktura bruto investicij v osnovna sredstva v kmetijstvu v SIoveniji v obdobju 2005–2018 glede na vrsto investicije</w:t>
        </w:r>
        <w:r w:rsidR="001B3E9B" w:rsidRPr="00AD67AB">
          <w:rPr>
            <w:rStyle w:val="Hiperpovezava"/>
            <w:rFonts w:eastAsia="Calibri"/>
            <w:bCs/>
            <w:noProof/>
          </w:rPr>
          <w:t>, v mio EUR</w:t>
        </w:r>
        <w:r w:rsidR="001B3E9B">
          <w:rPr>
            <w:noProof/>
            <w:webHidden/>
          </w:rPr>
          <w:tab/>
        </w:r>
        <w:r w:rsidR="001B3E9B">
          <w:rPr>
            <w:noProof/>
            <w:webHidden/>
          </w:rPr>
          <w:fldChar w:fldCharType="begin"/>
        </w:r>
        <w:r w:rsidR="001B3E9B">
          <w:rPr>
            <w:noProof/>
            <w:webHidden/>
          </w:rPr>
          <w:instrText xml:space="preserve"> PAGEREF _Toc89851059 \h </w:instrText>
        </w:r>
        <w:r w:rsidR="001B3E9B">
          <w:rPr>
            <w:noProof/>
            <w:webHidden/>
          </w:rPr>
        </w:r>
        <w:r w:rsidR="001B3E9B">
          <w:rPr>
            <w:noProof/>
            <w:webHidden/>
          </w:rPr>
          <w:fldChar w:fldCharType="separate"/>
        </w:r>
        <w:r w:rsidR="001B3E9B">
          <w:rPr>
            <w:noProof/>
            <w:webHidden/>
          </w:rPr>
          <w:t>35</w:t>
        </w:r>
        <w:r w:rsidR="001B3E9B">
          <w:rPr>
            <w:noProof/>
            <w:webHidden/>
          </w:rPr>
          <w:fldChar w:fldCharType="end"/>
        </w:r>
      </w:hyperlink>
    </w:p>
    <w:p w14:paraId="6B91C0C4" w14:textId="715D692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0" w:history="1">
        <w:r w:rsidR="001B3E9B" w:rsidRPr="00AD67AB">
          <w:rPr>
            <w:rStyle w:val="Hiperpovezava"/>
            <w:rFonts w:eastAsia="Calibri"/>
            <w:noProof/>
          </w:rPr>
          <w:t xml:space="preserve">Slika 18: Bruto investicije v osnovna sredstva v kmetijstvu (GFCF) na hektar kmetijskih zemljišč v uporabi (KZU), SIovenija in EU-28, 2013 in 2016, </w:t>
        </w:r>
        <w:r w:rsidR="001B3E9B" w:rsidRPr="00AD67AB">
          <w:rPr>
            <w:rStyle w:val="Hiperpovezava"/>
            <w:rFonts w:eastAsia="Calibri"/>
            <w:bCs/>
            <w:noProof/>
            <w:lang w:eastAsia="en-US"/>
          </w:rPr>
          <w:t xml:space="preserve">v </w:t>
        </w:r>
        <w:r w:rsidR="001B3E9B" w:rsidRPr="00AD67AB">
          <w:rPr>
            <w:rStyle w:val="Hiperpovezava"/>
            <w:rFonts w:eastAsia="Calibri"/>
            <w:bCs/>
            <w:noProof/>
          </w:rPr>
          <w:t>EUR</w:t>
        </w:r>
        <w:r w:rsidR="001B3E9B">
          <w:rPr>
            <w:noProof/>
            <w:webHidden/>
          </w:rPr>
          <w:tab/>
        </w:r>
        <w:r w:rsidR="001B3E9B">
          <w:rPr>
            <w:noProof/>
            <w:webHidden/>
          </w:rPr>
          <w:fldChar w:fldCharType="begin"/>
        </w:r>
        <w:r w:rsidR="001B3E9B">
          <w:rPr>
            <w:noProof/>
            <w:webHidden/>
          </w:rPr>
          <w:instrText xml:space="preserve"> PAGEREF _Toc89851060 \h </w:instrText>
        </w:r>
        <w:r w:rsidR="001B3E9B">
          <w:rPr>
            <w:noProof/>
            <w:webHidden/>
          </w:rPr>
        </w:r>
        <w:r w:rsidR="001B3E9B">
          <w:rPr>
            <w:noProof/>
            <w:webHidden/>
          </w:rPr>
          <w:fldChar w:fldCharType="separate"/>
        </w:r>
        <w:r w:rsidR="001B3E9B">
          <w:rPr>
            <w:noProof/>
            <w:webHidden/>
          </w:rPr>
          <w:t>36</w:t>
        </w:r>
        <w:r w:rsidR="001B3E9B">
          <w:rPr>
            <w:noProof/>
            <w:webHidden/>
          </w:rPr>
          <w:fldChar w:fldCharType="end"/>
        </w:r>
      </w:hyperlink>
    </w:p>
    <w:p w14:paraId="519D0E52" w14:textId="621C034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1" w:history="1">
        <w:r w:rsidR="001B3E9B" w:rsidRPr="00AD67AB">
          <w:rPr>
            <w:rStyle w:val="Hiperpovezava"/>
            <w:rFonts w:eastAsia="Calibri"/>
            <w:noProof/>
          </w:rPr>
          <w:t>Slika 19: Bruto investicije v osnovna sredstva na polnovredno delovno moč v obdobju 2005–2018, Slovenija, EU-28 in EU-27, v tekočih cenah, v EUR</w:t>
        </w:r>
        <w:r w:rsidR="001B3E9B">
          <w:rPr>
            <w:noProof/>
            <w:webHidden/>
          </w:rPr>
          <w:tab/>
        </w:r>
        <w:r w:rsidR="001B3E9B">
          <w:rPr>
            <w:noProof/>
            <w:webHidden/>
          </w:rPr>
          <w:fldChar w:fldCharType="begin"/>
        </w:r>
        <w:r w:rsidR="001B3E9B">
          <w:rPr>
            <w:noProof/>
            <w:webHidden/>
          </w:rPr>
          <w:instrText xml:space="preserve"> PAGEREF _Toc89851061 \h </w:instrText>
        </w:r>
        <w:r w:rsidR="001B3E9B">
          <w:rPr>
            <w:noProof/>
            <w:webHidden/>
          </w:rPr>
        </w:r>
        <w:r w:rsidR="001B3E9B">
          <w:rPr>
            <w:noProof/>
            <w:webHidden/>
          </w:rPr>
          <w:fldChar w:fldCharType="separate"/>
        </w:r>
        <w:r w:rsidR="001B3E9B">
          <w:rPr>
            <w:noProof/>
            <w:webHidden/>
          </w:rPr>
          <w:t>36</w:t>
        </w:r>
        <w:r w:rsidR="001B3E9B">
          <w:rPr>
            <w:noProof/>
            <w:webHidden/>
          </w:rPr>
          <w:fldChar w:fldCharType="end"/>
        </w:r>
      </w:hyperlink>
    </w:p>
    <w:p w14:paraId="113B4804" w14:textId="5548334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2" w:history="1">
        <w:r w:rsidR="001B3E9B" w:rsidRPr="00AD67AB">
          <w:rPr>
            <w:rStyle w:val="Hiperpovezava"/>
            <w:rFonts w:eastAsia="Calibri"/>
            <w:noProof/>
          </w:rPr>
          <w:t>Slika 20: Število odobrenih vlog in celotna vrednost podprtih naložb v osnovna sredstva (v EUR) v okviru ukrepa 121 PRP 2007-2013</w:t>
        </w:r>
        <w:r w:rsidR="001B3E9B" w:rsidRPr="00AD67AB">
          <w:rPr>
            <w:rStyle w:val="Hiperpovezava"/>
            <w:rFonts w:eastAsia="Calibri"/>
            <w:bCs/>
            <w:noProof/>
            <w:lang w:eastAsia="en-US"/>
          </w:rPr>
          <w:t>, stanje 31. 12. 2015</w:t>
        </w:r>
        <w:r w:rsidR="001B3E9B">
          <w:rPr>
            <w:noProof/>
            <w:webHidden/>
          </w:rPr>
          <w:tab/>
        </w:r>
        <w:r w:rsidR="001B3E9B">
          <w:rPr>
            <w:noProof/>
            <w:webHidden/>
          </w:rPr>
          <w:fldChar w:fldCharType="begin"/>
        </w:r>
        <w:r w:rsidR="001B3E9B">
          <w:rPr>
            <w:noProof/>
            <w:webHidden/>
          </w:rPr>
          <w:instrText xml:space="preserve"> PAGEREF _Toc89851062 \h </w:instrText>
        </w:r>
        <w:r w:rsidR="001B3E9B">
          <w:rPr>
            <w:noProof/>
            <w:webHidden/>
          </w:rPr>
        </w:r>
        <w:r w:rsidR="001B3E9B">
          <w:rPr>
            <w:noProof/>
            <w:webHidden/>
          </w:rPr>
          <w:fldChar w:fldCharType="separate"/>
        </w:r>
        <w:r w:rsidR="001B3E9B">
          <w:rPr>
            <w:noProof/>
            <w:webHidden/>
          </w:rPr>
          <w:t>37</w:t>
        </w:r>
        <w:r w:rsidR="001B3E9B">
          <w:rPr>
            <w:noProof/>
            <w:webHidden/>
          </w:rPr>
          <w:fldChar w:fldCharType="end"/>
        </w:r>
      </w:hyperlink>
    </w:p>
    <w:p w14:paraId="2A468E55" w14:textId="6FDCC27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3" w:history="1">
        <w:r w:rsidR="001B3E9B" w:rsidRPr="00AD67AB">
          <w:rPr>
            <w:rStyle w:val="Hiperpovezava"/>
            <w:rFonts w:eastAsia="Calibri"/>
            <w:noProof/>
          </w:rPr>
          <w:t xml:space="preserve">Slika 21: Povprečno število KZU (ha), PDM in GVŽ podprtih KMG v okviru podukrepa </w:t>
        </w:r>
        <w:r w:rsidR="001B3E9B" w:rsidRPr="00AD67AB">
          <w:rPr>
            <w:rStyle w:val="Hiperpovezava"/>
            <w:rFonts w:eastAsiaTheme="minorHAnsi"/>
            <w:bCs/>
            <w:noProof/>
          </w:rPr>
          <w:t>M0</w:t>
        </w:r>
        <w:r w:rsidR="001B3E9B" w:rsidRPr="00AD67AB">
          <w:rPr>
            <w:rStyle w:val="Hiperpovezava"/>
            <w:rFonts w:eastAsia="Calibri"/>
            <w:noProof/>
          </w:rPr>
          <w:t>4.1 PRP 2014–2020</w:t>
        </w:r>
        <w:r w:rsidR="001B3E9B" w:rsidRPr="00AD67AB">
          <w:rPr>
            <w:rStyle w:val="Hiperpovezava"/>
            <w:rFonts w:eastAsia="Calibri"/>
            <w:bCs/>
            <w:noProof/>
            <w:lang w:eastAsia="en-US"/>
          </w:rPr>
          <w:t>, stanje 30. 4. 2020</w:t>
        </w:r>
        <w:r w:rsidR="001B3E9B">
          <w:rPr>
            <w:noProof/>
            <w:webHidden/>
          </w:rPr>
          <w:tab/>
        </w:r>
        <w:r w:rsidR="001B3E9B">
          <w:rPr>
            <w:noProof/>
            <w:webHidden/>
          </w:rPr>
          <w:fldChar w:fldCharType="begin"/>
        </w:r>
        <w:r w:rsidR="001B3E9B">
          <w:rPr>
            <w:noProof/>
            <w:webHidden/>
          </w:rPr>
          <w:instrText xml:space="preserve"> PAGEREF _Toc89851063 \h </w:instrText>
        </w:r>
        <w:r w:rsidR="001B3E9B">
          <w:rPr>
            <w:noProof/>
            <w:webHidden/>
          </w:rPr>
        </w:r>
        <w:r w:rsidR="001B3E9B">
          <w:rPr>
            <w:noProof/>
            <w:webHidden/>
          </w:rPr>
          <w:fldChar w:fldCharType="separate"/>
        </w:r>
        <w:r w:rsidR="001B3E9B">
          <w:rPr>
            <w:noProof/>
            <w:webHidden/>
          </w:rPr>
          <w:t>38</w:t>
        </w:r>
        <w:r w:rsidR="001B3E9B">
          <w:rPr>
            <w:noProof/>
            <w:webHidden/>
          </w:rPr>
          <w:fldChar w:fldCharType="end"/>
        </w:r>
      </w:hyperlink>
    </w:p>
    <w:p w14:paraId="6FCF144A" w14:textId="1307752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4" w:history="1">
        <w:r w:rsidR="001B3E9B" w:rsidRPr="00AD67AB">
          <w:rPr>
            <w:rStyle w:val="Hiperpovezava"/>
            <w:rFonts w:eastAsia="Calibri"/>
            <w:noProof/>
          </w:rPr>
          <w:t xml:space="preserve">Slika 22: Število odobrenih vlog in celotna vrednost podprtih naložb (v EUR) v okviru podukrepa </w:t>
        </w:r>
        <w:r w:rsidR="001B3E9B" w:rsidRPr="00AD67AB">
          <w:rPr>
            <w:rStyle w:val="Hiperpovezava"/>
            <w:rFonts w:eastAsiaTheme="minorHAnsi"/>
            <w:noProof/>
          </w:rPr>
          <w:t>M0</w:t>
        </w:r>
        <w:r w:rsidR="001B3E9B" w:rsidRPr="00AD67AB">
          <w:rPr>
            <w:rStyle w:val="Hiperpovezava"/>
            <w:rFonts w:eastAsia="Calibri"/>
            <w:noProof/>
          </w:rPr>
          <w:t>4.1 PRP 2014–2020</w:t>
        </w:r>
        <w:r w:rsidR="001B3E9B" w:rsidRPr="00AD67AB">
          <w:rPr>
            <w:rStyle w:val="Hiperpovezava"/>
            <w:rFonts w:eastAsia="Calibri"/>
            <w:noProof/>
            <w:lang w:eastAsia="en-US"/>
          </w:rPr>
          <w:t>, stanje 30. 4. 2020</w:t>
        </w:r>
        <w:r w:rsidR="001B3E9B">
          <w:rPr>
            <w:noProof/>
            <w:webHidden/>
          </w:rPr>
          <w:tab/>
        </w:r>
        <w:r w:rsidR="001B3E9B">
          <w:rPr>
            <w:noProof/>
            <w:webHidden/>
          </w:rPr>
          <w:fldChar w:fldCharType="begin"/>
        </w:r>
        <w:r w:rsidR="001B3E9B">
          <w:rPr>
            <w:noProof/>
            <w:webHidden/>
          </w:rPr>
          <w:instrText xml:space="preserve"> PAGEREF _Toc89851064 \h </w:instrText>
        </w:r>
        <w:r w:rsidR="001B3E9B">
          <w:rPr>
            <w:noProof/>
            <w:webHidden/>
          </w:rPr>
        </w:r>
        <w:r w:rsidR="001B3E9B">
          <w:rPr>
            <w:noProof/>
            <w:webHidden/>
          </w:rPr>
          <w:fldChar w:fldCharType="separate"/>
        </w:r>
        <w:r w:rsidR="001B3E9B">
          <w:rPr>
            <w:noProof/>
            <w:webHidden/>
          </w:rPr>
          <w:t>39</w:t>
        </w:r>
        <w:r w:rsidR="001B3E9B">
          <w:rPr>
            <w:noProof/>
            <w:webHidden/>
          </w:rPr>
          <w:fldChar w:fldCharType="end"/>
        </w:r>
      </w:hyperlink>
    </w:p>
    <w:p w14:paraId="764A4AAC" w14:textId="7B67FA8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5" w:history="1">
        <w:r w:rsidR="001B3E9B" w:rsidRPr="00AD67AB">
          <w:rPr>
            <w:rStyle w:val="Hiperpovezava"/>
            <w:rFonts w:eastAsia="Calibri"/>
            <w:noProof/>
          </w:rPr>
          <w:t xml:space="preserve">Slika 23: Število odobrenih vlog in povprečna vrednost podprte naložbe (v EUR) v okviru podukrepa </w:t>
        </w:r>
        <w:r w:rsidR="001B3E9B" w:rsidRPr="00AD67AB">
          <w:rPr>
            <w:rStyle w:val="Hiperpovezava"/>
            <w:rFonts w:eastAsiaTheme="minorHAnsi"/>
            <w:noProof/>
          </w:rPr>
          <w:t>M0</w:t>
        </w:r>
        <w:r w:rsidR="001B3E9B" w:rsidRPr="00AD67AB">
          <w:rPr>
            <w:rStyle w:val="Hiperpovezava"/>
            <w:rFonts w:eastAsia="Calibri"/>
            <w:noProof/>
          </w:rPr>
          <w:t>4.1 PRP 2014–2020 glede na vključenost v sheme ekološke proizvodnje</w:t>
        </w:r>
        <w:r w:rsidR="001B3E9B" w:rsidRPr="00AD67AB">
          <w:rPr>
            <w:rStyle w:val="Hiperpovezava"/>
            <w:rFonts w:eastAsia="Calibri"/>
            <w:noProof/>
            <w:lang w:eastAsia="en-US"/>
          </w:rPr>
          <w:t>, stanje 30. 4. 2020</w:t>
        </w:r>
        <w:r w:rsidR="001B3E9B">
          <w:rPr>
            <w:noProof/>
            <w:webHidden/>
          </w:rPr>
          <w:tab/>
        </w:r>
        <w:r w:rsidR="001B3E9B">
          <w:rPr>
            <w:noProof/>
            <w:webHidden/>
          </w:rPr>
          <w:fldChar w:fldCharType="begin"/>
        </w:r>
        <w:r w:rsidR="001B3E9B">
          <w:rPr>
            <w:noProof/>
            <w:webHidden/>
          </w:rPr>
          <w:instrText xml:space="preserve"> PAGEREF _Toc89851065 \h </w:instrText>
        </w:r>
        <w:r w:rsidR="001B3E9B">
          <w:rPr>
            <w:noProof/>
            <w:webHidden/>
          </w:rPr>
        </w:r>
        <w:r w:rsidR="001B3E9B">
          <w:rPr>
            <w:noProof/>
            <w:webHidden/>
          </w:rPr>
          <w:fldChar w:fldCharType="separate"/>
        </w:r>
        <w:r w:rsidR="001B3E9B">
          <w:rPr>
            <w:noProof/>
            <w:webHidden/>
          </w:rPr>
          <w:t>39</w:t>
        </w:r>
        <w:r w:rsidR="001B3E9B">
          <w:rPr>
            <w:noProof/>
            <w:webHidden/>
          </w:rPr>
          <w:fldChar w:fldCharType="end"/>
        </w:r>
      </w:hyperlink>
    </w:p>
    <w:p w14:paraId="1B1FA8FD" w14:textId="376A16D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6" w:history="1">
        <w:r w:rsidR="001B3E9B" w:rsidRPr="00AD67AB">
          <w:rPr>
            <w:rStyle w:val="Hiperpovezava"/>
            <w:rFonts w:eastAsia="Calibri"/>
            <w:noProof/>
          </w:rPr>
          <w:t>Slika 24: Delež amortizacije  (</w:t>
        </w:r>
        <w:r w:rsidR="001B3E9B" w:rsidRPr="00AD67AB">
          <w:rPr>
            <w:rStyle w:val="Hiperpovezava"/>
            <w:rFonts w:eastAsia="Calibri"/>
            <w:noProof/>
            <w:lang w:val="en-US"/>
          </w:rPr>
          <w:t xml:space="preserve">SE360 - </w:t>
        </w:r>
        <w:r w:rsidR="001B3E9B" w:rsidRPr="00AD67AB">
          <w:rPr>
            <w:rStyle w:val="Hiperpovezava"/>
            <w:rFonts w:eastAsia="Calibri"/>
            <w:noProof/>
          </w:rPr>
          <w:t>"</w:t>
        </w:r>
        <w:r w:rsidR="001B3E9B" w:rsidRPr="00AD67AB">
          <w:rPr>
            <w:rStyle w:val="Hiperpovezava"/>
            <w:rFonts w:eastAsia="Calibri"/>
            <w:noProof/>
            <w:lang w:val="en-US"/>
          </w:rPr>
          <w:t>depreciation</w:t>
        </w:r>
        <w:r w:rsidR="001B3E9B" w:rsidRPr="00AD67AB">
          <w:rPr>
            <w:rStyle w:val="Hiperpovezava"/>
            <w:rFonts w:eastAsia="Calibri"/>
            <w:noProof/>
          </w:rPr>
          <w:t>"</w:t>
        </w:r>
        <w:r w:rsidR="001B3E9B" w:rsidRPr="00AD67AB">
          <w:rPr>
            <w:rStyle w:val="Hiperpovezava"/>
            <w:rFonts w:eastAsia="Calibri"/>
            <w:noProof/>
            <w:lang w:val="en-US"/>
          </w:rPr>
          <w:t xml:space="preserve">) kot % bruto dohodka na kmetiji (SE410 - </w:t>
        </w:r>
        <w:r w:rsidR="001B3E9B" w:rsidRPr="00AD67AB">
          <w:rPr>
            <w:rStyle w:val="Hiperpovezava"/>
            <w:rFonts w:eastAsia="Calibri"/>
            <w:noProof/>
          </w:rPr>
          <w:t>"g</w:t>
        </w:r>
        <w:r w:rsidR="001B3E9B" w:rsidRPr="00AD67AB">
          <w:rPr>
            <w:rStyle w:val="Hiperpovezava"/>
            <w:rFonts w:eastAsia="Calibri"/>
            <w:noProof/>
            <w:lang w:val="en-US"/>
          </w:rPr>
          <w:t>ross farm income</w:t>
        </w:r>
        <w:r w:rsidR="001B3E9B" w:rsidRPr="00AD67AB">
          <w:rPr>
            <w:rStyle w:val="Hiperpovezava"/>
            <w:rFonts w:eastAsia="Calibri"/>
            <w:noProof/>
          </w:rPr>
          <w:t>"</w:t>
        </w:r>
        <w:r w:rsidR="001B3E9B" w:rsidRPr="00AD67AB">
          <w:rPr>
            <w:rStyle w:val="Hiperpovezava"/>
            <w:rFonts w:eastAsia="Calibri"/>
            <w:noProof/>
            <w:lang w:val="en-US"/>
          </w:rPr>
          <w:t>), za leto 2018</w:t>
        </w:r>
        <w:r w:rsidR="001B3E9B">
          <w:rPr>
            <w:noProof/>
            <w:webHidden/>
          </w:rPr>
          <w:tab/>
        </w:r>
        <w:r w:rsidR="001B3E9B">
          <w:rPr>
            <w:noProof/>
            <w:webHidden/>
          </w:rPr>
          <w:fldChar w:fldCharType="begin"/>
        </w:r>
        <w:r w:rsidR="001B3E9B">
          <w:rPr>
            <w:noProof/>
            <w:webHidden/>
          </w:rPr>
          <w:instrText xml:space="preserve"> PAGEREF _Toc89851066 \h </w:instrText>
        </w:r>
        <w:r w:rsidR="001B3E9B">
          <w:rPr>
            <w:noProof/>
            <w:webHidden/>
          </w:rPr>
        </w:r>
        <w:r w:rsidR="001B3E9B">
          <w:rPr>
            <w:noProof/>
            <w:webHidden/>
          </w:rPr>
          <w:fldChar w:fldCharType="separate"/>
        </w:r>
        <w:r w:rsidR="001B3E9B">
          <w:rPr>
            <w:noProof/>
            <w:webHidden/>
          </w:rPr>
          <w:t>40</w:t>
        </w:r>
        <w:r w:rsidR="001B3E9B">
          <w:rPr>
            <w:noProof/>
            <w:webHidden/>
          </w:rPr>
          <w:fldChar w:fldCharType="end"/>
        </w:r>
      </w:hyperlink>
    </w:p>
    <w:p w14:paraId="28A2B92B" w14:textId="6067FBB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7" w:history="1">
        <w:r w:rsidR="001B3E9B" w:rsidRPr="00AD67AB">
          <w:rPr>
            <w:rStyle w:val="Hiperpovezava"/>
            <w:rFonts w:eastAsia="Calibri"/>
            <w:noProof/>
          </w:rPr>
          <w:t>Slika 25: Težave, s katerimi so se soočali anketirani kmetje in kmetijska podjetja v letu 2017, Slovenija in EU-24</w:t>
        </w:r>
        <w:r w:rsidR="001B3E9B">
          <w:rPr>
            <w:noProof/>
            <w:webHidden/>
          </w:rPr>
          <w:tab/>
        </w:r>
        <w:r w:rsidR="001B3E9B">
          <w:rPr>
            <w:noProof/>
            <w:webHidden/>
          </w:rPr>
          <w:fldChar w:fldCharType="begin"/>
        </w:r>
        <w:r w:rsidR="001B3E9B">
          <w:rPr>
            <w:noProof/>
            <w:webHidden/>
          </w:rPr>
          <w:instrText xml:space="preserve"> PAGEREF _Toc89851067 \h </w:instrText>
        </w:r>
        <w:r w:rsidR="001B3E9B">
          <w:rPr>
            <w:noProof/>
            <w:webHidden/>
          </w:rPr>
        </w:r>
        <w:r w:rsidR="001B3E9B">
          <w:rPr>
            <w:noProof/>
            <w:webHidden/>
          </w:rPr>
          <w:fldChar w:fldCharType="separate"/>
        </w:r>
        <w:r w:rsidR="001B3E9B">
          <w:rPr>
            <w:noProof/>
            <w:webHidden/>
          </w:rPr>
          <w:t>41</w:t>
        </w:r>
        <w:r w:rsidR="001B3E9B">
          <w:rPr>
            <w:noProof/>
            <w:webHidden/>
          </w:rPr>
          <w:fldChar w:fldCharType="end"/>
        </w:r>
      </w:hyperlink>
    </w:p>
    <w:p w14:paraId="05A67680" w14:textId="20DF8EF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8" w:history="1">
        <w:r w:rsidR="001B3E9B" w:rsidRPr="00AD67AB">
          <w:rPr>
            <w:rStyle w:val="Hiperpovezava"/>
            <w:rFonts w:eastAsia="Calibri"/>
            <w:noProof/>
          </w:rPr>
          <w:t>Slika 26: Finančna vrzel v kmetijskem sektorju glede na produkt, v mio EUR in deležu, Slovenija, 2017</w:t>
        </w:r>
        <w:r w:rsidR="001B3E9B">
          <w:rPr>
            <w:noProof/>
            <w:webHidden/>
          </w:rPr>
          <w:tab/>
        </w:r>
        <w:r w:rsidR="001B3E9B">
          <w:rPr>
            <w:noProof/>
            <w:webHidden/>
          </w:rPr>
          <w:fldChar w:fldCharType="begin"/>
        </w:r>
        <w:r w:rsidR="001B3E9B">
          <w:rPr>
            <w:noProof/>
            <w:webHidden/>
          </w:rPr>
          <w:instrText xml:space="preserve"> PAGEREF _Toc89851068 \h </w:instrText>
        </w:r>
        <w:r w:rsidR="001B3E9B">
          <w:rPr>
            <w:noProof/>
            <w:webHidden/>
          </w:rPr>
        </w:r>
        <w:r w:rsidR="001B3E9B">
          <w:rPr>
            <w:noProof/>
            <w:webHidden/>
          </w:rPr>
          <w:fldChar w:fldCharType="separate"/>
        </w:r>
        <w:r w:rsidR="001B3E9B">
          <w:rPr>
            <w:noProof/>
            <w:webHidden/>
          </w:rPr>
          <w:t>42</w:t>
        </w:r>
        <w:r w:rsidR="001B3E9B">
          <w:rPr>
            <w:noProof/>
            <w:webHidden/>
          </w:rPr>
          <w:fldChar w:fldCharType="end"/>
        </w:r>
      </w:hyperlink>
    </w:p>
    <w:p w14:paraId="5E1CB1BD" w14:textId="3AD6D87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69" w:history="1">
        <w:r w:rsidR="001B3E9B" w:rsidRPr="00AD67AB">
          <w:rPr>
            <w:rStyle w:val="Hiperpovezava"/>
            <w:rFonts w:eastAsia="Calibri"/>
            <w:noProof/>
          </w:rPr>
          <w:t>Slika 27: Št. GERK-ov na KMG in povprečna velikost GERK-ov glede na velikost KMG za celotno populacijo KMG za leto 2019, za Slovenijo (n= 89.167)</w:t>
        </w:r>
        <w:r w:rsidR="001B3E9B">
          <w:rPr>
            <w:noProof/>
            <w:webHidden/>
          </w:rPr>
          <w:tab/>
        </w:r>
        <w:r w:rsidR="001B3E9B">
          <w:rPr>
            <w:noProof/>
            <w:webHidden/>
          </w:rPr>
          <w:fldChar w:fldCharType="begin"/>
        </w:r>
        <w:r w:rsidR="001B3E9B">
          <w:rPr>
            <w:noProof/>
            <w:webHidden/>
          </w:rPr>
          <w:instrText xml:space="preserve"> PAGEREF _Toc89851069 \h </w:instrText>
        </w:r>
        <w:r w:rsidR="001B3E9B">
          <w:rPr>
            <w:noProof/>
            <w:webHidden/>
          </w:rPr>
        </w:r>
        <w:r w:rsidR="001B3E9B">
          <w:rPr>
            <w:noProof/>
            <w:webHidden/>
          </w:rPr>
          <w:fldChar w:fldCharType="separate"/>
        </w:r>
        <w:r w:rsidR="001B3E9B">
          <w:rPr>
            <w:noProof/>
            <w:webHidden/>
          </w:rPr>
          <w:t>44</w:t>
        </w:r>
        <w:r w:rsidR="001B3E9B">
          <w:rPr>
            <w:noProof/>
            <w:webHidden/>
          </w:rPr>
          <w:fldChar w:fldCharType="end"/>
        </w:r>
      </w:hyperlink>
    </w:p>
    <w:p w14:paraId="0DDB8411" w14:textId="698CFA6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0" w:history="1">
        <w:r w:rsidR="001B3E9B" w:rsidRPr="00AD67AB">
          <w:rPr>
            <w:rStyle w:val="Hiperpovezava"/>
            <w:rFonts w:eastAsia="Calibri"/>
            <w:noProof/>
          </w:rPr>
          <w:t>Slika 28: Št. GERK-ov na KMG in povprečna velikost GERK-ov glede na nadmorsko višino sedeža KMG, ki so oddali zbirno vlogo za leto 2019, za Slovenijo (n= 56.652)</w:t>
        </w:r>
        <w:r w:rsidR="001B3E9B">
          <w:rPr>
            <w:noProof/>
            <w:webHidden/>
          </w:rPr>
          <w:tab/>
        </w:r>
        <w:r w:rsidR="001B3E9B">
          <w:rPr>
            <w:noProof/>
            <w:webHidden/>
          </w:rPr>
          <w:fldChar w:fldCharType="begin"/>
        </w:r>
        <w:r w:rsidR="001B3E9B">
          <w:rPr>
            <w:noProof/>
            <w:webHidden/>
          </w:rPr>
          <w:instrText xml:space="preserve"> PAGEREF _Toc89851070 \h </w:instrText>
        </w:r>
        <w:r w:rsidR="001B3E9B">
          <w:rPr>
            <w:noProof/>
            <w:webHidden/>
          </w:rPr>
        </w:r>
        <w:r w:rsidR="001B3E9B">
          <w:rPr>
            <w:noProof/>
            <w:webHidden/>
          </w:rPr>
          <w:fldChar w:fldCharType="separate"/>
        </w:r>
        <w:r w:rsidR="001B3E9B">
          <w:rPr>
            <w:noProof/>
            <w:webHidden/>
          </w:rPr>
          <w:t>45</w:t>
        </w:r>
        <w:r w:rsidR="001B3E9B">
          <w:rPr>
            <w:noProof/>
            <w:webHidden/>
          </w:rPr>
          <w:fldChar w:fldCharType="end"/>
        </w:r>
      </w:hyperlink>
    </w:p>
    <w:p w14:paraId="396642F0" w14:textId="109A8A9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1" w:history="1">
        <w:r w:rsidR="001B3E9B" w:rsidRPr="00AD67AB">
          <w:rPr>
            <w:rStyle w:val="Hiperpovezava"/>
            <w:rFonts w:eastAsia="Calibri"/>
            <w:noProof/>
          </w:rPr>
          <w:t>Slika 29: Št. GERK-ov na KMG in povprečna velikost GERK-ov glede na združen tip kmetovanja iz Standardnega prihodka za leto 2014 in površin GERK-ov za leto 2015 (n=87.306)</w:t>
        </w:r>
        <w:r w:rsidR="001B3E9B">
          <w:rPr>
            <w:noProof/>
            <w:webHidden/>
          </w:rPr>
          <w:tab/>
        </w:r>
        <w:r w:rsidR="001B3E9B">
          <w:rPr>
            <w:noProof/>
            <w:webHidden/>
          </w:rPr>
          <w:fldChar w:fldCharType="begin"/>
        </w:r>
        <w:r w:rsidR="001B3E9B">
          <w:rPr>
            <w:noProof/>
            <w:webHidden/>
          </w:rPr>
          <w:instrText xml:space="preserve"> PAGEREF _Toc89851071 \h </w:instrText>
        </w:r>
        <w:r w:rsidR="001B3E9B">
          <w:rPr>
            <w:noProof/>
            <w:webHidden/>
          </w:rPr>
        </w:r>
        <w:r w:rsidR="001B3E9B">
          <w:rPr>
            <w:noProof/>
            <w:webHidden/>
          </w:rPr>
          <w:fldChar w:fldCharType="separate"/>
        </w:r>
        <w:r w:rsidR="001B3E9B">
          <w:rPr>
            <w:noProof/>
            <w:webHidden/>
          </w:rPr>
          <w:t>46</w:t>
        </w:r>
        <w:r w:rsidR="001B3E9B">
          <w:rPr>
            <w:noProof/>
            <w:webHidden/>
          </w:rPr>
          <w:fldChar w:fldCharType="end"/>
        </w:r>
      </w:hyperlink>
    </w:p>
    <w:p w14:paraId="2322C4F6" w14:textId="751E618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2" w:history="1">
        <w:r w:rsidR="001B3E9B" w:rsidRPr="00AD67AB">
          <w:rPr>
            <w:rStyle w:val="Hiperpovezava"/>
            <w:rFonts w:eastAsia="Calibri"/>
            <w:noProof/>
            <w:lang w:val="en-GB"/>
          </w:rPr>
          <w:t xml:space="preserve">Slika </w:t>
        </w:r>
        <w:r w:rsidR="001B3E9B" w:rsidRPr="00AD67AB">
          <w:rPr>
            <w:rStyle w:val="Hiperpovezava"/>
            <w:rFonts w:eastAsia="Calibri"/>
            <w:noProof/>
          </w:rPr>
          <w:t>30: Prostorska razporeditev izvedenih komasacij v programskem obdobju 2007–2013</w:t>
        </w:r>
        <w:r w:rsidR="001B3E9B">
          <w:rPr>
            <w:noProof/>
            <w:webHidden/>
          </w:rPr>
          <w:tab/>
        </w:r>
        <w:r w:rsidR="001B3E9B">
          <w:rPr>
            <w:noProof/>
            <w:webHidden/>
          </w:rPr>
          <w:fldChar w:fldCharType="begin"/>
        </w:r>
        <w:r w:rsidR="001B3E9B">
          <w:rPr>
            <w:noProof/>
            <w:webHidden/>
          </w:rPr>
          <w:instrText xml:space="preserve"> PAGEREF _Toc89851072 \h </w:instrText>
        </w:r>
        <w:r w:rsidR="001B3E9B">
          <w:rPr>
            <w:noProof/>
            <w:webHidden/>
          </w:rPr>
        </w:r>
        <w:r w:rsidR="001B3E9B">
          <w:rPr>
            <w:noProof/>
            <w:webHidden/>
          </w:rPr>
          <w:fldChar w:fldCharType="separate"/>
        </w:r>
        <w:r w:rsidR="001B3E9B">
          <w:rPr>
            <w:noProof/>
            <w:webHidden/>
          </w:rPr>
          <w:t>46</w:t>
        </w:r>
        <w:r w:rsidR="001B3E9B">
          <w:rPr>
            <w:noProof/>
            <w:webHidden/>
          </w:rPr>
          <w:fldChar w:fldCharType="end"/>
        </w:r>
      </w:hyperlink>
    </w:p>
    <w:p w14:paraId="07EAC7B2" w14:textId="7CC455DB"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3" w:history="1">
        <w:r w:rsidR="001B3E9B" w:rsidRPr="00AD67AB">
          <w:rPr>
            <w:rStyle w:val="Hiperpovezava"/>
            <w:rFonts w:eastAsia="Calibri"/>
            <w:noProof/>
          </w:rPr>
          <w:t>Slika 31: Evidentirano število kupoprodaj in prodane površine za kmetijska in gozdna zemljišča (v hektarih), Slovenija, 2011–2019</w:t>
        </w:r>
        <w:r w:rsidR="001B3E9B">
          <w:rPr>
            <w:noProof/>
            <w:webHidden/>
          </w:rPr>
          <w:tab/>
        </w:r>
        <w:r w:rsidR="001B3E9B">
          <w:rPr>
            <w:noProof/>
            <w:webHidden/>
          </w:rPr>
          <w:fldChar w:fldCharType="begin"/>
        </w:r>
        <w:r w:rsidR="001B3E9B">
          <w:rPr>
            <w:noProof/>
            <w:webHidden/>
          </w:rPr>
          <w:instrText xml:space="preserve"> PAGEREF _Toc89851073 \h </w:instrText>
        </w:r>
        <w:r w:rsidR="001B3E9B">
          <w:rPr>
            <w:noProof/>
            <w:webHidden/>
          </w:rPr>
        </w:r>
        <w:r w:rsidR="001B3E9B">
          <w:rPr>
            <w:noProof/>
            <w:webHidden/>
          </w:rPr>
          <w:fldChar w:fldCharType="separate"/>
        </w:r>
        <w:r w:rsidR="001B3E9B">
          <w:rPr>
            <w:noProof/>
            <w:webHidden/>
          </w:rPr>
          <w:t>48</w:t>
        </w:r>
        <w:r w:rsidR="001B3E9B">
          <w:rPr>
            <w:noProof/>
            <w:webHidden/>
          </w:rPr>
          <w:fldChar w:fldCharType="end"/>
        </w:r>
      </w:hyperlink>
    </w:p>
    <w:p w14:paraId="54FB9F3A" w14:textId="4AB6A07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4" w:history="1">
        <w:r w:rsidR="001B3E9B" w:rsidRPr="00AD67AB">
          <w:rPr>
            <w:rStyle w:val="Hiperpovezava"/>
            <w:rFonts w:eastAsia="Calibri"/>
            <w:noProof/>
          </w:rPr>
          <w:t>Slika 32: Gibanje hektarskih donosov pri nekaterih ključnih kulturah v rastlinski pridelavi 2005–2018</w:t>
        </w:r>
        <w:r w:rsidR="001B3E9B">
          <w:rPr>
            <w:noProof/>
            <w:webHidden/>
          </w:rPr>
          <w:tab/>
        </w:r>
        <w:r w:rsidR="001B3E9B">
          <w:rPr>
            <w:noProof/>
            <w:webHidden/>
          </w:rPr>
          <w:fldChar w:fldCharType="begin"/>
        </w:r>
        <w:r w:rsidR="001B3E9B">
          <w:rPr>
            <w:noProof/>
            <w:webHidden/>
          </w:rPr>
          <w:instrText xml:space="preserve"> PAGEREF _Toc89851074 \h </w:instrText>
        </w:r>
        <w:r w:rsidR="001B3E9B">
          <w:rPr>
            <w:noProof/>
            <w:webHidden/>
          </w:rPr>
        </w:r>
        <w:r w:rsidR="001B3E9B">
          <w:rPr>
            <w:noProof/>
            <w:webHidden/>
          </w:rPr>
          <w:fldChar w:fldCharType="separate"/>
        </w:r>
        <w:r w:rsidR="001B3E9B">
          <w:rPr>
            <w:noProof/>
            <w:webHidden/>
          </w:rPr>
          <w:t>50</w:t>
        </w:r>
        <w:r w:rsidR="001B3E9B">
          <w:rPr>
            <w:noProof/>
            <w:webHidden/>
          </w:rPr>
          <w:fldChar w:fldCharType="end"/>
        </w:r>
      </w:hyperlink>
    </w:p>
    <w:p w14:paraId="54184A50" w14:textId="1242A32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5" w:history="1">
        <w:r w:rsidR="001B3E9B" w:rsidRPr="00AD67AB">
          <w:rPr>
            <w:rStyle w:val="Hiperpovezava"/>
            <w:rFonts w:eastAsia="Calibri"/>
            <w:noProof/>
          </w:rPr>
          <w:t>Slika 33: Gibanje hektarskih donosov pri nekaterih vrstah sadja, 2005–2018</w:t>
        </w:r>
        <w:r w:rsidR="001B3E9B">
          <w:rPr>
            <w:noProof/>
            <w:webHidden/>
          </w:rPr>
          <w:tab/>
        </w:r>
        <w:r w:rsidR="001B3E9B">
          <w:rPr>
            <w:noProof/>
            <w:webHidden/>
          </w:rPr>
          <w:fldChar w:fldCharType="begin"/>
        </w:r>
        <w:r w:rsidR="001B3E9B">
          <w:rPr>
            <w:noProof/>
            <w:webHidden/>
          </w:rPr>
          <w:instrText xml:space="preserve"> PAGEREF _Toc89851075 \h </w:instrText>
        </w:r>
        <w:r w:rsidR="001B3E9B">
          <w:rPr>
            <w:noProof/>
            <w:webHidden/>
          </w:rPr>
        </w:r>
        <w:r w:rsidR="001B3E9B">
          <w:rPr>
            <w:noProof/>
            <w:webHidden/>
          </w:rPr>
          <w:fldChar w:fldCharType="separate"/>
        </w:r>
        <w:r w:rsidR="001B3E9B">
          <w:rPr>
            <w:noProof/>
            <w:webHidden/>
          </w:rPr>
          <w:t>50</w:t>
        </w:r>
        <w:r w:rsidR="001B3E9B">
          <w:rPr>
            <w:noProof/>
            <w:webHidden/>
          </w:rPr>
          <w:fldChar w:fldCharType="end"/>
        </w:r>
      </w:hyperlink>
    </w:p>
    <w:p w14:paraId="42E7BB86" w14:textId="43FA700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6" w:history="1">
        <w:r w:rsidR="001B3E9B" w:rsidRPr="00AD67AB">
          <w:rPr>
            <w:rStyle w:val="Hiperpovezava"/>
            <w:rFonts w:eastAsia="Calibri"/>
            <w:noProof/>
          </w:rPr>
          <w:t>Slika 34: Bruto dodana vrednost na hektar KZU, v EUR, 2016</w:t>
        </w:r>
        <w:r w:rsidR="001B3E9B">
          <w:rPr>
            <w:noProof/>
            <w:webHidden/>
          </w:rPr>
          <w:tab/>
        </w:r>
        <w:r w:rsidR="001B3E9B">
          <w:rPr>
            <w:noProof/>
            <w:webHidden/>
          </w:rPr>
          <w:fldChar w:fldCharType="begin"/>
        </w:r>
        <w:r w:rsidR="001B3E9B">
          <w:rPr>
            <w:noProof/>
            <w:webHidden/>
          </w:rPr>
          <w:instrText xml:space="preserve"> PAGEREF _Toc89851076 \h </w:instrText>
        </w:r>
        <w:r w:rsidR="001B3E9B">
          <w:rPr>
            <w:noProof/>
            <w:webHidden/>
          </w:rPr>
        </w:r>
        <w:r w:rsidR="001B3E9B">
          <w:rPr>
            <w:noProof/>
            <w:webHidden/>
          </w:rPr>
          <w:fldChar w:fldCharType="separate"/>
        </w:r>
        <w:r w:rsidR="001B3E9B">
          <w:rPr>
            <w:noProof/>
            <w:webHidden/>
          </w:rPr>
          <w:t>50</w:t>
        </w:r>
        <w:r w:rsidR="001B3E9B">
          <w:rPr>
            <w:noProof/>
            <w:webHidden/>
          </w:rPr>
          <w:fldChar w:fldCharType="end"/>
        </w:r>
      </w:hyperlink>
    </w:p>
    <w:p w14:paraId="4F11E310" w14:textId="20F9324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7" w:history="1">
        <w:r w:rsidR="001B3E9B" w:rsidRPr="00AD67AB">
          <w:rPr>
            <w:rStyle w:val="Hiperpovezava"/>
            <w:rFonts w:eastAsia="Calibri"/>
            <w:noProof/>
            <w:lang w:eastAsia="sl-SI"/>
          </w:rPr>
          <w:t>Slika 35: Prihodkovno-stroškovna struktura podjetniškega dohodka, 2005</w:t>
        </w:r>
        <w:r w:rsidR="001B3E9B" w:rsidRPr="00AD67AB">
          <w:rPr>
            <w:rStyle w:val="Hiperpovezava"/>
            <w:rFonts w:eastAsia="Calibri"/>
            <w:bCs/>
            <w:noProof/>
            <w:lang w:eastAsia="sl-SI"/>
          </w:rPr>
          <w:t>–</w:t>
        </w:r>
        <w:r w:rsidR="001B3E9B" w:rsidRPr="00AD67AB">
          <w:rPr>
            <w:rStyle w:val="Hiperpovezava"/>
            <w:rFonts w:eastAsia="Calibri"/>
            <w:noProof/>
            <w:lang w:eastAsia="sl-SI"/>
          </w:rPr>
          <w:t>2018, Slovenija, (realne cene), mio EUR</w:t>
        </w:r>
        <w:r w:rsidR="001B3E9B">
          <w:rPr>
            <w:noProof/>
            <w:webHidden/>
          </w:rPr>
          <w:tab/>
        </w:r>
        <w:r w:rsidR="001B3E9B">
          <w:rPr>
            <w:noProof/>
            <w:webHidden/>
          </w:rPr>
          <w:fldChar w:fldCharType="begin"/>
        </w:r>
        <w:r w:rsidR="001B3E9B">
          <w:rPr>
            <w:noProof/>
            <w:webHidden/>
          </w:rPr>
          <w:instrText xml:space="preserve"> PAGEREF _Toc89851077 \h </w:instrText>
        </w:r>
        <w:r w:rsidR="001B3E9B">
          <w:rPr>
            <w:noProof/>
            <w:webHidden/>
          </w:rPr>
        </w:r>
        <w:r w:rsidR="001B3E9B">
          <w:rPr>
            <w:noProof/>
            <w:webHidden/>
          </w:rPr>
          <w:fldChar w:fldCharType="separate"/>
        </w:r>
        <w:r w:rsidR="001B3E9B">
          <w:rPr>
            <w:noProof/>
            <w:webHidden/>
          </w:rPr>
          <w:t>52</w:t>
        </w:r>
        <w:r w:rsidR="001B3E9B">
          <w:rPr>
            <w:noProof/>
            <w:webHidden/>
          </w:rPr>
          <w:fldChar w:fldCharType="end"/>
        </w:r>
      </w:hyperlink>
    </w:p>
    <w:p w14:paraId="7C40BF6A" w14:textId="711D9C9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8" w:history="1">
        <w:r w:rsidR="001B3E9B" w:rsidRPr="00AD67AB">
          <w:rPr>
            <w:rStyle w:val="Hiperpovezava"/>
            <w:rFonts w:eastAsia="Calibri"/>
            <w:noProof/>
          </w:rPr>
          <w:t>Slika 36: Delež vmesne potrošnje v celotni kmetijski proizvodnji (v stalnih cenah, 2005=100), Slovenija in EU-28, 2005–2016</w:t>
        </w:r>
        <w:r w:rsidR="001B3E9B">
          <w:rPr>
            <w:noProof/>
            <w:webHidden/>
          </w:rPr>
          <w:tab/>
        </w:r>
        <w:r w:rsidR="001B3E9B">
          <w:rPr>
            <w:noProof/>
            <w:webHidden/>
          </w:rPr>
          <w:fldChar w:fldCharType="begin"/>
        </w:r>
        <w:r w:rsidR="001B3E9B">
          <w:rPr>
            <w:noProof/>
            <w:webHidden/>
          </w:rPr>
          <w:instrText xml:space="preserve"> PAGEREF _Toc89851078 \h </w:instrText>
        </w:r>
        <w:r w:rsidR="001B3E9B">
          <w:rPr>
            <w:noProof/>
            <w:webHidden/>
          </w:rPr>
        </w:r>
        <w:r w:rsidR="001B3E9B">
          <w:rPr>
            <w:noProof/>
            <w:webHidden/>
          </w:rPr>
          <w:fldChar w:fldCharType="separate"/>
        </w:r>
        <w:r w:rsidR="001B3E9B">
          <w:rPr>
            <w:noProof/>
            <w:webHidden/>
          </w:rPr>
          <w:t>52</w:t>
        </w:r>
        <w:r w:rsidR="001B3E9B">
          <w:rPr>
            <w:noProof/>
            <w:webHidden/>
          </w:rPr>
          <w:fldChar w:fldCharType="end"/>
        </w:r>
      </w:hyperlink>
    </w:p>
    <w:p w14:paraId="5AFC4735" w14:textId="49BC2A3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79" w:history="1">
        <w:r w:rsidR="001B3E9B" w:rsidRPr="00AD67AB">
          <w:rPr>
            <w:rStyle w:val="Hiperpovezava"/>
            <w:rFonts w:eastAsia="Calibri"/>
            <w:noProof/>
            <w:lang w:eastAsia="en-US"/>
          </w:rPr>
          <w:t>Slika 37: Delež vmesne potrošnje v kmetijski proizvodnji, EU, leto 2019, v tekočih cenah</w:t>
        </w:r>
        <w:r w:rsidR="001B3E9B">
          <w:rPr>
            <w:noProof/>
            <w:webHidden/>
          </w:rPr>
          <w:tab/>
        </w:r>
        <w:r w:rsidR="001B3E9B">
          <w:rPr>
            <w:noProof/>
            <w:webHidden/>
          </w:rPr>
          <w:fldChar w:fldCharType="begin"/>
        </w:r>
        <w:r w:rsidR="001B3E9B">
          <w:rPr>
            <w:noProof/>
            <w:webHidden/>
          </w:rPr>
          <w:instrText xml:space="preserve"> PAGEREF _Toc89851079 \h </w:instrText>
        </w:r>
        <w:r w:rsidR="001B3E9B">
          <w:rPr>
            <w:noProof/>
            <w:webHidden/>
          </w:rPr>
        </w:r>
        <w:r w:rsidR="001B3E9B">
          <w:rPr>
            <w:noProof/>
            <w:webHidden/>
          </w:rPr>
          <w:fldChar w:fldCharType="separate"/>
        </w:r>
        <w:r w:rsidR="001B3E9B">
          <w:rPr>
            <w:noProof/>
            <w:webHidden/>
          </w:rPr>
          <w:t>53</w:t>
        </w:r>
        <w:r w:rsidR="001B3E9B">
          <w:rPr>
            <w:noProof/>
            <w:webHidden/>
          </w:rPr>
          <w:fldChar w:fldCharType="end"/>
        </w:r>
      </w:hyperlink>
    </w:p>
    <w:p w14:paraId="1B44A648" w14:textId="2D44FF4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0" w:history="1">
        <w:r w:rsidR="001B3E9B" w:rsidRPr="00AD67AB">
          <w:rPr>
            <w:rStyle w:val="Hiperpovezava"/>
            <w:rFonts w:eastAsia="Calibri"/>
            <w:noProof/>
            <w:lang w:eastAsia="en-US"/>
          </w:rPr>
          <w:t>Slika 38: Indeks obsega kmetijske proizvodnje in vmesne potrošnje, Slovenija in EU-28, 2005-2019, v stalnih cenah (2005=100)</w:t>
        </w:r>
        <w:r w:rsidR="001B3E9B">
          <w:rPr>
            <w:noProof/>
            <w:webHidden/>
          </w:rPr>
          <w:tab/>
        </w:r>
        <w:r w:rsidR="001B3E9B">
          <w:rPr>
            <w:noProof/>
            <w:webHidden/>
          </w:rPr>
          <w:fldChar w:fldCharType="begin"/>
        </w:r>
        <w:r w:rsidR="001B3E9B">
          <w:rPr>
            <w:noProof/>
            <w:webHidden/>
          </w:rPr>
          <w:instrText xml:space="preserve"> PAGEREF _Toc89851080 \h </w:instrText>
        </w:r>
        <w:r w:rsidR="001B3E9B">
          <w:rPr>
            <w:noProof/>
            <w:webHidden/>
          </w:rPr>
        </w:r>
        <w:r w:rsidR="001B3E9B">
          <w:rPr>
            <w:noProof/>
            <w:webHidden/>
          </w:rPr>
          <w:fldChar w:fldCharType="separate"/>
        </w:r>
        <w:r w:rsidR="001B3E9B">
          <w:rPr>
            <w:noProof/>
            <w:webHidden/>
          </w:rPr>
          <w:t>54</w:t>
        </w:r>
        <w:r w:rsidR="001B3E9B">
          <w:rPr>
            <w:noProof/>
            <w:webHidden/>
          </w:rPr>
          <w:fldChar w:fldCharType="end"/>
        </w:r>
      </w:hyperlink>
    </w:p>
    <w:p w14:paraId="33ABCC75" w14:textId="1588903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1" w:history="1">
        <w:r w:rsidR="001B3E9B" w:rsidRPr="00AD67AB">
          <w:rPr>
            <w:rStyle w:val="Hiperpovezava"/>
            <w:rFonts w:eastAsia="Calibri"/>
            <w:noProof/>
          </w:rPr>
          <w:t xml:space="preserve">Slika 39: </w:t>
        </w:r>
        <w:r w:rsidR="001B3E9B" w:rsidRPr="00AD67AB">
          <w:rPr>
            <w:rStyle w:val="Hiperpovezava"/>
            <w:rFonts w:eastAsia="Calibri"/>
            <w:noProof/>
            <w:lang w:val="en-US"/>
          </w:rPr>
          <w:t>Razmerje med</w:t>
        </w:r>
        <w:r w:rsidR="001B3E9B" w:rsidRPr="00AD67AB">
          <w:rPr>
            <w:rStyle w:val="Hiperpovezava"/>
            <w:rFonts w:eastAsia="Calibri"/>
            <w:noProof/>
          </w:rPr>
          <w:t xml:space="preserve"> bruto dodano vrednostjo in vmesno potrošnjo, 2019, EU, v EUR, v tekočih cenah</w:t>
        </w:r>
        <w:r w:rsidR="001B3E9B">
          <w:rPr>
            <w:noProof/>
            <w:webHidden/>
          </w:rPr>
          <w:tab/>
        </w:r>
        <w:r w:rsidR="001B3E9B">
          <w:rPr>
            <w:noProof/>
            <w:webHidden/>
          </w:rPr>
          <w:fldChar w:fldCharType="begin"/>
        </w:r>
        <w:r w:rsidR="001B3E9B">
          <w:rPr>
            <w:noProof/>
            <w:webHidden/>
          </w:rPr>
          <w:instrText xml:space="preserve"> PAGEREF _Toc89851081 \h </w:instrText>
        </w:r>
        <w:r w:rsidR="001B3E9B">
          <w:rPr>
            <w:noProof/>
            <w:webHidden/>
          </w:rPr>
        </w:r>
        <w:r w:rsidR="001B3E9B">
          <w:rPr>
            <w:noProof/>
            <w:webHidden/>
          </w:rPr>
          <w:fldChar w:fldCharType="separate"/>
        </w:r>
        <w:r w:rsidR="001B3E9B">
          <w:rPr>
            <w:noProof/>
            <w:webHidden/>
          </w:rPr>
          <w:t>55</w:t>
        </w:r>
        <w:r w:rsidR="001B3E9B">
          <w:rPr>
            <w:noProof/>
            <w:webHidden/>
          </w:rPr>
          <w:fldChar w:fldCharType="end"/>
        </w:r>
      </w:hyperlink>
    </w:p>
    <w:p w14:paraId="60CF7619" w14:textId="23804A7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2" w:history="1">
        <w:r w:rsidR="001B3E9B" w:rsidRPr="00AD67AB">
          <w:rPr>
            <w:rStyle w:val="Hiperpovezava"/>
            <w:rFonts w:eastAsia="Calibri"/>
            <w:noProof/>
          </w:rPr>
          <w:t xml:space="preserve">Slika 40: Vložek dela (PDM/KMG), obseg KZU na kmetijsko gospodarstvo po ekonomskih velikostnih razredih in tipih kmetovanja </w:t>
        </w:r>
        <w:r w:rsidR="001B3E9B" w:rsidRPr="00AD67AB">
          <w:rPr>
            <w:rStyle w:val="Hiperpovezava"/>
            <w:rFonts w:eastAsia="Calibri"/>
            <w:i/>
            <w:noProof/>
          </w:rPr>
          <w:t xml:space="preserve">za </w:t>
        </w:r>
        <w:r w:rsidR="001B3E9B" w:rsidRPr="00AD67AB">
          <w:rPr>
            <w:rStyle w:val="Hiperpovezava"/>
            <w:rFonts w:eastAsia="Calibri"/>
            <w:noProof/>
          </w:rPr>
          <w:t>uteženo obdobje 2015–2019 (uteženi FADN podatki)</w:t>
        </w:r>
        <w:r w:rsidR="001B3E9B">
          <w:rPr>
            <w:noProof/>
            <w:webHidden/>
          </w:rPr>
          <w:tab/>
        </w:r>
        <w:r w:rsidR="001B3E9B">
          <w:rPr>
            <w:noProof/>
            <w:webHidden/>
          </w:rPr>
          <w:fldChar w:fldCharType="begin"/>
        </w:r>
        <w:r w:rsidR="001B3E9B">
          <w:rPr>
            <w:noProof/>
            <w:webHidden/>
          </w:rPr>
          <w:instrText xml:space="preserve"> PAGEREF _Toc89851082 \h </w:instrText>
        </w:r>
        <w:r w:rsidR="001B3E9B">
          <w:rPr>
            <w:noProof/>
            <w:webHidden/>
          </w:rPr>
        </w:r>
        <w:r w:rsidR="001B3E9B">
          <w:rPr>
            <w:noProof/>
            <w:webHidden/>
          </w:rPr>
          <w:fldChar w:fldCharType="separate"/>
        </w:r>
        <w:r w:rsidR="001B3E9B">
          <w:rPr>
            <w:noProof/>
            <w:webHidden/>
          </w:rPr>
          <w:t>58</w:t>
        </w:r>
        <w:r w:rsidR="001B3E9B">
          <w:rPr>
            <w:noProof/>
            <w:webHidden/>
          </w:rPr>
          <w:fldChar w:fldCharType="end"/>
        </w:r>
      </w:hyperlink>
    </w:p>
    <w:p w14:paraId="11F295DF" w14:textId="5E25A2A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3" w:history="1">
        <w:r w:rsidR="001B3E9B" w:rsidRPr="00AD67AB">
          <w:rPr>
            <w:rStyle w:val="Hiperpovezava"/>
            <w:rFonts w:eastAsia="Calibri"/>
            <w:noProof/>
          </w:rPr>
          <w:t>Slika 41:</w:t>
        </w:r>
        <w:r w:rsidR="001B3E9B" w:rsidRPr="00AD67AB">
          <w:rPr>
            <w:rStyle w:val="Hiperpovezava"/>
            <w:rFonts w:eastAsia="Calibri"/>
            <w:b/>
            <w:noProof/>
          </w:rPr>
          <w:t xml:space="preserve"> </w:t>
        </w:r>
        <w:r w:rsidR="001B3E9B" w:rsidRPr="00AD67AB">
          <w:rPr>
            <w:rStyle w:val="Hiperpovezava"/>
            <w:rFonts w:eastAsia="Calibri"/>
            <w:noProof/>
          </w:rPr>
          <w:t>Bruto in neto dodana vrednost na ha KZU po ekonomskih velikostnih razredih (iz FADN vzorca)</w:t>
        </w:r>
        <w:r w:rsidR="001B3E9B">
          <w:rPr>
            <w:noProof/>
            <w:webHidden/>
          </w:rPr>
          <w:tab/>
        </w:r>
        <w:r w:rsidR="001B3E9B">
          <w:rPr>
            <w:noProof/>
            <w:webHidden/>
          </w:rPr>
          <w:fldChar w:fldCharType="begin"/>
        </w:r>
        <w:r w:rsidR="001B3E9B">
          <w:rPr>
            <w:noProof/>
            <w:webHidden/>
          </w:rPr>
          <w:instrText xml:space="preserve"> PAGEREF _Toc89851083 \h </w:instrText>
        </w:r>
        <w:r w:rsidR="001B3E9B">
          <w:rPr>
            <w:noProof/>
            <w:webHidden/>
          </w:rPr>
        </w:r>
        <w:r w:rsidR="001B3E9B">
          <w:rPr>
            <w:noProof/>
            <w:webHidden/>
          </w:rPr>
          <w:fldChar w:fldCharType="separate"/>
        </w:r>
        <w:r w:rsidR="001B3E9B">
          <w:rPr>
            <w:noProof/>
            <w:webHidden/>
          </w:rPr>
          <w:t>59</w:t>
        </w:r>
        <w:r w:rsidR="001B3E9B">
          <w:rPr>
            <w:noProof/>
            <w:webHidden/>
          </w:rPr>
          <w:fldChar w:fldCharType="end"/>
        </w:r>
      </w:hyperlink>
    </w:p>
    <w:p w14:paraId="226C37FF" w14:textId="3358299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4" w:history="1">
        <w:r w:rsidR="001B3E9B" w:rsidRPr="00AD67AB">
          <w:rPr>
            <w:rStyle w:val="Hiperpovezava"/>
            <w:rFonts w:eastAsia="Calibri"/>
            <w:noProof/>
          </w:rPr>
          <w:t>Slika 42: Bruto in neto dodana vrednost na PDM po ekonomskih velikostnih razredih (iz FADN vzorca)</w:t>
        </w:r>
        <w:r w:rsidR="001B3E9B">
          <w:rPr>
            <w:noProof/>
            <w:webHidden/>
          </w:rPr>
          <w:tab/>
        </w:r>
        <w:r w:rsidR="001B3E9B">
          <w:rPr>
            <w:noProof/>
            <w:webHidden/>
          </w:rPr>
          <w:fldChar w:fldCharType="begin"/>
        </w:r>
        <w:r w:rsidR="001B3E9B">
          <w:rPr>
            <w:noProof/>
            <w:webHidden/>
          </w:rPr>
          <w:instrText xml:space="preserve"> PAGEREF _Toc89851084 \h </w:instrText>
        </w:r>
        <w:r w:rsidR="001B3E9B">
          <w:rPr>
            <w:noProof/>
            <w:webHidden/>
          </w:rPr>
        </w:r>
        <w:r w:rsidR="001B3E9B">
          <w:rPr>
            <w:noProof/>
            <w:webHidden/>
          </w:rPr>
          <w:fldChar w:fldCharType="separate"/>
        </w:r>
        <w:r w:rsidR="001B3E9B">
          <w:rPr>
            <w:noProof/>
            <w:webHidden/>
          </w:rPr>
          <w:t>60</w:t>
        </w:r>
        <w:r w:rsidR="001B3E9B">
          <w:rPr>
            <w:noProof/>
            <w:webHidden/>
          </w:rPr>
          <w:fldChar w:fldCharType="end"/>
        </w:r>
      </w:hyperlink>
    </w:p>
    <w:p w14:paraId="2CACFD04" w14:textId="2BB4FF9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5" w:history="1">
        <w:r w:rsidR="001B3E9B" w:rsidRPr="00AD67AB">
          <w:rPr>
            <w:rStyle w:val="Hiperpovezava"/>
            <w:rFonts w:eastAsia="Calibri"/>
            <w:noProof/>
          </w:rPr>
          <w:t>Slika 43:</w:t>
        </w:r>
        <w:r w:rsidR="001B3E9B" w:rsidRPr="00AD67AB">
          <w:rPr>
            <w:rStyle w:val="Hiperpovezava"/>
            <w:rFonts w:eastAsia="Calibri"/>
            <w:b/>
            <w:noProof/>
          </w:rPr>
          <w:t xml:space="preserve"> </w:t>
        </w:r>
        <w:r w:rsidR="001B3E9B" w:rsidRPr="00AD67AB">
          <w:rPr>
            <w:rStyle w:val="Hiperpovezava"/>
            <w:rFonts w:eastAsia="Calibri"/>
            <w:noProof/>
          </w:rPr>
          <w:t>Bruto in neto dodana vrednost na PDM po velikostnih razredih KZU (iz FADN vzorca)</w:t>
        </w:r>
        <w:r w:rsidR="001B3E9B">
          <w:rPr>
            <w:noProof/>
            <w:webHidden/>
          </w:rPr>
          <w:tab/>
        </w:r>
        <w:r w:rsidR="001B3E9B">
          <w:rPr>
            <w:noProof/>
            <w:webHidden/>
          </w:rPr>
          <w:fldChar w:fldCharType="begin"/>
        </w:r>
        <w:r w:rsidR="001B3E9B">
          <w:rPr>
            <w:noProof/>
            <w:webHidden/>
          </w:rPr>
          <w:instrText xml:space="preserve"> PAGEREF _Toc89851085 \h </w:instrText>
        </w:r>
        <w:r w:rsidR="001B3E9B">
          <w:rPr>
            <w:noProof/>
            <w:webHidden/>
          </w:rPr>
        </w:r>
        <w:r w:rsidR="001B3E9B">
          <w:rPr>
            <w:noProof/>
            <w:webHidden/>
          </w:rPr>
          <w:fldChar w:fldCharType="separate"/>
        </w:r>
        <w:r w:rsidR="001B3E9B">
          <w:rPr>
            <w:noProof/>
            <w:webHidden/>
          </w:rPr>
          <w:t>61</w:t>
        </w:r>
        <w:r w:rsidR="001B3E9B">
          <w:rPr>
            <w:noProof/>
            <w:webHidden/>
          </w:rPr>
          <w:fldChar w:fldCharType="end"/>
        </w:r>
      </w:hyperlink>
    </w:p>
    <w:p w14:paraId="037351F5" w14:textId="31240DB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6" w:history="1">
        <w:r w:rsidR="001B3E9B" w:rsidRPr="00AD67AB">
          <w:rPr>
            <w:rStyle w:val="Hiperpovezava"/>
            <w:rFonts w:eastAsia="Calibri"/>
            <w:noProof/>
          </w:rPr>
          <w:t>Slika 44: Neto dodana vrednost kmetijskega gospodarstva na PDM (SE425) glede na težavnostna območja za Slovenijo v letih 2004–2018</w:t>
        </w:r>
        <w:r w:rsidR="001B3E9B">
          <w:rPr>
            <w:noProof/>
            <w:webHidden/>
          </w:rPr>
          <w:tab/>
        </w:r>
        <w:r w:rsidR="001B3E9B">
          <w:rPr>
            <w:noProof/>
            <w:webHidden/>
          </w:rPr>
          <w:fldChar w:fldCharType="begin"/>
        </w:r>
        <w:r w:rsidR="001B3E9B">
          <w:rPr>
            <w:noProof/>
            <w:webHidden/>
          </w:rPr>
          <w:instrText xml:space="preserve"> PAGEREF _Toc89851086 \h </w:instrText>
        </w:r>
        <w:r w:rsidR="001B3E9B">
          <w:rPr>
            <w:noProof/>
            <w:webHidden/>
          </w:rPr>
        </w:r>
        <w:r w:rsidR="001B3E9B">
          <w:rPr>
            <w:noProof/>
            <w:webHidden/>
          </w:rPr>
          <w:fldChar w:fldCharType="separate"/>
        </w:r>
        <w:r w:rsidR="001B3E9B">
          <w:rPr>
            <w:noProof/>
            <w:webHidden/>
          </w:rPr>
          <w:t>62</w:t>
        </w:r>
        <w:r w:rsidR="001B3E9B">
          <w:rPr>
            <w:noProof/>
            <w:webHidden/>
          </w:rPr>
          <w:fldChar w:fldCharType="end"/>
        </w:r>
      </w:hyperlink>
    </w:p>
    <w:p w14:paraId="7A1BCCC3" w14:textId="21C9EAA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7" w:history="1">
        <w:r w:rsidR="001B3E9B" w:rsidRPr="00AD67AB">
          <w:rPr>
            <w:rStyle w:val="Hiperpovezava"/>
            <w:rFonts w:eastAsia="Calibri"/>
            <w:noProof/>
          </w:rPr>
          <w:t>Slika 45: Število odobrenih vlog in celotna vrednost naložb po točkah OMD v okviru podukrepa M04.1 PRP 2014–2020, stanje 30. 4. 2020</w:t>
        </w:r>
        <w:r w:rsidR="001B3E9B">
          <w:rPr>
            <w:noProof/>
            <w:webHidden/>
          </w:rPr>
          <w:tab/>
        </w:r>
        <w:r w:rsidR="001B3E9B">
          <w:rPr>
            <w:noProof/>
            <w:webHidden/>
          </w:rPr>
          <w:fldChar w:fldCharType="begin"/>
        </w:r>
        <w:r w:rsidR="001B3E9B">
          <w:rPr>
            <w:noProof/>
            <w:webHidden/>
          </w:rPr>
          <w:instrText xml:space="preserve"> PAGEREF _Toc89851087 \h </w:instrText>
        </w:r>
        <w:r w:rsidR="001B3E9B">
          <w:rPr>
            <w:noProof/>
            <w:webHidden/>
          </w:rPr>
        </w:r>
        <w:r w:rsidR="001B3E9B">
          <w:rPr>
            <w:noProof/>
            <w:webHidden/>
          </w:rPr>
          <w:fldChar w:fldCharType="separate"/>
        </w:r>
        <w:r w:rsidR="001B3E9B">
          <w:rPr>
            <w:noProof/>
            <w:webHidden/>
          </w:rPr>
          <w:t>65</w:t>
        </w:r>
        <w:r w:rsidR="001B3E9B">
          <w:rPr>
            <w:noProof/>
            <w:webHidden/>
          </w:rPr>
          <w:fldChar w:fldCharType="end"/>
        </w:r>
      </w:hyperlink>
    </w:p>
    <w:p w14:paraId="178B4DDA" w14:textId="184FA0E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8" w:history="1">
        <w:r w:rsidR="001B3E9B" w:rsidRPr="00AD67AB">
          <w:rPr>
            <w:rStyle w:val="Hiperpovezava"/>
            <w:rFonts w:eastAsia="Calibri"/>
            <w:noProof/>
          </w:rPr>
          <w:t>Slika 46: Primerjava povprečnega števila ha KZU, števila GVŽ, PDM in PDM/ha KZU v sektorju govedoreje glede na OMD za podprte naložbe v okviru podukrepa M04.1 PRP 2014–2020 (stanje 30. 4. 2020)</w:t>
        </w:r>
        <w:r w:rsidR="001B3E9B">
          <w:rPr>
            <w:noProof/>
            <w:webHidden/>
          </w:rPr>
          <w:tab/>
        </w:r>
        <w:r w:rsidR="001B3E9B">
          <w:rPr>
            <w:noProof/>
            <w:webHidden/>
          </w:rPr>
          <w:fldChar w:fldCharType="begin"/>
        </w:r>
        <w:r w:rsidR="001B3E9B">
          <w:rPr>
            <w:noProof/>
            <w:webHidden/>
          </w:rPr>
          <w:instrText xml:space="preserve"> PAGEREF _Toc89851088 \h </w:instrText>
        </w:r>
        <w:r w:rsidR="001B3E9B">
          <w:rPr>
            <w:noProof/>
            <w:webHidden/>
          </w:rPr>
        </w:r>
        <w:r w:rsidR="001B3E9B">
          <w:rPr>
            <w:noProof/>
            <w:webHidden/>
          </w:rPr>
          <w:fldChar w:fldCharType="separate"/>
        </w:r>
        <w:r w:rsidR="001B3E9B">
          <w:rPr>
            <w:noProof/>
            <w:webHidden/>
          </w:rPr>
          <w:t>67</w:t>
        </w:r>
        <w:r w:rsidR="001B3E9B">
          <w:rPr>
            <w:noProof/>
            <w:webHidden/>
          </w:rPr>
          <w:fldChar w:fldCharType="end"/>
        </w:r>
      </w:hyperlink>
    </w:p>
    <w:p w14:paraId="56366528" w14:textId="467546A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89" w:history="1">
        <w:r w:rsidR="001B3E9B" w:rsidRPr="00AD67AB">
          <w:rPr>
            <w:rStyle w:val="Hiperpovezava"/>
            <w:rFonts w:eastAsia="Calibri"/>
            <w:noProof/>
          </w:rPr>
          <w:t xml:space="preserve">Slika 47: Lokacija naložb na KMG v okviru podukrepa </w:t>
        </w:r>
        <w:r w:rsidR="001B3E9B" w:rsidRPr="00AD67AB">
          <w:rPr>
            <w:rStyle w:val="Hiperpovezava"/>
            <w:rFonts w:eastAsia="Calibri"/>
            <w:bCs/>
            <w:noProof/>
          </w:rPr>
          <w:t>M0</w:t>
        </w:r>
        <w:r w:rsidR="001B3E9B" w:rsidRPr="00AD67AB">
          <w:rPr>
            <w:rStyle w:val="Hiperpovezava"/>
            <w:rFonts w:eastAsia="Calibri"/>
            <w:noProof/>
          </w:rPr>
          <w:t>4.1 PRP 2014–2020</w:t>
        </w:r>
        <w:r w:rsidR="001B3E9B">
          <w:rPr>
            <w:noProof/>
            <w:webHidden/>
          </w:rPr>
          <w:tab/>
        </w:r>
        <w:r w:rsidR="001B3E9B">
          <w:rPr>
            <w:noProof/>
            <w:webHidden/>
          </w:rPr>
          <w:fldChar w:fldCharType="begin"/>
        </w:r>
        <w:r w:rsidR="001B3E9B">
          <w:rPr>
            <w:noProof/>
            <w:webHidden/>
          </w:rPr>
          <w:instrText xml:space="preserve"> PAGEREF _Toc89851089 \h </w:instrText>
        </w:r>
        <w:r w:rsidR="001B3E9B">
          <w:rPr>
            <w:noProof/>
            <w:webHidden/>
          </w:rPr>
        </w:r>
        <w:r w:rsidR="001B3E9B">
          <w:rPr>
            <w:noProof/>
            <w:webHidden/>
          </w:rPr>
          <w:fldChar w:fldCharType="separate"/>
        </w:r>
        <w:r w:rsidR="001B3E9B">
          <w:rPr>
            <w:noProof/>
            <w:webHidden/>
          </w:rPr>
          <w:t>67</w:t>
        </w:r>
        <w:r w:rsidR="001B3E9B">
          <w:rPr>
            <w:noProof/>
            <w:webHidden/>
          </w:rPr>
          <w:fldChar w:fldCharType="end"/>
        </w:r>
      </w:hyperlink>
    </w:p>
    <w:p w14:paraId="7FD39BE0" w14:textId="21197CC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0" w:history="1">
        <w:r w:rsidR="001B3E9B" w:rsidRPr="00AD67AB">
          <w:rPr>
            <w:rStyle w:val="Hiperpovezava"/>
            <w:rFonts w:eastAsia="Calibri"/>
            <w:noProof/>
          </w:rPr>
          <w:t>Slika 48: Lokacija naložb iz podukrepa M04.1 v skupni višini do 100.000 EUR</w:t>
        </w:r>
        <w:r w:rsidR="001B3E9B">
          <w:rPr>
            <w:noProof/>
            <w:webHidden/>
          </w:rPr>
          <w:tab/>
        </w:r>
        <w:r w:rsidR="001B3E9B">
          <w:rPr>
            <w:noProof/>
            <w:webHidden/>
          </w:rPr>
          <w:fldChar w:fldCharType="begin"/>
        </w:r>
        <w:r w:rsidR="001B3E9B">
          <w:rPr>
            <w:noProof/>
            <w:webHidden/>
          </w:rPr>
          <w:instrText xml:space="preserve"> PAGEREF _Toc89851090 \h </w:instrText>
        </w:r>
        <w:r w:rsidR="001B3E9B">
          <w:rPr>
            <w:noProof/>
            <w:webHidden/>
          </w:rPr>
        </w:r>
        <w:r w:rsidR="001B3E9B">
          <w:rPr>
            <w:noProof/>
            <w:webHidden/>
          </w:rPr>
          <w:fldChar w:fldCharType="separate"/>
        </w:r>
        <w:r w:rsidR="001B3E9B">
          <w:rPr>
            <w:noProof/>
            <w:webHidden/>
          </w:rPr>
          <w:t>68</w:t>
        </w:r>
        <w:r w:rsidR="001B3E9B">
          <w:rPr>
            <w:noProof/>
            <w:webHidden/>
          </w:rPr>
          <w:fldChar w:fldCharType="end"/>
        </w:r>
      </w:hyperlink>
    </w:p>
    <w:p w14:paraId="740FD33D" w14:textId="48B289C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1" w:history="1">
        <w:r w:rsidR="001B3E9B" w:rsidRPr="00AD67AB">
          <w:rPr>
            <w:rStyle w:val="Hiperpovezava"/>
            <w:rFonts w:eastAsia="Calibri"/>
            <w:noProof/>
          </w:rPr>
          <w:t>Slika 49: Lokacija naložb iz podukrepa M04.1 v skupni višini  nad 100.000 EUR</w:t>
        </w:r>
        <w:r w:rsidR="001B3E9B">
          <w:rPr>
            <w:noProof/>
            <w:webHidden/>
          </w:rPr>
          <w:tab/>
        </w:r>
        <w:r w:rsidR="001B3E9B">
          <w:rPr>
            <w:noProof/>
            <w:webHidden/>
          </w:rPr>
          <w:fldChar w:fldCharType="begin"/>
        </w:r>
        <w:r w:rsidR="001B3E9B">
          <w:rPr>
            <w:noProof/>
            <w:webHidden/>
          </w:rPr>
          <w:instrText xml:space="preserve"> PAGEREF _Toc89851091 \h </w:instrText>
        </w:r>
        <w:r w:rsidR="001B3E9B">
          <w:rPr>
            <w:noProof/>
            <w:webHidden/>
          </w:rPr>
        </w:r>
        <w:r w:rsidR="001B3E9B">
          <w:rPr>
            <w:noProof/>
            <w:webHidden/>
          </w:rPr>
          <w:fldChar w:fldCharType="separate"/>
        </w:r>
        <w:r w:rsidR="001B3E9B">
          <w:rPr>
            <w:noProof/>
            <w:webHidden/>
          </w:rPr>
          <w:t>68</w:t>
        </w:r>
        <w:r w:rsidR="001B3E9B">
          <w:rPr>
            <w:noProof/>
            <w:webHidden/>
          </w:rPr>
          <w:fldChar w:fldCharType="end"/>
        </w:r>
      </w:hyperlink>
    </w:p>
    <w:p w14:paraId="1E27B689" w14:textId="6D6FE28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2" w:history="1">
        <w:r w:rsidR="001B3E9B" w:rsidRPr="00AD67AB">
          <w:rPr>
            <w:rStyle w:val="Hiperpovezava"/>
            <w:rFonts w:eastAsia="Calibri"/>
            <w:noProof/>
          </w:rPr>
          <w:t>Slika 50: Prikaz gostote naložb iz podukrepa M04.1 glede na vrednost celotne naložbe (z vključenim DDV)</w:t>
        </w:r>
        <w:r w:rsidR="001B3E9B">
          <w:rPr>
            <w:noProof/>
            <w:webHidden/>
          </w:rPr>
          <w:tab/>
        </w:r>
        <w:r w:rsidR="001B3E9B">
          <w:rPr>
            <w:noProof/>
            <w:webHidden/>
          </w:rPr>
          <w:fldChar w:fldCharType="begin"/>
        </w:r>
        <w:r w:rsidR="001B3E9B">
          <w:rPr>
            <w:noProof/>
            <w:webHidden/>
          </w:rPr>
          <w:instrText xml:space="preserve"> PAGEREF _Toc89851092 \h </w:instrText>
        </w:r>
        <w:r w:rsidR="001B3E9B">
          <w:rPr>
            <w:noProof/>
            <w:webHidden/>
          </w:rPr>
        </w:r>
        <w:r w:rsidR="001B3E9B">
          <w:rPr>
            <w:noProof/>
            <w:webHidden/>
          </w:rPr>
          <w:fldChar w:fldCharType="separate"/>
        </w:r>
        <w:r w:rsidR="001B3E9B">
          <w:rPr>
            <w:noProof/>
            <w:webHidden/>
          </w:rPr>
          <w:t>68</w:t>
        </w:r>
        <w:r w:rsidR="001B3E9B">
          <w:rPr>
            <w:noProof/>
            <w:webHidden/>
          </w:rPr>
          <w:fldChar w:fldCharType="end"/>
        </w:r>
      </w:hyperlink>
    </w:p>
    <w:p w14:paraId="7492647B" w14:textId="3CA4991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3" w:history="1">
        <w:r w:rsidR="001B3E9B" w:rsidRPr="00AD67AB">
          <w:rPr>
            <w:rStyle w:val="Hiperpovezava"/>
            <w:rFonts w:eastAsia="Calibri"/>
            <w:noProof/>
          </w:rPr>
          <w:t xml:space="preserve">Slika 51: </w:t>
        </w:r>
        <w:r w:rsidR="001B3E9B" w:rsidRPr="00AD67AB">
          <w:rPr>
            <w:rStyle w:val="Hiperpovezava"/>
            <w:rFonts w:eastAsiaTheme="minorHAnsi"/>
            <w:noProof/>
          </w:rPr>
          <w:t xml:space="preserve">Gostota vseh naložb glede na vrednost celotne naložbe za tip proizvodnje: </w:t>
        </w:r>
        <w:r w:rsidR="001B3E9B" w:rsidRPr="00AD67AB">
          <w:rPr>
            <w:rStyle w:val="Hiperpovezava"/>
            <w:rFonts w:eastAsiaTheme="minorHAnsi"/>
            <w:i/>
            <w:noProof/>
          </w:rPr>
          <w:t>Mleko - govedoreja: krave molznice</w:t>
        </w:r>
        <w:r w:rsidR="001B3E9B">
          <w:rPr>
            <w:noProof/>
            <w:webHidden/>
          </w:rPr>
          <w:tab/>
        </w:r>
        <w:r w:rsidR="001B3E9B">
          <w:rPr>
            <w:noProof/>
            <w:webHidden/>
          </w:rPr>
          <w:fldChar w:fldCharType="begin"/>
        </w:r>
        <w:r w:rsidR="001B3E9B">
          <w:rPr>
            <w:noProof/>
            <w:webHidden/>
          </w:rPr>
          <w:instrText xml:space="preserve"> PAGEREF _Toc89851093 \h </w:instrText>
        </w:r>
        <w:r w:rsidR="001B3E9B">
          <w:rPr>
            <w:noProof/>
            <w:webHidden/>
          </w:rPr>
        </w:r>
        <w:r w:rsidR="001B3E9B">
          <w:rPr>
            <w:noProof/>
            <w:webHidden/>
          </w:rPr>
          <w:fldChar w:fldCharType="separate"/>
        </w:r>
        <w:r w:rsidR="001B3E9B">
          <w:rPr>
            <w:noProof/>
            <w:webHidden/>
          </w:rPr>
          <w:t>69</w:t>
        </w:r>
        <w:r w:rsidR="001B3E9B">
          <w:rPr>
            <w:noProof/>
            <w:webHidden/>
          </w:rPr>
          <w:fldChar w:fldCharType="end"/>
        </w:r>
      </w:hyperlink>
    </w:p>
    <w:p w14:paraId="2F25C429" w14:textId="6A2E99D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4" w:history="1">
        <w:r w:rsidR="001B3E9B" w:rsidRPr="00AD67AB">
          <w:rPr>
            <w:rStyle w:val="Hiperpovezava"/>
            <w:rFonts w:eastAsia="Calibri"/>
            <w:noProof/>
          </w:rPr>
          <w:t xml:space="preserve">Slika 52: </w:t>
        </w:r>
        <w:r w:rsidR="001B3E9B" w:rsidRPr="00AD67AB">
          <w:rPr>
            <w:rStyle w:val="Hiperpovezava"/>
            <w:rFonts w:eastAsiaTheme="minorHAnsi"/>
            <w:noProof/>
            <w:lang w:eastAsia="en-US"/>
          </w:rPr>
          <w:t>Gostota oddaje in prodaje mleka v kg za leto 2019</w:t>
        </w:r>
        <w:r w:rsidR="001B3E9B">
          <w:rPr>
            <w:noProof/>
            <w:webHidden/>
          </w:rPr>
          <w:tab/>
        </w:r>
        <w:r w:rsidR="001B3E9B">
          <w:rPr>
            <w:noProof/>
            <w:webHidden/>
          </w:rPr>
          <w:fldChar w:fldCharType="begin"/>
        </w:r>
        <w:r w:rsidR="001B3E9B">
          <w:rPr>
            <w:noProof/>
            <w:webHidden/>
          </w:rPr>
          <w:instrText xml:space="preserve"> PAGEREF _Toc89851094 \h </w:instrText>
        </w:r>
        <w:r w:rsidR="001B3E9B">
          <w:rPr>
            <w:noProof/>
            <w:webHidden/>
          </w:rPr>
        </w:r>
        <w:r w:rsidR="001B3E9B">
          <w:rPr>
            <w:noProof/>
            <w:webHidden/>
          </w:rPr>
          <w:fldChar w:fldCharType="separate"/>
        </w:r>
        <w:r w:rsidR="001B3E9B">
          <w:rPr>
            <w:noProof/>
            <w:webHidden/>
          </w:rPr>
          <w:t>69</w:t>
        </w:r>
        <w:r w:rsidR="001B3E9B">
          <w:rPr>
            <w:noProof/>
            <w:webHidden/>
          </w:rPr>
          <w:fldChar w:fldCharType="end"/>
        </w:r>
      </w:hyperlink>
    </w:p>
    <w:p w14:paraId="56E32DF0" w14:textId="302D584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5" w:history="1">
        <w:r w:rsidR="001B3E9B" w:rsidRPr="00AD67AB">
          <w:rPr>
            <w:rStyle w:val="Hiperpovezava"/>
            <w:rFonts w:eastAsia="Calibri"/>
            <w:noProof/>
          </w:rPr>
          <w:t>Slika 53: Primerjava povprečnega števila ha KZU, števila GVŽ, PDM in PDM/ha KZU v sektorju mleko in goveje meso glede na OMD za podprte naložbe v okviru podukrepa M04.2 PRP 2014–2020 (stanje 30. 4. 2020)</w:t>
        </w:r>
        <w:r w:rsidR="001B3E9B">
          <w:rPr>
            <w:noProof/>
            <w:webHidden/>
          </w:rPr>
          <w:tab/>
        </w:r>
        <w:r w:rsidR="001B3E9B">
          <w:rPr>
            <w:noProof/>
            <w:webHidden/>
          </w:rPr>
          <w:fldChar w:fldCharType="begin"/>
        </w:r>
        <w:r w:rsidR="001B3E9B">
          <w:rPr>
            <w:noProof/>
            <w:webHidden/>
          </w:rPr>
          <w:instrText xml:space="preserve"> PAGEREF _Toc89851095 \h </w:instrText>
        </w:r>
        <w:r w:rsidR="001B3E9B">
          <w:rPr>
            <w:noProof/>
            <w:webHidden/>
          </w:rPr>
        </w:r>
        <w:r w:rsidR="001B3E9B">
          <w:rPr>
            <w:noProof/>
            <w:webHidden/>
          </w:rPr>
          <w:fldChar w:fldCharType="separate"/>
        </w:r>
        <w:r w:rsidR="001B3E9B">
          <w:rPr>
            <w:noProof/>
            <w:webHidden/>
          </w:rPr>
          <w:t>70</w:t>
        </w:r>
        <w:r w:rsidR="001B3E9B">
          <w:rPr>
            <w:noProof/>
            <w:webHidden/>
          </w:rPr>
          <w:fldChar w:fldCharType="end"/>
        </w:r>
      </w:hyperlink>
    </w:p>
    <w:p w14:paraId="6466303E" w14:textId="6698A20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6" w:history="1">
        <w:r w:rsidR="001B3E9B" w:rsidRPr="00AD67AB">
          <w:rPr>
            <w:rStyle w:val="Hiperpovezava"/>
            <w:rFonts w:eastAsia="Calibri"/>
            <w:noProof/>
          </w:rPr>
          <w:t>Slika 54: Primerjava ekonomskih kazalnikov: BDV/vlogo, Prihodek/PDM, Skupni prihodek kmetijske dejavnosti in Skupni prihodek nekmetijske dejavnosti glede na OMD za podprte naložbe v okviru podukrepa M04.2 PRP 2014–2020 (stanje 30. 4. 2020) v EUR</w:t>
        </w:r>
        <w:r w:rsidR="001B3E9B">
          <w:rPr>
            <w:noProof/>
            <w:webHidden/>
          </w:rPr>
          <w:tab/>
        </w:r>
        <w:r w:rsidR="001B3E9B">
          <w:rPr>
            <w:noProof/>
            <w:webHidden/>
          </w:rPr>
          <w:fldChar w:fldCharType="begin"/>
        </w:r>
        <w:r w:rsidR="001B3E9B">
          <w:rPr>
            <w:noProof/>
            <w:webHidden/>
          </w:rPr>
          <w:instrText xml:space="preserve"> PAGEREF _Toc89851096 \h </w:instrText>
        </w:r>
        <w:r w:rsidR="001B3E9B">
          <w:rPr>
            <w:noProof/>
            <w:webHidden/>
          </w:rPr>
        </w:r>
        <w:r w:rsidR="001B3E9B">
          <w:rPr>
            <w:noProof/>
            <w:webHidden/>
          </w:rPr>
          <w:fldChar w:fldCharType="separate"/>
        </w:r>
        <w:r w:rsidR="001B3E9B">
          <w:rPr>
            <w:noProof/>
            <w:webHidden/>
          </w:rPr>
          <w:t>71</w:t>
        </w:r>
        <w:r w:rsidR="001B3E9B">
          <w:rPr>
            <w:noProof/>
            <w:webHidden/>
          </w:rPr>
          <w:fldChar w:fldCharType="end"/>
        </w:r>
      </w:hyperlink>
    </w:p>
    <w:p w14:paraId="3F55B57B" w14:textId="684A948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7" w:history="1">
        <w:r w:rsidR="001B3E9B" w:rsidRPr="00AD67AB">
          <w:rPr>
            <w:rStyle w:val="Hiperpovezava"/>
            <w:rFonts w:eastAsia="Calibri"/>
            <w:noProof/>
          </w:rPr>
          <w:t>Slika 55</w:t>
        </w:r>
        <w:r w:rsidR="001B3E9B" w:rsidRPr="00AD67AB">
          <w:rPr>
            <w:rStyle w:val="Hiperpovezava"/>
            <w:rFonts w:eastAsiaTheme="minorHAnsi"/>
            <w:noProof/>
          </w:rPr>
          <w:t>: Izbrani razvojni cilj majhnih kmetij iz podukrepa M06.3 PRP 2014–2020</w:t>
        </w:r>
        <w:r w:rsidR="001B3E9B">
          <w:rPr>
            <w:noProof/>
            <w:webHidden/>
          </w:rPr>
          <w:tab/>
        </w:r>
        <w:r w:rsidR="001B3E9B">
          <w:rPr>
            <w:noProof/>
            <w:webHidden/>
          </w:rPr>
          <w:fldChar w:fldCharType="begin"/>
        </w:r>
        <w:r w:rsidR="001B3E9B">
          <w:rPr>
            <w:noProof/>
            <w:webHidden/>
          </w:rPr>
          <w:instrText xml:space="preserve"> PAGEREF _Toc89851097 \h </w:instrText>
        </w:r>
        <w:r w:rsidR="001B3E9B">
          <w:rPr>
            <w:noProof/>
            <w:webHidden/>
          </w:rPr>
        </w:r>
        <w:r w:rsidR="001B3E9B">
          <w:rPr>
            <w:noProof/>
            <w:webHidden/>
          </w:rPr>
          <w:fldChar w:fldCharType="separate"/>
        </w:r>
        <w:r w:rsidR="001B3E9B">
          <w:rPr>
            <w:noProof/>
            <w:webHidden/>
          </w:rPr>
          <w:t>72</w:t>
        </w:r>
        <w:r w:rsidR="001B3E9B">
          <w:rPr>
            <w:noProof/>
            <w:webHidden/>
          </w:rPr>
          <w:fldChar w:fldCharType="end"/>
        </w:r>
      </w:hyperlink>
    </w:p>
    <w:p w14:paraId="56200C4B" w14:textId="6D4364C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8" w:history="1">
        <w:r w:rsidR="001B3E9B" w:rsidRPr="00AD67AB">
          <w:rPr>
            <w:rStyle w:val="Hiperpovezava"/>
            <w:rFonts w:eastAsia="Calibri"/>
            <w:noProof/>
          </w:rPr>
          <w:t>Slika 56</w:t>
        </w:r>
        <w:r w:rsidR="001B3E9B" w:rsidRPr="00AD67AB">
          <w:rPr>
            <w:rStyle w:val="Hiperpovezava"/>
            <w:rFonts w:ascii="Helv" w:eastAsiaTheme="minorHAnsi" w:hAnsi="Helv" w:cs="Helv"/>
            <w:noProof/>
            <w:lang w:eastAsia="en-US"/>
          </w:rPr>
          <w:t>:</w:t>
        </w:r>
        <w:r w:rsidR="001B3E9B" w:rsidRPr="00AD67AB">
          <w:rPr>
            <w:rStyle w:val="Hiperpovezava"/>
            <w:rFonts w:eastAsia="Calibri"/>
            <w:noProof/>
          </w:rPr>
          <w:t xml:space="preserve"> Primerjava povprečne velikosti KZU v ha za KMG, identificirana za DDV glede na vsa KMG, ki oddajajo zbirno vlogo</w:t>
        </w:r>
        <w:r w:rsidR="001B3E9B">
          <w:rPr>
            <w:noProof/>
            <w:webHidden/>
          </w:rPr>
          <w:tab/>
        </w:r>
        <w:r w:rsidR="001B3E9B">
          <w:rPr>
            <w:noProof/>
            <w:webHidden/>
          </w:rPr>
          <w:fldChar w:fldCharType="begin"/>
        </w:r>
        <w:r w:rsidR="001B3E9B">
          <w:rPr>
            <w:noProof/>
            <w:webHidden/>
          </w:rPr>
          <w:instrText xml:space="preserve"> PAGEREF _Toc89851098 \h </w:instrText>
        </w:r>
        <w:r w:rsidR="001B3E9B">
          <w:rPr>
            <w:noProof/>
            <w:webHidden/>
          </w:rPr>
        </w:r>
        <w:r w:rsidR="001B3E9B">
          <w:rPr>
            <w:noProof/>
            <w:webHidden/>
          </w:rPr>
          <w:fldChar w:fldCharType="separate"/>
        </w:r>
        <w:r w:rsidR="001B3E9B">
          <w:rPr>
            <w:noProof/>
            <w:webHidden/>
          </w:rPr>
          <w:t>73</w:t>
        </w:r>
        <w:r w:rsidR="001B3E9B">
          <w:rPr>
            <w:noProof/>
            <w:webHidden/>
          </w:rPr>
          <w:fldChar w:fldCharType="end"/>
        </w:r>
      </w:hyperlink>
    </w:p>
    <w:p w14:paraId="26848691" w14:textId="2FE4900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099" w:history="1">
        <w:r w:rsidR="001B3E9B" w:rsidRPr="00AD67AB">
          <w:rPr>
            <w:rStyle w:val="Hiperpovezava"/>
            <w:rFonts w:eastAsia="Calibri"/>
            <w:noProof/>
          </w:rPr>
          <w:t>Slika 57</w:t>
        </w:r>
        <w:r w:rsidR="001B3E9B" w:rsidRPr="00AD67AB">
          <w:rPr>
            <w:rStyle w:val="Hiperpovezava"/>
            <w:rFonts w:ascii="Helv" w:eastAsiaTheme="minorHAnsi" w:hAnsi="Helv" w:cs="Helv"/>
            <w:noProof/>
            <w:lang w:eastAsia="en-US"/>
          </w:rPr>
          <w:t>:</w:t>
        </w:r>
        <w:r w:rsidR="001B3E9B" w:rsidRPr="00AD67AB">
          <w:rPr>
            <w:rStyle w:val="Hiperpovezava"/>
            <w:rFonts w:eastAsia="Calibri"/>
            <w:noProof/>
          </w:rPr>
          <w:t xml:space="preserve"> Primerjava deleža njiv v KZU za KMG, identificirana za DDV glede na vsa KMG, ki oddajajo zbirno vlogo</w:t>
        </w:r>
        <w:r w:rsidR="001B3E9B">
          <w:rPr>
            <w:noProof/>
            <w:webHidden/>
          </w:rPr>
          <w:tab/>
        </w:r>
        <w:r w:rsidR="001B3E9B">
          <w:rPr>
            <w:noProof/>
            <w:webHidden/>
          </w:rPr>
          <w:fldChar w:fldCharType="begin"/>
        </w:r>
        <w:r w:rsidR="001B3E9B">
          <w:rPr>
            <w:noProof/>
            <w:webHidden/>
          </w:rPr>
          <w:instrText xml:space="preserve"> PAGEREF _Toc89851099 \h </w:instrText>
        </w:r>
        <w:r w:rsidR="001B3E9B">
          <w:rPr>
            <w:noProof/>
            <w:webHidden/>
          </w:rPr>
        </w:r>
        <w:r w:rsidR="001B3E9B">
          <w:rPr>
            <w:noProof/>
            <w:webHidden/>
          </w:rPr>
          <w:fldChar w:fldCharType="separate"/>
        </w:r>
        <w:r w:rsidR="001B3E9B">
          <w:rPr>
            <w:noProof/>
            <w:webHidden/>
          </w:rPr>
          <w:t>74</w:t>
        </w:r>
        <w:r w:rsidR="001B3E9B">
          <w:rPr>
            <w:noProof/>
            <w:webHidden/>
          </w:rPr>
          <w:fldChar w:fldCharType="end"/>
        </w:r>
      </w:hyperlink>
    </w:p>
    <w:p w14:paraId="452B430A" w14:textId="04F462F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0" w:history="1">
        <w:r w:rsidR="001B3E9B" w:rsidRPr="00AD67AB">
          <w:rPr>
            <w:rStyle w:val="Hiperpovezava"/>
            <w:rFonts w:eastAsia="Calibri"/>
            <w:noProof/>
          </w:rPr>
          <w:t>Slika 58: Primerjava obtežbe z GVŽ/KZU za KMG, identificirana za DDV glede na vsa KMG, ki oddajajo zbirno vlogo</w:t>
        </w:r>
        <w:r w:rsidR="001B3E9B">
          <w:rPr>
            <w:noProof/>
            <w:webHidden/>
          </w:rPr>
          <w:tab/>
        </w:r>
        <w:r w:rsidR="001B3E9B">
          <w:rPr>
            <w:noProof/>
            <w:webHidden/>
          </w:rPr>
          <w:fldChar w:fldCharType="begin"/>
        </w:r>
        <w:r w:rsidR="001B3E9B">
          <w:rPr>
            <w:noProof/>
            <w:webHidden/>
          </w:rPr>
          <w:instrText xml:space="preserve"> PAGEREF _Toc89851100 \h </w:instrText>
        </w:r>
        <w:r w:rsidR="001B3E9B">
          <w:rPr>
            <w:noProof/>
            <w:webHidden/>
          </w:rPr>
        </w:r>
        <w:r w:rsidR="001B3E9B">
          <w:rPr>
            <w:noProof/>
            <w:webHidden/>
          </w:rPr>
          <w:fldChar w:fldCharType="separate"/>
        </w:r>
        <w:r w:rsidR="001B3E9B">
          <w:rPr>
            <w:noProof/>
            <w:webHidden/>
          </w:rPr>
          <w:t>74</w:t>
        </w:r>
        <w:r w:rsidR="001B3E9B">
          <w:rPr>
            <w:noProof/>
            <w:webHidden/>
          </w:rPr>
          <w:fldChar w:fldCharType="end"/>
        </w:r>
      </w:hyperlink>
    </w:p>
    <w:p w14:paraId="27B7B2B9" w14:textId="73C7A25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1" w:history="1">
        <w:r w:rsidR="001B3E9B" w:rsidRPr="00AD67AB">
          <w:rPr>
            <w:rStyle w:val="Hiperpovezava"/>
            <w:rFonts w:eastAsia="Calibri"/>
            <w:noProof/>
          </w:rPr>
          <w:t>Slika 59: Primerjava povprečne starosti nosilca za KMG, identificirano za DDV glede na vsa KMG, ki oddajajo zbirno vlogo</w:t>
        </w:r>
        <w:r w:rsidR="001B3E9B">
          <w:rPr>
            <w:noProof/>
            <w:webHidden/>
          </w:rPr>
          <w:tab/>
        </w:r>
        <w:r w:rsidR="001B3E9B">
          <w:rPr>
            <w:noProof/>
            <w:webHidden/>
          </w:rPr>
          <w:fldChar w:fldCharType="begin"/>
        </w:r>
        <w:r w:rsidR="001B3E9B">
          <w:rPr>
            <w:noProof/>
            <w:webHidden/>
          </w:rPr>
          <w:instrText xml:space="preserve"> PAGEREF _Toc89851101 \h </w:instrText>
        </w:r>
        <w:r w:rsidR="001B3E9B">
          <w:rPr>
            <w:noProof/>
            <w:webHidden/>
          </w:rPr>
        </w:r>
        <w:r w:rsidR="001B3E9B">
          <w:rPr>
            <w:noProof/>
            <w:webHidden/>
          </w:rPr>
          <w:fldChar w:fldCharType="separate"/>
        </w:r>
        <w:r w:rsidR="001B3E9B">
          <w:rPr>
            <w:noProof/>
            <w:webHidden/>
          </w:rPr>
          <w:t>74</w:t>
        </w:r>
        <w:r w:rsidR="001B3E9B">
          <w:rPr>
            <w:noProof/>
            <w:webHidden/>
          </w:rPr>
          <w:fldChar w:fldCharType="end"/>
        </w:r>
      </w:hyperlink>
    </w:p>
    <w:p w14:paraId="4D501FC0" w14:textId="68A5AA2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2" w:history="1">
        <w:r w:rsidR="001B3E9B" w:rsidRPr="00AD67AB">
          <w:rPr>
            <w:rStyle w:val="Hiperpovezava"/>
            <w:rFonts w:eastAsia="Calibri"/>
            <w:noProof/>
          </w:rPr>
          <w:t>Slika 60</w:t>
        </w:r>
        <w:r w:rsidR="001B3E9B" w:rsidRPr="00AD67AB">
          <w:rPr>
            <w:rStyle w:val="Hiperpovezava"/>
            <w:rFonts w:eastAsiaTheme="minorHAnsi"/>
            <w:noProof/>
          </w:rPr>
          <w:t>: Kmetijska gospodarstva, vključena v podukrep M16.4, po velikosti in OMD</w:t>
        </w:r>
        <w:r w:rsidR="001B3E9B">
          <w:rPr>
            <w:noProof/>
            <w:webHidden/>
          </w:rPr>
          <w:tab/>
        </w:r>
        <w:r w:rsidR="001B3E9B">
          <w:rPr>
            <w:noProof/>
            <w:webHidden/>
          </w:rPr>
          <w:fldChar w:fldCharType="begin"/>
        </w:r>
        <w:r w:rsidR="001B3E9B">
          <w:rPr>
            <w:noProof/>
            <w:webHidden/>
          </w:rPr>
          <w:instrText xml:space="preserve"> PAGEREF _Toc89851102 \h </w:instrText>
        </w:r>
        <w:r w:rsidR="001B3E9B">
          <w:rPr>
            <w:noProof/>
            <w:webHidden/>
          </w:rPr>
        </w:r>
        <w:r w:rsidR="001B3E9B">
          <w:rPr>
            <w:noProof/>
            <w:webHidden/>
          </w:rPr>
          <w:fldChar w:fldCharType="separate"/>
        </w:r>
        <w:r w:rsidR="001B3E9B">
          <w:rPr>
            <w:noProof/>
            <w:webHidden/>
          </w:rPr>
          <w:t>76</w:t>
        </w:r>
        <w:r w:rsidR="001B3E9B">
          <w:rPr>
            <w:noProof/>
            <w:webHidden/>
          </w:rPr>
          <w:fldChar w:fldCharType="end"/>
        </w:r>
      </w:hyperlink>
    </w:p>
    <w:p w14:paraId="15DED99A" w14:textId="32D178F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3" w:history="1">
        <w:r w:rsidR="001B3E9B" w:rsidRPr="00AD67AB">
          <w:rPr>
            <w:rStyle w:val="Hiperpovezava"/>
            <w:rFonts w:eastAsia="Calibri"/>
            <w:noProof/>
          </w:rPr>
          <w:t>Slika 61: Število molznih krav in povprečna mlečnost</w:t>
        </w:r>
        <w:r w:rsidR="001B3E9B">
          <w:rPr>
            <w:noProof/>
            <w:webHidden/>
          </w:rPr>
          <w:tab/>
        </w:r>
        <w:r w:rsidR="001B3E9B">
          <w:rPr>
            <w:noProof/>
            <w:webHidden/>
          </w:rPr>
          <w:fldChar w:fldCharType="begin"/>
        </w:r>
        <w:r w:rsidR="001B3E9B">
          <w:rPr>
            <w:noProof/>
            <w:webHidden/>
          </w:rPr>
          <w:instrText xml:space="preserve"> PAGEREF _Toc89851103 \h </w:instrText>
        </w:r>
        <w:r w:rsidR="001B3E9B">
          <w:rPr>
            <w:noProof/>
            <w:webHidden/>
          </w:rPr>
        </w:r>
        <w:r w:rsidR="001B3E9B">
          <w:rPr>
            <w:noProof/>
            <w:webHidden/>
          </w:rPr>
          <w:fldChar w:fldCharType="separate"/>
        </w:r>
        <w:r w:rsidR="001B3E9B">
          <w:rPr>
            <w:noProof/>
            <w:webHidden/>
          </w:rPr>
          <w:t>78</w:t>
        </w:r>
        <w:r w:rsidR="001B3E9B">
          <w:rPr>
            <w:noProof/>
            <w:webHidden/>
          </w:rPr>
          <w:fldChar w:fldCharType="end"/>
        </w:r>
      </w:hyperlink>
    </w:p>
    <w:p w14:paraId="214E9C0C" w14:textId="4B3ABBF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4" w:history="1">
        <w:r w:rsidR="001B3E9B" w:rsidRPr="00AD67AB">
          <w:rPr>
            <w:rStyle w:val="Hiperpovezava"/>
            <w:rFonts w:eastAsia="Calibri"/>
            <w:noProof/>
          </w:rPr>
          <w:t>Slika 62: Število in prirast prašičev (2007–2019)</w:t>
        </w:r>
        <w:r w:rsidR="001B3E9B">
          <w:rPr>
            <w:noProof/>
            <w:webHidden/>
          </w:rPr>
          <w:tab/>
        </w:r>
        <w:r w:rsidR="001B3E9B">
          <w:rPr>
            <w:noProof/>
            <w:webHidden/>
          </w:rPr>
          <w:fldChar w:fldCharType="begin"/>
        </w:r>
        <w:r w:rsidR="001B3E9B">
          <w:rPr>
            <w:noProof/>
            <w:webHidden/>
          </w:rPr>
          <w:instrText xml:space="preserve"> PAGEREF _Toc89851104 \h </w:instrText>
        </w:r>
        <w:r w:rsidR="001B3E9B">
          <w:rPr>
            <w:noProof/>
            <w:webHidden/>
          </w:rPr>
        </w:r>
        <w:r w:rsidR="001B3E9B">
          <w:rPr>
            <w:noProof/>
            <w:webHidden/>
          </w:rPr>
          <w:fldChar w:fldCharType="separate"/>
        </w:r>
        <w:r w:rsidR="001B3E9B">
          <w:rPr>
            <w:noProof/>
            <w:webHidden/>
          </w:rPr>
          <w:t>83</w:t>
        </w:r>
        <w:r w:rsidR="001B3E9B">
          <w:rPr>
            <w:noProof/>
            <w:webHidden/>
          </w:rPr>
          <w:fldChar w:fldCharType="end"/>
        </w:r>
      </w:hyperlink>
    </w:p>
    <w:p w14:paraId="5FC54D8D" w14:textId="4D02886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5" w:history="1">
        <w:r w:rsidR="001B3E9B" w:rsidRPr="00AD67AB">
          <w:rPr>
            <w:rStyle w:val="Hiperpovezava"/>
            <w:rFonts w:eastAsia="Calibri"/>
            <w:noProof/>
          </w:rPr>
          <w:t>Slika 63: Osnovni ekonomski kazalniki pri pitanju prašičev (indeks; povprečje 2014–2018 = 100)</w:t>
        </w:r>
        <w:r w:rsidR="001B3E9B">
          <w:rPr>
            <w:noProof/>
            <w:webHidden/>
          </w:rPr>
          <w:tab/>
        </w:r>
        <w:r w:rsidR="001B3E9B">
          <w:rPr>
            <w:noProof/>
            <w:webHidden/>
          </w:rPr>
          <w:fldChar w:fldCharType="begin"/>
        </w:r>
        <w:r w:rsidR="001B3E9B">
          <w:rPr>
            <w:noProof/>
            <w:webHidden/>
          </w:rPr>
          <w:instrText xml:space="preserve"> PAGEREF _Toc89851105 \h </w:instrText>
        </w:r>
        <w:r w:rsidR="001B3E9B">
          <w:rPr>
            <w:noProof/>
            <w:webHidden/>
          </w:rPr>
        </w:r>
        <w:r w:rsidR="001B3E9B">
          <w:rPr>
            <w:noProof/>
            <w:webHidden/>
          </w:rPr>
          <w:fldChar w:fldCharType="separate"/>
        </w:r>
        <w:r w:rsidR="001B3E9B">
          <w:rPr>
            <w:noProof/>
            <w:webHidden/>
          </w:rPr>
          <w:t>84</w:t>
        </w:r>
        <w:r w:rsidR="001B3E9B">
          <w:rPr>
            <w:noProof/>
            <w:webHidden/>
          </w:rPr>
          <w:fldChar w:fldCharType="end"/>
        </w:r>
      </w:hyperlink>
    </w:p>
    <w:p w14:paraId="2F3D0838" w14:textId="683B1C2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6" w:history="1">
        <w:r w:rsidR="001B3E9B" w:rsidRPr="00AD67AB">
          <w:rPr>
            <w:rStyle w:val="Hiperpovezava"/>
            <w:rFonts w:eastAsia="Calibri"/>
            <w:noProof/>
          </w:rPr>
          <w:t>Slika 64: Število drobnice in prirast (2007–2019)</w:t>
        </w:r>
        <w:r w:rsidR="001B3E9B">
          <w:rPr>
            <w:noProof/>
            <w:webHidden/>
          </w:rPr>
          <w:tab/>
        </w:r>
        <w:r w:rsidR="001B3E9B">
          <w:rPr>
            <w:noProof/>
            <w:webHidden/>
          </w:rPr>
          <w:fldChar w:fldCharType="begin"/>
        </w:r>
        <w:r w:rsidR="001B3E9B">
          <w:rPr>
            <w:noProof/>
            <w:webHidden/>
          </w:rPr>
          <w:instrText xml:space="preserve"> PAGEREF _Toc89851106 \h </w:instrText>
        </w:r>
        <w:r w:rsidR="001B3E9B">
          <w:rPr>
            <w:noProof/>
            <w:webHidden/>
          </w:rPr>
        </w:r>
        <w:r w:rsidR="001B3E9B">
          <w:rPr>
            <w:noProof/>
            <w:webHidden/>
          </w:rPr>
          <w:fldChar w:fldCharType="separate"/>
        </w:r>
        <w:r w:rsidR="001B3E9B">
          <w:rPr>
            <w:noProof/>
            <w:webHidden/>
          </w:rPr>
          <w:t>90</w:t>
        </w:r>
        <w:r w:rsidR="001B3E9B">
          <w:rPr>
            <w:noProof/>
            <w:webHidden/>
          </w:rPr>
          <w:fldChar w:fldCharType="end"/>
        </w:r>
      </w:hyperlink>
    </w:p>
    <w:p w14:paraId="537118B2" w14:textId="19E0739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7" w:history="1">
        <w:r w:rsidR="001B3E9B" w:rsidRPr="00AD67AB">
          <w:rPr>
            <w:rStyle w:val="Hiperpovezava"/>
            <w:rFonts w:eastAsia="Calibri"/>
            <w:noProof/>
          </w:rPr>
          <w:t>Slika 65: Osnovni ekonomski kazalniki pri reji jagnjet (indeks; povprečje 2014–2018 = 100)</w:t>
        </w:r>
        <w:r w:rsidR="001B3E9B">
          <w:rPr>
            <w:noProof/>
            <w:webHidden/>
          </w:rPr>
          <w:tab/>
        </w:r>
        <w:r w:rsidR="001B3E9B">
          <w:rPr>
            <w:noProof/>
            <w:webHidden/>
          </w:rPr>
          <w:fldChar w:fldCharType="begin"/>
        </w:r>
        <w:r w:rsidR="001B3E9B">
          <w:rPr>
            <w:noProof/>
            <w:webHidden/>
          </w:rPr>
          <w:instrText xml:space="preserve"> PAGEREF _Toc89851107 \h </w:instrText>
        </w:r>
        <w:r w:rsidR="001B3E9B">
          <w:rPr>
            <w:noProof/>
            <w:webHidden/>
          </w:rPr>
        </w:r>
        <w:r w:rsidR="001B3E9B">
          <w:rPr>
            <w:noProof/>
            <w:webHidden/>
          </w:rPr>
          <w:fldChar w:fldCharType="separate"/>
        </w:r>
        <w:r w:rsidR="001B3E9B">
          <w:rPr>
            <w:noProof/>
            <w:webHidden/>
          </w:rPr>
          <w:t>91</w:t>
        </w:r>
        <w:r w:rsidR="001B3E9B">
          <w:rPr>
            <w:noProof/>
            <w:webHidden/>
          </w:rPr>
          <w:fldChar w:fldCharType="end"/>
        </w:r>
      </w:hyperlink>
    </w:p>
    <w:p w14:paraId="34CD4207" w14:textId="6EA74F1B"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8" w:history="1">
        <w:r w:rsidR="001B3E9B" w:rsidRPr="00AD67AB">
          <w:rPr>
            <w:rStyle w:val="Hiperpovezava"/>
            <w:rFonts w:eastAsia="Calibri"/>
            <w:noProof/>
          </w:rPr>
          <w:t>Slika 66: Površina zelenjadnic (ha) za tržne in netržne pridelovalce (2007-2020)</w:t>
        </w:r>
        <w:r w:rsidR="001B3E9B">
          <w:rPr>
            <w:noProof/>
            <w:webHidden/>
          </w:rPr>
          <w:tab/>
        </w:r>
        <w:r w:rsidR="001B3E9B">
          <w:rPr>
            <w:noProof/>
            <w:webHidden/>
          </w:rPr>
          <w:fldChar w:fldCharType="begin"/>
        </w:r>
        <w:r w:rsidR="001B3E9B">
          <w:rPr>
            <w:noProof/>
            <w:webHidden/>
          </w:rPr>
          <w:instrText xml:space="preserve"> PAGEREF _Toc89851108 \h </w:instrText>
        </w:r>
        <w:r w:rsidR="001B3E9B">
          <w:rPr>
            <w:noProof/>
            <w:webHidden/>
          </w:rPr>
        </w:r>
        <w:r w:rsidR="001B3E9B">
          <w:rPr>
            <w:noProof/>
            <w:webHidden/>
          </w:rPr>
          <w:fldChar w:fldCharType="separate"/>
        </w:r>
        <w:r w:rsidR="001B3E9B">
          <w:rPr>
            <w:noProof/>
            <w:webHidden/>
          </w:rPr>
          <w:t>100</w:t>
        </w:r>
        <w:r w:rsidR="001B3E9B">
          <w:rPr>
            <w:noProof/>
            <w:webHidden/>
          </w:rPr>
          <w:fldChar w:fldCharType="end"/>
        </w:r>
      </w:hyperlink>
    </w:p>
    <w:p w14:paraId="416AC675" w14:textId="2936819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09" w:history="1">
        <w:r w:rsidR="001B3E9B" w:rsidRPr="00AD67AB">
          <w:rPr>
            <w:rStyle w:val="Hiperpovezava"/>
            <w:rFonts w:eastAsia="Calibri"/>
            <w:noProof/>
          </w:rPr>
          <w:t>Slika 67: Pridelek zelenjadnic (t) pri tržnih in netržnih pridelovalcih (2007-2019)</w:t>
        </w:r>
        <w:r w:rsidR="001B3E9B">
          <w:rPr>
            <w:noProof/>
            <w:webHidden/>
          </w:rPr>
          <w:tab/>
        </w:r>
        <w:r w:rsidR="001B3E9B">
          <w:rPr>
            <w:noProof/>
            <w:webHidden/>
          </w:rPr>
          <w:fldChar w:fldCharType="begin"/>
        </w:r>
        <w:r w:rsidR="001B3E9B">
          <w:rPr>
            <w:noProof/>
            <w:webHidden/>
          </w:rPr>
          <w:instrText xml:space="preserve"> PAGEREF _Toc89851109 \h </w:instrText>
        </w:r>
        <w:r w:rsidR="001B3E9B">
          <w:rPr>
            <w:noProof/>
            <w:webHidden/>
          </w:rPr>
        </w:r>
        <w:r w:rsidR="001B3E9B">
          <w:rPr>
            <w:noProof/>
            <w:webHidden/>
          </w:rPr>
          <w:fldChar w:fldCharType="separate"/>
        </w:r>
        <w:r w:rsidR="001B3E9B">
          <w:rPr>
            <w:noProof/>
            <w:webHidden/>
          </w:rPr>
          <w:t>101</w:t>
        </w:r>
        <w:r w:rsidR="001B3E9B">
          <w:rPr>
            <w:noProof/>
            <w:webHidden/>
          </w:rPr>
          <w:fldChar w:fldCharType="end"/>
        </w:r>
      </w:hyperlink>
    </w:p>
    <w:p w14:paraId="384C4E05" w14:textId="7ACE7DF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0" w:history="1">
        <w:r w:rsidR="001B3E9B" w:rsidRPr="00AD67AB">
          <w:rPr>
            <w:rStyle w:val="Hiperpovezava"/>
            <w:rFonts w:eastAsia="Calibri"/>
            <w:noProof/>
          </w:rPr>
          <w:t>Slika 68: Pridelava in poraba zelenjave (v 1000 t, ekvivalent sveže zelenjave)</w:t>
        </w:r>
        <w:r w:rsidR="001B3E9B">
          <w:rPr>
            <w:noProof/>
            <w:webHidden/>
          </w:rPr>
          <w:tab/>
        </w:r>
        <w:r w:rsidR="001B3E9B">
          <w:rPr>
            <w:noProof/>
            <w:webHidden/>
          </w:rPr>
          <w:fldChar w:fldCharType="begin"/>
        </w:r>
        <w:r w:rsidR="001B3E9B">
          <w:rPr>
            <w:noProof/>
            <w:webHidden/>
          </w:rPr>
          <w:instrText xml:space="preserve"> PAGEREF _Toc89851110 \h </w:instrText>
        </w:r>
        <w:r w:rsidR="001B3E9B">
          <w:rPr>
            <w:noProof/>
            <w:webHidden/>
          </w:rPr>
        </w:r>
        <w:r w:rsidR="001B3E9B">
          <w:rPr>
            <w:noProof/>
            <w:webHidden/>
          </w:rPr>
          <w:fldChar w:fldCharType="separate"/>
        </w:r>
        <w:r w:rsidR="001B3E9B">
          <w:rPr>
            <w:noProof/>
            <w:webHidden/>
          </w:rPr>
          <w:t>102</w:t>
        </w:r>
        <w:r w:rsidR="001B3E9B">
          <w:rPr>
            <w:noProof/>
            <w:webHidden/>
          </w:rPr>
          <w:fldChar w:fldCharType="end"/>
        </w:r>
      </w:hyperlink>
    </w:p>
    <w:p w14:paraId="6259F5A6" w14:textId="06B4388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1" w:history="1">
        <w:r w:rsidR="001B3E9B" w:rsidRPr="00AD67AB">
          <w:rPr>
            <w:rStyle w:val="Hiperpovezava"/>
            <w:rFonts w:eastAsia="Calibri"/>
            <w:noProof/>
          </w:rPr>
          <w:t>Slika 69: Površine (ha) vrtnin na prostem in v zaščitenem prostoru vključene v ekološko pridelavo</w:t>
        </w:r>
        <w:r w:rsidR="001B3E9B">
          <w:rPr>
            <w:noProof/>
            <w:webHidden/>
          </w:rPr>
          <w:tab/>
        </w:r>
        <w:r w:rsidR="001B3E9B">
          <w:rPr>
            <w:noProof/>
            <w:webHidden/>
          </w:rPr>
          <w:fldChar w:fldCharType="begin"/>
        </w:r>
        <w:r w:rsidR="001B3E9B">
          <w:rPr>
            <w:noProof/>
            <w:webHidden/>
          </w:rPr>
          <w:instrText xml:space="preserve"> PAGEREF _Toc89851111 \h </w:instrText>
        </w:r>
        <w:r w:rsidR="001B3E9B">
          <w:rPr>
            <w:noProof/>
            <w:webHidden/>
          </w:rPr>
        </w:r>
        <w:r w:rsidR="001B3E9B">
          <w:rPr>
            <w:noProof/>
            <w:webHidden/>
          </w:rPr>
          <w:fldChar w:fldCharType="separate"/>
        </w:r>
        <w:r w:rsidR="001B3E9B">
          <w:rPr>
            <w:noProof/>
            <w:webHidden/>
          </w:rPr>
          <w:t>102</w:t>
        </w:r>
        <w:r w:rsidR="001B3E9B">
          <w:rPr>
            <w:noProof/>
            <w:webHidden/>
          </w:rPr>
          <w:fldChar w:fldCharType="end"/>
        </w:r>
      </w:hyperlink>
    </w:p>
    <w:p w14:paraId="3031C75C" w14:textId="386AEAE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2" w:history="1">
        <w:r w:rsidR="001B3E9B" w:rsidRPr="00AD67AB">
          <w:rPr>
            <w:rStyle w:val="Hiperpovezava"/>
            <w:rFonts w:eastAsia="Calibri"/>
            <w:noProof/>
          </w:rPr>
          <w:t>Slika 70: Površine (ha) vključene v integrirano pridelavo zelenjadnic na prostem in v zaščitenem prostoru</w:t>
        </w:r>
        <w:r w:rsidR="001B3E9B">
          <w:rPr>
            <w:noProof/>
            <w:webHidden/>
          </w:rPr>
          <w:tab/>
        </w:r>
        <w:r w:rsidR="001B3E9B">
          <w:rPr>
            <w:noProof/>
            <w:webHidden/>
          </w:rPr>
          <w:fldChar w:fldCharType="begin"/>
        </w:r>
        <w:r w:rsidR="001B3E9B">
          <w:rPr>
            <w:noProof/>
            <w:webHidden/>
          </w:rPr>
          <w:instrText xml:space="preserve"> PAGEREF _Toc89851112 \h </w:instrText>
        </w:r>
        <w:r w:rsidR="001B3E9B">
          <w:rPr>
            <w:noProof/>
            <w:webHidden/>
          </w:rPr>
        </w:r>
        <w:r w:rsidR="001B3E9B">
          <w:rPr>
            <w:noProof/>
            <w:webHidden/>
          </w:rPr>
          <w:fldChar w:fldCharType="separate"/>
        </w:r>
        <w:r w:rsidR="001B3E9B">
          <w:rPr>
            <w:noProof/>
            <w:webHidden/>
          </w:rPr>
          <w:t>102</w:t>
        </w:r>
        <w:r w:rsidR="001B3E9B">
          <w:rPr>
            <w:noProof/>
            <w:webHidden/>
          </w:rPr>
          <w:fldChar w:fldCharType="end"/>
        </w:r>
      </w:hyperlink>
    </w:p>
    <w:p w14:paraId="00B9D70A" w14:textId="3E55429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3" w:history="1">
        <w:r w:rsidR="001B3E9B" w:rsidRPr="00AD67AB">
          <w:rPr>
            <w:rStyle w:val="Hiperpovezava"/>
            <w:rFonts w:eastAsia="Calibri"/>
            <w:noProof/>
          </w:rPr>
          <w:t>Slika 71: Pridelovalne površine z zelišči, dišavnicami in zdravilnimi rastlinam (2000-2019)</w:t>
        </w:r>
        <w:r w:rsidR="001B3E9B">
          <w:rPr>
            <w:noProof/>
            <w:webHidden/>
          </w:rPr>
          <w:tab/>
        </w:r>
        <w:r w:rsidR="001B3E9B">
          <w:rPr>
            <w:noProof/>
            <w:webHidden/>
          </w:rPr>
          <w:fldChar w:fldCharType="begin"/>
        </w:r>
        <w:r w:rsidR="001B3E9B">
          <w:rPr>
            <w:noProof/>
            <w:webHidden/>
          </w:rPr>
          <w:instrText xml:space="preserve"> PAGEREF _Toc89851113 \h </w:instrText>
        </w:r>
        <w:r w:rsidR="001B3E9B">
          <w:rPr>
            <w:noProof/>
            <w:webHidden/>
          </w:rPr>
        </w:r>
        <w:r w:rsidR="001B3E9B">
          <w:rPr>
            <w:noProof/>
            <w:webHidden/>
          </w:rPr>
          <w:fldChar w:fldCharType="separate"/>
        </w:r>
        <w:r w:rsidR="001B3E9B">
          <w:rPr>
            <w:noProof/>
            <w:webHidden/>
          </w:rPr>
          <w:t>106</w:t>
        </w:r>
        <w:r w:rsidR="001B3E9B">
          <w:rPr>
            <w:noProof/>
            <w:webHidden/>
          </w:rPr>
          <w:fldChar w:fldCharType="end"/>
        </w:r>
      </w:hyperlink>
    </w:p>
    <w:p w14:paraId="747B3A1A" w14:textId="3E21647B"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4" w:history="1">
        <w:r w:rsidR="001B3E9B" w:rsidRPr="00AD67AB">
          <w:rPr>
            <w:rStyle w:val="Hiperpovezava"/>
            <w:rFonts w:eastAsia="Calibri"/>
            <w:noProof/>
          </w:rPr>
          <w:t>Slika 72: Število kmetijskih gospodarstev (KMG), ki pridelujejo zelišča, dišavnice in zdravilne rastline</w:t>
        </w:r>
        <w:r w:rsidR="001B3E9B">
          <w:rPr>
            <w:noProof/>
            <w:webHidden/>
          </w:rPr>
          <w:tab/>
        </w:r>
        <w:r w:rsidR="001B3E9B">
          <w:rPr>
            <w:noProof/>
            <w:webHidden/>
          </w:rPr>
          <w:fldChar w:fldCharType="begin"/>
        </w:r>
        <w:r w:rsidR="001B3E9B">
          <w:rPr>
            <w:noProof/>
            <w:webHidden/>
          </w:rPr>
          <w:instrText xml:space="preserve"> PAGEREF _Toc89851114 \h </w:instrText>
        </w:r>
        <w:r w:rsidR="001B3E9B">
          <w:rPr>
            <w:noProof/>
            <w:webHidden/>
          </w:rPr>
        </w:r>
        <w:r w:rsidR="001B3E9B">
          <w:rPr>
            <w:noProof/>
            <w:webHidden/>
          </w:rPr>
          <w:fldChar w:fldCharType="separate"/>
        </w:r>
        <w:r w:rsidR="001B3E9B">
          <w:rPr>
            <w:noProof/>
            <w:webHidden/>
          </w:rPr>
          <w:t>106</w:t>
        </w:r>
        <w:r w:rsidR="001B3E9B">
          <w:rPr>
            <w:noProof/>
            <w:webHidden/>
          </w:rPr>
          <w:fldChar w:fldCharType="end"/>
        </w:r>
      </w:hyperlink>
    </w:p>
    <w:p w14:paraId="3670DC60" w14:textId="59E631F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5" w:history="1">
        <w:r w:rsidR="001B3E9B" w:rsidRPr="00AD67AB">
          <w:rPr>
            <w:rStyle w:val="Hiperpovezava"/>
            <w:rFonts w:eastAsia="Calibri"/>
            <w:noProof/>
          </w:rPr>
          <w:t>Slika 73: Površina in pridelek sadja (2008–2020)</w:t>
        </w:r>
        <w:r w:rsidR="001B3E9B">
          <w:rPr>
            <w:noProof/>
            <w:webHidden/>
          </w:rPr>
          <w:tab/>
        </w:r>
        <w:r w:rsidR="001B3E9B">
          <w:rPr>
            <w:noProof/>
            <w:webHidden/>
          </w:rPr>
          <w:fldChar w:fldCharType="begin"/>
        </w:r>
        <w:r w:rsidR="001B3E9B">
          <w:rPr>
            <w:noProof/>
            <w:webHidden/>
          </w:rPr>
          <w:instrText xml:space="preserve"> PAGEREF _Toc89851115 \h </w:instrText>
        </w:r>
        <w:r w:rsidR="001B3E9B">
          <w:rPr>
            <w:noProof/>
            <w:webHidden/>
          </w:rPr>
        </w:r>
        <w:r w:rsidR="001B3E9B">
          <w:rPr>
            <w:noProof/>
            <w:webHidden/>
          </w:rPr>
          <w:fldChar w:fldCharType="separate"/>
        </w:r>
        <w:r w:rsidR="001B3E9B">
          <w:rPr>
            <w:noProof/>
            <w:webHidden/>
          </w:rPr>
          <w:t>108</w:t>
        </w:r>
        <w:r w:rsidR="001B3E9B">
          <w:rPr>
            <w:noProof/>
            <w:webHidden/>
          </w:rPr>
          <w:fldChar w:fldCharType="end"/>
        </w:r>
      </w:hyperlink>
    </w:p>
    <w:p w14:paraId="22C327AB" w14:textId="63DB7F7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6" w:history="1">
        <w:r w:rsidR="001B3E9B" w:rsidRPr="00AD67AB">
          <w:rPr>
            <w:rStyle w:val="Hiperpovezava"/>
            <w:rFonts w:eastAsia="Calibri"/>
            <w:noProof/>
          </w:rPr>
          <w:t>Slika 74: Deleži pokritosti sadovnjakov z mrežami proti toči oz. z namakalnimi sistemi (v %)</w:t>
        </w:r>
        <w:r w:rsidR="001B3E9B">
          <w:rPr>
            <w:noProof/>
            <w:webHidden/>
          </w:rPr>
          <w:tab/>
        </w:r>
        <w:r w:rsidR="001B3E9B">
          <w:rPr>
            <w:noProof/>
            <w:webHidden/>
          </w:rPr>
          <w:fldChar w:fldCharType="begin"/>
        </w:r>
        <w:r w:rsidR="001B3E9B">
          <w:rPr>
            <w:noProof/>
            <w:webHidden/>
          </w:rPr>
          <w:instrText xml:space="preserve"> PAGEREF _Toc89851116 \h </w:instrText>
        </w:r>
        <w:r w:rsidR="001B3E9B">
          <w:rPr>
            <w:noProof/>
            <w:webHidden/>
          </w:rPr>
        </w:r>
        <w:r w:rsidR="001B3E9B">
          <w:rPr>
            <w:noProof/>
            <w:webHidden/>
          </w:rPr>
          <w:fldChar w:fldCharType="separate"/>
        </w:r>
        <w:r w:rsidR="001B3E9B">
          <w:rPr>
            <w:noProof/>
            <w:webHidden/>
          </w:rPr>
          <w:t>108</w:t>
        </w:r>
        <w:r w:rsidR="001B3E9B">
          <w:rPr>
            <w:noProof/>
            <w:webHidden/>
          </w:rPr>
          <w:fldChar w:fldCharType="end"/>
        </w:r>
      </w:hyperlink>
    </w:p>
    <w:p w14:paraId="33D587F7" w14:textId="05344B1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7" w:history="1">
        <w:r w:rsidR="001B3E9B" w:rsidRPr="00AD67AB">
          <w:rPr>
            <w:rStyle w:val="Hiperpovezava"/>
            <w:rFonts w:eastAsia="Calibri"/>
            <w:noProof/>
          </w:rPr>
          <w:t>Slika 75: Starostna struktura sadovnjakov (ha) v letih (jablana, hruška, oreh, češnja)</w:t>
        </w:r>
        <w:r w:rsidR="001B3E9B">
          <w:rPr>
            <w:noProof/>
            <w:webHidden/>
          </w:rPr>
          <w:tab/>
        </w:r>
        <w:r w:rsidR="001B3E9B">
          <w:rPr>
            <w:noProof/>
            <w:webHidden/>
          </w:rPr>
          <w:fldChar w:fldCharType="begin"/>
        </w:r>
        <w:r w:rsidR="001B3E9B">
          <w:rPr>
            <w:noProof/>
            <w:webHidden/>
          </w:rPr>
          <w:instrText xml:space="preserve"> PAGEREF _Toc89851117 \h </w:instrText>
        </w:r>
        <w:r w:rsidR="001B3E9B">
          <w:rPr>
            <w:noProof/>
            <w:webHidden/>
          </w:rPr>
        </w:r>
        <w:r w:rsidR="001B3E9B">
          <w:rPr>
            <w:noProof/>
            <w:webHidden/>
          </w:rPr>
          <w:fldChar w:fldCharType="separate"/>
        </w:r>
        <w:r w:rsidR="001B3E9B">
          <w:rPr>
            <w:noProof/>
            <w:webHidden/>
          </w:rPr>
          <w:t>109</w:t>
        </w:r>
        <w:r w:rsidR="001B3E9B">
          <w:rPr>
            <w:noProof/>
            <w:webHidden/>
          </w:rPr>
          <w:fldChar w:fldCharType="end"/>
        </w:r>
      </w:hyperlink>
    </w:p>
    <w:p w14:paraId="21CDD517" w14:textId="5A788C4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8" w:history="1">
        <w:r w:rsidR="001B3E9B" w:rsidRPr="00AD67AB">
          <w:rPr>
            <w:rStyle w:val="Hiperpovezava"/>
            <w:rFonts w:eastAsia="Calibri"/>
            <w:noProof/>
          </w:rPr>
          <w:t>Slika 76: Osnovni ekonomski kazalci pri pridelavi jabolk (indeks, povprečje 2014–2018 = 100)</w:t>
        </w:r>
        <w:r w:rsidR="001B3E9B">
          <w:rPr>
            <w:noProof/>
            <w:webHidden/>
          </w:rPr>
          <w:tab/>
        </w:r>
        <w:r w:rsidR="001B3E9B">
          <w:rPr>
            <w:noProof/>
            <w:webHidden/>
          </w:rPr>
          <w:fldChar w:fldCharType="begin"/>
        </w:r>
        <w:r w:rsidR="001B3E9B">
          <w:rPr>
            <w:noProof/>
            <w:webHidden/>
          </w:rPr>
          <w:instrText xml:space="preserve"> PAGEREF _Toc89851118 \h </w:instrText>
        </w:r>
        <w:r w:rsidR="001B3E9B">
          <w:rPr>
            <w:noProof/>
            <w:webHidden/>
          </w:rPr>
        </w:r>
        <w:r w:rsidR="001B3E9B">
          <w:rPr>
            <w:noProof/>
            <w:webHidden/>
          </w:rPr>
          <w:fldChar w:fldCharType="separate"/>
        </w:r>
        <w:r w:rsidR="001B3E9B">
          <w:rPr>
            <w:noProof/>
            <w:webHidden/>
          </w:rPr>
          <w:t>110</w:t>
        </w:r>
        <w:r w:rsidR="001B3E9B">
          <w:rPr>
            <w:noProof/>
            <w:webHidden/>
          </w:rPr>
          <w:fldChar w:fldCharType="end"/>
        </w:r>
      </w:hyperlink>
    </w:p>
    <w:p w14:paraId="70749C55" w14:textId="375AEF95"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19" w:history="1">
        <w:r w:rsidR="001B3E9B" w:rsidRPr="00AD67AB">
          <w:rPr>
            <w:rStyle w:val="Hiperpovezava"/>
            <w:rFonts w:eastAsia="Calibri"/>
            <w:noProof/>
          </w:rPr>
          <w:t>Slika 77: Površina oljčnikov in št. KMG</w:t>
        </w:r>
        <w:r w:rsidR="001B3E9B">
          <w:rPr>
            <w:noProof/>
            <w:webHidden/>
          </w:rPr>
          <w:tab/>
        </w:r>
        <w:r w:rsidR="001B3E9B">
          <w:rPr>
            <w:noProof/>
            <w:webHidden/>
          </w:rPr>
          <w:fldChar w:fldCharType="begin"/>
        </w:r>
        <w:r w:rsidR="001B3E9B">
          <w:rPr>
            <w:noProof/>
            <w:webHidden/>
          </w:rPr>
          <w:instrText xml:space="preserve"> PAGEREF _Toc89851119 \h </w:instrText>
        </w:r>
        <w:r w:rsidR="001B3E9B">
          <w:rPr>
            <w:noProof/>
            <w:webHidden/>
          </w:rPr>
        </w:r>
        <w:r w:rsidR="001B3E9B">
          <w:rPr>
            <w:noProof/>
            <w:webHidden/>
          </w:rPr>
          <w:fldChar w:fldCharType="separate"/>
        </w:r>
        <w:r w:rsidR="001B3E9B">
          <w:rPr>
            <w:noProof/>
            <w:webHidden/>
          </w:rPr>
          <w:t>117</w:t>
        </w:r>
        <w:r w:rsidR="001B3E9B">
          <w:rPr>
            <w:noProof/>
            <w:webHidden/>
          </w:rPr>
          <w:fldChar w:fldCharType="end"/>
        </w:r>
      </w:hyperlink>
    </w:p>
    <w:p w14:paraId="449E65EF" w14:textId="06BFF06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0" w:history="1">
        <w:r w:rsidR="001B3E9B" w:rsidRPr="00AD67AB">
          <w:rPr>
            <w:rStyle w:val="Hiperpovezava"/>
            <w:rFonts w:eastAsia="Calibri"/>
            <w:noProof/>
          </w:rPr>
          <w:t>Slika 78: Pridelek oljk</w:t>
        </w:r>
        <w:r w:rsidR="001B3E9B">
          <w:rPr>
            <w:noProof/>
            <w:webHidden/>
          </w:rPr>
          <w:tab/>
        </w:r>
        <w:r w:rsidR="001B3E9B">
          <w:rPr>
            <w:noProof/>
            <w:webHidden/>
          </w:rPr>
          <w:fldChar w:fldCharType="begin"/>
        </w:r>
        <w:r w:rsidR="001B3E9B">
          <w:rPr>
            <w:noProof/>
            <w:webHidden/>
          </w:rPr>
          <w:instrText xml:space="preserve"> PAGEREF _Toc89851120 \h </w:instrText>
        </w:r>
        <w:r w:rsidR="001B3E9B">
          <w:rPr>
            <w:noProof/>
            <w:webHidden/>
          </w:rPr>
        </w:r>
        <w:r w:rsidR="001B3E9B">
          <w:rPr>
            <w:noProof/>
            <w:webHidden/>
          </w:rPr>
          <w:fldChar w:fldCharType="separate"/>
        </w:r>
        <w:r w:rsidR="001B3E9B">
          <w:rPr>
            <w:noProof/>
            <w:webHidden/>
          </w:rPr>
          <w:t>118</w:t>
        </w:r>
        <w:r w:rsidR="001B3E9B">
          <w:rPr>
            <w:noProof/>
            <w:webHidden/>
          </w:rPr>
          <w:fldChar w:fldCharType="end"/>
        </w:r>
      </w:hyperlink>
    </w:p>
    <w:p w14:paraId="0BB961D0" w14:textId="4BE163C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1" w:history="1">
        <w:r w:rsidR="001B3E9B" w:rsidRPr="00AD67AB">
          <w:rPr>
            <w:rStyle w:val="Hiperpovezava"/>
            <w:rFonts w:eastAsia="Calibri"/>
            <w:noProof/>
          </w:rPr>
          <w:t>Slika 79: Proizvodnja oljčnega olja</w:t>
        </w:r>
        <w:r w:rsidR="001B3E9B">
          <w:rPr>
            <w:noProof/>
            <w:webHidden/>
          </w:rPr>
          <w:tab/>
        </w:r>
        <w:r w:rsidR="001B3E9B">
          <w:rPr>
            <w:noProof/>
            <w:webHidden/>
          </w:rPr>
          <w:fldChar w:fldCharType="begin"/>
        </w:r>
        <w:r w:rsidR="001B3E9B">
          <w:rPr>
            <w:noProof/>
            <w:webHidden/>
          </w:rPr>
          <w:instrText xml:space="preserve"> PAGEREF _Toc89851121 \h </w:instrText>
        </w:r>
        <w:r w:rsidR="001B3E9B">
          <w:rPr>
            <w:noProof/>
            <w:webHidden/>
          </w:rPr>
        </w:r>
        <w:r w:rsidR="001B3E9B">
          <w:rPr>
            <w:noProof/>
            <w:webHidden/>
          </w:rPr>
          <w:fldChar w:fldCharType="separate"/>
        </w:r>
        <w:r w:rsidR="001B3E9B">
          <w:rPr>
            <w:noProof/>
            <w:webHidden/>
          </w:rPr>
          <w:t>118</w:t>
        </w:r>
        <w:r w:rsidR="001B3E9B">
          <w:rPr>
            <w:noProof/>
            <w:webHidden/>
          </w:rPr>
          <w:fldChar w:fldCharType="end"/>
        </w:r>
      </w:hyperlink>
    </w:p>
    <w:p w14:paraId="61EA0FD3" w14:textId="5DCEF87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2" w:history="1">
        <w:r w:rsidR="001B3E9B" w:rsidRPr="00AD67AB">
          <w:rPr>
            <w:rStyle w:val="Hiperpovezava"/>
            <w:rFonts w:eastAsia="Calibri"/>
            <w:noProof/>
          </w:rPr>
          <w:t>Slika 80: Površina oljčnikov z ekološko pridelavo (ha)</w:t>
        </w:r>
        <w:r w:rsidR="001B3E9B">
          <w:rPr>
            <w:noProof/>
            <w:webHidden/>
          </w:rPr>
          <w:tab/>
        </w:r>
        <w:r w:rsidR="001B3E9B">
          <w:rPr>
            <w:noProof/>
            <w:webHidden/>
          </w:rPr>
          <w:fldChar w:fldCharType="begin"/>
        </w:r>
        <w:r w:rsidR="001B3E9B">
          <w:rPr>
            <w:noProof/>
            <w:webHidden/>
          </w:rPr>
          <w:instrText xml:space="preserve"> PAGEREF _Toc89851122 \h </w:instrText>
        </w:r>
        <w:r w:rsidR="001B3E9B">
          <w:rPr>
            <w:noProof/>
            <w:webHidden/>
          </w:rPr>
        </w:r>
        <w:r w:rsidR="001B3E9B">
          <w:rPr>
            <w:noProof/>
            <w:webHidden/>
          </w:rPr>
          <w:fldChar w:fldCharType="separate"/>
        </w:r>
        <w:r w:rsidR="001B3E9B">
          <w:rPr>
            <w:noProof/>
            <w:webHidden/>
          </w:rPr>
          <w:t>119</w:t>
        </w:r>
        <w:r w:rsidR="001B3E9B">
          <w:rPr>
            <w:noProof/>
            <w:webHidden/>
          </w:rPr>
          <w:fldChar w:fldCharType="end"/>
        </w:r>
      </w:hyperlink>
    </w:p>
    <w:p w14:paraId="6B6DF262" w14:textId="30AE598A"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3" w:history="1">
        <w:r w:rsidR="001B3E9B" w:rsidRPr="00AD67AB">
          <w:rPr>
            <w:rStyle w:val="Hiperpovezava"/>
            <w:rFonts w:eastAsia="Calibri"/>
            <w:noProof/>
          </w:rPr>
          <w:t>Slika 81: Površina in pridelek hmelja (2007–2019)</w:t>
        </w:r>
        <w:r w:rsidR="001B3E9B">
          <w:rPr>
            <w:noProof/>
            <w:webHidden/>
          </w:rPr>
          <w:tab/>
        </w:r>
        <w:r w:rsidR="001B3E9B">
          <w:rPr>
            <w:noProof/>
            <w:webHidden/>
          </w:rPr>
          <w:fldChar w:fldCharType="begin"/>
        </w:r>
        <w:r w:rsidR="001B3E9B">
          <w:rPr>
            <w:noProof/>
            <w:webHidden/>
          </w:rPr>
          <w:instrText xml:space="preserve"> PAGEREF _Toc89851123 \h </w:instrText>
        </w:r>
        <w:r w:rsidR="001B3E9B">
          <w:rPr>
            <w:noProof/>
            <w:webHidden/>
          </w:rPr>
        </w:r>
        <w:r w:rsidR="001B3E9B">
          <w:rPr>
            <w:noProof/>
            <w:webHidden/>
          </w:rPr>
          <w:fldChar w:fldCharType="separate"/>
        </w:r>
        <w:r w:rsidR="001B3E9B">
          <w:rPr>
            <w:noProof/>
            <w:webHidden/>
          </w:rPr>
          <w:t>122</w:t>
        </w:r>
        <w:r w:rsidR="001B3E9B">
          <w:rPr>
            <w:noProof/>
            <w:webHidden/>
          </w:rPr>
          <w:fldChar w:fldCharType="end"/>
        </w:r>
      </w:hyperlink>
    </w:p>
    <w:p w14:paraId="73F8868B" w14:textId="122A7F8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4" w:history="1">
        <w:r w:rsidR="001B3E9B" w:rsidRPr="00AD67AB">
          <w:rPr>
            <w:rStyle w:val="Hiperpovezava"/>
            <w:rFonts w:eastAsia="Calibri"/>
            <w:noProof/>
          </w:rPr>
          <w:t>Slika 82: Delež površin semenskih posevkov po skupinah rastlin od 2014–2019 v primerjavi z obdobjem 2009–2013</w:t>
        </w:r>
        <w:r w:rsidR="001B3E9B">
          <w:rPr>
            <w:noProof/>
            <w:webHidden/>
          </w:rPr>
          <w:tab/>
        </w:r>
        <w:r w:rsidR="001B3E9B">
          <w:rPr>
            <w:noProof/>
            <w:webHidden/>
          </w:rPr>
          <w:fldChar w:fldCharType="begin"/>
        </w:r>
        <w:r w:rsidR="001B3E9B">
          <w:rPr>
            <w:noProof/>
            <w:webHidden/>
          </w:rPr>
          <w:instrText xml:space="preserve"> PAGEREF _Toc89851124 \h </w:instrText>
        </w:r>
        <w:r w:rsidR="001B3E9B">
          <w:rPr>
            <w:noProof/>
            <w:webHidden/>
          </w:rPr>
        </w:r>
        <w:r w:rsidR="001B3E9B">
          <w:rPr>
            <w:noProof/>
            <w:webHidden/>
          </w:rPr>
          <w:fldChar w:fldCharType="separate"/>
        </w:r>
        <w:r w:rsidR="001B3E9B">
          <w:rPr>
            <w:noProof/>
            <w:webHidden/>
          </w:rPr>
          <w:t>125</w:t>
        </w:r>
        <w:r w:rsidR="001B3E9B">
          <w:rPr>
            <w:noProof/>
            <w:webHidden/>
          </w:rPr>
          <w:fldChar w:fldCharType="end"/>
        </w:r>
      </w:hyperlink>
    </w:p>
    <w:p w14:paraId="204E86E6" w14:textId="2ADB3A8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5" w:history="1">
        <w:r w:rsidR="001B3E9B" w:rsidRPr="00AD67AB">
          <w:rPr>
            <w:rStyle w:val="Hiperpovezava"/>
            <w:rFonts w:eastAsia="Calibri"/>
            <w:noProof/>
          </w:rPr>
          <w:t>Slika 83: Obseg pridelave semena žit (2014–2019)</w:t>
        </w:r>
        <w:r w:rsidR="001B3E9B">
          <w:rPr>
            <w:noProof/>
            <w:webHidden/>
          </w:rPr>
          <w:tab/>
        </w:r>
        <w:r w:rsidR="001B3E9B">
          <w:rPr>
            <w:noProof/>
            <w:webHidden/>
          </w:rPr>
          <w:fldChar w:fldCharType="begin"/>
        </w:r>
        <w:r w:rsidR="001B3E9B">
          <w:rPr>
            <w:noProof/>
            <w:webHidden/>
          </w:rPr>
          <w:instrText xml:space="preserve"> PAGEREF _Toc89851125 \h </w:instrText>
        </w:r>
        <w:r w:rsidR="001B3E9B">
          <w:rPr>
            <w:noProof/>
            <w:webHidden/>
          </w:rPr>
        </w:r>
        <w:r w:rsidR="001B3E9B">
          <w:rPr>
            <w:noProof/>
            <w:webHidden/>
          </w:rPr>
          <w:fldChar w:fldCharType="separate"/>
        </w:r>
        <w:r w:rsidR="001B3E9B">
          <w:rPr>
            <w:noProof/>
            <w:webHidden/>
          </w:rPr>
          <w:t>126</w:t>
        </w:r>
        <w:r w:rsidR="001B3E9B">
          <w:rPr>
            <w:noProof/>
            <w:webHidden/>
          </w:rPr>
          <w:fldChar w:fldCharType="end"/>
        </w:r>
      </w:hyperlink>
    </w:p>
    <w:p w14:paraId="7F99D787" w14:textId="75FDF88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6" w:history="1">
        <w:r w:rsidR="001B3E9B" w:rsidRPr="00AD67AB">
          <w:rPr>
            <w:rStyle w:val="Hiperpovezava"/>
            <w:rFonts w:eastAsia="Calibri"/>
            <w:noProof/>
          </w:rPr>
          <w:t>Slika 84: Potrjeni pridelki semena (v t)</w:t>
        </w:r>
        <w:r w:rsidR="001B3E9B">
          <w:rPr>
            <w:noProof/>
            <w:webHidden/>
          </w:rPr>
          <w:tab/>
        </w:r>
        <w:r w:rsidR="001B3E9B">
          <w:rPr>
            <w:noProof/>
            <w:webHidden/>
          </w:rPr>
          <w:fldChar w:fldCharType="begin"/>
        </w:r>
        <w:r w:rsidR="001B3E9B">
          <w:rPr>
            <w:noProof/>
            <w:webHidden/>
          </w:rPr>
          <w:instrText xml:space="preserve"> PAGEREF _Toc89851126 \h </w:instrText>
        </w:r>
        <w:r w:rsidR="001B3E9B">
          <w:rPr>
            <w:noProof/>
            <w:webHidden/>
          </w:rPr>
        </w:r>
        <w:r w:rsidR="001B3E9B">
          <w:rPr>
            <w:noProof/>
            <w:webHidden/>
          </w:rPr>
          <w:fldChar w:fldCharType="separate"/>
        </w:r>
        <w:r w:rsidR="001B3E9B">
          <w:rPr>
            <w:noProof/>
            <w:webHidden/>
          </w:rPr>
          <w:t>127</w:t>
        </w:r>
        <w:r w:rsidR="001B3E9B">
          <w:rPr>
            <w:noProof/>
            <w:webHidden/>
          </w:rPr>
          <w:fldChar w:fldCharType="end"/>
        </w:r>
      </w:hyperlink>
    </w:p>
    <w:p w14:paraId="4BEE5C2A" w14:textId="6FC6FBD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7" w:history="1">
        <w:r w:rsidR="001B3E9B" w:rsidRPr="00AD67AB">
          <w:rPr>
            <w:rStyle w:val="Hiperpovezava"/>
            <w:rFonts w:eastAsia="Calibri"/>
            <w:noProof/>
          </w:rPr>
          <w:t>Slika 85: Površine in hektarski pridelki žita (2007–2019)</w:t>
        </w:r>
        <w:r w:rsidR="001B3E9B">
          <w:rPr>
            <w:noProof/>
            <w:webHidden/>
          </w:rPr>
          <w:tab/>
        </w:r>
        <w:r w:rsidR="001B3E9B">
          <w:rPr>
            <w:noProof/>
            <w:webHidden/>
          </w:rPr>
          <w:fldChar w:fldCharType="begin"/>
        </w:r>
        <w:r w:rsidR="001B3E9B">
          <w:rPr>
            <w:noProof/>
            <w:webHidden/>
          </w:rPr>
          <w:instrText xml:space="preserve"> PAGEREF _Toc89851127 \h </w:instrText>
        </w:r>
        <w:r w:rsidR="001B3E9B">
          <w:rPr>
            <w:noProof/>
            <w:webHidden/>
          </w:rPr>
        </w:r>
        <w:r w:rsidR="001B3E9B">
          <w:rPr>
            <w:noProof/>
            <w:webHidden/>
          </w:rPr>
          <w:fldChar w:fldCharType="separate"/>
        </w:r>
        <w:r w:rsidR="001B3E9B">
          <w:rPr>
            <w:noProof/>
            <w:webHidden/>
          </w:rPr>
          <w:t>129</w:t>
        </w:r>
        <w:r w:rsidR="001B3E9B">
          <w:rPr>
            <w:noProof/>
            <w:webHidden/>
          </w:rPr>
          <w:fldChar w:fldCharType="end"/>
        </w:r>
      </w:hyperlink>
    </w:p>
    <w:p w14:paraId="1252967F" w14:textId="35AE929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8" w:history="1">
        <w:r w:rsidR="001B3E9B" w:rsidRPr="00AD67AB">
          <w:rPr>
            <w:rStyle w:val="Hiperpovezava"/>
            <w:rFonts w:eastAsia="Calibri"/>
            <w:noProof/>
          </w:rPr>
          <w:t>Slika 86: Osnovni ekonomski kazalniki pri pridelavi pšenice (indeks; povprečje 2014–2018 = 100)</w:t>
        </w:r>
        <w:r w:rsidR="001B3E9B">
          <w:rPr>
            <w:noProof/>
            <w:webHidden/>
          </w:rPr>
          <w:tab/>
        </w:r>
        <w:r w:rsidR="001B3E9B">
          <w:rPr>
            <w:noProof/>
            <w:webHidden/>
          </w:rPr>
          <w:fldChar w:fldCharType="begin"/>
        </w:r>
        <w:r w:rsidR="001B3E9B">
          <w:rPr>
            <w:noProof/>
            <w:webHidden/>
          </w:rPr>
          <w:instrText xml:space="preserve"> PAGEREF _Toc89851128 \h </w:instrText>
        </w:r>
        <w:r w:rsidR="001B3E9B">
          <w:rPr>
            <w:noProof/>
            <w:webHidden/>
          </w:rPr>
        </w:r>
        <w:r w:rsidR="001B3E9B">
          <w:rPr>
            <w:noProof/>
            <w:webHidden/>
          </w:rPr>
          <w:fldChar w:fldCharType="separate"/>
        </w:r>
        <w:r w:rsidR="001B3E9B">
          <w:rPr>
            <w:noProof/>
            <w:webHidden/>
          </w:rPr>
          <w:t>131</w:t>
        </w:r>
        <w:r w:rsidR="001B3E9B">
          <w:rPr>
            <w:noProof/>
            <w:webHidden/>
          </w:rPr>
          <w:fldChar w:fldCharType="end"/>
        </w:r>
      </w:hyperlink>
    </w:p>
    <w:p w14:paraId="05643472" w14:textId="1BC2BE8B"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29" w:history="1">
        <w:r w:rsidR="001B3E9B" w:rsidRPr="00AD67AB">
          <w:rPr>
            <w:rStyle w:val="Hiperpovezava"/>
            <w:rFonts w:eastAsia="Calibri"/>
            <w:noProof/>
          </w:rPr>
          <w:t>Slika 87: Osnovni ekonomski kazalniki pri pridelavi koruze za zrnje (indeks; povprečje 2014–2018 = 100)</w:t>
        </w:r>
        <w:r w:rsidR="001B3E9B">
          <w:rPr>
            <w:noProof/>
            <w:webHidden/>
          </w:rPr>
          <w:tab/>
        </w:r>
        <w:r w:rsidR="001B3E9B">
          <w:rPr>
            <w:noProof/>
            <w:webHidden/>
          </w:rPr>
          <w:fldChar w:fldCharType="begin"/>
        </w:r>
        <w:r w:rsidR="001B3E9B">
          <w:rPr>
            <w:noProof/>
            <w:webHidden/>
          </w:rPr>
          <w:instrText xml:space="preserve"> PAGEREF _Toc89851129 \h </w:instrText>
        </w:r>
        <w:r w:rsidR="001B3E9B">
          <w:rPr>
            <w:noProof/>
            <w:webHidden/>
          </w:rPr>
        </w:r>
        <w:r w:rsidR="001B3E9B">
          <w:rPr>
            <w:noProof/>
            <w:webHidden/>
          </w:rPr>
          <w:fldChar w:fldCharType="separate"/>
        </w:r>
        <w:r w:rsidR="001B3E9B">
          <w:rPr>
            <w:noProof/>
            <w:webHidden/>
          </w:rPr>
          <w:t>132</w:t>
        </w:r>
        <w:r w:rsidR="001B3E9B">
          <w:rPr>
            <w:noProof/>
            <w:webHidden/>
          </w:rPr>
          <w:fldChar w:fldCharType="end"/>
        </w:r>
      </w:hyperlink>
    </w:p>
    <w:p w14:paraId="703CB6A1" w14:textId="3198881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0" w:history="1">
        <w:r w:rsidR="001B3E9B" w:rsidRPr="00AD67AB">
          <w:rPr>
            <w:rStyle w:val="Hiperpovezava"/>
            <w:rFonts w:eastAsia="Calibri"/>
            <w:noProof/>
          </w:rPr>
          <w:t>Slika 88: Osnovni ekonomski kazalniki pri pridelavi krompirja (indeks; povprečje 2014–2018 = 100)</w:t>
        </w:r>
        <w:r w:rsidR="001B3E9B">
          <w:rPr>
            <w:noProof/>
            <w:webHidden/>
          </w:rPr>
          <w:tab/>
        </w:r>
        <w:r w:rsidR="001B3E9B">
          <w:rPr>
            <w:noProof/>
            <w:webHidden/>
          </w:rPr>
          <w:fldChar w:fldCharType="begin"/>
        </w:r>
        <w:r w:rsidR="001B3E9B">
          <w:rPr>
            <w:noProof/>
            <w:webHidden/>
          </w:rPr>
          <w:instrText xml:space="preserve"> PAGEREF _Toc89851130 \h </w:instrText>
        </w:r>
        <w:r w:rsidR="001B3E9B">
          <w:rPr>
            <w:noProof/>
            <w:webHidden/>
          </w:rPr>
        </w:r>
        <w:r w:rsidR="001B3E9B">
          <w:rPr>
            <w:noProof/>
            <w:webHidden/>
          </w:rPr>
          <w:fldChar w:fldCharType="separate"/>
        </w:r>
        <w:r w:rsidR="001B3E9B">
          <w:rPr>
            <w:noProof/>
            <w:webHidden/>
          </w:rPr>
          <w:t>133</w:t>
        </w:r>
        <w:r w:rsidR="001B3E9B">
          <w:rPr>
            <w:noProof/>
            <w:webHidden/>
          </w:rPr>
          <w:fldChar w:fldCharType="end"/>
        </w:r>
      </w:hyperlink>
    </w:p>
    <w:p w14:paraId="643727B0" w14:textId="5578A74A"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1" w:history="1">
        <w:r w:rsidR="001B3E9B" w:rsidRPr="00AD67AB">
          <w:rPr>
            <w:rStyle w:val="Hiperpovezava"/>
            <w:rFonts w:eastAsia="Calibri"/>
            <w:noProof/>
          </w:rPr>
          <w:t>Slika 89: Produktivnost in dodana vrednost na zaposlenega v ŽPI v primerjavi s predelovalnimi dejavnostmi (indeks C = 100), 2007–2019</w:t>
        </w:r>
        <w:r w:rsidR="001B3E9B">
          <w:rPr>
            <w:noProof/>
            <w:webHidden/>
          </w:rPr>
          <w:tab/>
        </w:r>
        <w:r w:rsidR="001B3E9B">
          <w:rPr>
            <w:noProof/>
            <w:webHidden/>
          </w:rPr>
          <w:fldChar w:fldCharType="begin"/>
        </w:r>
        <w:r w:rsidR="001B3E9B">
          <w:rPr>
            <w:noProof/>
            <w:webHidden/>
          </w:rPr>
          <w:instrText xml:space="preserve"> PAGEREF _Toc89851131 \h </w:instrText>
        </w:r>
        <w:r w:rsidR="001B3E9B">
          <w:rPr>
            <w:noProof/>
            <w:webHidden/>
          </w:rPr>
        </w:r>
        <w:r w:rsidR="001B3E9B">
          <w:rPr>
            <w:noProof/>
            <w:webHidden/>
          </w:rPr>
          <w:fldChar w:fldCharType="separate"/>
        </w:r>
        <w:r w:rsidR="001B3E9B">
          <w:rPr>
            <w:noProof/>
            <w:webHidden/>
          </w:rPr>
          <w:t>137</w:t>
        </w:r>
        <w:r w:rsidR="001B3E9B">
          <w:rPr>
            <w:noProof/>
            <w:webHidden/>
          </w:rPr>
          <w:fldChar w:fldCharType="end"/>
        </w:r>
      </w:hyperlink>
    </w:p>
    <w:p w14:paraId="32FA65AD" w14:textId="08783A3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2" w:history="1">
        <w:r w:rsidR="001B3E9B" w:rsidRPr="00AD67AB">
          <w:rPr>
            <w:rStyle w:val="Hiperpovezava"/>
            <w:rFonts w:eastAsia="Calibri"/>
            <w:noProof/>
            <w:lang w:eastAsia="en-US"/>
          </w:rPr>
          <w:t>Slika 90:</w:t>
        </w:r>
        <w:r w:rsidR="001B3E9B" w:rsidRPr="00AD67AB">
          <w:rPr>
            <w:rStyle w:val="Hiperpovezava"/>
            <w:rFonts w:eastAsia="Calibri"/>
            <w:i/>
            <w:noProof/>
            <w:lang w:eastAsia="en-US"/>
          </w:rPr>
          <w:t xml:space="preserve"> </w:t>
        </w:r>
        <w:r w:rsidR="001B3E9B" w:rsidRPr="00AD67AB">
          <w:rPr>
            <w:rStyle w:val="Hiperpovezava"/>
            <w:rFonts w:eastAsia="Calibri"/>
            <w:noProof/>
            <w:lang w:eastAsia="en-US"/>
          </w:rPr>
          <w:t>Delež proizvodnje živil in pijač k skupni dodani vrednosti in zaposlenosti nacionalnega gospodarstva (%); 2007–2018</w:t>
        </w:r>
        <w:r w:rsidR="001B3E9B">
          <w:rPr>
            <w:noProof/>
            <w:webHidden/>
          </w:rPr>
          <w:tab/>
        </w:r>
        <w:r w:rsidR="001B3E9B">
          <w:rPr>
            <w:noProof/>
            <w:webHidden/>
          </w:rPr>
          <w:fldChar w:fldCharType="begin"/>
        </w:r>
        <w:r w:rsidR="001B3E9B">
          <w:rPr>
            <w:noProof/>
            <w:webHidden/>
          </w:rPr>
          <w:instrText xml:space="preserve"> PAGEREF _Toc89851132 \h </w:instrText>
        </w:r>
        <w:r w:rsidR="001B3E9B">
          <w:rPr>
            <w:noProof/>
            <w:webHidden/>
          </w:rPr>
        </w:r>
        <w:r w:rsidR="001B3E9B">
          <w:rPr>
            <w:noProof/>
            <w:webHidden/>
          </w:rPr>
          <w:fldChar w:fldCharType="separate"/>
        </w:r>
        <w:r w:rsidR="001B3E9B">
          <w:rPr>
            <w:noProof/>
            <w:webHidden/>
          </w:rPr>
          <w:t>137</w:t>
        </w:r>
        <w:r w:rsidR="001B3E9B">
          <w:rPr>
            <w:noProof/>
            <w:webHidden/>
          </w:rPr>
          <w:fldChar w:fldCharType="end"/>
        </w:r>
      </w:hyperlink>
    </w:p>
    <w:p w14:paraId="4B1B766A" w14:textId="758DDCB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3" w:history="1">
        <w:r w:rsidR="001B3E9B" w:rsidRPr="00AD67AB">
          <w:rPr>
            <w:rStyle w:val="Hiperpovezava"/>
            <w:rFonts w:eastAsia="Calibri"/>
            <w:noProof/>
            <w:lang w:eastAsia="sl-SI"/>
          </w:rPr>
          <w:t>Slika 91:</w:t>
        </w:r>
        <w:r w:rsidR="001B3E9B" w:rsidRPr="00AD67AB">
          <w:rPr>
            <w:rStyle w:val="Hiperpovezava"/>
            <w:rFonts w:eastAsia="Calibri"/>
            <w:i/>
            <w:noProof/>
            <w:lang w:eastAsia="sl-SI"/>
          </w:rPr>
          <w:t xml:space="preserve"> </w:t>
        </w:r>
        <w:r w:rsidR="001B3E9B" w:rsidRPr="00AD67AB">
          <w:rPr>
            <w:rStyle w:val="Hiperpovezava"/>
            <w:rFonts w:eastAsia="Calibri"/>
            <w:noProof/>
            <w:lang w:eastAsia="sl-SI"/>
          </w:rPr>
          <w:t>Indeks obsega industrijske proizvodnje (2015 = 100); 2007–2019</w:t>
        </w:r>
        <w:r w:rsidR="001B3E9B">
          <w:rPr>
            <w:noProof/>
            <w:webHidden/>
          </w:rPr>
          <w:tab/>
        </w:r>
        <w:r w:rsidR="001B3E9B">
          <w:rPr>
            <w:noProof/>
            <w:webHidden/>
          </w:rPr>
          <w:fldChar w:fldCharType="begin"/>
        </w:r>
        <w:r w:rsidR="001B3E9B">
          <w:rPr>
            <w:noProof/>
            <w:webHidden/>
          </w:rPr>
          <w:instrText xml:space="preserve"> PAGEREF _Toc89851133 \h </w:instrText>
        </w:r>
        <w:r w:rsidR="001B3E9B">
          <w:rPr>
            <w:noProof/>
            <w:webHidden/>
          </w:rPr>
        </w:r>
        <w:r w:rsidR="001B3E9B">
          <w:rPr>
            <w:noProof/>
            <w:webHidden/>
          </w:rPr>
          <w:fldChar w:fldCharType="separate"/>
        </w:r>
        <w:r w:rsidR="001B3E9B">
          <w:rPr>
            <w:noProof/>
            <w:webHidden/>
          </w:rPr>
          <w:t>138</w:t>
        </w:r>
        <w:r w:rsidR="001B3E9B">
          <w:rPr>
            <w:noProof/>
            <w:webHidden/>
          </w:rPr>
          <w:fldChar w:fldCharType="end"/>
        </w:r>
      </w:hyperlink>
    </w:p>
    <w:p w14:paraId="779A8ECE" w14:textId="6910613A"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4" w:history="1">
        <w:r w:rsidR="001B3E9B" w:rsidRPr="00AD67AB">
          <w:rPr>
            <w:rStyle w:val="Hiperpovezava"/>
            <w:rFonts w:eastAsia="Calibri"/>
            <w:noProof/>
            <w:lang w:eastAsia="sl-SI"/>
          </w:rPr>
          <w:t>Slika 92: Indeksi cen živil in pijač ter proizvodov predelovalnih dejavnosti pri proizvajalcih (realno; 2015 = 100); 2007–2019</w:t>
        </w:r>
        <w:r w:rsidR="001B3E9B">
          <w:rPr>
            <w:noProof/>
            <w:webHidden/>
          </w:rPr>
          <w:tab/>
        </w:r>
        <w:r w:rsidR="001B3E9B">
          <w:rPr>
            <w:noProof/>
            <w:webHidden/>
          </w:rPr>
          <w:fldChar w:fldCharType="begin"/>
        </w:r>
        <w:r w:rsidR="001B3E9B">
          <w:rPr>
            <w:noProof/>
            <w:webHidden/>
          </w:rPr>
          <w:instrText xml:space="preserve"> PAGEREF _Toc89851134 \h </w:instrText>
        </w:r>
        <w:r w:rsidR="001B3E9B">
          <w:rPr>
            <w:noProof/>
            <w:webHidden/>
          </w:rPr>
        </w:r>
        <w:r w:rsidR="001B3E9B">
          <w:rPr>
            <w:noProof/>
            <w:webHidden/>
          </w:rPr>
          <w:fldChar w:fldCharType="separate"/>
        </w:r>
        <w:r w:rsidR="001B3E9B">
          <w:rPr>
            <w:noProof/>
            <w:webHidden/>
          </w:rPr>
          <w:t>139</w:t>
        </w:r>
        <w:r w:rsidR="001B3E9B">
          <w:rPr>
            <w:noProof/>
            <w:webHidden/>
          </w:rPr>
          <w:fldChar w:fldCharType="end"/>
        </w:r>
      </w:hyperlink>
    </w:p>
    <w:p w14:paraId="7F656DEB" w14:textId="769075B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5" w:history="1">
        <w:r w:rsidR="001B3E9B" w:rsidRPr="00AD67AB">
          <w:rPr>
            <w:rStyle w:val="Hiperpovezava"/>
            <w:rFonts w:eastAsia="Calibri"/>
            <w:noProof/>
          </w:rPr>
          <w:t>Slika 93:</w:t>
        </w:r>
        <w:r w:rsidR="001B3E9B" w:rsidRPr="00AD67AB">
          <w:rPr>
            <w:rStyle w:val="Hiperpovezava"/>
            <w:rFonts w:eastAsia="Calibri"/>
            <w:i/>
            <w:noProof/>
          </w:rPr>
          <w:t xml:space="preserve"> </w:t>
        </w:r>
        <w:r w:rsidR="001B3E9B" w:rsidRPr="00AD67AB">
          <w:rPr>
            <w:rStyle w:val="Hiperpovezava"/>
            <w:rFonts w:eastAsia="Calibri"/>
            <w:noProof/>
          </w:rPr>
          <w:t>Indeksi cen živilskih proizvodov pri proizvajalcih v primerjavi z indeksi cen kmetijskih pridelkov, energentov in plač (2015 = 100); 2007-2019</w:t>
        </w:r>
        <w:r w:rsidR="001B3E9B">
          <w:rPr>
            <w:noProof/>
            <w:webHidden/>
          </w:rPr>
          <w:tab/>
        </w:r>
        <w:r w:rsidR="001B3E9B">
          <w:rPr>
            <w:noProof/>
            <w:webHidden/>
          </w:rPr>
          <w:fldChar w:fldCharType="begin"/>
        </w:r>
        <w:r w:rsidR="001B3E9B">
          <w:rPr>
            <w:noProof/>
            <w:webHidden/>
          </w:rPr>
          <w:instrText xml:space="preserve"> PAGEREF _Toc89851135 \h </w:instrText>
        </w:r>
        <w:r w:rsidR="001B3E9B">
          <w:rPr>
            <w:noProof/>
            <w:webHidden/>
          </w:rPr>
        </w:r>
        <w:r w:rsidR="001B3E9B">
          <w:rPr>
            <w:noProof/>
            <w:webHidden/>
          </w:rPr>
          <w:fldChar w:fldCharType="separate"/>
        </w:r>
        <w:r w:rsidR="001B3E9B">
          <w:rPr>
            <w:noProof/>
            <w:webHidden/>
          </w:rPr>
          <w:t>140</w:t>
        </w:r>
        <w:r w:rsidR="001B3E9B">
          <w:rPr>
            <w:noProof/>
            <w:webHidden/>
          </w:rPr>
          <w:fldChar w:fldCharType="end"/>
        </w:r>
      </w:hyperlink>
    </w:p>
    <w:p w14:paraId="7136BE97" w14:textId="7199A4F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6" w:history="1">
        <w:r w:rsidR="001B3E9B" w:rsidRPr="00AD67AB">
          <w:rPr>
            <w:rStyle w:val="Hiperpovezava"/>
            <w:rFonts w:eastAsia="Calibri"/>
            <w:noProof/>
          </w:rPr>
          <w:t>Slika 94:</w:t>
        </w:r>
        <w:r w:rsidR="001B3E9B" w:rsidRPr="00AD67AB">
          <w:rPr>
            <w:rStyle w:val="Hiperpovezava"/>
            <w:rFonts w:eastAsia="Calibri"/>
            <w:i/>
            <w:noProof/>
          </w:rPr>
          <w:t xml:space="preserve"> </w:t>
        </w:r>
        <w:r w:rsidR="001B3E9B" w:rsidRPr="00AD67AB">
          <w:rPr>
            <w:rStyle w:val="Hiperpovezava"/>
            <w:rFonts w:eastAsia="Calibri"/>
            <w:noProof/>
          </w:rPr>
          <w:t>Neto dobiček/izguba ŽPI po dejavnostih (mio EUR); 2018 in 2019</w:t>
        </w:r>
        <w:r w:rsidR="001B3E9B">
          <w:rPr>
            <w:noProof/>
            <w:webHidden/>
          </w:rPr>
          <w:tab/>
        </w:r>
        <w:r w:rsidR="001B3E9B">
          <w:rPr>
            <w:noProof/>
            <w:webHidden/>
          </w:rPr>
          <w:fldChar w:fldCharType="begin"/>
        </w:r>
        <w:r w:rsidR="001B3E9B">
          <w:rPr>
            <w:noProof/>
            <w:webHidden/>
          </w:rPr>
          <w:instrText xml:space="preserve"> PAGEREF _Toc89851136 \h </w:instrText>
        </w:r>
        <w:r w:rsidR="001B3E9B">
          <w:rPr>
            <w:noProof/>
            <w:webHidden/>
          </w:rPr>
        </w:r>
        <w:r w:rsidR="001B3E9B">
          <w:rPr>
            <w:noProof/>
            <w:webHidden/>
          </w:rPr>
          <w:fldChar w:fldCharType="separate"/>
        </w:r>
        <w:r w:rsidR="001B3E9B">
          <w:rPr>
            <w:noProof/>
            <w:webHidden/>
          </w:rPr>
          <w:t>141</w:t>
        </w:r>
        <w:r w:rsidR="001B3E9B">
          <w:rPr>
            <w:noProof/>
            <w:webHidden/>
          </w:rPr>
          <w:fldChar w:fldCharType="end"/>
        </w:r>
      </w:hyperlink>
    </w:p>
    <w:p w14:paraId="5C3A8830" w14:textId="3E1E53D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7" w:history="1">
        <w:r w:rsidR="001B3E9B" w:rsidRPr="00AD67AB">
          <w:rPr>
            <w:rStyle w:val="Hiperpovezava"/>
            <w:rFonts w:eastAsia="Calibri"/>
            <w:noProof/>
          </w:rPr>
          <w:t>Slika 95: Finančna vrzel v živilskopredelovalnem sektorju glede na produkt, v mio EUR in deležu, Slovenija, 2018</w:t>
        </w:r>
        <w:r w:rsidR="001B3E9B">
          <w:rPr>
            <w:noProof/>
            <w:webHidden/>
          </w:rPr>
          <w:tab/>
        </w:r>
        <w:r w:rsidR="001B3E9B">
          <w:rPr>
            <w:noProof/>
            <w:webHidden/>
          </w:rPr>
          <w:fldChar w:fldCharType="begin"/>
        </w:r>
        <w:r w:rsidR="001B3E9B">
          <w:rPr>
            <w:noProof/>
            <w:webHidden/>
          </w:rPr>
          <w:instrText xml:space="preserve"> PAGEREF _Toc89851137 \h </w:instrText>
        </w:r>
        <w:r w:rsidR="001B3E9B">
          <w:rPr>
            <w:noProof/>
            <w:webHidden/>
          </w:rPr>
        </w:r>
        <w:r w:rsidR="001B3E9B">
          <w:rPr>
            <w:noProof/>
            <w:webHidden/>
          </w:rPr>
          <w:fldChar w:fldCharType="separate"/>
        </w:r>
        <w:r w:rsidR="001B3E9B">
          <w:rPr>
            <w:noProof/>
            <w:webHidden/>
          </w:rPr>
          <w:t>143</w:t>
        </w:r>
        <w:r w:rsidR="001B3E9B">
          <w:rPr>
            <w:noProof/>
            <w:webHidden/>
          </w:rPr>
          <w:fldChar w:fldCharType="end"/>
        </w:r>
      </w:hyperlink>
    </w:p>
    <w:p w14:paraId="4C87717A" w14:textId="16659572"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8" w:history="1">
        <w:r w:rsidR="001B3E9B" w:rsidRPr="00AD67AB">
          <w:rPr>
            <w:rStyle w:val="Hiperpovezava"/>
            <w:rFonts w:eastAsia="Calibri"/>
            <w:noProof/>
          </w:rPr>
          <w:t xml:space="preserve">Slika 96: </w:t>
        </w:r>
        <w:r w:rsidR="001B3E9B" w:rsidRPr="00AD67AB">
          <w:rPr>
            <w:rStyle w:val="Hiperpovezava"/>
            <w:rFonts w:eastAsia="Calibri"/>
            <w:noProof/>
            <w:lang w:val="en-US"/>
          </w:rPr>
          <w:t>Delež odobrenih sredstev</w:t>
        </w:r>
        <w:r w:rsidR="001B3E9B" w:rsidRPr="00AD67AB">
          <w:rPr>
            <w:rStyle w:val="Hiperpovezava"/>
            <w:rFonts w:eastAsia="Calibri"/>
            <w:noProof/>
          </w:rPr>
          <w:t xml:space="preserve"> glede na vrsto naložbe v okviru podukrepa M04.2 PRP 2014-2020, stanje 30.4.2020</w:t>
        </w:r>
        <w:r w:rsidR="001B3E9B">
          <w:rPr>
            <w:noProof/>
            <w:webHidden/>
          </w:rPr>
          <w:tab/>
        </w:r>
        <w:r w:rsidR="001B3E9B">
          <w:rPr>
            <w:noProof/>
            <w:webHidden/>
          </w:rPr>
          <w:fldChar w:fldCharType="begin"/>
        </w:r>
        <w:r w:rsidR="001B3E9B">
          <w:rPr>
            <w:noProof/>
            <w:webHidden/>
          </w:rPr>
          <w:instrText xml:space="preserve"> PAGEREF _Toc89851138 \h </w:instrText>
        </w:r>
        <w:r w:rsidR="001B3E9B">
          <w:rPr>
            <w:noProof/>
            <w:webHidden/>
          </w:rPr>
        </w:r>
        <w:r w:rsidR="001B3E9B">
          <w:rPr>
            <w:noProof/>
            <w:webHidden/>
          </w:rPr>
          <w:fldChar w:fldCharType="separate"/>
        </w:r>
        <w:r w:rsidR="001B3E9B">
          <w:rPr>
            <w:noProof/>
            <w:webHidden/>
          </w:rPr>
          <w:t>144</w:t>
        </w:r>
        <w:r w:rsidR="001B3E9B">
          <w:rPr>
            <w:noProof/>
            <w:webHidden/>
          </w:rPr>
          <w:fldChar w:fldCharType="end"/>
        </w:r>
      </w:hyperlink>
    </w:p>
    <w:p w14:paraId="03193F93" w14:textId="459A9DC4"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39" w:history="1">
        <w:r w:rsidR="001B3E9B" w:rsidRPr="00AD67AB">
          <w:rPr>
            <w:rStyle w:val="Hiperpovezava"/>
            <w:rFonts w:eastAsia="Calibri"/>
            <w:noProof/>
          </w:rPr>
          <w:t xml:space="preserve">Slika 97: </w:t>
        </w:r>
        <w:r w:rsidR="001B3E9B" w:rsidRPr="00AD67AB">
          <w:rPr>
            <w:rStyle w:val="Hiperpovezava"/>
            <w:rFonts w:eastAsia="Calibri"/>
            <w:noProof/>
            <w:lang w:val="en-US"/>
          </w:rPr>
          <w:t>Število odobrenih vlog in povprečna vrednost naložbe na odobreno vlogo</w:t>
        </w:r>
        <w:r w:rsidR="001B3E9B" w:rsidRPr="00AD67AB">
          <w:rPr>
            <w:rStyle w:val="Hiperpovezava"/>
            <w:rFonts w:eastAsia="Calibri"/>
            <w:noProof/>
          </w:rPr>
          <w:t xml:space="preserve"> glede na dejavnost naložbe v okviru podukrepa M04.2 PRP 2014-2020, stanje 30.4.2020</w:t>
        </w:r>
        <w:r w:rsidR="001B3E9B">
          <w:rPr>
            <w:noProof/>
            <w:webHidden/>
          </w:rPr>
          <w:tab/>
        </w:r>
        <w:r w:rsidR="001B3E9B">
          <w:rPr>
            <w:noProof/>
            <w:webHidden/>
          </w:rPr>
          <w:fldChar w:fldCharType="begin"/>
        </w:r>
        <w:r w:rsidR="001B3E9B">
          <w:rPr>
            <w:noProof/>
            <w:webHidden/>
          </w:rPr>
          <w:instrText xml:space="preserve"> PAGEREF _Toc89851139 \h </w:instrText>
        </w:r>
        <w:r w:rsidR="001B3E9B">
          <w:rPr>
            <w:noProof/>
            <w:webHidden/>
          </w:rPr>
        </w:r>
        <w:r w:rsidR="001B3E9B">
          <w:rPr>
            <w:noProof/>
            <w:webHidden/>
          </w:rPr>
          <w:fldChar w:fldCharType="separate"/>
        </w:r>
        <w:r w:rsidR="001B3E9B">
          <w:rPr>
            <w:noProof/>
            <w:webHidden/>
          </w:rPr>
          <w:t>145</w:t>
        </w:r>
        <w:r w:rsidR="001B3E9B">
          <w:rPr>
            <w:noProof/>
            <w:webHidden/>
          </w:rPr>
          <w:fldChar w:fldCharType="end"/>
        </w:r>
      </w:hyperlink>
    </w:p>
    <w:p w14:paraId="7AA88D3E" w14:textId="62E40767"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0" w:history="1">
        <w:r w:rsidR="001B3E9B" w:rsidRPr="00AD67AB">
          <w:rPr>
            <w:rStyle w:val="Hiperpovezava"/>
            <w:rFonts w:eastAsia="Calibri"/>
            <w:noProof/>
          </w:rPr>
          <w:t>Slika 98:</w:t>
        </w:r>
        <w:r w:rsidR="001B3E9B" w:rsidRPr="00AD67AB">
          <w:rPr>
            <w:rStyle w:val="Hiperpovezava"/>
            <w:rFonts w:eastAsia="Calibri"/>
            <w:i/>
            <w:noProof/>
          </w:rPr>
          <w:t xml:space="preserve"> </w:t>
        </w:r>
        <w:r w:rsidR="001B3E9B" w:rsidRPr="00AD67AB">
          <w:rPr>
            <w:rStyle w:val="Hiperpovezava"/>
            <w:rFonts w:eastAsia="Calibri"/>
            <w:noProof/>
          </w:rPr>
          <w:t>Zunanjetrgovinska bilanca agroživilstva po tarifnih skupinah v obdobjih 2007–2013 in 2014–2019, v mio EUR (kazalnik stanja C.30)</w:t>
        </w:r>
        <w:r w:rsidR="001B3E9B">
          <w:rPr>
            <w:noProof/>
            <w:webHidden/>
          </w:rPr>
          <w:tab/>
        </w:r>
        <w:r w:rsidR="001B3E9B">
          <w:rPr>
            <w:noProof/>
            <w:webHidden/>
          </w:rPr>
          <w:fldChar w:fldCharType="begin"/>
        </w:r>
        <w:r w:rsidR="001B3E9B">
          <w:rPr>
            <w:noProof/>
            <w:webHidden/>
          </w:rPr>
          <w:instrText xml:space="preserve"> PAGEREF _Toc89851140 \h </w:instrText>
        </w:r>
        <w:r w:rsidR="001B3E9B">
          <w:rPr>
            <w:noProof/>
            <w:webHidden/>
          </w:rPr>
        </w:r>
        <w:r w:rsidR="001B3E9B">
          <w:rPr>
            <w:noProof/>
            <w:webHidden/>
          </w:rPr>
          <w:fldChar w:fldCharType="separate"/>
        </w:r>
        <w:r w:rsidR="001B3E9B">
          <w:rPr>
            <w:noProof/>
            <w:webHidden/>
          </w:rPr>
          <w:t>148</w:t>
        </w:r>
        <w:r w:rsidR="001B3E9B">
          <w:rPr>
            <w:noProof/>
            <w:webHidden/>
          </w:rPr>
          <w:fldChar w:fldCharType="end"/>
        </w:r>
      </w:hyperlink>
    </w:p>
    <w:p w14:paraId="2F3F6F20" w14:textId="269E2B1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1" w:history="1">
        <w:r w:rsidR="001B3E9B" w:rsidRPr="00AD67AB">
          <w:rPr>
            <w:rStyle w:val="Hiperpovezava"/>
            <w:rFonts w:eastAsia="Calibri"/>
            <w:noProof/>
          </w:rPr>
          <w:t>Slika 99:</w:t>
        </w:r>
        <w:r w:rsidR="001B3E9B" w:rsidRPr="00AD67AB">
          <w:rPr>
            <w:rStyle w:val="Hiperpovezava"/>
            <w:rFonts w:eastAsia="Calibri"/>
            <w:i/>
            <w:noProof/>
          </w:rPr>
          <w:t xml:space="preserve"> </w:t>
        </w:r>
        <w:r w:rsidR="001B3E9B" w:rsidRPr="00AD67AB">
          <w:rPr>
            <w:rStyle w:val="Hiperpovezava"/>
            <w:rFonts w:eastAsia="Calibri"/>
            <w:noProof/>
          </w:rPr>
          <w:t>Skupna vrednost kmetijsko-živilske trgovine znotraj/zunaj EU v obdobju 2010-2020, v mrd EUR  (kazalnik stanja C.30)</w:t>
        </w:r>
        <w:r w:rsidR="001B3E9B">
          <w:rPr>
            <w:noProof/>
            <w:webHidden/>
          </w:rPr>
          <w:tab/>
        </w:r>
        <w:r w:rsidR="001B3E9B">
          <w:rPr>
            <w:noProof/>
            <w:webHidden/>
          </w:rPr>
          <w:fldChar w:fldCharType="begin"/>
        </w:r>
        <w:r w:rsidR="001B3E9B">
          <w:rPr>
            <w:noProof/>
            <w:webHidden/>
          </w:rPr>
          <w:instrText xml:space="preserve"> PAGEREF _Toc89851141 \h </w:instrText>
        </w:r>
        <w:r w:rsidR="001B3E9B">
          <w:rPr>
            <w:noProof/>
            <w:webHidden/>
          </w:rPr>
        </w:r>
        <w:r w:rsidR="001B3E9B">
          <w:rPr>
            <w:noProof/>
            <w:webHidden/>
          </w:rPr>
          <w:fldChar w:fldCharType="separate"/>
        </w:r>
        <w:r w:rsidR="001B3E9B">
          <w:rPr>
            <w:noProof/>
            <w:webHidden/>
          </w:rPr>
          <w:t>149</w:t>
        </w:r>
        <w:r w:rsidR="001B3E9B">
          <w:rPr>
            <w:noProof/>
            <w:webHidden/>
          </w:rPr>
          <w:fldChar w:fldCharType="end"/>
        </w:r>
      </w:hyperlink>
    </w:p>
    <w:p w14:paraId="2F96E2E3" w14:textId="26CD9FC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2" w:history="1">
        <w:r w:rsidR="001B3E9B" w:rsidRPr="00AD67AB">
          <w:rPr>
            <w:rStyle w:val="Hiperpovezava"/>
            <w:rFonts w:eastAsia="Calibri"/>
            <w:noProof/>
          </w:rPr>
          <w:t>Slika 100:</w:t>
        </w:r>
        <w:r w:rsidR="001B3E9B" w:rsidRPr="00AD67AB">
          <w:rPr>
            <w:rStyle w:val="Hiperpovezava"/>
            <w:rFonts w:eastAsia="Calibri"/>
            <w:i/>
            <w:noProof/>
          </w:rPr>
          <w:t xml:space="preserve"> </w:t>
        </w:r>
        <w:r w:rsidR="001B3E9B" w:rsidRPr="00AD67AB">
          <w:rPr>
            <w:rStyle w:val="Hiperpovezava"/>
            <w:rFonts w:eastAsia="Calibri"/>
            <w:noProof/>
          </w:rPr>
          <w:t>Izvoz in uvoz ter zunanjetrgovinska bilanca agroživilskih proizvodov (mio EUR); 2007–2019</w:t>
        </w:r>
        <w:r w:rsidR="001B3E9B">
          <w:rPr>
            <w:noProof/>
            <w:webHidden/>
          </w:rPr>
          <w:tab/>
        </w:r>
        <w:r w:rsidR="001B3E9B">
          <w:rPr>
            <w:noProof/>
            <w:webHidden/>
          </w:rPr>
          <w:fldChar w:fldCharType="begin"/>
        </w:r>
        <w:r w:rsidR="001B3E9B">
          <w:rPr>
            <w:noProof/>
            <w:webHidden/>
          </w:rPr>
          <w:instrText xml:space="preserve"> PAGEREF _Toc89851142 \h </w:instrText>
        </w:r>
        <w:r w:rsidR="001B3E9B">
          <w:rPr>
            <w:noProof/>
            <w:webHidden/>
          </w:rPr>
        </w:r>
        <w:r w:rsidR="001B3E9B">
          <w:rPr>
            <w:noProof/>
            <w:webHidden/>
          </w:rPr>
          <w:fldChar w:fldCharType="separate"/>
        </w:r>
        <w:r w:rsidR="001B3E9B">
          <w:rPr>
            <w:noProof/>
            <w:webHidden/>
          </w:rPr>
          <w:t>150</w:t>
        </w:r>
        <w:r w:rsidR="001B3E9B">
          <w:rPr>
            <w:noProof/>
            <w:webHidden/>
          </w:rPr>
          <w:fldChar w:fldCharType="end"/>
        </w:r>
      </w:hyperlink>
    </w:p>
    <w:p w14:paraId="4A8AE426" w14:textId="284FE51B"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3" w:history="1">
        <w:r w:rsidR="001B3E9B" w:rsidRPr="00AD67AB">
          <w:rPr>
            <w:rStyle w:val="Hiperpovezava"/>
            <w:rFonts w:eastAsia="Calibri"/>
            <w:noProof/>
          </w:rPr>
          <w:t>Slika 101:</w:t>
        </w:r>
        <w:r w:rsidR="001B3E9B" w:rsidRPr="00AD67AB">
          <w:rPr>
            <w:rStyle w:val="Hiperpovezava"/>
            <w:rFonts w:eastAsia="Calibri"/>
            <w:i/>
            <w:noProof/>
          </w:rPr>
          <w:t xml:space="preserve"> </w:t>
        </w:r>
        <w:r w:rsidR="001B3E9B" w:rsidRPr="00AD67AB">
          <w:rPr>
            <w:rStyle w:val="Hiperpovezava"/>
            <w:rFonts w:eastAsia="Calibri"/>
            <w:noProof/>
          </w:rPr>
          <w:t>Struktura izvoza in uvoza agroživilstva po skupinah držav; 2014-2019</w:t>
        </w:r>
        <w:r w:rsidR="001B3E9B">
          <w:rPr>
            <w:noProof/>
            <w:webHidden/>
          </w:rPr>
          <w:tab/>
        </w:r>
        <w:r w:rsidR="001B3E9B">
          <w:rPr>
            <w:noProof/>
            <w:webHidden/>
          </w:rPr>
          <w:fldChar w:fldCharType="begin"/>
        </w:r>
        <w:r w:rsidR="001B3E9B">
          <w:rPr>
            <w:noProof/>
            <w:webHidden/>
          </w:rPr>
          <w:instrText xml:space="preserve"> PAGEREF _Toc89851143 \h </w:instrText>
        </w:r>
        <w:r w:rsidR="001B3E9B">
          <w:rPr>
            <w:noProof/>
            <w:webHidden/>
          </w:rPr>
        </w:r>
        <w:r w:rsidR="001B3E9B">
          <w:rPr>
            <w:noProof/>
            <w:webHidden/>
          </w:rPr>
          <w:fldChar w:fldCharType="separate"/>
        </w:r>
        <w:r w:rsidR="001B3E9B">
          <w:rPr>
            <w:noProof/>
            <w:webHidden/>
          </w:rPr>
          <w:t>151</w:t>
        </w:r>
        <w:r w:rsidR="001B3E9B">
          <w:rPr>
            <w:noProof/>
            <w:webHidden/>
          </w:rPr>
          <w:fldChar w:fldCharType="end"/>
        </w:r>
      </w:hyperlink>
    </w:p>
    <w:p w14:paraId="4D5F5CCC" w14:textId="7DD0AA31"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4" w:history="1">
        <w:r w:rsidR="001B3E9B" w:rsidRPr="00AD67AB">
          <w:rPr>
            <w:rStyle w:val="Hiperpovezava"/>
            <w:rFonts w:eastAsia="Calibri"/>
            <w:noProof/>
          </w:rPr>
          <w:t>Slika 102: Zunanjetrgovinska bilanca agroživilskih proizvodov po državah v letu 2018</w:t>
        </w:r>
        <w:r w:rsidR="001B3E9B">
          <w:rPr>
            <w:noProof/>
            <w:webHidden/>
          </w:rPr>
          <w:tab/>
        </w:r>
        <w:r w:rsidR="001B3E9B">
          <w:rPr>
            <w:noProof/>
            <w:webHidden/>
          </w:rPr>
          <w:fldChar w:fldCharType="begin"/>
        </w:r>
        <w:r w:rsidR="001B3E9B">
          <w:rPr>
            <w:noProof/>
            <w:webHidden/>
          </w:rPr>
          <w:instrText xml:space="preserve"> PAGEREF _Toc89851144 \h </w:instrText>
        </w:r>
        <w:r w:rsidR="001B3E9B">
          <w:rPr>
            <w:noProof/>
            <w:webHidden/>
          </w:rPr>
        </w:r>
        <w:r w:rsidR="001B3E9B">
          <w:rPr>
            <w:noProof/>
            <w:webHidden/>
          </w:rPr>
          <w:fldChar w:fldCharType="separate"/>
        </w:r>
        <w:r w:rsidR="001B3E9B">
          <w:rPr>
            <w:noProof/>
            <w:webHidden/>
          </w:rPr>
          <w:t>152</w:t>
        </w:r>
        <w:r w:rsidR="001B3E9B">
          <w:rPr>
            <w:noProof/>
            <w:webHidden/>
          </w:rPr>
          <w:fldChar w:fldCharType="end"/>
        </w:r>
      </w:hyperlink>
    </w:p>
    <w:p w14:paraId="5E77D387" w14:textId="0DE50C9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5" w:history="1">
        <w:r w:rsidR="001B3E9B" w:rsidRPr="00AD67AB">
          <w:rPr>
            <w:rStyle w:val="Hiperpovezava"/>
            <w:rFonts w:eastAsia="Calibri"/>
            <w:noProof/>
          </w:rPr>
          <w:t>Slika 103: Stopnja samooskrbe s pridelanimi in predelanimi kmetijskimi proizvodi v obdobjih 2007–2013 in 2014–2019, v %</w:t>
        </w:r>
        <w:r w:rsidR="001B3E9B">
          <w:rPr>
            <w:noProof/>
            <w:webHidden/>
          </w:rPr>
          <w:tab/>
        </w:r>
        <w:r w:rsidR="001B3E9B">
          <w:rPr>
            <w:noProof/>
            <w:webHidden/>
          </w:rPr>
          <w:fldChar w:fldCharType="begin"/>
        </w:r>
        <w:r w:rsidR="001B3E9B">
          <w:rPr>
            <w:noProof/>
            <w:webHidden/>
          </w:rPr>
          <w:instrText xml:space="preserve"> PAGEREF _Toc89851145 \h </w:instrText>
        </w:r>
        <w:r w:rsidR="001B3E9B">
          <w:rPr>
            <w:noProof/>
            <w:webHidden/>
          </w:rPr>
        </w:r>
        <w:r w:rsidR="001B3E9B">
          <w:rPr>
            <w:noProof/>
            <w:webHidden/>
          </w:rPr>
          <w:fldChar w:fldCharType="separate"/>
        </w:r>
        <w:r w:rsidR="001B3E9B">
          <w:rPr>
            <w:noProof/>
            <w:webHidden/>
          </w:rPr>
          <w:t>153</w:t>
        </w:r>
        <w:r w:rsidR="001B3E9B">
          <w:rPr>
            <w:noProof/>
            <w:webHidden/>
          </w:rPr>
          <w:fldChar w:fldCharType="end"/>
        </w:r>
      </w:hyperlink>
    </w:p>
    <w:p w14:paraId="35FABE95" w14:textId="77647C6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6" w:history="1">
        <w:r w:rsidR="001B3E9B" w:rsidRPr="00AD67AB">
          <w:rPr>
            <w:rStyle w:val="Hiperpovezava"/>
            <w:rFonts w:eastAsia="Calibri"/>
            <w:noProof/>
          </w:rPr>
          <w:t>Slika 104: Domača poraba, pridelava, uvoz in izvoz - sadje, v tisoč t</w:t>
        </w:r>
        <w:r w:rsidR="001B3E9B">
          <w:rPr>
            <w:noProof/>
            <w:webHidden/>
          </w:rPr>
          <w:tab/>
        </w:r>
        <w:r w:rsidR="001B3E9B">
          <w:rPr>
            <w:noProof/>
            <w:webHidden/>
          </w:rPr>
          <w:fldChar w:fldCharType="begin"/>
        </w:r>
        <w:r w:rsidR="001B3E9B">
          <w:rPr>
            <w:noProof/>
            <w:webHidden/>
          </w:rPr>
          <w:instrText xml:space="preserve"> PAGEREF _Toc89851146 \h </w:instrText>
        </w:r>
        <w:r w:rsidR="001B3E9B">
          <w:rPr>
            <w:noProof/>
            <w:webHidden/>
          </w:rPr>
        </w:r>
        <w:r w:rsidR="001B3E9B">
          <w:rPr>
            <w:noProof/>
            <w:webHidden/>
          </w:rPr>
          <w:fldChar w:fldCharType="separate"/>
        </w:r>
        <w:r w:rsidR="001B3E9B">
          <w:rPr>
            <w:noProof/>
            <w:webHidden/>
          </w:rPr>
          <w:t>154</w:t>
        </w:r>
        <w:r w:rsidR="001B3E9B">
          <w:rPr>
            <w:noProof/>
            <w:webHidden/>
          </w:rPr>
          <w:fldChar w:fldCharType="end"/>
        </w:r>
      </w:hyperlink>
    </w:p>
    <w:p w14:paraId="6F6E1A1D" w14:textId="525229FF"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7" w:history="1">
        <w:r w:rsidR="001B3E9B" w:rsidRPr="00AD67AB">
          <w:rPr>
            <w:rStyle w:val="Hiperpovezava"/>
            <w:rFonts w:eastAsia="Calibri"/>
            <w:noProof/>
          </w:rPr>
          <w:t>Slika 105: Domača poraba, pridelava, uvoz in izvoz - zelenjadnice, v tisoč t</w:t>
        </w:r>
        <w:r w:rsidR="001B3E9B">
          <w:rPr>
            <w:noProof/>
            <w:webHidden/>
          </w:rPr>
          <w:tab/>
        </w:r>
        <w:r w:rsidR="001B3E9B">
          <w:rPr>
            <w:noProof/>
            <w:webHidden/>
          </w:rPr>
          <w:fldChar w:fldCharType="begin"/>
        </w:r>
        <w:r w:rsidR="001B3E9B">
          <w:rPr>
            <w:noProof/>
            <w:webHidden/>
          </w:rPr>
          <w:instrText xml:space="preserve"> PAGEREF _Toc89851147 \h </w:instrText>
        </w:r>
        <w:r w:rsidR="001B3E9B">
          <w:rPr>
            <w:noProof/>
            <w:webHidden/>
          </w:rPr>
        </w:r>
        <w:r w:rsidR="001B3E9B">
          <w:rPr>
            <w:noProof/>
            <w:webHidden/>
          </w:rPr>
          <w:fldChar w:fldCharType="separate"/>
        </w:r>
        <w:r w:rsidR="001B3E9B">
          <w:rPr>
            <w:noProof/>
            <w:webHidden/>
          </w:rPr>
          <w:t>154</w:t>
        </w:r>
        <w:r w:rsidR="001B3E9B">
          <w:rPr>
            <w:noProof/>
            <w:webHidden/>
          </w:rPr>
          <w:fldChar w:fldCharType="end"/>
        </w:r>
      </w:hyperlink>
    </w:p>
    <w:p w14:paraId="6DECCF61" w14:textId="5C112FC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8" w:history="1">
        <w:r w:rsidR="001B3E9B" w:rsidRPr="00AD67AB">
          <w:rPr>
            <w:rStyle w:val="Hiperpovezava"/>
            <w:rFonts w:eastAsia="Calibri"/>
            <w:noProof/>
          </w:rPr>
          <w:t>Slika 106: Domača poraba, prireja mesa, izvoz in uvoz živih živali ter uvoz in izvoz mesa in izdelkov – govedo, v tisoč t</w:t>
        </w:r>
        <w:r w:rsidR="001B3E9B">
          <w:rPr>
            <w:noProof/>
            <w:webHidden/>
          </w:rPr>
          <w:tab/>
        </w:r>
        <w:r w:rsidR="001B3E9B">
          <w:rPr>
            <w:noProof/>
            <w:webHidden/>
          </w:rPr>
          <w:fldChar w:fldCharType="begin"/>
        </w:r>
        <w:r w:rsidR="001B3E9B">
          <w:rPr>
            <w:noProof/>
            <w:webHidden/>
          </w:rPr>
          <w:instrText xml:space="preserve"> PAGEREF _Toc89851148 \h </w:instrText>
        </w:r>
        <w:r w:rsidR="001B3E9B">
          <w:rPr>
            <w:noProof/>
            <w:webHidden/>
          </w:rPr>
        </w:r>
        <w:r w:rsidR="001B3E9B">
          <w:rPr>
            <w:noProof/>
            <w:webHidden/>
          </w:rPr>
          <w:fldChar w:fldCharType="separate"/>
        </w:r>
        <w:r w:rsidR="001B3E9B">
          <w:rPr>
            <w:noProof/>
            <w:webHidden/>
          </w:rPr>
          <w:t>155</w:t>
        </w:r>
        <w:r w:rsidR="001B3E9B">
          <w:rPr>
            <w:noProof/>
            <w:webHidden/>
          </w:rPr>
          <w:fldChar w:fldCharType="end"/>
        </w:r>
      </w:hyperlink>
    </w:p>
    <w:p w14:paraId="30DCBE64" w14:textId="515897C3"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49" w:history="1">
        <w:r w:rsidR="001B3E9B" w:rsidRPr="00AD67AB">
          <w:rPr>
            <w:rStyle w:val="Hiperpovezava"/>
            <w:rFonts w:eastAsia="Calibri"/>
            <w:noProof/>
          </w:rPr>
          <w:t>Slika 107: Domača poraba, prireja, uvoz in izvoz –prašiči, v tisoč t</w:t>
        </w:r>
        <w:r w:rsidR="001B3E9B">
          <w:rPr>
            <w:noProof/>
            <w:webHidden/>
          </w:rPr>
          <w:tab/>
        </w:r>
        <w:r w:rsidR="001B3E9B">
          <w:rPr>
            <w:noProof/>
            <w:webHidden/>
          </w:rPr>
          <w:fldChar w:fldCharType="begin"/>
        </w:r>
        <w:r w:rsidR="001B3E9B">
          <w:rPr>
            <w:noProof/>
            <w:webHidden/>
          </w:rPr>
          <w:instrText xml:space="preserve"> PAGEREF _Toc89851149 \h </w:instrText>
        </w:r>
        <w:r w:rsidR="001B3E9B">
          <w:rPr>
            <w:noProof/>
            <w:webHidden/>
          </w:rPr>
        </w:r>
        <w:r w:rsidR="001B3E9B">
          <w:rPr>
            <w:noProof/>
            <w:webHidden/>
          </w:rPr>
          <w:fldChar w:fldCharType="separate"/>
        </w:r>
        <w:r w:rsidR="001B3E9B">
          <w:rPr>
            <w:noProof/>
            <w:webHidden/>
          </w:rPr>
          <w:t>156</w:t>
        </w:r>
        <w:r w:rsidR="001B3E9B">
          <w:rPr>
            <w:noProof/>
            <w:webHidden/>
          </w:rPr>
          <w:fldChar w:fldCharType="end"/>
        </w:r>
      </w:hyperlink>
    </w:p>
    <w:p w14:paraId="1F80C970" w14:textId="5F2D9C90"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0" w:history="1">
        <w:r w:rsidR="001B3E9B" w:rsidRPr="00AD67AB">
          <w:rPr>
            <w:rStyle w:val="Hiperpovezava"/>
            <w:rFonts w:eastAsia="Calibri"/>
            <w:noProof/>
          </w:rPr>
          <w:t>Slika 108: Domača pridelava, uvoz in izvoz – mleko, v tisoč t</w:t>
        </w:r>
        <w:r w:rsidR="001B3E9B">
          <w:rPr>
            <w:noProof/>
            <w:webHidden/>
          </w:rPr>
          <w:tab/>
        </w:r>
        <w:r w:rsidR="001B3E9B">
          <w:rPr>
            <w:noProof/>
            <w:webHidden/>
          </w:rPr>
          <w:fldChar w:fldCharType="begin"/>
        </w:r>
        <w:r w:rsidR="001B3E9B">
          <w:rPr>
            <w:noProof/>
            <w:webHidden/>
          </w:rPr>
          <w:instrText xml:space="preserve"> PAGEREF _Toc89851150 \h </w:instrText>
        </w:r>
        <w:r w:rsidR="001B3E9B">
          <w:rPr>
            <w:noProof/>
            <w:webHidden/>
          </w:rPr>
        </w:r>
        <w:r w:rsidR="001B3E9B">
          <w:rPr>
            <w:noProof/>
            <w:webHidden/>
          </w:rPr>
          <w:fldChar w:fldCharType="separate"/>
        </w:r>
        <w:r w:rsidR="001B3E9B">
          <w:rPr>
            <w:noProof/>
            <w:webHidden/>
          </w:rPr>
          <w:t>157</w:t>
        </w:r>
        <w:r w:rsidR="001B3E9B">
          <w:rPr>
            <w:noProof/>
            <w:webHidden/>
          </w:rPr>
          <w:fldChar w:fldCharType="end"/>
        </w:r>
      </w:hyperlink>
    </w:p>
    <w:p w14:paraId="2ABC8FA0" w14:textId="3D0693CE"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1" w:history="1">
        <w:r w:rsidR="001B3E9B" w:rsidRPr="00AD67AB">
          <w:rPr>
            <w:rStyle w:val="Hiperpovezava"/>
            <w:rFonts w:eastAsia="Calibri"/>
            <w:noProof/>
          </w:rPr>
          <w:t>Slika 109: Karta zasnove gozdne infrastrukture</w:t>
        </w:r>
        <w:r w:rsidR="001B3E9B">
          <w:rPr>
            <w:noProof/>
            <w:webHidden/>
          </w:rPr>
          <w:tab/>
        </w:r>
        <w:r w:rsidR="001B3E9B">
          <w:rPr>
            <w:noProof/>
            <w:webHidden/>
          </w:rPr>
          <w:fldChar w:fldCharType="begin"/>
        </w:r>
        <w:r w:rsidR="001B3E9B">
          <w:rPr>
            <w:noProof/>
            <w:webHidden/>
          </w:rPr>
          <w:instrText xml:space="preserve"> PAGEREF _Toc89851151 \h </w:instrText>
        </w:r>
        <w:r w:rsidR="001B3E9B">
          <w:rPr>
            <w:noProof/>
            <w:webHidden/>
          </w:rPr>
        </w:r>
        <w:r w:rsidR="001B3E9B">
          <w:rPr>
            <w:noProof/>
            <w:webHidden/>
          </w:rPr>
          <w:fldChar w:fldCharType="separate"/>
        </w:r>
        <w:r w:rsidR="001B3E9B">
          <w:rPr>
            <w:noProof/>
            <w:webHidden/>
          </w:rPr>
          <w:t>160</w:t>
        </w:r>
        <w:r w:rsidR="001B3E9B">
          <w:rPr>
            <w:noProof/>
            <w:webHidden/>
          </w:rPr>
          <w:fldChar w:fldCharType="end"/>
        </w:r>
      </w:hyperlink>
    </w:p>
    <w:p w14:paraId="1EDEC0F9" w14:textId="69F45CFC"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2" w:history="1">
        <w:r w:rsidR="001B3E9B" w:rsidRPr="00AD67AB">
          <w:rPr>
            <w:rStyle w:val="Hiperpovezava"/>
            <w:rFonts w:eastAsia="Calibri"/>
            <w:noProof/>
          </w:rPr>
          <w:t>Slika 110: Število smrtnih nezgod pri delu 1999-2019</w:t>
        </w:r>
        <w:r w:rsidR="001B3E9B">
          <w:rPr>
            <w:noProof/>
            <w:webHidden/>
          </w:rPr>
          <w:tab/>
        </w:r>
        <w:r w:rsidR="001B3E9B">
          <w:rPr>
            <w:noProof/>
            <w:webHidden/>
          </w:rPr>
          <w:fldChar w:fldCharType="begin"/>
        </w:r>
        <w:r w:rsidR="001B3E9B">
          <w:rPr>
            <w:noProof/>
            <w:webHidden/>
          </w:rPr>
          <w:instrText xml:space="preserve"> PAGEREF _Toc89851152 \h </w:instrText>
        </w:r>
        <w:r w:rsidR="001B3E9B">
          <w:rPr>
            <w:noProof/>
            <w:webHidden/>
          </w:rPr>
        </w:r>
        <w:r w:rsidR="001B3E9B">
          <w:rPr>
            <w:noProof/>
            <w:webHidden/>
          </w:rPr>
          <w:fldChar w:fldCharType="separate"/>
        </w:r>
        <w:r w:rsidR="001B3E9B">
          <w:rPr>
            <w:noProof/>
            <w:webHidden/>
          </w:rPr>
          <w:t>161</w:t>
        </w:r>
        <w:r w:rsidR="001B3E9B">
          <w:rPr>
            <w:noProof/>
            <w:webHidden/>
          </w:rPr>
          <w:fldChar w:fldCharType="end"/>
        </w:r>
      </w:hyperlink>
    </w:p>
    <w:p w14:paraId="629DCDBF" w14:textId="0B7A2BF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3" w:history="1">
        <w:r w:rsidR="001B3E9B" w:rsidRPr="00AD67AB">
          <w:rPr>
            <w:rStyle w:val="Hiperpovezava"/>
            <w:rFonts w:eastAsia="Calibri"/>
            <w:noProof/>
          </w:rPr>
          <w:t>Slika 111:</w:t>
        </w:r>
        <w:r w:rsidR="001B3E9B" w:rsidRPr="00AD67AB">
          <w:rPr>
            <w:rStyle w:val="Hiperpovezava"/>
            <w:rFonts w:eastAsia="Calibri"/>
            <w:i/>
            <w:noProof/>
          </w:rPr>
          <w:t xml:space="preserve"> </w:t>
        </w:r>
        <w:r w:rsidR="001B3E9B" w:rsidRPr="00AD67AB">
          <w:rPr>
            <w:rStyle w:val="Hiperpovezava"/>
            <w:rFonts w:eastAsia="Calibri"/>
            <w:noProof/>
          </w:rPr>
          <w:t>Izvoz in uvoz okroglega lesa (m</w:t>
        </w:r>
        <w:r w:rsidR="001B3E9B" w:rsidRPr="00AD67AB">
          <w:rPr>
            <w:rStyle w:val="Hiperpovezava"/>
            <w:rFonts w:eastAsia="Calibri"/>
            <w:noProof/>
            <w:vertAlign w:val="superscript"/>
          </w:rPr>
          <w:t>3</w:t>
        </w:r>
        <w:r w:rsidR="001B3E9B" w:rsidRPr="00AD67AB">
          <w:rPr>
            <w:rStyle w:val="Hiperpovezava"/>
            <w:rFonts w:eastAsia="Calibri"/>
            <w:noProof/>
          </w:rPr>
          <w:t>) po letih</w:t>
        </w:r>
        <w:r w:rsidR="001B3E9B">
          <w:rPr>
            <w:noProof/>
            <w:webHidden/>
          </w:rPr>
          <w:tab/>
        </w:r>
        <w:r w:rsidR="001B3E9B">
          <w:rPr>
            <w:noProof/>
            <w:webHidden/>
          </w:rPr>
          <w:fldChar w:fldCharType="begin"/>
        </w:r>
        <w:r w:rsidR="001B3E9B">
          <w:rPr>
            <w:noProof/>
            <w:webHidden/>
          </w:rPr>
          <w:instrText xml:space="preserve"> PAGEREF _Toc89851153 \h </w:instrText>
        </w:r>
        <w:r w:rsidR="001B3E9B">
          <w:rPr>
            <w:noProof/>
            <w:webHidden/>
          </w:rPr>
        </w:r>
        <w:r w:rsidR="001B3E9B">
          <w:rPr>
            <w:noProof/>
            <w:webHidden/>
          </w:rPr>
          <w:fldChar w:fldCharType="separate"/>
        </w:r>
        <w:r w:rsidR="001B3E9B">
          <w:rPr>
            <w:noProof/>
            <w:webHidden/>
          </w:rPr>
          <w:t>162</w:t>
        </w:r>
        <w:r w:rsidR="001B3E9B">
          <w:rPr>
            <w:noProof/>
            <w:webHidden/>
          </w:rPr>
          <w:fldChar w:fldCharType="end"/>
        </w:r>
      </w:hyperlink>
    </w:p>
    <w:p w14:paraId="5AEB088E" w14:textId="40232BB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4" w:history="1">
        <w:r w:rsidR="001B3E9B" w:rsidRPr="00AD67AB">
          <w:rPr>
            <w:rStyle w:val="Hiperpovezava"/>
            <w:rFonts w:eastAsia="Calibri"/>
            <w:noProof/>
          </w:rPr>
          <w:t>Slika 112:</w:t>
        </w:r>
        <w:r w:rsidR="001B3E9B" w:rsidRPr="00AD67AB">
          <w:rPr>
            <w:rStyle w:val="Hiperpovezava"/>
            <w:rFonts w:eastAsia="Calibri"/>
            <w:i/>
            <w:noProof/>
          </w:rPr>
          <w:t xml:space="preserve"> </w:t>
        </w:r>
        <w:r w:rsidR="001B3E9B" w:rsidRPr="00AD67AB">
          <w:rPr>
            <w:rStyle w:val="Hiperpovezava"/>
            <w:rFonts w:eastAsia="Calibri"/>
            <w:noProof/>
          </w:rPr>
          <w:t>Nihanje cen hlodovine po letih</w:t>
        </w:r>
        <w:r w:rsidR="001B3E9B">
          <w:rPr>
            <w:noProof/>
            <w:webHidden/>
          </w:rPr>
          <w:tab/>
        </w:r>
        <w:r w:rsidR="001B3E9B">
          <w:rPr>
            <w:noProof/>
            <w:webHidden/>
          </w:rPr>
          <w:fldChar w:fldCharType="begin"/>
        </w:r>
        <w:r w:rsidR="001B3E9B">
          <w:rPr>
            <w:noProof/>
            <w:webHidden/>
          </w:rPr>
          <w:instrText xml:space="preserve"> PAGEREF _Toc89851154 \h </w:instrText>
        </w:r>
        <w:r w:rsidR="001B3E9B">
          <w:rPr>
            <w:noProof/>
            <w:webHidden/>
          </w:rPr>
        </w:r>
        <w:r w:rsidR="001B3E9B">
          <w:rPr>
            <w:noProof/>
            <w:webHidden/>
          </w:rPr>
          <w:fldChar w:fldCharType="separate"/>
        </w:r>
        <w:r w:rsidR="001B3E9B">
          <w:rPr>
            <w:noProof/>
            <w:webHidden/>
          </w:rPr>
          <w:t>164</w:t>
        </w:r>
        <w:r w:rsidR="001B3E9B">
          <w:rPr>
            <w:noProof/>
            <w:webHidden/>
          </w:rPr>
          <w:fldChar w:fldCharType="end"/>
        </w:r>
      </w:hyperlink>
    </w:p>
    <w:p w14:paraId="05B40635" w14:textId="01AB4EC6"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5" w:history="1">
        <w:r w:rsidR="001B3E9B" w:rsidRPr="00AD67AB">
          <w:rPr>
            <w:rStyle w:val="Hiperpovezava"/>
            <w:rFonts w:eastAsia="Calibri"/>
            <w:noProof/>
          </w:rPr>
          <w:t>Slika 113:</w:t>
        </w:r>
        <w:r w:rsidR="001B3E9B" w:rsidRPr="00AD67AB">
          <w:rPr>
            <w:rStyle w:val="Hiperpovezava"/>
            <w:rFonts w:eastAsia="Calibri"/>
            <w:i/>
            <w:noProof/>
          </w:rPr>
          <w:t xml:space="preserve"> </w:t>
        </w:r>
        <w:r w:rsidR="001B3E9B" w:rsidRPr="00AD67AB">
          <w:rPr>
            <w:rStyle w:val="Hiperpovezava"/>
            <w:rFonts w:eastAsia="Calibri"/>
            <w:noProof/>
          </w:rPr>
          <w:t>Nihanje cen sečnje in spravila po letih</w:t>
        </w:r>
        <w:r w:rsidR="001B3E9B">
          <w:rPr>
            <w:noProof/>
            <w:webHidden/>
          </w:rPr>
          <w:tab/>
        </w:r>
        <w:r w:rsidR="001B3E9B">
          <w:rPr>
            <w:noProof/>
            <w:webHidden/>
          </w:rPr>
          <w:fldChar w:fldCharType="begin"/>
        </w:r>
        <w:r w:rsidR="001B3E9B">
          <w:rPr>
            <w:noProof/>
            <w:webHidden/>
          </w:rPr>
          <w:instrText xml:space="preserve"> PAGEREF _Toc89851155 \h </w:instrText>
        </w:r>
        <w:r w:rsidR="001B3E9B">
          <w:rPr>
            <w:noProof/>
            <w:webHidden/>
          </w:rPr>
        </w:r>
        <w:r w:rsidR="001B3E9B">
          <w:rPr>
            <w:noProof/>
            <w:webHidden/>
          </w:rPr>
          <w:fldChar w:fldCharType="separate"/>
        </w:r>
        <w:r w:rsidR="001B3E9B">
          <w:rPr>
            <w:noProof/>
            <w:webHidden/>
          </w:rPr>
          <w:t>165</w:t>
        </w:r>
        <w:r w:rsidR="001B3E9B">
          <w:rPr>
            <w:noProof/>
            <w:webHidden/>
          </w:rPr>
          <w:fldChar w:fldCharType="end"/>
        </w:r>
      </w:hyperlink>
    </w:p>
    <w:p w14:paraId="665ED1D4" w14:textId="37FBD7A9"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6" w:history="1">
        <w:r w:rsidR="001B3E9B" w:rsidRPr="00AD67AB">
          <w:rPr>
            <w:rStyle w:val="Hiperpovezava"/>
            <w:rFonts w:eastAsia="Calibri"/>
            <w:noProof/>
          </w:rPr>
          <w:t>Slika 114: Količina poseka iglavcev napadenih z insekti v obdobju 1994 – 2018 (vir: ZGS, obdelava GIS-GTE)</w:t>
        </w:r>
        <w:r w:rsidR="001B3E9B">
          <w:rPr>
            <w:noProof/>
            <w:webHidden/>
          </w:rPr>
          <w:tab/>
        </w:r>
        <w:r w:rsidR="001B3E9B">
          <w:rPr>
            <w:noProof/>
            <w:webHidden/>
          </w:rPr>
          <w:fldChar w:fldCharType="begin"/>
        </w:r>
        <w:r w:rsidR="001B3E9B">
          <w:rPr>
            <w:noProof/>
            <w:webHidden/>
          </w:rPr>
          <w:instrText xml:space="preserve"> PAGEREF _Toc89851156 \h </w:instrText>
        </w:r>
        <w:r w:rsidR="001B3E9B">
          <w:rPr>
            <w:noProof/>
            <w:webHidden/>
          </w:rPr>
        </w:r>
        <w:r w:rsidR="001B3E9B">
          <w:rPr>
            <w:noProof/>
            <w:webHidden/>
          </w:rPr>
          <w:fldChar w:fldCharType="separate"/>
        </w:r>
        <w:r w:rsidR="001B3E9B">
          <w:rPr>
            <w:noProof/>
            <w:webHidden/>
          </w:rPr>
          <w:t>166</w:t>
        </w:r>
        <w:r w:rsidR="001B3E9B">
          <w:rPr>
            <w:noProof/>
            <w:webHidden/>
          </w:rPr>
          <w:fldChar w:fldCharType="end"/>
        </w:r>
      </w:hyperlink>
    </w:p>
    <w:p w14:paraId="5EA4A328" w14:textId="1A412A3D"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7" w:history="1">
        <w:r w:rsidR="001B3E9B" w:rsidRPr="00AD67AB">
          <w:rPr>
            <w:rStyle w:val="Hiperpovezava"/>
            <w:rFonts w:eastAsia="Calibri"/>
            <w:noProof/>
          </w:rPr>
          <w:t>Slika 115: Penetracija fiksnega širokopasovnega dostopa</w:t>
        </w:r>
        <w:r w:rsidR="001B3E9B">
          <w:rPr>
            <w:noProof/>
            <w:webHidden/>
          </w:rPr>
          <w:tab/>
        </w:r>
        <w:r w:rsidR="001B3E9B">
          <w:rPr>
            <w:noProof/>
            <w:webHidden/>
          </w:rPr>
          <w:fldChar w:fldCharType="begin"/>
        </w:r>
        <w:r w:rsidR="001B3E9B">
          <w:rPr>
            <w:noProof/>
            <w:webHidden/>
          </w:rPr>
          <w:instrText xml:space="preserve"> PAGEREF _Toc89851157 \h </w:instrText>
        </w:r>
        <w:r w:rsidR="001B3E9B">
          <w:rPr>
            <w:noProof/>
            <w:webHidden/>
          </w:rPr>
        </w:r>
        <w:r w:rsidR="001B3E9B">
          <w:rPr>
            <w:noProof/>
            <w:webHidden/>
          </w:rPr>
          <w:fldChar w:fldCharType="separate"/>
        </w:r>
        <w:r w:rsidR="001B3E9B">
          <w:rPr>
            <w:noProof/>
            <w:webHidden/>
          </w:rPr>
          <w:t>171</w:t>
        </w:r>
        <w:r w:rsidR="001B3E9B">
          <w:rPr>
            <w:noProof/>
            <w:webHidden/>
          </w:rPr>
          <w:fldChar w:fldCharType="end"/>
        </w:r>
      </w:hyperlink>
    </w:p>
    <w:p w14:paraId="6D141A02" w14:textId="1C02B998" w:rsidR="001B3E9B" w:rsidRDefault="00FB6BEC">
      <w:pPr>
        <w:pStyle w:val="Kazaloslik"/>
        <w:tabs>
          <w:tab w:val="right" w:leader="dot" w:pos="9062"/>
        </w:tabs>
        <w:rPr>
          <w:rFonts w:asciiTheme="minorHAnsi" w:eastAsiaTheme="minorEastAsia" w:hAnsiTheme="minorHAnsi" w:cstheme="minorBidi"/>
          <w:noProof/>
          <w:szCs w:val="22"/>
          <w:lang w:eastAsia="sl-SI"/>
        </w:rPr>
      </w:pPr>
      <w:hyperlink w:anchor="_Toc89851158" w:history="1">
        <w:r w:rsidR="001B3E9B" w:rsidRPr="00AD67AB">
          <w:rPr>
            <w:rStyle w:val="Hiperpovezava"/>
            <w:rFonts w:eastAsia="Calibri"/>
            <w:noProof/>
          </w:rPr>
          <w:t>Slika 116:</w:t>
        </w:r>
        <w:r w:rsidR="001B3E9B" w:rsidRPr="00AD67AB">
          <w:rPr>
            <w:rStyle w:val="Hiperpovezava"/>
            <w:rFonts w:eastAsia="Calibri"/>
            <w:i/>
            <w:noProof/>
          </w:rPr>
          <w:t xml:space="preserve"> </w:t>
        </w:r>
        <w:r w:rsidR="001B3E9B" w:rsidRPr="00AD67AB">
          <w:rPr>
            <w:rStyle w:val="Hiperpovezava"/>
            <w:rFonts w:eastAsia="Calibri"/>
            <w:noProof/>
          </w:rPr>
          <w:t>Hitrost prevzemanja novih tehnologij v kmetijstvu</w:t>
        </w:r>
        <w:r w:rsidR="001B3E9B">
          <w:rPr>
            <w:noProof/>
            <w:webHidden/>
          </w:rPr>
          <w:tab/>
        </w:r>
        <w:r w:rsidR="001B3E9B">
          <w:rPr>
            <w:noProof/>
            <w:webHidden/>
          </w:rPr>
          <w:fldChar w:fldCharType="begin"/>
        </w:r>
        <w:r w:rsidR="001B3E9B">
          <w:rPr>
            <w:noProof/>
            <w:webHidden/>
          </w:rPr>
          <w:instrText xml:space="preserve"> PAGEREF _Toc89851158 \h </w:instrText>
        </w:r>
        <w:r w:rsidR="001B3E9B">
          <w:rPr>
            <w:noProof/>
            <w:webHidden/>
          </w:rPr>
        </w:r>
        <w:r w:rsidR="001B3E9B">
          <w:rPr>
            <w:noProof/>
            <w:webHidden/>
          </w:rPr>
          <w:fldChar w:fldCharType="separate"/>
        </w:r>
        <w:r w:rsidR="001B3E9B">
          <w:rPr>
            <w:noProof/>
            <w:webHidden/>
          </w:rPr>
          <w:t>172</w:t>
        </w:r>
        <w:r w:rsidR="001B3E9B">
          <w:rPr>
            <w:noProof/>
            <w:webHidden/>
          </w:rPr>
          <w:fldChar w:fldCharType="end"/>
        </w:r>
      </w:hyperlink>
    </w:p>
    <w:p w14:paraId="41671154" w14:textId="7CF10C7A" w:rsidR="00EA1952" w:rsidRDefault="00EA1952" w:rsidP="009F3567">
      <w:pPr>
        <w:spacing w:before="0" w:line="276" w:lineRule="auto"/>
        <w:ind w:left="709" w:right="567" w:hanging="709"/>
        <w:jc w:val="left"/>
        <w:rPr>
          <w:sz w:val="20"/>
          <w:szCs w:val="20"/>
          <w:lang w:eastAsia="en-US"/>
        </w:rPr>
      </w:pPr>
      <w:r w:rsidRPr="0047652B">
        <w:rPr>
          <w:sz w:val="20"/>
          <w:szCs w:val="20"/>
          <w:lang w:eastAsia="en-US"/>
        </w:rPr>
        <w:fldChar w:fldCharType="end"/>
      </w:r>
    </w:p>
    <w:p w14:paraId="2A108C93" w14:textId="77777777" w:rsidR="00EA1952" w:rsidRPr="0047652B" w:rsidRDefault="00EA1952" w:rsidP="009F3567">
      <w:pPr>
        <w:spacing w:before="0" w:line="276" w:lineRule="auto"/>
        <w:jc w:val="left"/>
        <w:rPr>
          <w:sz w:val="20"/>
          <w:szCs w:val="20"/>
          <w:lang w:eastAsia="en-US"/>
        </w:rPr>
      </w:pPr>
    </w:p>
    <w:p w14:paraId="57ED9AB3" w14:textId="77777777" w:rsidR="00E42B73" w:rsidRPr="0047652B" w:rsidRDefault="00E42B73" w:rsidP="009F3567">
      <w:pPr>
        <w:spacing w:before="0" w:line="276" w:lineRule="auto"/>
        <w:jc w:val="left"/>
        <w:rPr>
          <w:sz w:val="20"/>
          <w:szCs w:val="20"/>
          <w:lang w:eastAsia="en-US"/>
        </w:rPr>
      </w:pPr>
    </w:p>
    <w:p w14:paraId="5154A0D0" w14:textId="77777777" w:rsidR="00E42B73" w:rsidRPr="0047652B" w:rsidRDefault="00E42B73" w:rsidP="009F3567">
      <w:pPr>
        <w:spacing w:before="0" w:line="276" w:lineRule="auto"/>
        <w:jc w:val="left"/>
        <w:rPr>
          <w:sz w:val="20"/>
          <w:szCs w:val="20"/>
          <w:lang w:eastAsia="en-US"/>
        </w:rPr>
      </w:pPr>
    </w:p>
    <w:p w14:paraId="36AA38F5" w14:textId="77777777" w:rsidR="00E42B73" w:rsidRPr="0047652B" w:rsidRDefault="00E42B73" w:rsidP="009F3567">
      <w:pPr>
        <w:spacing w:before="0" w:line="276" w:lineRule="auto"/>
        <w:jc w:val="left"/>
        <w:rPr>
          <w:sz w:val="20"/>
          <w:szCs w:val="20"/>
          <w:lang w:eastAsia="en-US"/>
        </w:rPr>
      </w:pPr>
    </w:p>
    <w:p w14:paraId="3B57F056" w14:textId="77777777" w:rsidR="00A45F69" w:rsidRPr="0047652B" w:rsidRDefault="00A45F69" w:rsidP="009F3567">
      <w:pPr>
        <w:spacing w:before="0" w:line="276" w:lineRule="auto"/>
        <w:jc w:val="left"/>
        <w:rPr>
          <w:b/>
          <w:sz w:val="20"/>
          <w:szCs w:val="20"/>
        </w:rPr>
      </w:pPr>
      <w:r w:rsidRPr="0047652B">
        <w:rPr>
          <w:b/>
          <w:sz w:val="20"/>
          <w:szCs w:val="20"/>
        </w:rPr>
        <w:br w:type="page"/>
      </w:r>
    </w:p>
    <w:p w14:paraId="37ABEB35" w14:textId="77777777" w:rsidR="00EA3ECA" w:rsidRDefault="00EA3ECA" w:rsidP="005B2A49">
      <w:pPr>
        <w:pStyle w:val="Naslov1"/>
      </w:pPr>
      <w:bookmarkStart w:id="1" w:name="_Toc90462205"/>
      <w:r>
        <w:t>SEZNAM UPORABLJENIH KRATIC IN SIMBOLOV</w:t>
      </w:r>
      <w:bookmarkEnd w:id="1"/>
    </w:p>
    <w:p w14:paraId="596B3388" w14:textId="77777777" w:rsidR="00EA3ECA" w:rsidRDefault="00EA3ECA">
      <w:pPr>
        <w:spacing w:before="0" w:after="200" w:line="276" w:lineRule="auto"/>
        <w:jc w:val="left"/>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19"/>
        <w:gridCol w:w="10"/>
      </w:tblGrid>
      <w:tr w:rsidR="00ED6A04" w:rsidRPr="009C1DF4" w14:paraId="4AD185CB" w14:textId="77777777" w:rsidTr="00ED6A04">
        <w:tc>
          <w:tcPr>
            <w:tcW w:w="1843" w:type="dxa"/>
          </w:tcPr>
          <w:p w14:paraId="6691DAE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BDV</w:t>
            </w:r>
          </w:p>
        </w:tc>
        <w:tc>
          <w:tcPr>
            <w:tcW w:w="7219" w:type="dxa"/>
            <w:gridSpan w:val="2"/>
          </w:tcPr>
          <w:p w14:paraId="048704D8" w14:textId="77777777" w:rsidR="00ED6A04" w:rsidRDefault="00ED6A04" w:rsidP="00ED6A04">
            <w:pPr>
              <w:spacing w:before="0" w:line="360" w:lineRule="auto"/>
              <w:jc w:val="left"/>
              <w:rPr>
                <w:szCs w:val="20"/>
              </w:rPr>
            </w:pPr>
            <w:r>
              <w:rPr>
                <w:szCs w:val="20"/>
              </w:rPr>
              <w:t>bruto dodana vrednost</w:t>
            </w:r>
          </w:p>
        </w:tc>
      </w:tr>
      <w:tr w:rsidR="00ED6A04" w:rsidRPr="009C1DF4" w14:paraId="08CFCE7F" w14:textId="77777777" w:rsidTr="00ED6A04">
        <w:tc>
          <w:tcPr>
            <w:tcW w:w="1843" w:type="dxa"/>
          </w:tcPr>
          <w:p w14:paraId="252035FF"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EK</w:t>
            </w:r>
          </w:p>
        </w:tc>
        <w:tc>
          <w:tcPr>
            <w:tcW w:w="7219" w:type="dxa"/>
            <w:gridSpan w:val="2"/>
          </w:tcPr>
          <w:p w14:paraId="5FC44D21" w14:textId="77777777" w:rsidR="00ED6A04" w:rsidRDefault="00ED6A04" w:rsidP="00ED6A04">
            <w:pPr>
              <w:spacing w:before="0" w:line="360" w:lineRule="auto"/>
              <w:jc w:val="left"/>
              <w:rPr>
                <w:szCs w:val="20"/>
              </w:rPr>
            </w:pPr>
            <w:r>
              <w:rPr>
                <w:szCs w:val="20"/>
              </w:rPr>
              <w:t>Evropska komisija</w:t>
            </w:r>
          </w:p>
        </w:tc>
      </w:tr>
      <w:tr w:rsidR="00AC648D" w:rsidRPr="009C1DF4" w14:paraId="05C9F97A" w14:textId="77777777" w:rsidTr="00ED6A04">
        <w:trPr>
          <w:gridAfter w:val="1"/>
          <w:wAfter w:w="10" w:type="dxa"/>
        </w:trPr>
        <w:tc>
          <w:tcPr>
            <w:tcW w:w="1843" w:type="dxa"/>
          </w:tcPr>
          <w:p w14:paraId="62FC35E8" w14:textId="396C1609" w:rsidR="00AC648D" w:rsidRDefault="00AC648D" w:rsidP="002D497C">
            <w:pPr>
              <w:spacing w:before="0" w:line="360" w:lineRule="auto"/>
              <w:jc w:val="left"/>
              <w:rPr>
                <w:b/>
                <w:color w:val="1F497D" w:themeColor="text2"/>
                <w:szCs w:val="20"/>
              </w:rPr>
            </w:pPr>
            <w:r>
              <w:rPr>
                <w:b/>
                <w:color w:val="1F497D" w:themeColor="text2"/>
                <w:szCs w:val="20"/>
              </w:rPr>
              <w:t>EUR</w:t>
            </w:r>
          </w:p>
        </w:tc>
        <w:tc>
          <w:tcPr>
            <w:tcW w:w="7219" w:type="dxa"/>
          </w:tcPr>
          <w:p w14:paraId="00ACF1EE" w14:textId="3C38D4CB" w:rsidR="00AC648D" w:rsidRDefault="00AC648D" w:rsidP="002D497C">
            <w:pPr>
              <w:spacing w:before="0" w:line="360" w:lineRule="auto"/>
              <w:jc w:val="left"/>
            </w:pPr>
            <w:r>
              <w:t>evr</w:t>
            </w:r>
            <w:r w:rsidR="00687C6E">
              <w:t>o</w:t>
            </w:r>
          </w:p>
        </w:tc>
      </w:tr>
      <w:tr w:rsidR="00782EB2" w:rsidRPr="009C1DF4" w14:paraId="69A913B5" w14:textId="77777777" w:rsidTr="00ED6A04">
        <w:trPr>
          <w:gridAfter w:val="1"/>
          <w:wAfter w:w="10" w:type="dxa"/>
        </w:trPr>
        <w:tc>
          <w:tcPr>
            <w:tcW w:w="1843" w:type="dxa"/>
          </w:tcPr>
          <w:p w14:paraId="646E8206" w14:textId="45CC9CB7" w:rsidR="00782EB2" w:rsidRPr="00ED6A04" w:rsidRDefault="00782EB2" w:rsidP="002D497C">
            <w:pPr>
              <w:spacing w:before="0" w:line="360" w:lineRule="auto"/>
              <w:jc w:val="left"/>
              <w:rPr>
                <w:b/>
                <w:color w:val="1F497D" w:themeColor="text2"/>
                <w:szCs w:val="20"/>
              </w:rPr>
            </w:pPr>
            <w:r>
              <w:rPr>
                <w:b/>
                <w:color w:val="1F497D" w:themeColor="text2"/>
                <w:szCs w:val="20"/>
              </w:rPr>
              <w:t>FADN</w:t>
            </w:r>
          </w:p>
        </w:tc>
        <w:tc>
          <w:tcPr>
            <w:tcW w:w="7219" w:type="dxa"/>
          </w:tcPr>
          <w:p w14:paraId="7E7F0328" w14:textId="63F67387" w:rsidR="00782EB2" w:rsidRDefault="00AC648D" w:rsidP="00E86ECB">
            <w:pPr>
              <w:autoSpaceDE w:val="0"/>
              <w:autoSpaceDN w:val="0"/>
              <w:adjustRightInd w:val="0"/>
              <w:spacing w:before="0" w:line="360" w:lineRule="auto"/>
              <w:jc w:val="left"/>
            </w:pPr>
            <w:r w:rsidRPr="00E86ECB">
              <w:rPr>
                <w:rFonts w:ascii="RobotoCondensed-Regular" w:eastAsiaTheme="minorHAnsi" w:hAnsi="RobotoCondensed-Regular" w:cs="RobotoCondensed-Regular"/>
                <w:sz w:val="19"/>
                <w:szCs w:val="19"/>
                <w:lang w:eastAsia="en-US"/>
              </w:rPr>
              <w:t>ang. “Farm Accountancy Data Network” o</w:t>
            </w:r>
            <w:r w:rsidRPr="00181348">
              <w:rPr>
                <w:rFonts w:ascii="RobotoCondensed-Regular" w:eastAsiaTheme="minorHAnsi" w:hAnsi="RobotoCondensed-Regular" w:cs="RobotoCondensed-Regular"/>
                <w:sz w:val="19"/>
                <w:szCs w:val="19"/>
                <w:lang w:eastAsia="en-US"/>
              </w:rPr>
              <w:t xml:space="preserve">z. </w:t>
            </w:r>
            <w:r w:rsidRPr="00167408">
              <w:rPr>
                <w:rFonts w:ascii="RobotoCondensed-Regular" w:eastAsiaTheme="minorHAnsi" w:hAnsi="RobotoCondensed-Regular" w:cs="RobotoCondensed-Regular"/>
                <w:sz w:val="19"/>
                <w:szCs w:val="19"/>
                <w:lang w:eastAsia="en-US"/>
              </w:rPr>
              <w:t>mrež</w:t>
            </w:r>
            <w:r w:rsidRPr="006E2ECB">
              <w:rPr>
                <w:rFonts w:ascii="RobotoCondensed-Regular" w:eastAsiaTheme="minorHAnsi" w:hAnsi="RobotoCondensed-Regular" w:cs="RobotoCondensed-Regular"/>
                <w:sz w:val="19"/>
                <w:szCs w:val="19"/>
                <w:lang w:eastAsia="en-US"/>
              </w:rPr>
              <w:t>a računovodskih podatkov o poslovanju kmetijskih gospodarstev</w:t>
            </w:r>
          </w:p>
        </w:tc>
      </w:tr>
      <w:tr w:rsidR="009C1DF4" w:rsidRPr="009C1DF4" w14:paraId="3F7F479E" w14:textId="77777777" w:rsidTr="00ED6A04">
        <w:trPr>
          <w:gridAfter w:val="1"/>
          <w:wAfter w:w="10" w:type="dxa"/>
        </w:trPr>
        <w:tc>
          <w:tcPr>
            <w:tcW w:w="1843" w:type="dxa"/>
          </w:tcPr>
          <w:p w14:paraId="00A4DC1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GFCF</w:t>
            </w:r>
          </w:p>
        </w:tc>
        <w:tc>
          <w:tcPr>
            <w:tcW w:w="7219" w:type="dxa"/>
          </w:tcPr>
          <w:p w14:paraId="4F9C6FF1" w14:textId="6C75B07A" w:rsidR="009C1DF4" w:rsidRPr="009F3567" w:rsidRDefault="00687C6E" w:rsidP="002D497C">
            <w:pPr>
              <w:spacing w:before="0" w:line="360" w:lineRule="auto"/>
              <w:jc w:val="left"/>
              <w:rPr>
                <w:szCs w:val="20"/>
              </w:rPr>
            </w:pPr>
            <w:r>
              <w:t xml:space="preserve">ang. </w:t>
            </w:r>
            <w:r w:rsidR="002D497C">
              <w:t>“</w:t>
            </w:r>
            <w:r w:rsidR="009C1DF4" w:rsidRPr="009C1DF4">
              <w:t>gross fixed capital formation</w:t>
            </w:r>
            <w:r w:rsidR="002D497C">
              <w:t>”</w:t>
            </w:r>
            <w:r w:rsidR="009C1DF4" w:rsidRPr="009C1DF4">
              <w:t xml:space="preserve"> oz. </w:t>
            </w:r>
            <w:r w:rsidR="009C1DF4" w:rsidRPr="009C1DF4">
              <w:rPr>
                <w:rFonts w:eastAsiaTheme="minorHAnsi"/>
                <w:szCs w:val="22"/>
                <w:lang w:eastAsia="en-US"/>
              </w:rPr>
              <w:t>bruto investicije v osnovna sredstva</w:t>
            </w:r>
          </w:p>
        </w:tc>
      </w:tr>
      <w:tr w:rsidR="00ED0AAA" w:rsidRPr="009C1DF4" w14:paraId="37EFCB05" w14:textId="77777777" w:rsidTr="00ED6A04">
        <w:trPr>
          <w:gridAfter w:val="1"/>
          <w:wAfter w:w="10" w:type="dxa"/>
        </w:trPr>
        <w:tc>
          <w:tcPr>
            <w:tcW w:w="1843" w:type="dxa"/>
          </w:tcPr>
          <w:p w14:paraId="5133E1B0" w14:textId="32442AC7" w:rsidR="00ED0AAA" w:rsidRPr="00ED6A04" w:rsidRDefault="00ED0AAA" w:rsidP="002D497C">
            <w:pPr>
              <w:spacing w:before="0" w:line="360" w:lineRule="auto"/>
              <w:jc w:val="left"/>
              <w:rPr>
                <w:b/>
                <w:color w:val="1F497D" w:themeColor="text2"/>
                <w:szCs w:val="20"/>
              </w:rPr>
            </w:pPr>
            <w:r>
              <w:rPr>
                <w:b/>
                <w:color w:val="1F497D" w:themeColor="text2"/>
                <w:szCs w:val="20"/>
              </w:rPr>
              <w:t>GVŽ</w:t>
            </w:r>
          </w:p>
        </w:tc>
        <w:tc>
          <w:tcPr>
            <w:tcW w:w="7219" w:type="dxa"/>
          </w:tcPr>
          <w:p w14:paraId="4E65F188" w14:textId="0B04303D" w:rsidR="00ED0AAA" w:rsidRPr="009F3567" w:rsidRDefault="00ED0AAA" w:rsidP="002D497C">
            <w:pPr>
              <w:spacing w:before="0" w:line="360" w:lineRule="auto"/>
              <w:jc w:val="left"/>
              <w:rPr>
                <w:szCs w:val="20"/>
              </w:rPr>
            </w:pPr>
            <w:r>
              <w:rPr>
                <w:szCs w:val="20"/>
              </w:rPr>
              <w:t>glav</w:t>
            </w:r>
            <w:r w:rsidR="00AC648D">
              <w:rPr>
                <w:szCs w:val="20"/>
              </w:rPr>
              <w:t>a</w:t>
            </w:r>
            <w:r>
              <w:rPr>
                <w:szCs w:val="20"/>
              </w:rPr>
              <w:t xml:space="preserve"> velike živine</w:t>
            </w:r>
          </w:p>
        </w:tc>
      </w:tr>
      <w:tr w:rsidR="009C1DF4" w:rsidRPr="009C1DF4" w14:paraId="74418152" w14:textId="77777777" w:rsidTr="00ED6A04">
        <w:trPr>
          <w:gridAfter w:val="1"/>
          <w:wAfter w:w="10" w:type="dxa"/>
        </w:trPr>
        <w:tc>
          <w:tcPr>
            <w:tcW w:w="1843" w:type="dxa"/>
          </w:tcPr>
          <w:p w14:paraId="10EB6041" w14:textId="653D277F" w:rsidR="009C1DF4" w:rsidRPr="00ED6A04" w:rsidRDefault="00755944" w:rsidP="002D497C">
            <w:pPr>
              <w:spacing w:before="0" w:line="360" w:lineRule="auto"/>
              <w:jc w:val="left"/>
              <w:rPr>
                <w:b/>
                <w:color w:val="1F497D" w:themeColor="text2"/>
                <w:szCs w:val="20"/>
                <w:lang w:val="sl-SI"/>
              </w:rPr>
            </w:pPr>
            <w:r w:rsidRPr="00ED6A04">
              <w:rPr>
                <w:b/>
                <w:color w:val="1F497D" w:themeColor="text2"/>
                <w:szCs w:val="20"/>
                <w:lang w:val="sl-SI"/>
              </w:rPr>
              <w:t>ha</w:t>
            </w:r>
          </w:p>
        </w:tc>
        <w:tc>
          <w:tcPr>
            <w:tcW w:w="7219" w:type="dxa"/>
          </w:tcPr>
          <w:p w14:paraId="30D847A6" w14:textId="77777777" w:rsidR="009C1DF4" w:rsidRPr="009F3567" w:rsidRDefault="009C1DF4" w:rsidP="002D497C">
            <w:pPr>
              <w:spacing w:before="0" w:line="360" w:lineRule="auto"/>
              <w:jc w:val="left"/>
              <w:rPr>
                <w:szCs w:val="20"/>
              </w:rPr>
            </w:pPr>
            <w:r w:rsidRPr="009F3567">
              <w:rPr>
                <w:szCs w:val="20"/>
              </w:rPr>
              <w:t>hektar</w:t>
            </w:r>
          </w:p>
        </w:tc>
      </w:tr>
      <w:tr w:rsidR="00755944" w:rsidRPr="009C1DF4" w14:paraId="278906A3" w14:textId="77777777" w:rsidTr="00ED6A04">
        <w:trPr>
          <w:gridAfter w:val="1"/>
          <w:wAfter w:w="10" w:type="dxa"/>
        </w:trPr>
        <w:tc>
          <w:tcPr>
            <w:tcW w:w="1843" w:type="dxa"/>
          </w:tcPr>
          <w:p w14:paraId="03DB3CA4" w14:textId="0DB242E2" w:rsidR="00755944" w:rsidRPr="00ED6A04" w:rsidRDefault="00755944" w:rsidP="002D497C">
            <w:pPr>
              <w:spacing w:before="0" w:line="360" w:lineRule="auto"/>
              <w:jc w:val="left"/>
              <w:rPr>
                <w:b/>
                <w:color w:val="1F497D" w:themeColor="text2"/>
                <w:szCs w:val="20"/>
              </w:rPr>
            </w:pPr>
            <w:r>
              <w:rPr>
                <w:b/>
                <w:color w:val="1F497D" w:themeColor="text2"/>
                <w:szCs w:val="20"/>
              </w:rPr>
              <w:t>kg</w:t>
            </w:r>
          </w:p>
        </w:tc>
        <w:tc>
          <w:tcPr>
            <w:tcW w:w="7219" w:type="dxa"/>
          </w:tcPr>
          <w:p w14:paraId="0CB21980" w14:textId="2787AFEF" w:rsidR="00755944" w:rsidRPr="00157D02" w:rsidRDefault="00755944" w:rsidP="002D497C">
            <w:pPr>
              <w:spacing w:before="0" w:line="360" w:lineRule="auto"/>
              <w:jc w:val="left"/>
              <w:rPr>
                <w:szCs w:val="20"/>
              </w:rPr>
            </w:pPr>
            <w:r>
              <w:rPr>
                <w:szCs w:val="20"/>
              </w:rPr>
              <w:t>kilogram</w:t>
            </w:r>
          </w:p>
        </w:tc>
      </w:tr>
      <w:tr w:rsidR="003C45CB" w:rsidRPr="009C1DF4" w14:paraId="66B55A0D" w14:textId="77777777" w:rsidTr="00ED6A04">
        <w:trPr>
          <w:gridAfter w:val="1"/>
          <w:wAfter w:w="10" w:type="dxa"/>
        </w:trPr>
        <w:tc>
          <w:tcPr>
            <w:tcW w:w="1843" w:type="dxa"/>
          </w:tcPr>
          <w:p w14:paraId="0593E4C4" w14:textId="2BAD2B45" w:rsidR="003C45CB" w:rsidRPr="00ED6A04" w:rsidRDefault="003C45CB" w:rsidP="002D497C">
            <w:pPr>
              <w:spacing w:before="0" w:line="360" w:lineRule="auto"/>
              <w:jc w:val="left"/>
              <w:rPr>
                <w:b/>
                <w:color w:val="1F497D" w:themeColor="text2"/>
                <w:szCs w:val="20"/>
              </w:rPr>
            </w:pPr>
            <w:r>
              <w:rPr>
                <w:b/>
                <w:color w:val="1F497D" w:themeColor="text2"/>
                <w:szCs w:val="20"/>
              </w:rPr>
              <w:t>IKT</w:t>
            </w:r>
          </w:p>
        </w:tc>
        <w:tc>
          <w:tcPr>
            <w:tcW w:w="7219" w:type="dxa"/>
          </w:tcPr>
          <w:p w14:paraId="15BBF511" w14:textId="08221E23" w:rsidR="003C45CB" w:rsidRPr="00157D02" w:rsidRDefault="003C45CB" w:rsidP="002D497C">
            <w:pPr>
              <w:spacing w:before="0" w:line="360" w:lineRule="auto"/>
              <w:jc w:val="left"/>
              <w:rPr>
                <w:szCs w:val="20"/>
              </w:rPr>
            </w:pPr>
            <w:r>
              <w:rPr>
                <w:szCs w:val="20"/>
              </w:rPr>
              <w:t>informacijsko-komunikacijska tehnologija</w:t>
            </w:r>
          </w:p>
        </w:tc>
      </w:tr>
      <w:tr w:rsidR="009C1DF4" w:rsidRPr="009C1DF4" w14:paraId="1CC7A2DB" w14:textId="77777777" w:rsidTr="00ED6A04">
        <w:trPr>
          <w:gridAfter w:val="1"/>
          <w:wAfter w:w="10" w:type="dxa"/>
        </w:trPr>
        <w:tc>
          <w:tcPr>
            <w:tcW w:w="1843" w:type="dxa"/>
          </w:tcPr>
          <w:p w14:paraId="100B14B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KMG</w:t>
            </w:r>
          </w:p>
        </w:tc>
        <w:tc>
          <w:tcPr>
            <w:tcW w:w="7219" w:type="dxa"/>
          </w:tcPr>
          <w:p w14:paraId="14264F94" w14:textId="77777777" w:rsidR="009C1DF4" w:rsidRPr="009C1DF4" w:rsidRDefault="009C1DF4" w:rsidP="002D497C">
            <w:pPr>
              <w:spacing w:before="0" w:line="360" w:lineRule="auto"/>
              <w:jc w:val="left"/>
              <w:rPr>
                <w:szCs w:val="20"/>
              </w:rPr>
            </w:pPr>
            <w:r w:rsidRPr="00157D02">
              <w:rPr>
                <w:szCs w:val="20"/>
              </w:rPr>
              <w:t>kmetijsko gospodarstvo</w:t>
            </w:r>
          </w:p>
        </w:tc>
      </w:tr>
      <w:tr w:rsidR="00ED6A04" w:rsidRPr="009C1DF4" w14:paraId="1076519D" w14:textId="77777777" w:rsidTr="00ED6A04">
        <w:tc>
          <w:tcPr>
            <w:tcW w:w="1843" w:type="dxa"/>
          </w:tcPr>
          <w:p w14:paraId="23A36B7C"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KMG-MID</w:t>
            </w:r>
          </w:p>
        </w:tc>
        <w:tc>
          <w:tcPr>
            <w:tcW w:w="7219" w:type="dxa"/>
            <w:gridSpan w:val="2"/>
          </w:tcPr>
          <w:p w14:paraId="4F5F275F" w14:textId="77777777" w:rsidR="00ED6A04" w:rsidRDefault="00ED6A04" w:rsidP="00ED6A04">
            <w:pPr>
              <w:spacing w:before="0" w:line="360" w:lineRule="auto"/>
              <w:jc w:val="left"/>
              <w:rPr>
                <w:szCs w:val="20"/>
              </w:rPr>
            </w:pPr>
            <w:r>
              <w:rPr>
                <w:szCs w:val="20"/>
              </w:rPr>
              <w:t>identifikacijska številka kmetijskega gospodarstva</w:t>
            </w:r>
          </w:p>
        </w:tc>
      </w:tr>
      <w:tr w:rsidR="009C1DF4" w:rsidRPr="009C1DF4" w14:paraId="6C1EA859" w14:textId="77777777" w:rsidTr="00ED6A04">
        <w:trPr>
          <w:gridAfter w:val="1"/>
          <w:wAfter w:w="10" w:type="dxa"/>
        </w:trPr>
        <w:tc>
          <w:tcPr>
            <w:tcW w:w="1843" w:type="dxa"/>
          </w:tcPr>
          <w:p w14:paraId="31BF66F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KZU</w:t>
            </w:r>
          </w:p>
        </w:tc>
        <w:tc>
          <w:tcPr>
            <w:tcW w:w="7219" w:type="dxa"/>
          </w:tcPr>
          <w:p w14:paraId="16DE603C" w14:textId="77777777" w:rsidR="009C1DF4" w:rsidRPr="009F3567" w:rsidRDefault="009C1DF4" w:rsidP="002D497C">
            <w:pPr>
              <w:spacing w:before="0" w:line="360" w:lineRule="auto"/>
              <w:jc w:val="left"/>
              <w:rPr>
                <w:szCs w:val="20"/>
              </w:rPr>
            </w:pPr>
            <w:r>
              <w:rPr>
                <w:szCs w:val="20"/>
              </w:rPr>
              <w:t>kmetijsko zemljišče v uporabi</w:t>
            </w:r>
          </w:p>
        </w:tc>
      </w:tr>
      <w:tr w:rsidR="00782EB2" w:rsidRPr="009C1DF4" w14:paraId="200E3845" w14:textId="77777777" w:rsidTr="00ED6A04">
        <w:trPr>
          <w:gridAfter w:val="1"/>
          <w:wAfter w:w="10" w:type="dxa"/>
        </w:trPr>
        <w:tc>
          <w:tcPr>
            <w:tcW w:w="1843" w:type="dxa"/>
          </w:tcPr>
          <w:p w14:paraId="1E68A55C" w14:textId="160EDB90" w:rsidR="00782EB2" w:rsidRPr="002D497C" w:rsidRDefault="00782EB2" w:rsidP="002D497C">
            <w:pPr>
              <w:spacing w:before="0" w:line="360" w:lineRule="auto"/>
              <w:jc w:val="left"/>
              <w:rPr>
                <w:b/>
                <w:color w:val="1F497D" w:themeColor="text2"/>
                <w:szCs w:val="20"/>
              </w:rPr>
            </w:pPr>
            <w:r>
              <w:rPr>
                <w:b/>
                <w:color w:val="1F497D" w:themeColor="text2"/>
                <w:szCs w:val="20"/>
              </w:rPr>
              <w:t>mio</w:t>
            </w:r>
          </w:p>
        </w:tc>
        <w:tc>
          <w:tcPr>
            <w:tcW w:w="7219" w:type="dxa"/>
          </w:tcPr>
          <w:p w14:paraId="2F9C73AB" w14:textId="1E3E4212" w:rsidR="00782EB2" w:rsidRDefault="00AC648D" w:rsidP="002D497C">
            <w:pPr>
              <w:spacing w:before="0" w:line="360" w:lineRule="auto"/>
              <w:jc w:val="left"/>
              <w:rPr>
                <w:szCs w:val="20"/>
              </w:rPr>
            </w:pPr>
            <w:r>
              <w:rPr>
                <w:szCs w:val="20"/>
              </w:rPr>
              <w:t>milijon</w:t>
            </w:r>
          </w:p>
        </w:tc>
      </w:tr>
      <w:tr w:rsidR="00D53725" w:rsidRPr="009C1DF4" w14:paraId="294CCD18" w14:textId="77777777" w:rsidTr="00ED6A04">
        <w:tc>
          <w:tcPr>
            <w:tcW w:w="1843" w:type="dxa"/>
          </w:tcPr>
          <w:p w14:paraId="02C9ED22" w14:textId="6202D0D5" w:rsidR="00D53725" w:rsidRDefault="00D53725" w:rsidP="002D497C">
            <w:pPr>
              <w:spacing w:before="0" w:line="360" w:lineRule="auto"/>
              <w:jc w:val="left"/>
              <w:rPr>
                <w:b/>
                <w:color w:val="1F497D" w:themeColor="text2"/>
                <w:szCs w:val="20"/>
              </w:rPr>
            </w:pPr>
            <w:r>
              <w:rPr>
                <w:b/>
                <w:color w:val="1F497D" w:themeColor="text2"/>
                <w:szCs w:val="20"/>
              </w:rPr>
              <w:t>mrd</w:t>
            </w:r>
          </w:p>
        </w:tc>
        <w:tc>
          <w:tcPr>
            <w:tcW w:w="7219" w:type="dxa"/>
            <w:gridSpan w:val="2"/>
          </w:tcPr>
          <w:p w14:paraId="179AD0E6" w14:textId="217D7CC6" w:rsidR="00D53725" w:rsidRDefault="00D53725" w:rsidP="002D497C">
            <w:pPr>
              <w:spacing w:before="0" w:line="360" w:lineRule="auto"/>
              <w:jc w:val="left"/>
              <w:rPr>
                <w:szCs w:val="20"/>
              </w:rPr>
            </w:pPr>
            <w:r>
              <w:rPr>
                <w:szCs w:val="20"/>
              </w:rPr>
              <w:t>milijarda</w:t>
            </w:r>
          </w:p>
        </w:tc>
      </w:tr>
      <w:tr w:rsidR="009C1DF4" w:rsidRPr="009C1DF4" w14:paraId="50CD003C" w14:textId="77777777" w:rsidTr="00ED6A04">
        <w:trPr>
          <w:gridAfter w:val="1"/>
          <w:wAfter w:w="10" w:type="dxa"/>
        </w:trPr>
        <w:tc>
          <w:tcPr>
            <w:tcW w:w="1843" w:type="dxa"/>
          </w:tcPr>
          <w:p w14:paraId="6F2D5444" w14:textId="77777777" w:rsidR="009C1DF4" w:rsidRPr="002D497C" w:rsidRDefault="009C1DF4" w:rsidP="002D497C">
            <w:pPr>
              <w:spacing w:before="0" w:line="360" w:lineRule="auto"/>
              <w:jc w:val="left"/>
              <w:rPr>
                <w:b/>
                <w:color w:val="1F497D" w:themeColor="text2"/>
                <w:szCs w:val="20"/>
                <w:lang w:val="sl-SI"/>
              </w:rPr>
            </w:pPr>
            <w:r w:rsidRPr="002D497C">
              <w:rPr>
                <w:b/>
                <w:color w:val="1F497D" w:themeColor="text2"/>
                <w:szCs w:val="20"/>
                <w:lang w:val="sl-SI"/>
              </w:rPr>
              <w:t>OECD</w:t>
            </w:r>
          </w:p>
        </w:tc>
        <w:tc>
          <w:tcPr>
            <w:tcW w:w="7219" w:type="dxa"/>
          </w:tcPr>
          <w:p w14:paraId="3906B14F" w14:textId="77777777" w:rsidR="009C1DF4" w:rsidRPr="009F3567" w:rsidRDefault="009C1DF4" w:rsidP="002D497C">
            <w:pPr>
              <w:spacing w:before="0" w:line="360" w:lineRule="auto"/>
              <w:jc w:val="left"/>
              <w:rPr>
                <w:szCs w:val="20"/>
              </w:rPr>
            </w:pPr>
            <w:r>
              <w:rPr>
                <w:szCs w:val="20"/>
              </w:rPr>
              <w:t>Organizacija za gospodarsko sodelovanje in razvoj</w:t>
            </w:r>
          </w:p>
        </w:tc>
      </w:tr>
      <w:tr w:rsidR="009C1DF4" w:rsidRPr="009C1DF4" w14:paraId="77BB4698" w14:textId="77777777" w:rsidTr="00ED6A04">
        <w:trPr>
          <w:gridAfter w:val="1"/>
          <w:wAfter w:w="10" w:type="dxa"/>
        </w:trPr>
        <w:tc>
          <w:tcPr>
            <w:tcW w:w="1843" w:type="dxa"/>
          </w:tcPr>
          <w:p w14:paraId="638EE42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OMD</w:t>
            </w:r>
          </w:p>
        </w:tc>
        <w:tc>
          <w:tcPr>
            <w:tcW w:w="7219" w:type="dxa"/>
          </w:tcPr>
          <w:p w14:paraId="7BD36449" w14:textId="77777777" w:rsidR="009C1DF4" w:rsidRPr="009F3567" w:rsidRDefault="009C1DF4" w:rsidP="002D497C">
            <w:pPr>
              <w:spacing w:before="0" w:line="360" w:lineRule="auto"/>
              <w:jc w:val="left"/>
              <w:rPr>
                <w:szCs w:val="20"/>
              </w:rPr>
            </w:pPr>
            <w:r>
              <w:rPr>
                <w:szCs w:val="20"/>
              </w:rPr>
              <w:t>območje z omejenimi možnostmi za kmetijsko dejavnost</w:t>
            </w:r>
          </w:p>
        </w:tc>
      </w:tr>
      <w:tr w:rsidR="00ED0AAA" w:rsidRPr="009C1DF4" w14:paraId="2FC617C2" w14:textId="77777777" w:rsidTr="00ED6A04">
        <w:tc>
          <w:tcPr>
            <w:tcW w:w="1843" w:type="dxa"/>
          </w:tcPr>
          <w:p w14:paraId="73EFE673" w14:textId="60A91DF5" w:rsidR="00ED0AAA" w:rsidRPr="00ED6A04" w:rsidRDefault="00ED0AAA" w:rsidP="00ED6A04">
            <w:pPr>
              <w:spacing w:before="0" w:line="360" w:lineRule="auto"/>
              <w:jc w:val="left"/>
              <w:rPr>
                <w:b/>
                <w:color w:val="1F497D" w:themeColor="text2"/>
                <w:szCs w:val="20"/>
              </w:rPr>
            </w:pPr>
            <w:r>
              <w:rPr>
                <w:b/>
                <w:color w:val="1F497D" w:themeColor="text2"/>
                <w:szCs w:val="20"/>
              </w:rPr>
              <w:t>PDM</w:t>
            </w:r>
          </w:p>
        </w:tc>
        <w:tc>
          <w:tcPr>
            <w:tcW w:w="7219" w:type="dxa"/>
            <w:gridSpan w:val="2"/>
          </w:tcPr>
          <w:p w14:paraId="5568C7CE" w14:textId="68658803" w:rsidR="00ED0AAA" w:rsidRDefault="00ED0AAA" w:rsidP="00ED6A04">
            <w:pPr>
              <w:spacing w:before="0" w:line="360" w:lineRule="auto"/>
              <w:jc w:val="left"/>
              <w:rPr>
                <w:szCs w:val="20"/>
              </w:rPr>
            </w:pPr>
            <w:r>
              <w:rPr>
                <w:szCs w:val="20"/>
              </w:rPr>
              <w:t>polnovredna delovna moč</w:t>
            </w:r>
          </w:p>
        </w:tc>
      </w:tr>
      <w:tr w:rsidR="00CB315D" w:rsidRPr="009C1DF4" w14:paraId="73F6ED0F" w14:textId="77777777" w:rsidTr="00ED6A04">
        <w:tc>
          <w:tcPr>
            <w:tcW w:w="1843" w:type="dxa"/>
          </w:tcPr>
          <w:p w14:paraId="6E1314BA" w14:textId="64439B28" w:rsidR="00CB315D" w:rsidRDefault="00CB315D" w:rsidP="00ED6A04">
            <w:pPr>
              <w:spacing w:before="0" w:line="360" w:lineRule="auto"/>
              <w:jc w:val="left"/>
              <w:rPr>
                <w:b/>
                <w:color w:val="1F497D" w:themeColor="text2"/>
                <w:szCs w:val="20"/>
              </w:rPr>
            </w:pPr>
            <w:r>
              <w:rPr>
                <w:b/>
                <w:color w:val="1F497D" w:themeColor="text2"/>
                <w:szCs w:val="20"/>
              </w:rPr>
              <w:t>PMEF</w:t>
            </w:r>
          </w:p>
        </w:tc>
        <w:tc>
          <w:tcPr>
            <w:tcW w:w="7219" w:type="dxa"/>
            <w:gridSpan w:val="2"/>
          </w:tcPr>
          <w:p w14:paraId="6D0F031A" w14:textId="2AA38CCC" w:rsidR="00CB315D" w:rsidRDefault="00CB315D" w:rsidP="00ED6A04">
            <w:pPr>
              <w:spacing w:before="0" w:line="360" w:lineRule="auto"/>
              <w:jc w:val="left"/>
              <w:rPr>
                <w:szCs w:val="20"/>
              </w:rPr>
            </w:pPr>
            <w:r>
              <w:rPr>
                <w:lang w:val="en-US"/>
              </w:rPr>
              <w:t>CAP Performance Monitoring and Evaluation Framework</w:t>
            </w:r>
          </w:p>
        </w:tc>
      </w:tr>
      <w:tr w:rsidR="00ED6A04" w:rsidRPr="009C1DF4" w14:paraId="273DF2D4" w14:textId="77777777" w:rsidTr="00ED6A04">
        <w:tc>
          <w:tcPr>
            <w:tcW w:w="1843" w:type="dxa"/>
          </w:tcPr>
          <w:p w14:paraId="6D89917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219" w:type="dxa"/>
            <w:gridSpan w:val="2"/>
          </w:tcPr>
          <w:p w14:paraId="519DA133" w14:textId="77777777" w:rsidR="00ED6A04" w:rsidRDefault="00ED6A04" w:rsidP="00ED6A04">
            <w:pPr>
              <w:spacing w:before="0" w:line="360" w:lineRule="auto"/>
              <w:jc w:val="left"/>
              <w:rPr>
                <w:szCs w:val="20"/>
              </w:rPr>
            </w:pPr>
            <w:r>
              <w:rPr>
                <w:szCs w:val="20"/>
              </w:rPr>
              <w:t>Program razvoja podeželja RS za obdobje 2007–2013</w:t>
            </w:r>
          </w:p>
        </w:tc>
      </w:tr>
      <w:tr w:rsidR="006F79E8" w:rsidRPr="009C1DF4" w14:paraId="1D77D028" w14:textId="77777777" w:rsidTr="00ED6A04">
        <w:trPr>
          <w:gridAfter w:val="1"/>
          <w:wAfter w:w="10" w:type="dxa"/>
        </w:trPr>
        <w:tc>
          <w:tcPr>
            <w:tcW w:w="1843" w:type="dxa"/>
          </w:tcPr>
          <w:p w14:paraId="66901BA5" w14:textId="77777777" w:rsidR="006F79E8" w:rsidRPr="00ED6A04" w:rsidRDefault="006F79E8" w:rsidP="002D497C">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7219" w:type="dxa"/>
          </w:tcPr>
          <w:p w14:paraId="41816E78" w14:textId="77777777" w:rsidR="006F79E8" w:rsidRDefault="006F79E8" w:rsidP="002D497C">
            <w:pPr>
              <w:spacing w:before="0" w:line="360" w:lineRule="auto"/>
              <w:jc w:val="left"/>
              <w:rPr>
                <w:szCs w:val="20"/>
              </w:rPr>
            </w:pPr>
            <w:r>
              <w:rPr>
                <w:szCs w:val="20"/>
              </w:rPr>
              <w:t>Program razvoja podeželja RS za obdobje 2014–2020</w:t>
            </w:r>
          </w:p>
        </w:tc>
      </w:tr>
      <w:tr w:rsidR="00A571FA" w:rsidRPr="009C1DF4" w14:paraId="41EC5977" w14:textId="77777777" w:rsidTr="00ED6A04">
        <w:tc>
          <w:tcPr>
            <w:tcW w:w="1843" w:type="dxa"/>
          </w:tcPr>
          <w:p w14:paraId="6F94CC7A" w14:textId="1F1B4442" w:rsidR="00A571FA" w:rsidRDefault="00A571FA" w:rsidP="002D497C">
            <w:pPr>
              <w:spacing w:before="0" w:line="360" w:lineRule="auto"/>
              <w:jc w:val="left"/>
              <w:rPr>
                <w:b/>
                <w:color w:val="1F497D" w:themeColor="text2"/>
                <w:szCs w:val="20"/>
              </w:rPr>
            </w:pPr>
            <w:r w:rsidRPr="00E86ECB">
              <w:rPr>
                <w:b/>
                <w:color w:val="1F497D" w:themeColor="text2"/>
                <w:szCs w:val="20"/>
              </w:rPr>
              <w:t>SURS</w:t>
            </w:r>
          </w:p>
        </w:tc>
        <w:tc>
          <w:tcPr>
            <w:tcW w:w="7219" w:type="dxa"/>
            <w:gridSpan w:val="2"/>
          </w:tcPr>
          <w:p w14:paraId="3A75528A" w14:textId="234AC815" w:rsidR="00A571FA" w:rsidRDefault="00A571FA" w:rsidP="002D497C">
            <w:pPr>
              <w:spacing w:before="0" w:line="360" w:lineRule="auto"/>
              <w:jc w:val="left"/>
              <w:rPr>
                <w:szCs w:val="20"/>
              </w:rPr>
            </w:pPr>
            <w:r>
              <w:rPr>
                <w:szCs w:val="20"/>
              </w:rPr>
              <w:t>Statistični urad Republike Slovenije</w:t>
            </w:r>
          </w:p>
        </w:tc>
      </w:tr>
      <w:tr w:rsidR="005B0B0D" w:rsidRPr="009C1DF4" w14:paraId="72D377F5" w14:textId="77777777" w:rsidTr="00ED6A04">
        <w:trPr>
          <w:gridAfter w:val="1"/>
          <w:wAfter w:w="10" w:type="dxa"/>
        </w:trPr>
        <w:tc>
          <w:tcPr>
            <w:tcW w:w="1843" w:type="dxa"/>
          </w:tcPr>
          <w:p w14:paraId="367F4249" w14:textId="52253B4F" w:rsidR="005B0B0D" w:rsidRPr="00ED6A04" w:rsidRDefault="005B0B0D" w:rsidP="002D497C">
            <w:pPr>
              <w:spacing w:before="0" w:line="360" w:lineRule="auto"/>
              <w:jc w:val="left"/>
              <w:rPr>
                <w:b/>
                <w:color w:val="1F497D" w:themeColor="text2"/>
                <w:szCs w:val="20"/>
              </w:rPr>
            </w:pPr>
            <w:r>
              <w:rPr>
                <w:b/>
                <w:color w:val="1F497D" w:themeColor="text2"/>
                <w:szCs w:val="20"/>
              </w:rPr>
              <w:t>t</w:t>
            </w:r>
          </w:p>
        </w:tc>
        <w:tc>
          <w:tcPr>
            <w:tcW w:w="7219" w:type="dxa"/>
          </w:tcPr>
          <w:p w14:paraId="4B1EACAE" w14:textId="0A0EA37F" w:rsidR="005B0B0D" w:rsidRDefault="005B0B0D" w:rsidP="002D497C">
            <w:pPr>
              <w:spacing w:before="0" w:line="360" w:lineRule="auto"/>
              <w:jc w:val="left"/>
              <w:rPr>
                <w:szCs w:val="20"/>
              </w:rPr>
            </w:pPr>
            <w:r>
              <w:rPr>
                <w:szCs w:val="20"/>
              </w:rPr>
              <w:t>tona</w:t>
            </w:r>
          </w:p>
        </w:tc>
      </w:tr>
      <w:tr w:rsidR="009C1DF4" w:rsidRPr="009C1DF4" w14:paraId="30B7A98B" w14:textId="77777777" w:rsidTr="00ED6A04">
        <w:trPr>
          <w:gridAfter w:val="1"/>
          <w:wAfter w:w="10" w:type="dxa"/>
        </w:trPr>
        <w:tc>
          <w:tcPr>
            <w:tcW w:w="1843" w:type="dxa"/>
          </w:tcPr>
          <w:p w14:paraId="18794AD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TFP</w:t>
            </w:r>
          </w:p>
        </w:tc>
        <w:tc>
          <w:tcPr>
            <w:tcW w:w="7219" w:type="dxa"/>
          </w:tcPr>
          <w:p w14:paraId="00394924" w14:textId="1E20A16D" w:rsidR="00971504" w:rsidRDefault="00AC648D" w:rsidP="002D497C">
            <w:pPr>
              <w:spacing w:before="0" w:line="360" w:lineRule="auto"/>
              <w:jc w:val="left"/>
              <w:rPr>
                <w:szCs w:val="20"/>
              </w:rPr>
            </w:pPr>
            <w:r>
              <w:rPr>
                <w:szCs w:val="20"/>
              </w:rPr>
              <w:t xml:space="preserve">ang. </w:t>
            </w:r>
            <w:r w:rsidR="002D497C">
              <w:rPr>
                <w:szCs w:val="20"/>
              </w:rPr>
              <w:t>“</w:t>
            </w:r>
            <w:r w:rsidR="009C1DF4">
              <w:rPr>
                <w:szCs w:val="20"/>
              </w:rPr>
              <w:t>total factor productivity</w:t>
            </w:r>
            <w:r w:rsidR="002D497C">
              <w:rPr>
                <w:szCs w:val="20"/>
              </w:rPr>
              <w:t>”</w:t>
            </w:r>
            <w:r w:rsidR="009C1DF4">
              <w:rPr>
                <w:szCs w:val="20"/>
              </w:rPr>
              <w:t xml:space="preserve"> oz. skupna faktorska produktivnost</w:t>
            </w:r>
          </w:p>
        </w:tc>
      </w:tr>
      <w:tr w:rsidR="00971504" w:rsidRPr="009C1DF4" w14:paraId="65AA74E7" w14:textId="77777777" w:rsidTr="00ED6A04">
        <w:trPr>
          <w:gridAfter w:val="1"/>
          <w:wAfter w:w="10" w:type="dxa"/>
        </w:trPr>
        <w:tc>
          <w:tcPr>
            <w:tcW w:w="1843" w:type="dxa"/>
          </w:tcPr>
          <w:p w14:paraId="376F66FD" w14:textId="399F20C1" w:rsidR="00971504" w:rsidRPr="00ED6A04" w:rsidRDefault="00971504" w:rsidP="002D497C">
            <w:pPr>
              <w:spacing w:before="0" w:line="360" w:lineRule="auto"/>
              <w:jc w:val="left"/>
              <w:rPr>
                <w:b/>
                <w:color w:val="1F497D" w:themeColor="text2"/>
                <w:szCs w:val="20"/>
                <w:lang w:val="sl-SI"/>
              </w:rPr>
            </w:pPr>
            <w:r w:rsidRPr="00ED6A04">
              <w:rPr>
                <w:b/>
                <w:color w:val="1F497D" w:themeColor="text2"/>
                <w:szCs w:val="20"/>
                <w:lang w:val="sl-SI"/>
              </w:rPr>
              <w:t>ŽPI</w:t>
            </w:r>
          </w:p>
        </w:tc>
        <w:tc>
          <w:tcPr>
            <w:tcW w:w="7219" w:type="dxa"/>
          </w:tcPr>
          <w:p w14:paraId="47CEDABE" w14:textId="3C05B819" w:rsidR="008C4572" w:rsidRDefault="00971504" w:rsidP="002D497C">
            <w:pPr>
              <w:spacing w:before="0" w:line="360" w:lineRule="auto"/>
              <w:jc w:val="left"/>
              <w:rPr>
                <w:szCs w:val="20"/>
              </w:rPr>
            </w:pPr>
            <w:r>
              <w:rPr>
                <w:szCs w:val="20"/>
              </w:rPr>
              <w:t>živilskopredelovalna industrija</w:t>
            </w:r>
          </w:p>
        </w:tc>
      </w:tr>
      <w:tr w:rsidR="006A3441" w:rsidRPr="009C1DF4" w14:paraId="3E76008D" w14:textId="77777777" w:rsidTr="00ED6A04">
        <w:trPr>
          <w:gridAfter w:val="1"/>
          <w:wAfter w:w="10" w:type="dxa"/>
        </w:trPr>
        <w:tc>
          <w:tcPr>
            <w:tcW w:w="1843" w:type="dxa"/>
          </w:tcPr>
          <w:p w14:paraId="12F677BF" w14:textId="6FC6D931" w:rsidR="006A3441" w:rsidRPr="00ED6A04" w:rsidRDefault="006A3441" w:rsidP="002D497C">
            <w:pPr>
              <w:spacing w:before="0" w:line="360" w:lineRule="auto"/>
              <w:jc w:val="left"/>
              <w:rPr>
                <w:b/>
                <w:color w:val="1F497D" w:themeColor="text2"/>
                <w:szCs w:val="20"/>
              </w:rPr>
            </w:pPr>
            <w:r>
              <w:rPr>
                <w:b/>
                <w:color w:val="1F497D" w:themeColor="text2"/>
                <w:szCs w:val="20"/>
              </w:rPr>
              <w:t>%</w:t>
            </w:r>
          </w:p>
        </w:tc>
        <w:tc>
          <w:tcPr>
            <w:tcW w:w="7219" w:type="dxa"/>
          </w:tcPr>
          <w:p w14:paraId="145C92BC" w14:textId="3BCBFAA3" w:rsidR="006A3441" w:rsidRDefault="006A3441" w:rsidP="002D497C">
            <w:pPr>
              <w:spacing w:before="0" w:line="360" w:lineRule="auto"/>
              <w:jc w:val="left"/>
              <w:rPr>
                <w:szCs w:val="20"/>
              </w:rPr>
            </w:pPr>
            <w:r>
              <w:rPr>
                <w:szCs w:val="20"/>
              </w:rPr>
              <w:t>odstotek</w:t>
            </w:r>
          </w:p>
        </w:tc>
      </w:tr>
    </w:tbl>
    <w:p w14:paraId="10F00D92" w14:textId="77777777" w:rsidR="009C1DF4" w:rsidRDefault="009C1DF4">
      <w:pPr>
        <w:spacing w:before="0" w:after="200" w:line="276" w:lineRule="auto"/>
        <w:jc w:val="left"/>
        <w:rPr>
          <w:b/>
          <w:sz w:val="20"/>
          <w:szCs w:val="20"/>
        </w:rPr>
      </w:pPr>
    </w:p>
    <w:p w14:paraId="64455442" w14:textId="77777777" w:rsidR="009C1DF4" w:rsidRDefault="009C1DF4">
      <w:pPr>
        <w:spacing w:before="0" w:after="200" w:line="276" w:lineRule="auto"/>
        <w:jc w:val="left"/>
        <w:rPr>
          <w:b/>
          <w:sz w:val="20"/>
          <w:szCs w:val="20"/>
        </w:rPr>
      </w:pPr>
    </w:p>
    <w:p w14:paraId="52BE46FC" w14:textId="77777777" w:rsidR="00EA3ECA" w:rsidRDefault="00EA3ECA">
      <w:pPr>
        <w:spacing w:before="0" w:after="200" w:line="276" w:lineRule="auto"/>
        <w:jc w:val="left"/>
        <w:rPr>
          <w:b/>
          <w:sz w:val="20"/>
          <w:szCs w:val="20"/>
        </w:rPr>
      </w:pPr>
    </w:p>
    <w:p w14:paraId="68B617AC" w14:textId="77777777" w:rsidR="00EA3ECA" w:rsidRDefault="00EA3ECA">
      <w:pPr>
        <w:spacing w:before="0" w:after="200" w:line="276" w:lineRule="auto"/>
        <w:jc w:val="left"/>
        <w:rPr>
          <w:b/>
          <w:sz w:val="20"/>
          <w:szCs w:val="20"/>
        </w:rPr>
      </w:pPr>
    </w:p>
    <w:p w14:paraId="2CB7116E" w14:textId="77777777" w:rsidR="00EA3ECA" w:rsidRDefault="00EA3ECA">
      <w:pPr>
        <w:spacing w:before="0" w:after="200" w:line="276" w:lineRule="auto"/>
        <w:jc w:val="left"/>
        <w:rPr>
          <w:b/>
          <w:sz w:val="20"/>
          <w:szCs w:val="20"/>
        </w:rPr>
      </w:pPr>
    </w:p>
    <w:p w14:paraId="06246AAD" w14:textId="77777777" w:rsidR="00EA3ECA" w:rsidRDefault="00EA3ECA">
      <w:pPr>
        <w:spacing w:before="0" w:after="200" w:line="276" w:lineRule="auto"/>
        <w:jc w:val="left"/>
        <w:rPr>
          <w:b/>
          <w:sz w:val="20"/>
          <w:szCs w:val="20"/>
        </w:rPr>
      </w:pPr>
      <w:r>
        <w:rPr>
          <w:b/>
          <w:sz w:val="20"/>
          <w:szCs w:val="20"/>
        </w:rPr>
        <w:br w:type="page"/>
      </w:r>
    </w:p>
    <w:p w14:paraId="40ED7C61" w14:textId="78637CCD" w:rsidR="00EA3ECA" w:rsidRPr="005B2A49" w:rsidRDefault="001C1D23" w:rsidP="005B2A49">
      <w:pPr>
        <w:pStyle w:val="Naslov1"/>
      </w:pPr>
      <w:bookmarkStart w:id="2" w:name="_Toc82699970"/>
      <w:bookmarkStart w:id="3" w:name="_Toc82700105"/>
      <w:bookmarkStart w:id="4" w:name="_Toc85104366"/>
      <w:bookmarkStart w:id="5" w:name="_Toc85104473"/>
      <w:bookmarkStart w:id="6" w:name="_Toc85104579"/>
      <w:bookmarkStart w:id="7" w:name="_Toc90462206"/>
      <w:bookmarkEnd w:id="2"/>
      <w:bookmarkEnd w:id="3"/>
      <w:bookmarkEnd w:id="4"/>
      <w:bookmarkEnd w:id="5"/>
      <w:bookmarkEnd w:id="6"/>
      <w:r w:rsidRPr="005B2A49">
        <w:t>Uporabljeni kazalniki stanja</w:t>
      </w:r>
      <w:bookmarkEnd w:id="7"/>
    </w:p>
    <w:p w14:paraId="34B34620" w14:textId="77777777" w:rsidR="00EA3ECA" w:rsidRDefault="00EA3ECA" w:rsidP="00DD616B">
      <w:pPr>
        <w:pStyle w:val="Odstavek1"/>
      </w:pPr>
    </w:p>
    <w:p w14:paraId="5C961197" w14:textId="611C5605" w:rsidR="00EA3ECA" w:rsidRPr="00E155C1" w:rsidRDefault="00EA3ECA" w:rsidP="009A311B">
      <w:pPr>
        <w:pStyle w:val="SCPreglednica"/>
        <w:rPr>
          <w:sz w:val="20"/>
        </w:rPr>
      </w:pPr>
      <w:bookmarkStart w:id="8" w:name="_Toc49245361"/>
      <w:bookmarkStart w:id="9" w:name="_Toc89860993"/>
      <w:r w:rsidRPr="00E155C1">
        <w:rPr>
          <w:sz w:val="20"/>
        </w:rPr>
        <w:t xml:space="preserve">Tabela </w:t>
      </w:r>
      <w:r w:rsidR="00072AFA" w:rsidRPr="00E155C1">
        <w:rPr>
          <w:noProof/>
          <w:sz w:val="20"/>
        </w:rPr>
        <w:fldChar w:fldCharType="begin"/>
      </w:r>
      <w:r w:rsidR="00072AFA" w:rsidRPr="00E155C1">
        <w:rPr>
          <w:noProof/>
          <w:sz w:val="20"/>
        </w:rPr>
        <w:instrText xml:space="preserve"> SEQ Tabela \* ARABIC </w:instrText>
      </w:r>
      <w:r w:rsidR="00072AFA" w:rsidRPr="00E155C1">
        <w:rPr>
          <w:noProof/>
          <w:sz w:val="20"/>
        </w:rPr>
        <w:fldChar w:fldCharType="separate"/>
      </w:r>
      <w:r w:rsidR="0088117A" w:rsidRPr="00E155C1">
        <w:rPr>
          <w:noProof/>
          <w:sz w:val="20"/>
        </w:rPr>
        <w:t>1</w:t>
      </w:r>
      <w:r w:rsidR="00072AFA" w:rsidRPr="00E155C1">
        <w:rPr>
          <w:noProof/>
          <w:sz w:val="20"/>
        </w:rPr>
        <w:fldChar w:fldCharType="end"/>
      </w:r>
      <w:r w:rsidRPr="00E155C1">
        <w:rPr>
          <w:sz w:val="20"/>
        </w:rPr>
        <w:t xml:space="preserve">: Uporabljeni kazalniki stanja v okviru </w:t>
      </w:r>
      <w:bookmarkEnd w:id="8"/>
      <w:r w:rsidRPr="00E155C1">
        <w:rPr>
          <w:sz w:val="20"/>
        </w:rPr>
        <w:t xml:space="preserve">specifičnega cilja </w:t>
      </w:r>
      <w:r w:rsidR="001A447B" w:rsidRPr="00E155C1">
        <w:rPr>
          <w:sz w:val="20"/>
        </w:rPr>
        <w:t>2</w:t>
      </w:r>
      <w:bookmarkEnd w:id="9"/>
    </w:p>
    <w:tbl>
      <w:tblPr>
        <w:tblStyle w:val="Tabelamrea"/>
        <w:tblW w:w="9067" w:type="dxa"/>
        <w:tblLook w:val="04A0" w:firstRow="1" w:lastRow="0" w:firstColumn="1" w:lastColumn="0" w:noHBand="0" w:noVBand="1"/>
      </w:tblPr>
      <w:tblGrid>
        <w:gridCol w:w="2486"/>
        <w:gridCol w:w="2329"/>
        <w:gridCol w:w="4252"/>
      </w:tblGrid>
      <w:tr w:rsidR="00EA3ECA" w:rsidRPr="00244441" w14:paraId="455A0BA0" w14:textId="77777777" w:rsidTr="00244441">
        <w:tc>
          <w:tcPr>
            <w:tcW w:w="2486" w:type="dxa"/>
            <w:shd w:val="clear" w:color="auto" w:fill="92D050"/>
          </w:tcPr>
          <w:p w14:paraId="042DB124" w14:textId="77777777" w:rsidR="00EA3ECA" w:rsidRPr="00244441" w:rsidRDefault="00EA3ECA" w:rsidP="009F3567">
            <w:pPr>
              <w:spacing w:before="0" w:line="276" w:lineRule="auto"/>
              <w:rPr>
                <w:b/>
                <w:sz w:val="18"/>
              </w:rPr>
            </w:pPr>
            <w:r w:rsidRPr="00244441">
              <w:rPr>
                <w:b/>
                <w:sz w:val="18"/>
              </w:rPr>
              <w:t>Področje</w:t>
            </w:r>
          </w:p>
        </w:tc>
        <w:tc>
          <w:tcPr>
            <w:tcW w:w="2329" w:type="dxa"/>
            <w:shd w:val="clear" w:color="auto" w:fill="92D050"/>
          </w:tcPr>
          <w:p w14:paraId="67F1590A" w14:textId="77777777" w:rsidR="00EA3ECA" w:rsidRPr="00244441" w:rsidRDefault="00EA3ECA" w:rsidP="009F3567">
            <w:pPr>
              <w:spacing w:before="0" w:line="276" w:lineRule="auto"/>
              <w:rPr>
                <w:b/>
                <w:sz w:val="18"/>
              </w:rPr>
            </w:pPr>
            <w:r w:rsidRPr="00244441">
              <w:rPr>
                <w:b/>
                <w:sz w:val="18"/>
              </w:rPr>
              <w:t>Oznaka kazalnika PMEF</w:t>
            </w:r>
          </w:p>
        </w:tc>
        <w:tc>
          <w:tcPr>
            <w:tcW w:w="4252" w:type="dxa"/>
            <w:shd w:val="clear" w:color="auto" w:fill="92D050"/>
          </w:tcPr>
          <w:p w14:paraId="30F1BFDB" w14:textId="77777777" w:rsidR="00EA3ECA" w:rsidRPr="00244441" w:rsidRDefault="00EA3ECA" w:rsidP="009F3567">
            <w:pPr>
              <w:spacing w:before="0" w:line="276" w:lineRule="auto"/>
              <w:rPr>
                <w:b/>
                <w:sz w:val="18"/>
              </w:rPr>
            </w:pPr>
            <w:r w:rsidRPr="00244441">
              <w:rPr>
                <w:b/>
                <w:sz w:val="18"/>
              </w:rPr>
              <w:t>Kazalnik PMEF</w:t>
            </w:r>
          </w:p>
        </w:tc>
      </w:tr>
      <w:tr w:rsidR="00B0343E" w:rsidRPr="00244441" w14:paraId="348A8B8E" w14:textId="77777777" w:rsidTr="00244441">
        <w:tc>
          <w:tcPr>
            <w:tcW w:w="2486" w:type="dxa"/>
            <w:vMerge w:val="restart"/>
          </w:tcPr>
          <w:p w14:paraId="4A7CFA29" w14:textId="074C017A" w:rsidR="00B0343E" w:rsidRPr="00244441" w:rsidRDefault="00B0343E" w:rsidP="0061009E">
            <w:pPr>
              <w:spacing w:before="0" w:line="276" w:lineRule="auto"/>
              <w:rPr>
                <w:b/>
                <w:sz w:val="18"/>
              </w:rPr>
            </w:pPr>
            <w:r>
              <w:rPr>
                <w:b/>
                <w:sz w:val="18"/>
              </w:rPr>
              <w:t>Gospodarstvo</w:t>
            </w:r>
          </w:p>
        </w:tc>
        <w:tc>
          <w:tcPr>
            <w:tcW w:w="2329" w:type="dxa"/>
          </w:tcPr>
          <w:p w14:paraId="3795E1D1" w14:textId="1146147B" w:rsidR="00B0343E" w:rsidRPr="00244441" w:rsidRDefault="00B0343E" w:rsidP="0061009E">
            <w:pPr>
              <w:spacing w:before="0" w:line="276" w:lineRule="auto"/>
              <w:rPr>
                <w:rFonts w:eastAsia="Arial"/>
                <w:sz w:val="18"/>
                <w:szCs w:val="20"/>
                <w:lang w:eastAsia="en-US"/>
              </w:rPr>
            </w:pPr>
            <w:r>
              <w:rPr>
                <w:rFonts w:eastAsia="Arial"/>
                <w:sz w:val="18"/>
                <w:szCs w:val="20"/>
                <w:lang w:eastAsia="en-US"/>
              </w:rPr>
              <w:t>C.09</w:t>
            </w:r>
          </w:p>
        </w:tc>
        <w:tc>
          <w:tcPr>
            <w:tcW w:w="4252" w:type="dxa"/>
          </w:tcPr>
          <w:p w14:paraId="0C04F07C" w14:textId="7264977F" w:rsidR="00B0343E" w:rsidRPr="00244441" w:rsidRDefault="00B0343E" w:rsidP="0061009E">
            <w:pPr>
              <w:spacing w:before="0" w:line="276" w:lineRule="auto"/>
              <w:rPr>
                <w:rFonts w:eastAsia="Arial"/>
                <w:sz w:val="18"/>
                <w:szCs w:val="20"/>
                <w:lang w:eastAsia="en-US"/>
              </w:rPr>
            </w:pPr>
            <w:r w:rsidRPr="00B0343E">
              <w:rPr>
                <w:rFonts w:eastAsia="Arial"/>
                <w:sz w:val="18"/>
                <w:szCs w:val="20"/>
                <w:lang w:eastAsia="en-US"/>
              </w:rPr>
              <w:t>Bruto domači proizvod na prebivalca</w:t>
            </w:r>
          </w:p>
        </w:tc>
      </w:tr>
      <w:tr w:rsidR="00B0343E" w:rsidRPr="00244441" w14:paraId="71DAA69B" w14:textId="77777777" w:rsidTr="00244441">
        <w:tc>
          <w:tcPr>
            <w:tcW w:w="2486" w:type="dxa"/>
            <w:vMerge/>
          </w:tcPr>
          <w:p w14:paraId="2CF6C4E9" w14:textId="77777777" w:rsidR="00B0343E" w:rsidRDefault="00B0343E" w:rsidP="0061009E">
            <w:pPr>
              <w:spacing w:before="0" w:line="276" w:lineRule="auto"/>
              <w:rPr>
                <w:b/>
                <w:sz w:val="18"/>
              </w:rPr>
            </w:pPr>
          </w:p>
        </w:tc>
        <w:tc>
          <w:tcPr>
            <w:tcW w:w="2329" w:type="dxa"/>
          </w:tcPr>
          <w:p w14:paraId="11ECF57D" w14:textId="258EDE35" w:rsidR="00B0343E" w:rsidRDefault="00B0343E" w:rsidP="0061009E">
            <w:pPr>
              <w:spacing w:before="0" w:line="276" w:lineRule="auto"/>
              <w:rPr>
                <w:rFonts w:eastAsia="Arial"/>
                <w:sz w:val="18"/>
                <w:szCs w:val="20"/>
                <w:lang w:eastAsia="en-US"/>
              </w:rPr>
            </w:pPr>
            <w:r>
              <w:rPr>
                <w:rFonts w:eastAsia="Arial"/>
                <w:sz w:val="18"/>
                <w:szCs w:val="20"/>
                <w:lang w:eastAsia="en-US"/>
              </w:rPr>
              <w:t>C.11</w:t>
            </w:r>
          </w:p>
        </w:tc>
        <w:tc>
          <w:tcPr>
            <w:tcW w:w="4252" w:type="dxa"/>
          </w:tcPr>
          <w:p w14:paraId="4A9283E4" w14:textId="2BD46030" w:rsidR="00B0343E" w:rsidRPr="00B0343E" w:rsidRDefault="00B0343E" w:rsidP="0061009E">
            <w:pPr>
              <w:spacing w:before="0" w:line="276" w:lineRule="auto"/>
              <w:rPr>
                <w:rFonts w:eastAsia="Arial"/>
                <w:sz w:val="18"/>
                <w:szCs w:val="20"/>
                <w:lang w:eastAsia="en-US"/>
              </w:rPr>
            </w:pPr>
            <w:r w:rsidRPr="00B0343E">
              <w:rPr>
                <w:rFonts w:eastAsia="Arial"/>
                <w:sz w:val="18"/>
                <w:szCs w:val="20"/>
                <w:lang w:eastAsia="en-US"/>
              </w:rPr>
              <w:t>Bruto dodana vrednost po sektorjih, po vrstah regij, v kmetijstvu in za primarne proizvajalce</w:t>
            </w:r>
          </w:p>
        </w:tc>
      </w:tr>
      <w:tr w:rsidR="0061009E" w:rsidRPr="00244441" w14:paraId="6F9FCC55" w14:textId="77777777" w:rsidTr="00244441">
        <w:tc>
          <w:tcPr>
            <w:tcW w:w="2486" w:type="dxa"/>
            <w:vMerge w:val="restart"/>
          </w:tcPr>
          <w:p w14:paraId="16622773" w14:textId="77777777" w:rsidR="0061009E" w:rsidRPr="00244441" w:rsidRDefault="0061009E" w:rsidP="0061009E">
            <w:pPr>
              <w:spacing w:before="0" w:line="276" w:lineRule="auto"/>
              <w:rPr>
                <w:b/>
                <w:sz w:val="18"/>
              </w:rPr>
            </w:pPr>
            <w:r w:rsidRPr="00244441">
              <w:rPr>
                <w:b/>
                <w:sz w:val="18"/>
              </w:rPr>
              <w:t>Kmetijska produktivnost</w:t>
            </w:r>
          </w:p>
          <w:p w14:paraId="4E90195A" w14:textId="77777777" w:rsidR="0061009E" w:rsidRPr="00244441" w:rsidRDefault="0061009E" w:rsidP="0061009E">
            <w:pPr>
              <w:spacing w:before="0" w:line="276" w:lineRule="auto"/>
              <w:rPr>
                <w:b/>
                <w:sz w:val="18"/>
              </w:rPr>
            </w:pPr>
          </w:p>
          <w:p w14:paraId="092982D7" w14:textId="77777777" w:rsidR="0061009E" w:rsidRPr="00244441" w:rsidRDefault="0061009E" w:rsidP="0061009E">
            <w:pPr>
              <w:spacing w:before="0" w:line="276" w:lineRule="auto"/>
              <w:rPr>
                <w:b/>
                <w:sz w:val="18"/>
              </w:rPr>
            </w:pPr>
          </w:p>
        </w:tc>
        <w:tc>
          <w:tcPr>
            <w:tcW w:w="2329" w:type="dxa"/>
          </w:tcPr>
          <w:p w14:paraId="188D3039" w14:textId="62074AA8" w:rsidR="0061009E" w:rsidRPr="00244441" w:rsidRDefault="0061009E" w:rsidP="0061009E">
            <w:pPr>
              <w:spacing w:before="0" w:line="276" w:lineRule="auto"/>
              <w:rPr>
                <w:sz w:val="18"/>
              </w:rPr>
            </w:pPr>
            <w:r w:rsidRPr="00244441">
              <w:rPr>
                <w:rFonts w:eastAsia="Arial"/>
                <w:sz w:val="18"/>
                <w:szCs w:val="20"/>
                <w:lang w:eastAsia="en-US"/>
              </w:rPr>
              <w:t>C.</w:t>
            </w:r>
            <w:r>
              <w:rPr>
                <w:rFonts w:eastAsia="Arial"/>
                <w:sz w:val="18"/>
                <w:szCs w:val="20"/>
                <w:lang w:eastAsia="en-US"/>
              </w:rPr>
              <w:t>13</w:t>
            </w:r>
          </w:p>
        </w:tc>
        <w:tc>
          <w:tcPr>
            <w:tcW w:w="4252" w:type="dxa"/>
          </w:tcPr>
          <w:p w14:paraId="7B7FC46F" w14:textId="4CC7ECB1" w:rsidR="0061009E" w:rsidRPr="00244441" w:rsidRDefault="0061009E" w:rsidP="0061009E">
            <w:pPr>
              <w:spacing w:before="0" w:line="276" w:lineRule="auto"/>
              <w:rPr>
                <w:sz w:val="18"/>
              </w:rPr>
            </w:pPr>
            <w:r w:rsidRPr="00244441">
              <w:rPr>
                <w:rFonts w:eastAsia="Arial"/>
                <w:sz w:val="18"/>
                <w:szCs w:val="20"/>
                <w:lang w:eastAsia="en-US"/>
              </w:rPr>
              <w:t>Delovna sila v kmetijstvu</w:t>
            </w:r>
          </w:p>
        </w:tc>
      </w:tr>
      <w:tr w:rsidR="0061009E" w:rsidRPr="00244441" w14:paraId="39A313D3" w14:textId="77777777" w:rsidTr="00244441">
        <w:tc>
          <w:tcPr>
            <w:tcW w:w="2486" w:type="dxa"/>
            <w:vMerge/>
          </w:tcPr>
          <w:p w14:paraId="606EDC60" w14:textId="77777777" w:rsidR="0061009E" w:rsidRPr="00244441" w:rsidRDefault="0061009E" w:rsidP="0061009E">
            <w:pPr>
              <w:spacing w:before="0" w:line="276" w:lineRule="auto"/>
              <w:rPr>
                <w:b/>
                <w:sz w:val="18"/>
              </w:rPr>
            </w:pPr>
          </w:p>
        </w:tc>
        <w:tc>
          <w:tcPr>
            <w:tcW w:w="2329" w:type="dxa"/>
          </w:tcPr>
          <w:p w14:paraId="180946B0" w14:textId="471F1F63"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7</w:t>
            </w:r>
          </w:p>
        </w:tc>
        <w:tc>
          <w:tcPr>
            <w:tcW w:w="4252" w:type="dxa"/>
          </w:tcPr>
          <w:p w14:paraId="36E9926C" w14:textId="1003FA4D"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Bruto naložbe v osnovna sredstva v kmetijstvu</w:t>
            </w:r>
          </w:p>
        </w:tc>
      </w:tr>
      <w:tr w:rsidR="0061009E" w:rsidRPr="00244441" w14:paraId="414BEFE6" w14:textId="77777777" w:rsidTr="00244441">
        <w:tc>
          <w:tcPr>
            <w:tcW w:w="2486" w:type="dxa"/>
            <w:vMerge/>
          </w:tcPr>
          <w:p w14:paraId="403C5048" w14:textId="77777777" w:rsidR="0061009E" w:rsidRPr="00244441" w:rsidRDefault="0061009E" w:rsidP="0061009E">
            <w:pPr>
              <w:spacing w:before="0" w:line="276" w:lineRule="auto"/>
              <w:rPr>
                <w:b/>
                <w:sz w:val="18"/>
              </w:rPr>
            </w:pPr>
          </w:p>
        </w:tc>
        <w:tc>
          <w:tcPr>
            <w:tcW w:w="2329" w:type="dxa"/>
          </w:tcPr>
          <w:p w14:paraId="64E0B0B2" w14:textId="03A60D94"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8</w:t>
            </w:r>
          </w:p>
        </w:tc>
        <w:tc>
          <w:tcPr>
            <w:tcW w:w="4252" w:type="dxa"/>
          </w:tcPr>
          <w:p w14:paraId="1AE79500"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Skupna faktorska produktivnost v kmetijstvu</w:t>
            </w:r>
          </w:p>
        </w:tc>
      </w:tr>
      <w:tr w:rsidR="0061009E" w:rsidRPr="00244441" w14:paraId="27EDC55B" w14:textId="77777777" w:rsidTr="004C5161">
        <w:trPr>
          <w:trHeight w:val="228"/>
        </w:trPr>
        <w:tc>
          <w:tcPr>
            <w:tcW w:w="2486" w:type="dxa"/>
            <w:vMerge/>
          </w:tcPr>
          <w:p w14:paraId="193F2EA9" w14:textId="77777777" w:rsidR="0061009E" w:rsidRPr="00244441" w:rsidRDefault="0061009E" w:rsidP="0061009E">
            <w:pPr>
              <w:spacing w:before="0" w:line="276" w:lineRule="auto"/>
              <w:rPr>
                <w:b/>
                <w:sz w:val="18"/>
              </w:rPr>
            </w:pPr>
          </w:p>
        </w:tc>
        <w:tc>
          <w:tcPr>
            <w:tcW w:w="2329" w:type="dxa"/>
          </w:tcPr>
          <w:p w14:paraId="27EDD6A6" w14:textId="4D8B3DE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29</w:t>
            </w:r>
          </w:p>
        </w:tc>
        <w:tc>
          <w:tcPr>
            <w:tcW w:w="4252" w:type="dxa"/>
          </w:tcPr>
          <w:p w14:paraId="6A505C31" w14:textId="71D28BC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Produktivnost dela v kmetijstvu</w:t>
            </w:r>
          </w:p>
        </w:tc>
      </w:tr>
      <w:tr w:rsidR="0061009E" w:rsidRPr="00244441" w14:paraId="0149DA40" w14:textId="77777777" w:rsidTr="00244441">
        <w:tc>
          <w:tcPr>
            <w:tcW w:w="2486" w:type="dxa"/>
            <w:vMerge w:val="restart"/>
          </w:tcPr>
          <w:p w14:paraId="67B8E9B5" w14:textId="77777777" w:rsidR="0061009E" w:rsidRPr="00244441" w:rsidRDefault="0061009E" w:rsidP="0061009E">
            <w:pPr>
              <w:spacing w:before="0" w:line="240" w:lineRule="auto"/>
              <w:rPr>
                <w:b/>
                <w:bCs/>
                <w:color w:val="000000"/>
                <w:sz w:val="18"/>
                <w:szCs w:val="20"/>
                <w:lang w:eastAsia="sl-SI"/>
              </w:rPr>
            </w:pPr>
            <w:r w:rsidRPr="00244441">
              <w:rPr>
                <w:b/>
                <w:bCs/>
                <w:color w:val="000000"/>
                <w:sz w:val="18"/>
                <w:szCs w:val="20"/>
              </w:rPr>
              <w:t>Kmetijska trgovina</w:t>
            </w:r>
          </w:p>
          <w:p w14:paraId="3BEAA0B1" w14:textId="77777777" w:rsidR="0061009E" w:rsidRPr="00244441" w:rsidRDefault="0061009E" w:rsidP="0061009E">
            <w:pPr>
              <w:spacing w:before="0" w:line="276" w:lineRule="auto"/>
              <w:rPr>
                <w:sz w:val="18"/>
              </w:rPr>
            </w:pPr>
          </w:p>
        </w:tc>
        <w:tc>
          <w:tcPr>
            <w:tcW w:w="2329" w:type="dxa"/>
          </w:tcPr>
          <w:p w14:paraId="33237B45"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sidRPr="00ED6A04">
              <w:rPr>
                <w:rFonts w:eastAsia="Arial"/>
                <w:sz w:val="18"/>
                <w:szCs w:val="20"/>
                <w:lang w:eastAsia="en-US"/>
              </w:rPr>
              <w:t>30</w:t>
            </w:r>
          </w:p>
        </w:tc>
        <w:tc>
          <w:tcPr>
            <w:tcW w:w="4252" w:type="dxa"/>
          </w:tcPr>
          <w:p w14:paraId="733CDF27"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Kmetijski uvoz in izvoz (I.06)</w:t>
            </w:r>
          </w:p>
        </w:tc>
      </w:tr>
      <w:tr w:rsidR="0061009E" w:rsidRPr="00244441" w14:paraId="66A6B261" w14:textId="77777777" w:rsidTr="00244441">
        <w:tc>
          <w:tcPr>
            <w:tcW w:w="2486" w:type="dxa"/>
            <w:vMerge/>
          </w:tcPr>
          <w:p w14:paraId="09467F21" w14:textId="77777777" w:rsidR="0061009E" w:rsidRPr="00244441" w:rsidRDefault="0061009E" w:rsidP="0061009E">
            <w:pPr>
              <w:spacing w:before="0" w:line="240" w:lineRule="auto"/>
              <w:rPr>
                <w:b/>
                <w:bCs/>
                <w:color w:val="000000"/>
                <w:sz w:val="18"/>
                <w:szCs w:val="20"/>
              </w:rPr>
            </w:pPr>
          </w:p>
        </w:tc>
        <w:tc>
          <w:tcPr>
            <w:tcW w:w="2329" w:type="dxa"/>
          </w:tcPr>
          <w:p w14:paraId="7087B91A" w14:textId="77777777" w:rsidR="0061009E" w:rsidRPr="00244441" w:rsidRDefault="0061009E" w:rsidP="0061009E">
            <w:pPr>
              <w:spacing w:before="0" w:line="276" w:lineRule="auto"/>
              <w:rPr>
                <w:rFonts w:eastAsia="Arial"/>
                <w:sz w:val="18"/>
                <w:szCs w:val="20"/>
                <w:lang w:eastAsia="en-US"/>
              </w:rPr>
            </w:pPr>
          </w:p>
        </w:tc>
        <w:tc>
          <w:tcPr>
            <w:tcW w:w="4252" w:type="dxa"/>
          </w:tcPr>
          <w:p w14:paraId="06903DFC" w14:textId="3549285C"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 xml:space="preserve">Razmerje med cenami na EU in cenami na svetovnem tržišču za glavne agroživilske produkte </w:t>
            </w:r>
          </w:p>
        </w:tc>
      </w:tr>
    </w:tbl>
    <w:p w14:paraId="2416182B" w14:textId="242F3474" w:rsidR="00244441" w:rsidRDefault="00244441" w:rsidP="00DD135F">
      <w:pPr>
        <w:pStyle w:val="1"/>
      </w:pPr>
    </w:p>
    <w:p w14:paraId="41FBF99E" w14:textId="49AFAC98" w:rsidR="00C940C7" w:rsidRDefault="00C940C7" w:rsidP="00DD135F">
      <w:pPr>
        <w:pStyle w:val="1"/>
      </w:pPr>
    </w:p>
    <w:p w14:paraId="737D2DC4" w14:textId="1C01801F" w:rsidR="001D78A8" w:rsidRDefault="001D78A8">
      <w:pPr>
        <w:spacing w:before="0" w:after="200" w:line="276" w:lineRule="auto"/>
        <w:jc w:val="left"/>
        <w:rPr>
          <w:sz w:val="20"/>
          <w:szCs w:val="20"/>
        </w:rPr>
      </w:pPr>
      <w:r>
        <w:br w:type="page"/>
      </w:r>
    </w:p>
    <w:p w14:paraId="009CF3A4" w14:textId="6EDD02D9" w:rsidR="00C940C7" w:rsidRPr="005B2A49" w:rsidRDefault="001D78A8" w:rsidP="005B2A49">
      <w:pPr>
        <w:pStyle w:val="1"/>
        <w:jc w:val="center"/>
        <w:rPr>
          <w:b/>
          <w:sz w:val="28"/>
        </w:rPr>
      </w:pPr>
      <w:r w:rsidRPr="005B2A49">
        <w:rPr>
          <w:b/>
          <w:sz w:val="28"/>
        </w:rPr>
        <w:t>ANALIZA STANJA</w:t>
      </w:r>
    </w:p>
    <w:p w14:paraId="596DCD65" w14:textId="283224D4" w:rsidR="00141712" w:rsidRPr="00C80370" w:rsidRDefault="00141712" w:rsidP="005B2A49">
      <w:pPr>
        <w:pStyle w:val="Naslov1"/>
      </w:pPr>
      <w:bookmarkStart w:id="10" w:name="_Toc82699972"/>
      <w:bookmarkStart w:id="11" w:name="_Toc82700107"/>
      <w:bookmarkStart w:id="12" w:name="_Toc85104368"/>
      <w:bookmarkStart w:id="13" w:name="_Toc85104475"/>
      <w:bookmarkStart w:id="14" w:name="_Toc85104581"/>
      <w:bookmarkStart w:id="15" w:name="_Toc90462207"/>
      <w:bookmarkEnd w:id="10"/>
      <w:bookmarkEnd w:id="11"/>
      <w:bookmarkEnd w:id="12"/>
      <w:bookmarkEnd w:id="13"/>
      <w:bookmarkEnd w:id="14"/>
      <w:r w:rsidRPr="00C80370">
        <w:t xml:space="preserve">Konkurenčnost in produktivnost </w:t>
      </w:r>
      <w:r w:rsidR="00C80370">
        <w:t xml:space="preserve">gospodarstva in </w:t>
      </w:r>
      <w:r w:rsidRPr="00C80370">
        <w:t>kmetijstva</w:t>
      </w:r>
      <w:r w:rsidR="00717A54" w:rsidRPr="00C80370">
        <w:t xml:space="preserve"> v Sloveniji</w:t>
      </w:r>
      <w:bookmarkEnd w:id="15"/>
    </w:p>
    <w:p w14:paraId="57176A82" w14:textId="77777777" w:rsidR="00141712" w:rsidRDefault="00141712" w:rsidP="00803EB8"/>
    <w:p w14:paraId="47793C09" w14:textId="4D3C4238" w:rsidR="00274AF8" w:rsidRDefault="00CD0826" w:rsidP="00DD616B">
      <w:pPr>
        <w:pStyle w:val="Odstavek1"/>
      </w:pPr>
      <w:r w:rsidRPr="004C5161">
        <w:t>Povečanje konkurenčnosti in tržne usmerjenosti je eden od temeljnih ciljev Skupne kmetijske politike</w:t>
      </w:r>
      <w:r w:rsidR="00154E7B">
        <w:t xml:space="preserve"> (SKP)</w:t>
      </w:r>
      <w:r w:rsidRPr="004C5161">
        <w:t>, ki pa se z Evropskim zelenim dogovorom</w:t>
      </w:r>
      <w:r w:rsidR="006B7C21" w:rsidRPr="006249A0">
        <w:rPr>
          <w:vertAlign w:val="superscript"/>
        </w:rPr>
        <w:footnoteReference w:id="2"/>
      </w:r>
      <w:r w:rsidR="00154E7B">
        <w:t>,</w:t>
      </w:r>
      <w:r w:rsidRPr="004C5161">
        <w:t xml:space="preserve"> Strategijo </w:t>
      </w:r>
      <w:r w:rsidR="006B7C21" w:rsidRPr="004C5161">
        <w:t xml:space="preserve">EU </w:t>
      </w:r>
      <w:r w:rsidRPr="004C5161">
        <w:t xml:space="preserve">»od vil do vilic« </w:t>
      </w:r>
      <w:r w:rsidR="00154E7B">
        <w:t xml:space="preserve">ter Strategijo o biotski raznovrstnosti do 2030 </w:t>
      </w:r>
      <w:r w:rsidRPr="004C5161">
        <w:t>vedno bolj usmerja na pot trajnosti in večje odgovornosti do naravnih virov</w:t>
      </w:r>
      <w:r w:rsidR="001B4B00" w:rsidRPr="004C5161">
        <w:t xml:space="preserve">. </w:t>
      </w:r>
      <w:r w:rsidR="00D9747A" w:rsidRPr="004C5161">
        <w:t xml:space="preserve">Ključne determinante konkurenčnosti se </w:t>
      </w:r>
      <w:r w:rsidR="00D9747A">
        <w:t>ločijo</w:t>
      </w:r>
      <w:r w:rsidR="00D9747A" w:rsidRPr="004C5161">
        <w:t xml:space="preserve"> glede na to, katere lahko obvladujejo </w:t>
      </w:r>
      <w:r w:rsidR="00D9747A">
        <w:t xml:space="preserve">kmetijska gospodarstva </w:t>
      </w:r>
      <w:r w:rsidR="00D9747A" w:rsidRPr="004C5161">
        <w:t>sama (velikost, struktura, socialni kapital: kmetova starost, izobrazbena raven, spol, vložen čas na kmetiji) in katere so izven njihove kontrole ali vpliva (nacionalne faktorske danosti: razpoložljivost delovne sile, zemlje, kapitala, pogoji na strani povpraševanja: okusi, preference prebivalcev, politike, lokacija).</w:t>
      </w:r>
      <w:r w:rsidR="00F16002">
        <w:t xml:space="preserve"> </w:t>
      </w:r>
      <w:r w:rsidR="008C45F1" w:rsidRPr="004C5161">
        <w:t xml:space="preserve">V ospredju </w:t>
      </w:r>
      <w:r w:rsidR="00D9747A">
        <w:t xml:space="preserve">konkurenčnosti je </w:t>
      </w:r>
      <w:r w:rsidR="008C45F1" w:rsidRPr="004C5161">
        <w:t>rast produktivnosti kmetijstva</w:t>
      </w:r>
      <w:r w:rsidR="00D9747A">
        <w:t xml:space="preserve"> ob upoštevanju </w:t>
      </w:r>
      <w:r w:rsidR="00D9747A" w:rsidRPr="004C5161">
        <w:t>učinkovit</w:t>
      </w:r>
      <w:r w:rsidR="00D9747A">
        <w:t>e in odgovornejše</w:t>
      </w:r>
      <w:r w:rsidR="00D9747A" w:rsidRPr="004C5161">
        <w:t xml:space="preserve"> rab</w:t>
      </w:r>
      <w:r w:rsidR="00D9747A">
        <w:t>e</w:t>
      </w:r>
      <w:r w:rsidR="00D9747A" w:rsidRPr="004C5161">
        <w:t xml:space="preserve"> </w:t>
      </w:r>
      <w:r w:rsidR="008C45F1" w:rsidRPr="004C5161">
        <w:t>omejenih naravnih virov</w:t>
      </w:r>
      <w:r w:rsidR="00D9747A">
        <w:t xml:space="preserve"> in izzivov</w:t>
      </w:r>
      <w:r w:rsidR="008C45F1" w:rsidRPr="004C5161">
        <w:t xml:space="preserve"> </w:t>
      </w:r>
      <w:r w:rsidR="00D9747A" w:rsidRPr="004C5161">
        <w:t>podnebn</w:t>
      </w:r>
      <w:r w:rsidR="00D9747A">
        <w:t>ih</w:t>
      </w:r>
      <w:r w:rsidR="00D9747A" w:rsidRPr="004C5161">
        <w:t xml:space="preserve"> </w:t>
      </w:r>
      <w:r w:rsidR="008C45F1" w:rsidRPr="004C5161">
        <w:t xml:space="preserve">sprememb. </w:t>
      </w:r>
      <w:r w:rsidR="00F16002">
        <w:t xml:space="preserve"> </w:t>
      </w:r>
    </w:p>
    <w:p w14:paraId="1BC53F4E" w14:textId="41BB6748" w:rsidR="005D3D25" w:rsidRDefault="005D3D25" w:rsidP="00DD616B">
      <w:pPr>
        <w:pStyle w:val="Odstavek1"/>
      </w:pPr>
    </w:p>
    <w:p w14:paraId="7203A282" w14:textId="1CB9D66C" w:rsidR="009F4DF4" w:rsidRDefault="009F4DF4" w:rsidP="00DD616B">
      <w:pPr>
        <w:pStyle w:val="Odstavek1"/>
      </w:pPr>
      <w:r>
        <w:t xml:space="preserve">Analiza stanja </w:t>
      </w:r>
      <w:r w:rsidR="005B0145">
        <w:t xml:space="preserve">za specifični cilj 2 </w:t>
      </w:r>
      <w:r>
        <w:t xml:space="preserve">je strukturirana tako, da uvodoma na makroekonomski ravni opisujemo stanje </w:t>
      </w:r>
      <w:r w:rsidR="005B0145">
        <w:t xml:space="preserve">slovenskega </w:t>
      </w:r>
      <w:r>
        <w:t>gospodarstva,</w:t>
      </w:r>
      <w:r w:rsidR="005B0145">
        <w:t xml:space="preserve"> ki mu sledi pregled </w:t>
      </w:r>
      <w:r>
        <w:t>stanje v kmetijskem sektorju. Pri tem povzemamo nekatere ključne podatke o strukturi kmetijskih gospodarstev</w:t>
      </w:r>
      <w:r w:rsidR="005B0145">
        <w:t xml:space="preserve"> in se osredotočamo na produktivnost dela, kapitala in zemlje. Pri tem poskušamo prikazati pozicijo Slovenije glede na preostale države EU-27. Sledi podrobnejša analiza produktivnosti (neto dodane vrednosti / PDM) iz baze podatkov FADN, kjer poskušamo vidik produktivnosti prikazati na mikroekonomski ravni, s poudarkom na obravnavi različnih proizvodnih tipov. Sledi analiza investicij, kjer se osredotočamo na primerjavo investiranja kmetij z OMD in z območij izven OMD. V nadaljevanju nato podajamo še pregled stanja po posameznih sektorjih. Preostala dva ključna sklopa te analize pa se navezujeta na stanje v ŽPI in gozdarstvu.    </w:t>
      </w:r>
      <w:r>
        <w:t xml:space="preserve"> </w:t>
      </w:r>
    </w:p>
    <w:p w14:paraId="1100FAFE" w14:textId="77777777" w:rsidR="00274AF8" w:rsidRPr="004C5161" w:rsidRDefault="00274AF8" w:rsidP="00DD616B">
      <w:pPr>
        <w:pStyle w:val="Odstavek1"/>
      </w:pPr>
    </w:p>
    <w:p w14:paraId="4B08999E" w14:textId="77777777" w:rsidR="00574589" w:rsidRDefault="00574589" w:rsidP="009F3567">
      <w:pPr>
        <w:spacing w:before="0" w:line="276" w:lineRule="auto"/>
        <w:rPr>
          <w:sz w:val="20"/>
          <w:szCs w:val="20"/>
        </w:rPr>
      </w:pPr>
    </w:p>
    <w:p w14:paraId="267930CC" w14:textId="0AC6C8EB" w:rsidR="00C80370" w:rsidRDefault="00CE540D" w:rsidP="005B2A49">
      <w:pPr>
        <w:pStyle w:val="Naslov2"/>
      </w:pPr>
      <w:bookmarkStart w:id="16" w:name="_Toc90462208"/>
      <w:r>
        <w:t>Stanje</w:t>
      </w:r>
      <w:r w:rsidR="001B2299">
        <w:t xml:space="preserve"> slovenskega gospodarstva</w:t>
      </w:r>
      <w:bookmarkEnd w:id="16"/>
    </w:p>
    <w:p w14:paraId="5C0D3ECA" w14:textId="77777777" w:rsidR="00C80370" w:rsidRDefault="00C80370" w:rsidP="005B2A49"/>
    <w:p w14:paraId="63E29BDD" w14:textId="697D2C0A" w:rsidR="00C80370" w:rsidRDefault="00C80370" w:rsidP="005B2A49">
      <w:pPr>
        <w:pStyle w:val="Odstavek1"/>
      </w:pPr>
      <w:r w:rsidRPr="00C80370">
        <w:t xml:space="preserve">Gibanja </w:t>
      </w:r>
      <w:r w:rsidR="001B2299">
        <w:t>bruto dodane vrednosti (</w:t>
      </w:r>
      <w:r w:rsidRPr="00C80370">
        <w:t>BDV</w:t>
      </w:r>
      <w:r w:rsidR="001B2299">
        <w:t>)</w:t>
      </w:r>
      <w:r w:rsidRPr="00C80370">
        <w:t xml:space="preserve"> v nekoliko daljšem časovnem obdobju pokažejo na vpliv gospodarsko-finančne krize. BDV slovenskega gospodarstva od leta 2010 do 2019 tako beleži </w:t>
      </w:r>
      <w:r w:rsidR="00275988">
        <w:t xml:space="preserve">najprej </w:t>
      </w:r>
      <w:r w:rsidRPr="00C80370">
        <w:t>stagnacijo</w:t>
      </w:r>
      <w:r w:rsidR="00F16002">
        <w:t>, p</w:t>
      </w:r>
      <w:r w:rsidRPr="00C80370">
        <w:t xml:space="preserve">o koncu krize in povečevanju gospodarske aktivnosti pa se je vrednost BDV leta </w:t>
      </w:r>
      <w:r w:rsidRPr="009755A8">
        <w:t xml:space="preserve">2014 </w:t>
      </w:r>
      <w:r w:rsidR="00F16002">
        <w:t xml:space="preserve">spet </w:t>
      </w:r>
      <w:r w:rsidRPr="009755A8">
        <w:t xml:space="preserve">začela dvigovati in je leta 2019 dosegla vrednost 41.882 mio EUR. </w:t>
      </w:r>
      <w:r w:rsidR="00275988">
        <w:t>BDV</w:t>
      </w:r>
      <w:r w:rsidR="00275988" w:rsidRPr="00DE12FE">
        <w:t xml:space="preserve"> se je od leta 2010 povečala za 32,1 %. Delež podeželskih regij v BDV v letu 2017 je bil 48,73 % in je stabilen (</w:t>
      </w:r>
      <w:r w:rsidR="00275988" w:rsidRPr="00DE12FE">
        <w:fldChar w:fldCharType="begin"/>
      </w:r>
      <w:r w:rsidR="00275988" w:rsidRPr="00DE12FE">
        <w:instrText xml:space="preserve"> REF _Ref29976879 \h  \* MERGEFORMAT </w:instrText>
      </w:r>
      <w:r w:rsidR="00275988" w:rsidRPr="00DE12FE">
        <w:fldChar w:fldCharType="separate"/>
      </w:r>
      <w:r w:rsidR="0088117A">
        <w:t>Tabela</w:t>
      </w:r>
      <w:r w:rsidR="0088117A" w:rsidRPr="003D6FF8">
        <w:t xml:space="preserve"> </w:t>
      </w:r>
      <w:r w:rsidR="00275988" w:rsidRPr="00DE12FE">
        <w:fldChar w:fldCharType="end"/>
      </w:r>
      <w:r w:rsidR="00275988">
        <w:t>10</w:t>
      </w:r>
      <w:r w:rsidR="00275988" w:rsidRPr="00DE12FE">
        <w:t>; Vir: EUROSTAT).</w:t>
      </w:r>
    </w:p>
    <w:p w14:paraId="6FDB8468" w14:textId="77777777" w:rsidR="001B2299" w:rsidRPr="00EC2DD0" w:rsidRDefault="001B2299" w:rsidP="005B2A49">
      <w:pPr>
        <w:pStyle w:val="Odstavek1"/>
      </w:pPr>
    </w:p>
    <w:p w14:paraId="078268C5" w14:textId="730A0E0F" w:rsidR="00C80370" w:rsidRPr="00BF3692" w:rsidRDefault="00C80370" w:rsidP="005B2A49">
      <w:pPr>
        <w:pStyle w:val="Odstavek1"/>
      </w:pPr>
      <w:r w:rsidRPr="00EC2DD0">
        <w:t xml:space="preserve">Gospodarska rast se je v letu 2019 </w:t>
      </w:r>
      <w:r w:rsidR="00F16002">
        <w:t xml:space="preserve">nato </w:t>
      </w:r>
      <w:r w:rsidRPr="00EC2DD0">
        <w:t xml:space="preserve">precej umirila. Bruto domači proizvod </w:t>
      </w:r>
      <w:r w:rsidR="00275988">
        <w:t xml:space="preserve">(BDP) </w:t>
      </w:r>
      <w:r w:rsidRPr="00EC2DD0">
        <w:t>se je povečal za 2,4 %, kar je opazno manj kot v predhodnih dveh letih (2017: 4,8 %; 2018: 4,1 %). Kljub temu je bila rast slovenskega gospodarstva v letu 2019 visoka in nad povprečjem EU (UMAR, 2019; UMAR 2020). H gospodarski rasti je še naprej prispevalo stabilno povečevanje zasebne potrošnje (realno večja za 2,7 %; leta 2018: 2,8 %), kar je predvsem rezultat raz</w:t>
      </w:r>
      <w:r w:rsidRPr="00BF3692">
        <w:t>meroma visoke stopnje zaposlenosti ter rasti plač in socialnih transferjev. Predvsem zaradi upočasnitve gospodarske rasti v trgovinskih partnericah pa se je upočasnila rast izvoza (realno večji za 4,4 %; leta 2018: 6,1 %). Tudi pri investicijah v opremo in stroje ter pri gradbenih investicijah je bila zabeležena upočasnitev rasti. Realna rast bruto investicij v osnovna sredstva je znašala 3,2 % (leta 2018: 9,1 %).</w:t>
      </w:r>
    </w:p>
    <w:p w14:paraId="2CEE2259" w14:textId="49980A14" w:rsidR="00EC2DD0" w:rsidRPr="00E155C1" w:rsidRDefault="00EC2DD0" w:rsidP="00871B06">
      <w:pPr>
        <w:pStyle w:val="SCPreglednica0"/>
        <w:rPr>
          <w:sz w:val="20"/>
        </w:rPr>
      </w:pPr>
      <w:bookmarkStart w:id="17" w:name="_Toc55913720"/>
      <w:bookmarkStart w:id="18" w:name="_Toc89860994"/>
      <w:r w:rsidRPr="00E155C1">
        <w:rPr>
          <w:sz w:val="20"/>
        </w:rPr>
        <w:t xml:space="preserve">Tabela </w:t>
      </w:r>
      <w:r w:rsidR="003453AC" w:rsidRPr="00E155C1">
        <w:rPr>
          <w:noProof/>
          <w:sz w:val="20"/>
        </w:rPr>
        <w:fldChar w:fldCharType="begin"/>
      </w:r>
      <w:r w:rsidR="003453AC" w:rsidRPr="00E155C1">
        <w:rPr>
          <w:noProof/>
          <w:sz w:val="20"/>
        </w:rPr>
        <w:instrText xml:space="preserve"> SEQ Tabela \* ARABIC </w:instrText>
      </w:r>
      <w:r w:rsidR="003453AC" w:rsidRPr="00E155C1">
        <w:rPr>
          <w:noProof/>
          <w:sz w:val="20"/>
        </w:rPr>
        <w:fldChar w:fldCharType="separate"/>
      </w:r>
      <w:r w:rsidR="0088117A" w:rsidRPr="00E155C1">
        <w:rPr>
          <w:noProof/>
          <w:sz w:val="20"/>
        </w:rPr>
        <w:t>2</w:t>
      </w:r>
      <w:r w:rsidR="003453AC" w:rsidRPr="00E155C1">
        <w:rPr>
          <w:noProof/>
          <w:sz w:val="20"/>
        </w:rPr>
        <w:fldChar w:fldCharType="end"/>
      </w:r>
      <w:r w:rsidRPr="00E155C1">
        <w:rPr>
          <w:sz w:val="20"/>
        </w:rPr>
        <w:t>: Pregled gospodarskih gibanj 2014–2019</w:t>
      </w:r>
      <w:bookmarkEnd w:id="17"/>
      <w:bookmarkEnd w:id="18"/>
    </w:p>
    <w:tbl>
      <w:tblPr>
        <w:tblW w:w="9423" w:type="dxa"/>
        <w:tblInd w:w="70" w:type="dxa"/>
        <w:tblCellMar>
          <w:left w:w="70" w:type="dxa"/>
          <w:right w:w="70" w:type="dxa"/>
        </w:tblCellMar>
        <w:tblLook w:val="04A0" w:firstRow="1" w:lastRow="0" w:firstColumn="1" w:lastColumn="0" w:noHBand="0" w:noVBand="1"/>
      </w:tblPr>
      <w:tblGrid>
        <w:gridCol w:w="3327"/>
        <w:gridCol w:w="993"/>
        <w:gridCol w:w="1134"/>
        <w:gridCol w:w="850"/>
        <w:gridCol w:w="992"/>
        <w:gridCol w:w="993"/>
        <w:gridCol w:w="1134"/>
      </w:tblGrid>
      <w:tr w:rsidR="00EC2DD0" w:rsidRPr="00F16002" w14:paraId="7FDC3BFA" w14:textId="77777777" w:rsidTr="006544EB">
        <w:trPr>
          <w:trHeight w:val="450"/>
        </w:trPr>
        <w:tc>
          <w:tcPr>
            <w:tcW w:w="332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6A87F62"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 </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492B9E47"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2014</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2963F52B"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2015</w:t>
            </w:r>
          </w:p>
        </w:tc>
        <w:tc>
          <w:tcPr>
            <w:tcW w:w="850" w:type="dxa"/>
            <w:tcBorders>
              <w:top w:val="single" w:sz="4" w:space="0" w:color="auto"/>
              <w:left w:val="nil"/>
              <w:bottom w:val="single" w:sz="4" w:space="0" w:color="auto"/>
              <w:right w:val="single" w:sz="4" w:space="0" w:color="auto"/>
            </w:tcBorders>
            <w:shd w:val="clear" w:color="000000" w:fill="92D050"/>
            <w:vAlign w:val="center"/>
            <w:hideMark/>
          </w:tcPr>
          <w:p w14:paraId="7AC13142"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2016</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608BAB7C"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2017</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693E8D49"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2018</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1FBF102C"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2019</w:t>
            </w:r>
          </w:p>
        </w:tc>
      </w:tr>
      <w:tr w:rsidR="00EC2DD0" w:rsidRPr="00F16002" w14:paraId="3F68DCA2" w14:textId="77777777" w:rsidTr="006544EB">
        <w:trPr>
          <w:trHeight w:val="15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EF5D76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Realne stopnje rasti BDP (%)</w:t>
            </w:r>
          </w:p>
        </w:tc>
        <w:tc>
          <w:tcPr>
            <w:tcW w:w="993" w:type="dxa"/>
            <w:tcBorders>
              <w:top w:val="nil"/>
              <w:left w:val="nil"/>
              <w:bottom w:val="single" w:sz="4" w:space="0" w:color="auto"/>
              <w:right w:val="single" w:sz="4" w:space="0" w:color="auto"/>
            </w:tcBorders>
            <w:shd w:val="clear" w:color="auto" w:fill="auto"/>
            <w:vAlign w:val="center"/>
            <w:hideMark/>
          </w:tcPr>
          <w:p w14:paraId="7855BF1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2,8</w:t>
            </w:r>
          </w:p>
        </w:tc>
        <w:tc>
          <w:tcPr>
            <w:tcW w:w="1134" w:type="dxa"/>
            <w:tcBorders>
              <w:top w:val="nil"/>
              <w:left w:val="nil"/>
              <w:bottom w:val="single" w:sz="4" w:space="0" w:color="auto"/>
              <w:right w:val="single" w:sz="4" w:space="0" w:color="auto"/>
            </w:tcBorders>
            <w:shd w:val="clear" w:color="auto" w:fill="auto"/>
            <w:vAlign w:val="center"/>
            <w:hideMark/>
          </w:tcPr>
          <w:p w14:paraId="0C8FECE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w:t>
            </w:r>
          </w:p>
        </w:tc>
        <w:tc>
          <w:tcPr>
            <w:tcW w:w="850" w:type="dxa"/>
            <w:tcBorders>
              <w:top w:val="nil"/>
              <w:left w:val="nil"/>
              <w:bottom w:val="single" w:sz="4" w:space="0" w:color="auto"/>
              <w:right w:val="single" w:sz="4" w:space="0" w:color="auto"/>
            </w:tcBorders>
            <w:shd w:val="clear" w:color="auto" w:fill="auto"/>
            <w:vAlign w:val="center"/>
            <w:hideMark/>
          </w:tcPr>
          <w:p w14:paraId="0880525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3,1</w:t>
            </w:r>
          </w:p>
        </w:tc>
        <w:tc>
          <w:tcPr>
            <w:tcW w:w="992" w:type="dxa"/>
            <w:tcBorders>
              <w:top w:val="nil"/>
              <w:left w:val="nil"/>
              <w:bottom w:val="single" w:sz="4" w:space="0" w:color="auto"/>
              <w:right w:val="single" w:sz="4" w:space="0" w:color="auto"/>
            </w:tcBorders>
            <w:shd w:val="clear" w:color="auto" w:fill="auto"/>
            <w:vAlign w:val="center"/>
            <w:hideMark/>
          </w:tcPr>
          <w:p w14:paraId="3DE3366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4,8</w:t>
            </w:r>
          </w:p>
        </w:tc>
        <w:tc>
          <w:tcPr>
            <w:tcW w:w="993" w:type="dxa"/>
            <w:tcBorders>
              <w:top w:val="nil"/>
              <w:left w:val="nil"/>
              <w:bottom w:val="single" w:sz="4" w:space="0" w:color="auto"/>
              <w:right w:val="single" w:sz="4" w:space="0" w:color="auto"/>
            </w:tcBorders>
            <w:shd w:val="clear" w:color="auto" w:fill="auto"/>
            <w:vAlign w:val="center"/>
            <w:hideMark/>
          </w:tcPr>
          <w:p w14:paraId="50AA2D9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4,1</w:t>
            </w:r>
          </w:p>
        </w:tc>
        <w:tc>
          <w:tcPr>
            <w:tcW w:w="1134" w:type="dxa"/>
            <w:tcBorders>
              <w:top w:val="nil"/>
              <w:left w:val="nil"/>
              <w:bottom w:val="single" w:sz="4" w:space="0" w:color="auto"/>
              <w:right w:val="single" w:sz="4" w:space="0" w:color="auto"/>
            </w:tcBorders>
            <w:shd w:val="clear" w:color="auto" w:fill="auto"/>
            <w:vAlign w:val="center"/>
            <w:hideMark/>
          </w:tcPr>
          <w:p w14:paraId="2BA3A1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r>
      <w:tr w:rsidR="00EC2DD0" w:rsidRPr="00F16002" w14:paraId="36683DB0" w14:textId="77777777" w:rsidTr="006544EB">
        <w:trPr>
          <w:trHeight w:val="16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4E4F96F"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(mio EUR)</w:t>
            </w:r>
          </w:p>
        </w:tc>
        <w:tc>
          <w:tcPr>
            <w:tcW w:w="993" w:type="dxa"/>
            <w:tcBorders>
              <w:top w:val="nil"/>
              <w:left w:val="nil"/>
              <w:bottom w:val="single" w:sz="4" w:space="0" w:color="auto"/>
              <w:right w:val="single" w:sz="4" w:space="0" w:color="auto"/>
            </w:tcBorders>
            <w:shd w:val="clear" w:color="auto" w:fill="auto"/>
            <w:vAlign w:val="center"/>
            <w:hideMark/>
          </w:tcPr>
          <w:p w14:paraId="4F41F53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37.634</w:t>
            </w:r>
          </w:p>
        </w:tc>
        <w:tc>
          <w:tcPr>
            <w:tcW w:w="1134" w:type="dxa"/>
            <w:tcBorders>
              <w:top w:val="nil"/>
              <w:left w:val="nil"/>
              <w:bottom w:val="single" w:sz="4" w:space="0" w:color="auto"/>
              <w:right w:val="single" w:sz="4" w:space="0" w:color="auto"/>
            </w:tcBorders>
            <w:shd w:val="clear" w:color="auto" w:fill="auto"/>
            <w:vAlign w:val="center"/>
            <w:hideMark/>
          </w:tcPr>
          <w:p w14:paraId="3068E2F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38.853</w:t>
            </w:r>
          </w:p>
        </w:tc>
        <w:tc>
          <w:tcPr>
            <w:tcW w:w="850" w:type="dxa"/>
            <w:tcBorders>
              <w:top w:val="nil"/>
              <w:left w:val="nil"/>
              <w:bottom w:val="single" w:sz="4" w:space="0" w:color="auto"/>
              <w:right w:val="single" w:sz="4" w:space="0" w:color="auto"/>
            </w:tcBorders>
            <w:shd w:val="clear" w:color="auto" w:fill="auto"/>
            <w:vAlign w:val="center"/>
            <w:hideMark/>
          </w:tcPr>
          <w:p w14:paraId="42D73EF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40.367</w:t>
            </w:r>
          </w:p>
        </w:tc>
        <w:tc>
          <w:tcPr>
            <w:tcW w:w="992" w:type="dxa"/>
            <w:tcBorders>
              <w:top w:val="nil"/>
              <w:left w:val="nil"/>
              <w:bottom w:val="single" w:sz="4" w:space="0" w:color="auto"/>
              <w:right w:val="single" w:sz="4" w:space="0" w:color="auto"/>
            </w:tcBorders>
            <w:shd w:val="clear" w:color="auto" w:fill="auto"/>
            <w:vAlign w:val="center"/>
            <w:hideMark/>
          </w:tcPr>
          <w:p w14:paraId="5696AC5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42.987</w:t>
            </w:r>
          </w:p>
        </w:tc>
        <w:tc>
          <w:tcPr>
            <w:tcW w:w="993" w:type="dxa"/>
            <w:tcBorders>
              <w:top w:val="nil"/>
              <w:left w:val="nil"/>
              <w:bottom w:val="single" w:sz="4" w:space="0" w:color="auto"/>
              <w:right w:val="single" w:sz="4" w:space="0" w:color="auto"/>
            </w:tcBorders>
            <w:shd w:val="clear" w:color="auto" w:fill="auto"/>
            <w:vAlign w:val="center"/>
            <w:hideMark/>
          </w:tcPr>
          <w:p w14:paraId="6D5F85E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45.755</w:t>
            </w:r>
          </w:p>
        </w:tc>
        <w:tc>
          <w:tcPr>
            <w:tcW w:w="1134" w:type="dxa"/>
            <w:tcBorders>
              <w:top w:val="nil"/>
              <w:left w:val="nil"/>
              <w:bottom w:val="single" w:sz="4" w:space="0" w:color="auto"/>
              <w:right w:val="single" w:sz="4" w:space="0" w:color="auto"/>
            </w:tcBorders>
            <w:shd w:val="clear" w:color="auto" w:fill="auto"/>
            <w:vAlign w:val="center"/>
            <w:hideMark/>
          </w:tcPr>
          <w:p w14:paraId="04A12DD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48.007</w:t>
            </w:r>
          </w:p>
        </w:tc>
      </w:tr>
      <w:tr w:rsidR="00EC2DD0" w:rsidRPr="00F16002" w14:paraId="1D72DC84" w14:textId="77777777" w:rsidTr="006544EB">
        <w:trPr>
          <w:trHeight w:val="30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81365B3"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Bruto dodana vrednost po dejavnostih (mio EUR)</w:t>
            </w:r>
          </w:p>
        </w:tc>
        <w:tc>
          <w:tcPr>
            <w:tcW w:w="993" w:type="dxa"/>
            <w:tcBorders>
              <w:top w:val="nil"/>
              <w:left w:val="nil"/>
              <w:bottom w:val="single" w:sz="4" w:space="0" w:color="auto"/>
              <w:right w:val="single" w:sz="4" w:space="0" w:color="auto"/>
            </w:tcBorders>
            <w:shd w:val="clear" w:color="auto" w:fill="auto"/>
            <w:vAlign w:val="center"/>
            <w:hideMark/>
          </w:tcPr>
          <w:p w14:paraId="7B3158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32.532</w:t>
            </w:r>
          </w:p>
        </w:tc>
        <w:tc>
          <w:tcPr>
            <w:tcW w:w="1134" w:type="dxa"/>
            <w:tcBorders>
              <w:top w:val="nil"/>
              <w:left w:val="nil"/>
              <w:bottom w:val="single" w:sz="4" w:space="0" w:color="auto"/>
              <w:right w:val="single" w:sz="4" w:space="0" w:color="auto"/>
            </w:tcBorders>
            <w:shd w:val="clear" w:color="auto" w:fill="auto"/>
            <w:vAlign w:val="center"/>
            <w:hideMark/>
          </w:tcPr>
          <w:p w14:paraId="2F2D27D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33.592</w:t>
            </w:r>
          </w:p>
        </w:tc>
        <w:tc>
          <w:tcPr>
            <w:tcW w:w="850" w:type="dxa"/>
            <w:tcBorders>
              <w:top w:val="nil"/>
              <w:left w:val="nil"/>
              <w:bottom w:val="single" w:sz="4" w:space="0" w:color="auto"/>
              <w:right w:val="single" w:sz="4" w:space="0" w:color="auto"/>
            </w:tcBorders>
            <w:shd w:val="clear" w:color="auto" w:fill="auto"/>
            <w:vAlign w:val="center"/>
            <w:hideMark/>
          </w:tcPr>
          <w:p w14:paraId="725ED96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34.953</w:t>
            </w:r>
          </w:p>
        </w:tc>
        <w:tc>
          <w:tcPr>
            <w:tcW w:w="992" w:type="dxa"/>
            <w:tcBorders>
              <w:top w:val="nil"/>
              <w:left w:val="nil"/>
              <w:bottom w:val="single" w:sz="4" w:space="0" w:color="auto"/>
              <w:right w:val="single" w:sz="4" w:space="0" w:color="auto"/>
            </w:tcBorders>
            <w:shd w:val="clear" w:color="auto" w:fill="auto"/>
            <w:vAlign w:val="center"/>
            <w:hideMark/>
          </w:tcPr>
          <w:p w14:paraId="3BC6D38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37.350</w:t>
            </w:r>
          </w:p>
        </w:tc>
        <w:tc>
          <w:tcPr>
            <w:tcW w:w="993" w:type="dxa"/>
            <w:tcBorders>
              <w:top w:val="nil"/>
              <w:left w:val="nil"/>
              <w:bottom w:val="single" w:sz="4" w:space="0" w:color="auto"/>
              <w:right w:val="single" w:sz="4" w:space="0" w:color="auto"/>
            </w:tcBorders>
            <w:shd w:val="clear" w:color="auto" w:fill="auto"/>
            <w:vAlign w:val="center"/>
            <w:hideMark/>
          </w:tcPr>
          <w:p w14:paraId="55AEBCB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39.839</w:t>
            </w:r>
          </w:p>
        </w:tc>
        <w:tc>
          <w:tcPr>
            <w:tcW w:w="1134" w:type="dxa"/>
            <w:tcBorders>
              <w:top w:val="nil"/>
              <w:left w:val="nil"/>
              <w:bottom w:val="single" w:sz="4" w:space="0" w:color="auto"/>
              <w:right w:val="single" w:sz="4" w:space="0" w:color="auto"/>
            </w:tcBorders>
            <w:shd w:val="clear" w:color="auto" w:fill="auto"/>
            <w:vAlign w:val="center"/>
            <w:hideMark/>
          </w:tcPr>
          <w:p w14:paraId="2B8B637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41.882</w:t>
            </w:r>
          </w:p>
        </w:tc>
      </w:tr>
      <w:tr w:rsidR="00EC2DD0" w:rsidRPr="00F16002" w14:paraId="7200B995" w14:textId="77777777" w:rsidTr="006544EB">
        <w:trPr>
          <w:trHeight w:val="57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A826E1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xml:space="preserve">Struktura dodane vrednosti: </w:t>
            </w:r>
            <w:r w:rsidRPr="005B2A49">
              <w:rPr>
                <w:color w:val="000000"/>
                <w:sz w:val="18"/>
                <w:szCs w:val="18"/>
                <w:lang w:eastAsia="sl-SI"/>
              </w:rPr>
              <w:br/>
              <w:t>– kmetijstvo, gozdarstvo, ribištvo (A) (%)</w:t>
            </w:r>
          </w:p>
        </w:tc>
        <w:tc>
          <w:tcPr>
            <w:tcW w:w="993" w:type="dxa"/>
            <w:tcBorders>
              <w:top w:val="nil"/>
              <w:left w:val="nil"/>
              <w:bottom w:val="single" w:sz="4" w:space="0" w:color="auto"/>
              <w:right w:val="single" w:sz="4" w:space="0" w:color="auto"/>
            </w:tcBorders>
            <w:shd w:val="clear" w:color="auto" w:fill="auto"/>
            <w:vAlign w:val="center"/>
            <w:hideMark/>
          </w:tcPr>
          <w:p w14:paraId="58C68D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c>
          <w:tcPr>
            <w:tcW w:w="1134" w:type="dxa"/>
            <w:tcBorders>
              <w:top w:val="nil"/>
              <w:left w:val="nil"/>
              <w:bottom w:val="single" w:sz="4" w:space="0" w:color="auto"/>
              <w:right w:val="single" w:sz="4" w:space="0" w:color="auto"/>
            </w:tcBorders>
            <w:shd w:val="clear" w:color="auto" w:fill="auto"/>
            <w:vAlign w:val="center"/>
            <w:hideMark/>
          </w:tcPr>
          <w:p w14:paraId="5420C88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c>
          <w:tcPr>
            <w:tcW w:w="850" w:type="dxa"/>
            <w:tcBorders>
              <w:top w:val="nil"/>
              <w:left w:val="nil"/>
              <w:bottom w:val="single" w:sz="4" w:space="0" w:color="auto"/>
              <w:right w:val="single" w:sz="4" w:space="0" w:color="auto"/>
            </w:tcBorders>
            <w:shd w:val="clear" w:color="auto" w:fill="auto"/>
            <w:vAlign w:val="center"/>
            <w:hideMark/>
          </w:tcPr>
          <w:p w14:paraId="08B912C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c>
          <w:tcPr>
            <w:tcW w:w="992" w:type="dxa"/>
            <w:tcBorders>
              <w:top w:val="nil"/>
              <w:left w:val="nil"/>
              <w:bottom w:val="single" w:sz="4" w:space="0" w:color="auto"/>
              <w:right w:val="single" w:sz="4" w:space="0" w:color="auto"/>
            </w:tcBorders>
            <w:shd w:val="clear" w:color="auto" w:fill="auto"/>
            <w:vAlign w:val="center"/>
            <w:hideMark/>
          </w:tcPr>
          <w:p w14:paraId="3F12E15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2,1</w:t>
            </w:r>
          </w:p>
        </w:tc>
        <w:tc>
          <w:tcPr>
            <w:tcW w:w="993" w:type="dxa"/>
            <w:tcBorders>
              <w:top w:val="nil"/>
              <w:left w:val="nil"/>
              <w:bottom w:val="single" w:sz="4" w:space="0" w:color="auto"/>
              <w:right w:val="single" w:sz="4" w:space="0" w:color="auto"/>
            </w:tcBorders>
            <w:shd w:val="clear" w:color="auto" w:fill="auto"/>
            <w:vAlign w:val="center"/>
            <w:hideMark/>
          </w:tcPr>
          <w:p w14:paraId="525BC08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c>
          <w:tcPr>
            <w:tcW w:w="1134" w:type="dxa"/>
            <w:tcBorders>
              <w:top w:val="nil"/>
              <w:left w:val="nil"/>
              <w:bottom w:val="single" w:sz="4" w:space="0" w:color="auto"/>
              <w:right w:val="single" w:sz="4" w:space="0" w:color="auto"/>
            </w:tcBorders>
            <w:shd w:val="clear" w:color="auto" w:fill="auto"/>
            <w:vAlign w:val="center"/>
            <w:hideMark/>
          </w:tcPr>
          <w:p w14:paraId="24F54FB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r>
      <w:tr w:rsidR="00EC2DD0" w:rsidRPr="00F16002" w14:paraId="6C596E6C"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0DC849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industrija (B, C, D, E) (%)</w:t>
            </w:r>
          </w:p>
        </w:tc>
        <w:tc>
          <w:tcPr>
            <w:tcW w:w="993" w:type="dxa"/>
            <w:tcBorders>
              <w:top w:val="nil"/>
              <w:left w:val="nil"/>
              <w:bottom w:val="single" w:sz="4" w:space="0" w:color="auto"/>
              <w:right w:val="single" w:sz="4" w:space="0" w:color="auto"/>
            </w:tcBorders>
            <w:shd w:val="clear" w:color="auto" w:fill="auto"/>
            <w:vAlign w:val="center"/>
            <w:hideMark/>
          </w:tcPr>
          <w:p w14:paraId="46D83BB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7077127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w:t>
            </w:r>
          </w:p>
        </w:tc>
        <w:tc>
          <w:tcPr>
            <w:tcW w:w="850" w:type="dxa"/>
            <w:tcBorders>
              <w:top w:val="nil"/>
              <w:left w:val="nil"/>
              <w:bottom w:val="single" w:sz="4" w:space="0" w:color="auto"/>
              <w:right w:val="single" w:sz="4" w:space="0" w:color="auto"/>
            </w:tcBorders>
            <w:shd w:val="clear" w:color="auto" w:fill="auto"/>
            <w:vAlign w:val="center"/>
            <w:hideMark/>
          </w:tcPr>
          <w:p w14:paraId="230D957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27,1</w:t>
            </w:r>
          </w:p>
        </w:tc>
        <w:tc>
          <w:tcPr>
            <w:tcW w:w="992" w:type="dxa"/>
            <w:tcBorders>
              <w:top w:val="nil"/>
              <w:left w:val="nil"/>
              <w:bottom w:val="single" w:sz="4" w:space="0" w:color="auto"/>
              <w:right w:val="single" w:sz="4" w:space="0" w:color="auto"/>
            </w:tcBorders>
            <w:shd w:val="clear" w:color="auto" w:fill="auto"/>
            <w:vAlign w:val="center"/>
            <w:hideMark/>
          </w:tcPr>
          <w:p w14:paraId="5B2C9F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27,3</w:t>
            </w:r>
          </w:p>
        </w:tc>
        <w:tc>
          <w:tcPr>
            <w:tcW w:w="993" w:type="dxa"/>
            <w:tcBorders>
              <w:top w:val="nil"/>
              <w:left w:val="nil"/>
              <w:bottom w:val="single" w:sz="4" w:space="0" w:color="auto"/>
              <w:right w:val="single" w:sz="4" w:space="0" w:color="auto"/>
            </w:tcBorders>
            <w:shd w:val="clear" w:color="auto" w:fill="auto"/>
            <w:vAlign w:val="center"/>
            <w:hideMark/>
          </w:tcPr>
          <w:p w14:paraId="59FFED7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4A45A1B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26,7</w:t>
            </w:r>
          </w:p>
        </w:tc>
      </w:tr>
      <w:tr w:rsidR="00EC2DD0" w:rsidRPr="00F16002" w14:paraId="4CBD8235"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DEE24F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gradbeništvo (F) (%)</w:t>
            </w:r>
          </w:p>
        </w:tc>
        <w:tc>
          <w:tcPr>
            <w:tcW w:w="993" w:type="dxa"/>
            <w:tcBorders>
              <w:top w:val="nil"/>
              <w:left w:val="nil"/>
              <w:bottom w:val="single" w:sz="4" w:space="0" w:color="auto"/>
              <w:right w:val="single" w:sz="4" w:space="0" w:color="auto"/>
            </w:tcBorders>
            <w:shd w:val="clear" w:color="auto" w:fill="auto"/>
            <w:vAlign w:val="center"/>
            <w:hideMark/>
          </w:tcPr>
          <w:p w14:paraId="740DCC3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5060065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5,4</w:t>
            </w:r>
          </w:p>
        </w:tc>
        <w:tc>
          <w:tcPr>
            <w:tcW w:w="850" w:type="dxa"/>
            <w:tcBorders>
              <w:top w:val="nil"/>
              <w:left w:val="nil"/>
              <w:bottom w:val="single" w:sz="4" w:space="0" w:color="auto"/>
              <w:right w:val="single" w:sz="4" w:space="0" w:color="auto"/>
            </w:tcBorders>
            <w:shd w:val="clear" w:color="auto" w:fill="auto"/>
            <w:vAlign w:val="center"/>
            <w:hideMark/>
          </w:tcPr>
          <w:p w14:paraId="0EDFFF7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5,2</w:t>
            </w:r>
          </w:p>
        </w:tc>
        <w:tc>
          <w:tcPr>
            <w:tcW w:w="992" w:type="dxa"/>
            <w:tcBorders>
              <w:top w:val="nil"/>
              <w:left w:val="nil"/>
              <w:bottom w:val="single" w:sz="4" w:space="0" w:color="auto"/>
              <w:right w:val="single" w:sz="4" w:space="0" w:color="auto"/>
            </w:tcBorders>
            <w:shd w:val="clear" w:color="auto" w:fill="auto"/>
            <w:vAlign w:val="center"/>
            <w:hideMark/>
          </w:tcPr>
          <w:p w14:paraId="42583320"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5,4</w:t>
            </w:r>
          </w:p>
        </w:tc>
        <w:tc>
          <w:tcPr>
            <w:tcW w:w="993" w:type="dxa"/>
            <w:tcBorders>
              <w:top w:val="nil"/>
              <w:left w:val="nil"/>
              <w:bottom w:val="single" w:sz="4" w:space="0" w:color="auto"/>
              <w:right w:val="single" w:sz="4" w:space="0" w:color="auto"/>
            </w:tcBorders>
            <w:shd w:val="clear" w:color="auto" w:fill="auto"/>
            <w:vAlign w:val="center"/>
            <w:hideMark/>
          </w:tcPr>
          <w:p w14:paraId="4CAE239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4F99722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5,8</w:t>
            </w:r>
          </w:p>
        </w:tc>
      </w:tr>
      <w:tr w:rsidR="00EC2DD0" w:rsidRPr="00F16002" w14:paraId="0A4575ED"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1D391A00"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storitve (G do U) (%)</w:t>
            </w:r>
          </w:p>
        </w:tc>
        <w:tc>
          <w:tcPr>
            <w:tcW w:w="993" w:type="dxa"/>
            <w:tcBorders>
              <w:top w:val="nil"/>
              <w:left w:val="nil"/>
              <w:bottom w:val="single" w:sz="4" w:space="0" w:color="auto"/>
              <w:right w:val="single" w:sz="4" w:space="0" w:color="auto"/>
            </w:tcBorders>
            <w:shd w:val="clear" w:color="auto" w:fill="auto"/>
            <w:vAlign w:val="center"/>
            <w:hideMark/>
          </w:tcPr>
          <w:p w14:paraId="32A7374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65,1</w:t>
            </w:r>
          </w:p>
        </w:tc>
        <w:tc>
          <w:tcPr>
            <w:tcW w:w="1134" w:type="dxa"/>
            <w:tcBorders>
              <w:top w:val="nil"/>
              <w:left w:val="nil"/>
              <w:bottom w:val="single" w:sz="4" w:space="0" w:color="auto"/>
              <w:right w:val="single" w:sz="4" w:space="0" w:color="auto"/>
            </w:tcBorders>
            <w:shd w:val="clear" w:color="auto" w:fill="auto"/>
            <w:vAlign w:val="center"/>
            <w:hideMark/>
          </w:tcPr>
          <w:p w14:paraId="5401AC3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c>
          <w:tcPr>
            <w:tcW w:w="850" w:type="dxa"/>
            <w:tcBorders>
              <w:top w:val="nil"/>
              <w:left w:val="nil"/>
              <w:bottom w:val="single" w:sz="4" w:space="0" w:color="auto"/>
              <w:right w:val="single" w:sz="4" w:space="0" w:color="auto"/>
            </w:tcBorders>
            <w:shd w:val="clear" w:color="auto" w:fill="auto"/>
            <w:vAlign w:val="center"/>
            <w:hideMark/>
          </w:tcPr>
          <w:p w14:paraId="5F387DA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65,4</w:t>
            </w:r>
          </w:p>
        </w:tc>
        <w:tc>
          <w:tcPr>
            <w:tcW w:w="992" w:type="dxa"/>
            <w:tcBorders>
              <w:top w:val="nil"/>
              <w:left w:val="nil"/>
              <w:bottom w:val="single" w:sz="4" w:space="0" w:color="auto"/>
              <w:right w:val="single" w:sz="4" w:space="0" w:color="auto"/>
            </w:tcBorders>
            <w:shd w:val="clear" w:color="auto" w:fill="auto"/>
            <w:vAlign w:val="center"/>
            <w:hideMark/>
          </w:tcPr>
          <w:p w14:paraId="1538D73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c>
          <w:tcPr>
            <w:tcW w:w="993" w:type="dxa"/>
            <w:tcBorders>
              <w:top w:val="nil"/>
              <w:left w:val="nil"/>
              <w:bottom w:val="single" w:sz="4" w:space="0" w:color="auto"/>
              <w:right w:val="single" w:sz="4" w:space="0" w:color="auto"/>
            </w:tcBorders>
            <w:shd w:val="clear" w:color="auto" w:fill="auto"/>
            <w:vAlign w:val="center"/>
            <w:hideMark/>
          </w:tcPr>
          <w:p w14:paraId="40A637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64,9</w:t>
            </w:r>
          </w:p>
        </w:tc>
        <w:tc>
          <w:tcPr>
            <w:tcW w:w="1134" w:type="dxa"/>
            <w:tcBorders>
              <w:top w:val="nil"/>
              <w:left w:val="nil"/>
              <w:bottom w:val="single" w:sz="4" w:space="0" w:color="auto"/>
              <w:right w:val="single" w:sz="4" w:space="0" w:color="auto"/>
            </w:tcBorders>
            <w:shd w:val="clear" w:color="auto" w:fill="auto"/>
            <w:vAlign w:val="center"/>
            <w:hideMark/>
          </w:tcPr>
          <w:p w14:paraId="439D72A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r>
      <w:tr w:rsidR="00EC2DD0" w:rsidRPr="00F16002" w14:paraId="7120504E"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5C9AA1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Zaposlenost (000)</w:t>
            </w:r>
          </w:p>
        </w:tc>
        <w:tc>
          <w:tcPr>
            <w:tcW w:w="993" w:type="dxa"/>
            <w:tcBorders>
              <w:top w:val="nil"/>
              <w:left w:val="nil"/>
              <w:bottom w:val="single" w:sz="4" w:space="0" w:color="auto"/>
              <w:right w:val="single" w:sz="4" w:space="0" w:color="auto"/>
            </w:tcBorders>
            <w:shd w:val="clear" w:color="auto" w:fill="auto"/>
            <w:vAlign w:val="center"/>
            <w:hideMark/>
          </w:tcPr>
          <w:p w14:paraId="448FEA0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932</w:t>
            </w:r>
          </w:p>
        </w:tc>
        <w:tc>
          <w:tcPr>
            <w:tcW w:w="1134" w:type="dxa"/>
            <w:tcBorders>
              <w:top w:val="nil"/>
              <w:left w:val="nil"/>
              <w:bottom w:val="single" w:sz="4" w:space="0" w:color="auto"/>
              <w:right w:val="single" w:sz="4" w:space="0" w:color="auto"/>
            </w:tcBorders>
            <w:shd w:val="clear" w:color="auto" w:fill="auto"/>
            <w:vAlign w:val="center"/>
            <w:hideMark/>
          </w:tcPr>
          <w:p w14:paraId="60122A6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944</w:t>
            </w:r>
          </w:p>
        </w:tc>
        <w:tc>
          <w:tcPr>
            <w:tcW w:w="850" w:type="dxa"/>
            <w:tcBorders>
              <w:top w:val="nil"/>
              <w:left w:val="nil"/>
              <w:bottom w:val="single" w:sz="4" w:space="0" w:color="auto"/>
              <w:right w:val="single" w:sz="4" w:space="0" w:color="auto"/>
            </w:tcBorders>
            <w:shd w:val="clear" w:color="auto" w:fill="auto"/>
            <w:vAlign w:val="center"/>
            <w:hideMark/>
          </w:tcPr>
          <w:p w14:paraId="33F1375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961</w:t>
            </w:r>
          </w:p>
        </w:tc>
        <w:tc>
          <w:tcPr>
            <w:tcW w:w="992" w:type="dxa"/>
            <w:tcBorders>
              <w:top w:val="nil"/>
              <w:left w:val="nil"/>
              <w:bottom w:val="single" w:sz="4" w:space="0" w:color="auto"/>
              <w:right w:val="single" w:sz="4" w:space="0" w:color="auto"/>
            </w:tcBorders>
            <w:shd w:val="clear" w:color="auto" w:fill="auto"/>
            <w:vAlign w:val="center"/>
            <w:hideMark/>
          </w:tcPr>
          <w:p w14:paraId="47E4C57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989</w:t>
            </w:r>
          </w:p>
        </w:tc>
        <w:tc>
          <w:tcPr>
            <w:tcW w:w="993" w:type="dxa"/>
            <w:tcBorders>
              <w:top w:val="nil"/>
              <w:left w:val="nil"/>
              <w:bottom w:val="single" w:sz="4" w:space="0" w:color="auto"/>
              <w:right w:val="single" w:sz="4" w:space="0" w:color="auto"/>
            </w:tcBorders>
            <w:shd w:val="clear" w:color="auto" w:fill="auto"/>
            <w:vAlign w:val="center"/>
            <w:hideMark/>
          </w:tcPr>
          <w:p w14:paraId="2E79582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1.021</w:t>
            </w:r>
          </w:p>
        </w:tc>
        <w:tc>
          <w:tcPr>
            <w:tcW w:w="1134" w:type="dxa"/>
            <w:tcBorders>
              <w:top w:val="nil"/>
              <w:left w:val="nil"/>
              <w:bottom w:val="single" w:sz="4" w:space="0" w:color="auto"/>
              <w:right w:val="single" w:sz="4" w:space="0" w:color="auto"/>
            </w:tcBorders>
            <w:shd w:val="clear" w:color="auto" w:fill="auto"/>
            <w:vAlign w:val="center"/>
            <w:hideMark/>
          </w:tcPr>
          <w:p w14:paraId="0037A0C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1.045</w:t>
            </w:r>
          </w:p>
        </w:tc>
      </w:tr>
      <w:tr w:rsidR="00EC2DD0" w:rsidRPr="00F16002" w14:paraId="6D623B33"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FB5A1E4"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(EUR)</w:t>
            </w:r>
          </w:p>
        </w:tc>
        <w:tc>
          <w:tcPr>
            <w:tcW w:w="993" w:type="dxa"/>
            <w:tcBorders>
              <w:top w:val="nil"/>
              <w:left w:val="nil"/>
              <w:bottom w:val="single" w:sz="4" w:space="0" w:color="auto"/>
              <w:right w:val="single" w:sz="4" w:space="0" w:color="auto"/>
            </w:tcBorders>
            <w:shd w:val="clear" w:color="auto" w:fill="auto"/>
            <w:vAlign w:val="center"/>
            <w:hideMark/>
          </w:tcPr>
          <w:p w14:paraId="7610A31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18.253</w:t>
            </w:r>
          </w:p>
        </w:tc>
        <w:tc>
          <w:tcPr>
            <w:tcW w:w="1134" w:type="dxa"/>
            <w:tcBorders>
              <w:top w:val="nil"/>
              <w:left w:val="nil"/>
              <w:bottom w:val="single" w:sz="4" w:space="0" w:color="auto"/>
              <w:right w:val="single" w:sz="4" w:space="0" w:color="auto"/>
            </w:tcBorders>
            <w:shd w:val="clear" w:color="auto" w:fill="auto"/>
            <w:vAlign w:val="center"/>
            <w:hideMark/>
          </w:tcPr>
          <w:p w14:paraId="774D552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18.830</w:t>
            </w:r>
          </w:p>
        </w:tc>
        <w:tc>
          <w:tcPr>
            <w:tcW w:w="850" w:type="dxa"/>
            <w:tcBorders>
              <w:top w:val="nil"/>
              <w:left w:val="nil"/>
              <w:bottom w:val="single" w:sz="4" w:space="0" w:color="auto"/>
              <w:right w:val="single" w:sz="4" w:space="0" w:color="auto"/>
            </w:tcBorders>
            <w:shd w:val="clear" w:color="auto" w:fill="auto"/>
            <w:vAlign w:val="center"/>
            <w:hideMark/>
          </w:tcPr>
          <w:p w14:paraId="6CC9F65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19.551</w:t>
            </w:r>
          </w:p>
        </w:tc>
        <w:tc>
          <w:tcPr>
            <w:tcW w:w="992" w:type="dxa"/>
            <w:tcBorders>
              <w:top w:val="nil"/>
              <w:left w:val="nil"/>
              <w:bottom w:val="single" w:sz="4" w:space="0" w:color="auto"/>
              <w:right w:val="single" w:sz="4" w:space="0" w:color="auto"/>
            </w:tcBorders>
            <w:shd w:val="clear" w:color="auto" w:fill="auto"/>
            <w:vAlign w:val="center"/>
            <w:hideMark/>
          </w:tcPr>
          <w:p w14:paraId="1AFB603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20.809</w:t>
            </w:r>
          </w:p>
        </w:tc>
        <w:tc>
          <w:tcPr>
            <w:tcW w:w="993" w:type="dxa"/>
            <w:tcBorders>
              <w:top w:val="nil"/>
              <w:left w:val="nil"/>
              <w:bottom w:val="single" w:sz="4" w:space="0" w:color="auto"/>
              <w:right w:val="single" w:sz="4" w:space="0" w:color="auto"/>
            </w:tcBorders>
            <w:shd w:val="clear" w:color="auto" w:fill="auto"/>
            <w:vAlign w:val="center"/>
            <w:hideMark/>
          </w:tcPr>
          <w:p w14:paraId="38A6C8E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22.083</w:t>
            </w:r>
          </w:p>
        </w:tc>
        <w:tc>
          <w:tcPr>
            <w:tcW w:w="1134" w:type="dxa"/>
            <w:tcBorders>
              <w:top w:val="nil"/>
              <w:left w:val="nil"/>
              <w:bottom w:val="single" w:sz="4" w:space="0" w:color="auto"/>
              <w:right w:val="single" w:sz="4" w:space="0" w:color="auto"/>
            </w:tcBorders>
            <w:shd w:val="clear" w:color="auto" w:fill="auto"/>
            <w:vAlign w:val="center"/>
            <w:hideMark/>
          </w:tcPr>
          <w:p w14:paraId="717695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22.983</w:t>
            </w:r>
          </w:p>
        </w:tc>
      </w:tr>
      <w:tr w:rsidR="00EC2DD0" w:rsidRPr="00F16002" w14:paraId="6F36DB21" w14:textId="77777777" w:rsidTr="006544EB">
        <w:trPr>
          <w:trHeight w:val="38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C8603D8"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po kupni moči (SKM; EUR)</w:t>
            </w:r>
          </w:p>
        </w:tc>
        <w:tc>
          <w:tcPr>
            <w:tcW w:w="993" w:type="dxa"/>
            <w:tcBorders>
              <w:top w:val="nil"/>
              <w:left w:val="nil"/>
              <w:bottom w:val="single" w:sz="4" w:space="0" w:color="auto"/>
              <w:right w:val="single" w:sz="4" w:space="0" w:color="auto"/>
            </w:tcBorders>
            <w:shd w:val="clear" w:color="auto" w:fill="auto"/>
            <w:vAlign w:val="center"/>
            <w:hideMark/>
          </w:tcPr>
          <w:p w14:paraId="6C4E5A1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22.800</w:t>
            </w:r>
          </w:p>
        </w:tc>
        <w:tc>
          <w:tcPr>
            <w:tcW w:w="1134" w:type="dxa"/>
            <w:tcBorders>
              <w:top w:val="nil"/>
              <w:left w:val="nil"/>
              <w:bottom w:val="single" w:sz="4" w:space="0" w:color="auto"/>
              <w:right w:val="single" w:sz="4" w:space="0" w:color="auto"/>
            </w:tcBorders>
            <w:shd w:val="clear" w:color="auto" w:fill="auto"/>
            <w:vAlign w:val="center"/>
            <w:hideMark/>
          </w:tcPr>
          <w:p w14:paraId="14E348D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23.800</w:t>
            </w:r>
          </w:p>
        </w:tc>
        <w:tc>
          <w:tcPr>
            <w:tcW w:w="850" w:type="dxa"/>
            <w:tcBorders>
              <w:top w:val="nil"/>
              <w:left w:val="nil"/>
              <w:bottom w:val="single" w:sz="4" w:space="0" w:color="auto"/>
              <w:right w:val="single" w:sz="4" w:space="0" w:color="auto"/>
            </w:tcBorders>
            <w:shd w:val="clear" w:color="auto" w:fill="auto"/>
            <w:vAlign w:val="center"/>
            <w:hideMark/>
          </w:tcPr>
          <w:p w14:paraId="6E6D951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24.200</w:t>
            </w:r>
          </w:p>
        </w:tc>
        <w:tc>
          <w:tcPr>
            <w:tcW w:w="992" w:type="dxa"/>
            <w:tcBorders>
              <w:top w:val="nil"/>
              <w:left w:val="nil"/>
              <w:bottom w:val="single" w:sz="4" w:space="0" w:color="auto"/>
              <w:right w:val="single" w:sz="4" w:space="0" w:color="auto"/>
            </w:tcBorders>
            <w:shd w:val="clear" w:color="auto" w:fill="auto"/>
            <w:vAlign w:val="center"/>
            <w:hideMark/>
          </w:tcPr>
          <w:p w14:paraId="7CFDE71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25.500</w:t>
            </w:r>
          </w:p>
        </w:tc>
        <w:tc>
          <w:tcPr>
            <w:tcW w:w="993" w:type="dxa"/>
            <w:tcBorders>
              <w:top w:val="nil"/>
              <w:left w:val="nil"/>
              <w:bottom w:val="single" w:sz="4" w:space="0" w:color="auto"/>
              <w:right w:val="single" w:sz="4" w:space="0" w:color="auto"/>
            </w:tcBorders>
            <w:shd w:val="clear" w:color="auto" w:fill="auto"/>
            <w:vAlign w:val="center"/>
            <w:hideMark/>
          </w:tcPr>
          <w:p w14:paraId="3397B69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26.900</w:t>
            </w:r>
          </w:p>
        </w:tc>
        <w:tc>
          <w:tcPr>
            <w:tcW w:w="1134" w:type="dxa"/>
            <w:tcBorders>
              <w:top w:val="nil"/>
              <w:left w:val="nil"/>
              <w:bottom w:val="single" w:sz="4" w:space="0" w:color="auto"/>
              <w:right w:val="single" w:sz="4" w:space="0" w:color="auto"/>
            </w:tcBorders>
            <w:shd w:val="clear" w:color="auto" w:fill="auto"/>
            <w:vAlign w:val="center"/>
            <w:hideMark/>
          </w:tcPr>
          <w:p w14:paraId="5E43EF0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27.800</w:t>
            </w:r>
          </w:p>
        </w:tc>
      </w:tr>
      <w:tr w:rsidR="00EC2DD0" w:rsidRPr="00F16002" w14:paraId="02A8FF6B" w14:textId="77777777" w:rsidTr="006544EB">
        <w:trPr>
          <w:trHeight w:val="36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681622C"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po kupni moči (SKM EU–28 = 100; %)</w:t>
            </w:r>
          </w:p>
        </w:tc>
        <w:tc>
          <w:tcPr>
            <w:tcW w:w="993" w:type="dxa"/>
            <w:tcBorders>
              <w:top w:val="nil"/>
              <w:left w:val="nil"/>
              <w:bottom w:val="single" w:sz="4" w:space="0" w:color="auto"/>
              <w:right w:val="single" w:sz="4" w:space="0" w:color="auto"/>
            </w:tcBorders>
            <w:shd w:val="clear" w:color="auto" w:fill="auto"/>
            <w:vAlign w:val="center"/>
            <w:hideMark/>
          </w:tcPr>
          <w:p w14:paraId="4C9FFC1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82</w:t>
            </w:r>
          </w:p>
        </w:tc>
        <w:tc>
          <w:tcPr>
            <w:tcW w:w="1134" w:type="dxa"/>
            <w:tcBorders>
              <w:top w:val="nil"/>
              <w:left w:val="nil"/>
              <w:bottom w:val="single" w:sz="4" w:space="0" w:color="auto"/>
              <w:right w:val="single" w:sz="4" w:space="0" w:color="auto"/>
            </w:tcBorders>
            <w:shd w:val="clear" w:color="auto" w:fill="auto"/>
            <w:vAlign w:val="center"/>
            <w:hideMark/>
          </w:tcPr>
          <w:p w14:paraId="3096CA7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82</w:t>
            </w:r>
          </w:p>
        </w:tc>
        <w:tc>
          <w:tcPr>
            <w:tcW w:w="850" w:type="dxa"/>
            <w:tcBorders>
              <w:top w:val="nil"/>
              <w:left w:val="nil"/>
              <w:bottom w:val="single" w:sz="4" w:space="0" w:color="auto"/>
              <w:right w:val="single" w:sz="4" w:space="0" w:color="auto"/>
            </w:tcBorders>
            <w:shd w:val="clear" w:color="auto" w:fill="auto"/>
            <w:vAlign w:val="center"/>
            <w:hideMark/>
          </w:tcPr>
          <w:p w14:paraId="23E2BF8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83</w:t>
            </w:r>
          </w:p>
        </w:tc>
        <w:tc>
          <w:tcPr>
            <w:tcW w:w="992" w:type="dxa"/>
            <w:tcBorders>
              <w:top w:val="nil"/>
              <w:left w:val="nil"/>
              <w:bottom w:val="single" w:sz="4" w:space="0" w:color="auto"/>
              <w:right w:val="single" w:sz="4" w:space="0" w:color="auto"/>
            </w:tcBorders>
            <w:shd w:val="clear" w:color="auto" w:fill="auto"/>
            <w:vAlign w:val="center"/>
            <w:hideMark/>
          </w:tcPr>
          <w:p w14:paraId="4CD9842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85</w:t>
            </w:r>
          </w:p>
        </w:tc>
        <w:tc>
          <w:tcPr>
            <w:tcW w:w="993" w:type="dxa"/>
            <w:tcBorders>
              <w:top w:val="nil"/>
              <w:left w:val="nil"/>
              <w:bottom w:val="single" w:sz="4" w:space="0" w:color="auto"/>
              <w:right w:val="single" w:sz="4" w:space="0" w:color="auto"/>
            </w:tcBorders>
            <w:shd w:val="clear" w:color="auto" w:fill="auto"/>
            <w:vAlign w:val="center"/>
            <w:hideMark/>
          </w:tcPr>
          <w:p w14:paraId="4FAF2F7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87</w:t>
            </w:r>
          </w:p>
        </w:tc>
        <w:tc>
          <w:tcPr>
            <w:tcW w:w="1134" w:type="dxa"/>
            <w:tcBorders>
              <w:top w:val="nil"/>
              <w:left w:val="nil"/>
              <w:bottom w:val="single" w:sz="4" w:space="0" w:color="auto"/>
              <w:right w:val="single" w:sz="4" w:space="0" w:color="auto"/>
            </w:tcBorders>
            <w:shd w:val="clear" w:color="auto" w:fill="auto"/>
            <w:vAlign w:val="center"/>
            <w:hideMark/>
          </w:tcPr>
          <w:p w14:paraId="0EBCF8F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87</w:t>
            </w:r>
          </w:p>
        </w:tc>
      </w:tr>
      <w:tr w:rsidR="00EC2DD0" w:rsidRPr="00F16002" w14:paraId="470AE61C" w14:textId="77777777" w:rsidTr="006544EB">
        <w:trPr>
          <w:trHeight w:val="53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85B68D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Delež izdatkov za hrano, pijačo in tobak v končni porabi gospodinjstev (%)</w:t>
            </w:r>
          </w:p>
        </w:tc>
        <w:tc>
          <w:tcPr>
            <w:tcW w:w="993" w:type="dxa"/>
            <w:tcBorders>
              <w:top w:val="nil"/>
              <w:left w:val="nil"/>
              <w:bottom w:val="single" w:sz="4" w:space="0" w:color="auto"/>
              <w:right w:val="single" w:sz="4" w:space="0" w:color="auto"/>
            </w:tcBorders>
            <w:shd w:val="clear" w:color="auto" w:fill="auto"/>
            <w:vAlign w:val="center"/>
            <w:hideMark/>
          </w:tcPr>
          <w:p w14:paraId="55D2BA9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20,4</w:t>
            </w:r>
          </w:p>
        </w:tc>
        <w:tc>
          <w:tcPr>
            <w:tcW w:w="1134" w:type="dxa"/>
            <w:tcBorders>
              <w:top w:val="nil"/>
              <w:left w:val="nil"/>
              <w:bottom w:val="single" w:sz="4" w:space="0" w:color="auto"/>
              <w:right w:val="single" w:sz="4" w:space="0" w:color="auto"/>
            </w:tcBorders>
            <w:shd w:val="clear" w:color="auto" w:fill="auto"/>
            <w:vAlign w:val="center"/>
            <w:hideMark/>
          </w:tcPr>
          <w:p w14:paraId="104CBDE0"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20,4</w:t>
            </w:r>
          </w:p>
        </w:tc>
        <w:tc>
          <w:tcPr>
            <w:tcW w:w="850" w:type="dxa"/>
            <w:tcBorders>
              <w:top w:val="nil"/>
              <w:left w:val="nil"/>
              <w:bottom w:val="single" w:sz="4" w:space="0" w:color="auto"/>
              <w:right w:val="single" w:sz="4" w:space="0" w:color="auto"/>
            </w:tcBorders>
            <w:shd w:val="clear" w:color="auto" w:fill="auto"/>
            <w:vAlign w:val="center"/>
            <w:hideMark/>
          </w:tcPr>
          <w:p w14:paraId="6B1CE26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w:t>
            </w:r>
          </w:p>
        </w:tc>
        <w:tc>
          <w:tcPr>
            <w:tcW w:w="992" w:type="dxa"/>
            <w:tcBorders>
              <w:top w:val="nil"/>
              <w:left w:val="nil"/>
              <w:bottom w:val="single" w:sz="4" w:space="0" w:color="auto"/>
              <w:right w:val="single" w:sz="4" w:space="0" w:color="auto"/>
            </w:tcBorders>
            <w:shd w:val="clear" w:color="auto" w:fill="auto"/>
            <w:vAlign w:val="center"/>
            <w:hideMark/>
          </w:tcPr>
          <w:p w14:paraId="4E25C9A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19,5</w:t>
            </w:r>
          </w:p>
        </w:tc>
        <w:tc>
          <w:tcPr>
            <w:tcW w:w="993" w:type="dxa"/>
            <w:tcBorders>
              <w:top w:val="nil"/>
              <w:left w:val="nil"/>
              <w:bottom w:val="single" w:sz="4" w:space="0" w:color="auto"/>
              <w:right w:val="single" w:sz="4" w:space="0" w:color="auto"/>
            </w:tcBorders>
            <w:shd w:val="clear" w:color="auto" w:fill="auto"/>
            <w:vAlign w:val="center"/>
            <w:hideMark/>
          </w:tcPr>
          <w:p w14:paraId="1AB5F5D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18,8</w:t>
            </w:r>
          </w:p>
        </w:tc>
        <w:tc>
          <w:tcPr>
            <w:tcW w:w="1134" w:type="dxa"/>
            <w:tcBorders>
              <w:top w:val="nil"/>
              <w:left w:val="nil"/>
              <w:bottom w:val="single" w:sz="4" w:space="0" w:color="auto"/>
              <w:right w:val="single" w:sz="4" w:space="0" w:color="auto"/>
            </w:tcBorders>
            <w:shd w:val="clear" w:color="auto" w:fill="auto"/>
            <w:vAlign w:val="center"/>
            <w:hideMark/>
          </w:tcPr>
          <w:p w14:paraId="51A521B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w:t>
            </w:r>
          </w:p>
        </w:tc>
      </w:tr>
      <w:tr w:rsidR="00EC2DD0" w:rsidRPr="00F16002" w14:paraId="0F029E80"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082A935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Brezposelnost po anketi (%)</w:t>
            </w:r>
          </w:p>
        </w:tc>
        <w:tc>
          <w:tcPr>
            <w:tcW w:w="993" w:type="dxa"/>
            <w:tcBorders>
              <w:top w:val="nil"/>
              <w:left w:val="nil"/>
              <w:bottom w:val="single" w:sz="4" w:space="0" w:color="auto"/>
              <w:right w:val="single" w:sz="4" w:space="0" w:color="auto"/>
            </w:tcBorders>
            <w:shd w:val="clear" w:color="auto" w:fill="auto"/>
            <w:vAlign w:val="center"/>
            <w:hideMark/>
          </w:tcPr>
          <w:p w14:paraId="6463624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9,7</w:t>
            </w:r>
          </w:p>
        </w:tc>
        <w:tc>
          <w:tcPr>
            <w:tcW w:w="1134" w:type="dxa"/>
            <w:tcBorders>
              <w:top w:val="nil"/>
              <w:left w:val="nil"/>
              <w:bottom w:val="single" w:sz="4" w:space="0" w:color="auto"/>
              <w:right w:val="single" w:sz="4" w:space="0" w:color="auto"/>
            </w:tcBorders>
            <w:shd w:val="clear" w:color="auto" w:fill="auto"/>
            <w:vAlign w:val="center"/>
            <w:hideMark/>
          </w:tcPr>
          <w:p w14:paraId="53BDDFF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w:t>
            </w:r>
          </w:p>
        </w:tc>
        <w:tc>
          <w:tcPr>
            <w:tcW w:w="850" w:type="dxa"/>
            <w:tcBorders>
              <w:top w:val="nil"/>
              <w:left w:val="nil"/>
              <w:bottom w:val="single" w:sz="4" w:space="0" w:color="auto"/>
              <w:right w:val="single" w:sz="4" w:space="0" w:color="auto"/>
            </w:tcBorders>
            <w:shd w:val="clear" w:color="auto" w:fill="auto"/>
            <w:vAlign w:val="center"/>
            <w:hideMark/>
          </w:tcPr>
          <w:p w14:paraId="3645B39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w:t>
            </w:r>
          </w:p>
        </w:tc>
        <w:tc>
          <w:tcPr>
            <w:tcW w:w="992" w:type="dxa"/>
            <w:tcBorders>
              <w:top w:val="nil"/>
              <w:left w:val="nil"/>
              <w:bottom w:val="single" w:sz="4" w:space="0" w:color="auto"/>
              <w:right w:val="single" w:sz="4" w:space="0" w:color="auto"/>
            </w:tcBorders>
            <w:shd w:val="clear" w:color="auto" w:fill="auto"/>
            <w:vAlign w:val="center"/>
            <w:hideMark/>
          </w:tcPr>
          <w:p w14:paraId="2B08604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6,6</w:t>
            </w:r>
          </w:p>
        </w:tc>
        <w:tc>
          <w:tcPr>
            <w:tcW w:w="993" w:type="dxa"/>
            <w:tcBorders>
              <w:top w:val="nil"/>
              <w:left w:val="nil"/>
              <w:bottom w:val="single" w:sz="4" w:space="0" w:color="auto"/>
              <w:right w:val="single" w:sz="4" w:space="0" w:color="auto"/>
            </w:tcBorders>
            <w:shd w:val="clear" w:color="auto" w:fill="auto"/>
            <w:vAlign w:val="center"/>
            <w:hideMark/>
          </w:tcPr>
          <w:p w14:paraId="7B637B1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5,1</w:t>
            </w:r>
          </w:p>
        </w:tc>
        <w:tc>
          <w:tcPr>
            <w:tcW w:w="1134" w:type="dxa"/>
            <w:tcBorders>
              <w:top w:val="nil"/>
              <w:left w:val="nil"/>
              <w:bottom w:val="single" w:sz="4" w:space="0" w:color="auto"/>
              <w:right w:val="single" w:sz="4" w:space="0" w:color="auto"/>
            </w:tcBorders>
            <w:shd w:val="clear" w:color="auto" w:fill="auto"/>
            <w:vAlign w:val="center"/>
            <w:hideMark/>
          </w:tcPr>
          <w:p w14:paraId="3276B4C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4,5</w:t>
            </w:r>
          </w:p>
        </w:tc>
      </w:tr>
      <w:tr w:rsidR="00EC2DD0" w:rsidRPr="00F16002" w14:paraId="6FA56496"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287444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Registrirana brezposelnost (%)</w:t>
            </w:r>
          </w:p>
        </w:tc>
        <w:tc>
          <w:tcPr>
            <w:tcW w:w="993" w:type="dxa"/>
            <w:tcBorders>
              <w:top w:val="nil"/>
              <w:left w:val="nil"/>
              <w:bottom w:val="single" w:sz="4" w:space="0" w:color="auto"/>
              <w:right w:val="single" w:sz="4" w:space="0" w:color="auto"/>
            </w:tcBorders>
            <w:shd w:val="clear" w:color="auto" w:fill="auto"/>
            <w:vAlign w:val="center"/>
            <w:hideMark/>
          </w:tcPr>
          <w:p w14:paraId="4A5439D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13,1</w:t>
            </w:r>
          </w:p>
        </w:tc>
        <w:tc>
          <w:tcPr>
            <w:tcW w:w="1134" w:type="dxa"/>
            <w:tcBorders>
              <w:top w:val="nil"/>
              <w:left w:val="nil"/>
              <w:bottom w:val="single" w:sz="4" w:space="0" w:color="auto"/>
              <w:right w:val="single" w:sz="4" w:space="0" w:color="auto"/>
            </w:tcBorders>
            <w:shd w:val="clear" w:color="auto" w:fill="auto"/>
            <w:vAlign w:val="center"/>
            <w:hideMark/>
          </w:tcPr>
          <w:p w14:paraId="1C3B5D9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12,3</w:t>
            </w:r>
          </w:p>
        </w:tc>
        <w:tc>
          <w:tcPr>
            <w:tcW w:w="850" w:type="dxa"/>
            <w:tcBorders>
              <w:top w:val="nil"/>
              <w:left w:val="nil"/>
              <w:bottom w:val="single" w:sz="4" w:space="0" w:color="auto"/>
              <w:right w:val="single" w:sz="4" w:space="0" w:color="auto"/>
            </w:tcBorders>
            <w:shd w:val="clear" w:color="auto" w:fill="auto"/>
            <w:vAlign w:val="center"/>
            <w:hideMark/>
          </w:tcPr>
          <w:p w14:paraId="2C82796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11,2</w:t>
            </w:r>
          </w:p>
        </w:tc>
        <w:tc>
          <w:tcPr>
            <w:tcW w:w="992" w:type="dxa"/>
            <w:tcBorders>
              <w:top w:val="nil"/>
              <w:left w:val="nil"/>
              <w:bottom w:val="single" w:sz="4" w:space="0" w:color="auto"/>
              <w:right w:val="single" w:sz="4" w:space="0" w:color="auto"/>
            </w:tcBorders>
            <w:shd w:val="clear" w:color="auto" w:fill="auto"/>
            <w:vAlign w:val="center"/>
            <w:hideMark/>
          </w:tcPr>
          <w:p w14:paraId="2478D89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9,5</w:t>
            </w:r>
          </w:p>
        </w:tc>
        <w:tc>
          <w:tcPr>
            <w:tcW w:w="993" w:type="dxa"/>
            <w:tcBorders>
              <w:top w:val="nil"/>
              <w:left w:val="nil"/>
              <w:bottom w:val="single" w:sz="4" w:space="0" w:color="auto"/>
              <w:right w:val="single" w:sz="4" w:space="0" w:color="auto"/>
            </w:tcBorders>
            <w:shd w:val="clear" w:color="auto" w:fill="auto"/>
            <w:vAlign w:val="center"/>
            <w:hideMark/>
          </w:tcPr>
          <w:p w14:paraId="4B1AB13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8,3</w:t>
            </w:r>
          </w:p>
        </w:tc>
        <w:tc>
          <w:tcPr>
            <w:tcW w:w="1134" w:type="dxa"/>
            <w:tcBorders>
              <w:top w:val="nil"/>
              <w:left w:val="nil"/>
              <w:bottom w:val="single" w:sz="4" w:space="0" w:color="auto"/>
              <w:right w:val="single" w:sz="4" w:space="0" w:color="auto"/>
            </w:tcBorders>
            <w:shd w:val="clear" w:color="auto" w:fill="auto"/>
            <w:vAlign w:val="center"/>
            <w:hideMark/>
          </w:tcPr>
          <w:p w14:paraId="5A0E3F7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7,7</w:t>
            </w:r>
          </w:p>
        </w:tc>
      </w:tr>
      <w:tr w:rsidR="00EC2DD0" w:rsidRPr="00F16002" w14:paraId="057CB29F"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710BCB6"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Inflacija v povprečju leta (%)</w:t>
            </w:r>
          </w:p>
        </w:tc>
        <w:tc>
          <w:tcPr>
            <w:tcW w:w="993" w:type="dxa"/>
            <w:tcBorders>
              <w:top w:val="nil"/>
              <w:left w:val="nil"/>
              <w:bottom w:val="single" w:sz="4" w:space="0" w:color="auto"/>
              <w:right w:val="single" w:sz="4" w:space="0" w:color="auto"/>
            </w:tcBorders>
            <w:shd w:val="clear" w:color="auto" w:fill="auto"/>
            <w:vAlign w:val="center"/>
            <w:hideMark/>
          </w:tcPr>
          <w:p w14:paraId="1824737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0,2</w:t>
            </w:r>
          </w:p>
        </w:tc>
        <w:tc>
          <w:tcPr>
            <w:tcW w:w="1134" w:type="dxa"/>
            <w:tcBorders>
              <w:top w:val="nil"/>
              <w:left w:val="nil"/>
              <w:bottom w:val="single" w:sz="4" w:space="0" w:color="auto"/>
              <w:right w:val="single" w:sz="4" w:space="0" w:color="auto"/>
            </w:tcBorders>
            <w:shd w:val="clear" w:color="auto" w:fill="auto"/>
            <w:vAlign w:val="center"/>
            <w:hideMark/>
          </w:tcPr>
          <w:p w14:paraId="496DDAB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–0,5</w:t>
            </w:r>
          </w:p>
        </w:tc>
        <w:tc>
          <w:tcPr>
            <w:tcW w:w="850" w:type="dxa"/>
            <w:tcBorders>
              <w:top w:val="nil"/>
              <w:left w:val="nil"/>
              <w:bottom w:val="single" w:sz="4" w:space="0" w:color="auto"/>
              <w:right w:val="single" w:sz="4" w:space="0" w:color="auto"/>
            </w:tcBorders>
            <w:shd w:val="clear" w:color="auto" w:fill="auto"/>
            <w:vAlign w:val="center"/>
            <w:hideMark/>
          </w:tcPr>
          <w:p w14:paraId="166D8E4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–0,1</w:t>
            </w:r>
          </w:p>
        </w:tc>
        <w:tc>
          <w:tcPr>
            <w:tcW w:w="992" w:type="dxa"/>
            <w:tcBorders>
              <w:top w:val="nil"/>
              <w:left w:val="nil"/>
              <w:bottom w:val="single" w:sz="4" w:space="0" w:color="auto"/>
              <w:right w:val="single" w:sz="4" w:space="0" w:color="auto"/>
            </w:tcBorders>
            <w:shd w:val="clear" w:color="auto" w:fill="auto"/>
            <w:vAlign w:val="center"/>
            <w:hideMark/>
          </w:tcPr>
          <w:p w14:paraId="03F913A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1,4</w:t>
            </w:r>
          </w:p>
        </w:tc>
        <w:tc>
          <w:tcPr>
            <w:tcW w:w="993" w:type="dxa"/>
            <w:tcBorders>
              <w:top w:val="nil"/>
              <w:left w:val="nil"/>
              <w:bottom w:val="single" w:sz="4" w:space="0" w:color="auto"/>
              <w:right w:val="single" w:sz="4" w:space="0" w:color="auto"/>
            </w:tcBorders>
            <w:shd w:val="clear" w:color="auto" w:fill="auto"/>
            <w:vAlign w:val="center"/>
            <w:hideMark/>
          </w:tcPr>
          <w:p w14:paraId="0574259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1,7</w:t>
            </w:r>
          </w:p>
        </w:tc>
        <w:tc>
          <w:tcPr>
            <w:tcW w:w="1134" w:type="dxa"/>
            <w:tcBorders>
              <w:top w:val="nil"/>
              <w:left w:val="nil"/>
              <w:bottom w:val="single" w:sz="4" w:space="0" w:color="auto"/>
              <w:right w:val="single" w:sz="4" w:space="0" w:color="auto"/>
            </w:tcBorders>
            <w:shd w:val="clear" w:color="auto" w:fill="auto"/>
            <w:vAlign w:val="center"/>
            <w:hideMark/>
          </w:tcPr>
          <w:p w14:paraId="53D3F57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1,6</w:t>
            </w:r>
          </w:p>
        </w:tc>
      </w:tr>
    </w:tbl>
    <w:p w14:paraId="1BDD2FD1" w14:textId="77777777" w:rsidR="00EC2DD0" w:rsidRPr="00924B38" w:rsidRDefault="00EC2DD0" w:rsidP="00EC2DD0">
      <w:pPr>
        <w:keepNext/>
        <w:keepLines/>
        <w:spacing w:after="120"/>
        <w:rPr>
          <w:bCs/>
          <w:i/>
          <w:sz w:val="16"/>
          <w:szCs w:val="16"/>
        </w:rPr>
      </w:pPr>
      <w:r w:rsidRPr="00924B38">
        <w:rPr>
          <w:bCs/>
          <w:i/>
          <w:sz w:val="16"/>
          <w:szCs w:val="16"/>
        </w:rPr>
        <w:t xml:space="preserve">Vir: </w:t>
      </w:r>
      <w:r>
        <w:rPr>
          <w:bCs/>
          <w:i/>
          <w:sz w:val="16"/>
          <w:szCs w:val="16"/>
        </w:rPr>
        <w:t>Ze</w:t>
      </w:r>
      <w:r w:rsidRPr="00924B38">
        <w:rPr>
          <w:bCs/>
          <w:i/>
          <w:sz w:val="16"/>
          <w:szCs w:val="16"/>
        </w:rPr>
        <w:t>leno poročilo 2019</w:t>
      </w:r>
    </w:p>
    <w:p w14:paraId="04FE5B9A" w14:textId="77777777" w:rsidR="00871B06" w:rsidRDefault="00871B06" w:rsidP="00871B06">
      <w:pPr>
        <w:pStyle w:val="Odstavek1"/>
      </w:pPr>
    </w:p>
    <w:p w14:paraId="422362D9" w14:textId="5D10ADF8" w:rsidR="00EC2DD0" w:rsidRDefault="00EC2DD0" w:rsidP="005B2A49">
      <w:pPr>
        <w:pStyle w:val="Odstavek1"/>
      </w:pPr>
      <w:r w:rsidRPr="00DE12FE">
        <w:t xml:space="preserve">Ob ugodnih makroekonomskih razmerah so se </w:t>
      </w:r>
      <w:r w:rsidR="00F16002">
        <w:t xml:space="preserve">v letu 2019 izboljševale tudi </w:t>
      </w:r>
      <w:r w:rsidRPr="00DE12FE">
        <w:t xml:space="preserve">razmere na trgu dela. Po podatkih nacionalnih računov se je rast zaposlenosti nekoliko umirila (+2,4 %), a dosegla najvišjo raven doslej, pri čemer je bilo tudi število zaposlenih oseb najvišje do zdaj. Obe stopnji brezposelnosti sta se v </w:t>
      </w:r>
      <w:r w:rsidRPr="00D454A7">
        <w:t>povprečju leta</w:t>
      </w:r>
      <w:r w:rsidRPr="00DE12FE">
        <w:t xml:space="preserve"> znižali; registrirana na 7,7 % (leta 2018: 8,3 %), anketna pa na 4,5 % (leta 2018: 5,1 %) in sta tako najnižji po letu 2008. Tudi plače so bile v letu 2019 znova nekoliko višje, predvsem zaradi višje rasti plač v javnem sektorju (UMAR, 2020). V primerjavi s predhodnim letom se je povprečna bruto plača na zaposlenega nominalno zvišala za 4,3 %, realno pa za 2,7 % (zasebni sektor realno: +2,2 %, javni sektor realno: +3,7 %).</w:t>
      </w:r>
    </w:p>
    <w:p w14:paraId="2796CE8F" w14:textId="77777777" w:rsidR="001B2299" w:rsidRPr="00DE12FE" w:rsidRDefault="001B2299" w:rsidP="005B2A49">
      <w:pPr>
        <w:pStyle w:val="Odstavek1"/>
      </w:pPr>
    </w:p>
    <w:p w14:paraId="6293E5F0" w14:textId="1E8193E2" w:rsidR="00EC2DD0" w:rsidRDefault="00EC2DD0" w:rsidP="005B2A49">
      <w:pPr>
        <w:pStyle w:val="Odstavek1"/>
      </w:pPr>
      <w:r w:rsidRPr="00DE12FE">
        <w:t xml:space="preserve">Leta 2019 je bila inflacija razmeroma nizka, in sicer na letni ravni 1,9-odstotna (leta 2018: +1,4 %), v povprečju leta pa 1,6-odstotna (leta 2018: +1,7 %); k njej so za skoraj dve tretjini prispevale cene storitev, nekaj pa tudi višje cene hrane in energije. </w:t>
      </w:r>
    </w:p>
    <w:p w14:paraId="6C1304DD" w14:textId="77777777" w:rsidR="00275988" w:rsidRPr="00DE12FE" w:rsidRDefault="00275988" w:rsidP="005B2A49">
      <w:pPr>
        <w:pStyle w:val="Odstavek1"/>
      </w:pPr>
    </w:p>
    <w:p w14:paraId="5EE9107C" w14:textId="63EEF7FB" w:rsidR="00EC2DD0" w:rsidRDefault="00275988" w:rsidP="005B2A49">
      <w:pPr>
        <w:pStyle w:val="Odstavek1"/>
      </w:pPr>
      <w:r>
        <w:t>BDP</w:t>
      </w:r>
      <w:r w:rsidR="00EC2DD0" w:rsidRPr="00DE12FE">
        <w:t xml:space="preserve"> na prebivalca po standardu kupne moči je bil v letu 201</w:t>
      </w:r>
      <w:r w:rsidR="00F44F83">
        <w:t>9</w:t>
      </w:r>
      <w:r w:rsidR="00EC2DD0" w:rsidRPr="00DE12FE">
        <w:t xml:space="preserve"> </w:t>
      </w:r>
      <w:r w:rsidR="00F44F83" w:rsidRPr="00F44F83">
        <w:t>27.658,80</w:t>
      </w:r>
      <w:r w:rsidR="00EC2DD0" w:rsidRPr="00DE12FE">
        <w:t xml:space="preserve"> EUR in se je od leta 2010 povečal za </w:t>
      </w:r>
      <w:r w:rsidR="00F44F83">
        <w:t>30,5</w:t>
      </w:r>
      <w:r w:rsidR="00EC2DD0" w:rsidRPr="00DE12FE">
        <w:t xml:space="preserve"> %, vendar še vedno zaostaja za povprečjem </w:t>
      </w:r>
      <w:r w:rsidR="00EC2DD0" w:rsidRPr="00D454A7">
        <w:t>EU-28</w:t>
      </w:r>
      <w:r w:rsidR="00EC2DD0" w:rsidRPr="00DE12FE">
        <w:t xml:space="preserve"> (indeks PPS na prebivalca skupaj v letu 201</w:t>
      </w:r>
      <w:r w:rsidR="00F44F83">
        <w:t>9</w:t>
      </w:r>
      <w:r w:rsidR="00EC2DD0" w:rsidRPr="00DE12FE">
        <w:t xml:space="preserve"> je bil 8</w:t>
      </w:r>
      <w:r w:rsidR="00F44F83">
        <w:t>8</w:t>
      </w:r>
      <w:r w:rsidR="00EC2DD0" w:rsidRPr="00DE12FE">
        <w:t>,</w:t>
      </w:r>
      <w:r w:rsidR="00F44F83">
        <w:t>7</w:t>
      </w:r>
      <w:r w:rsidR="00EC2DD0" w:rsidRPr="00DE12FE">
        <w:t>0; EU-28=100). BDP na prebivalca po standardu kupne moči v podeželskih regijah je bil v letu 201</w:t>
      </w:r>
      <w:r w:rsidR="00F44F83">
        <w:t>9</w:t>
      </w:r>
      <w:r w:rsidR="00EC2DD0" w:rsidRPr="00DE12FE">
        <w:t xml:space="preserve"> </w:t>
      </w:r>
      <w:r w:rsidR="005177BC">
        <w:t>23.000</w:t>
      </w:r>
      <w:r w:rsidR="00EC2DD0" w:rsidRPr="00DE12FE">
        <w:t xml:space="preserve"> EUR in se je od leta 2013  povečal za </w:t>
      </w:r>
      <w:r w:rsidR="005177BC">
        <w:t>27,1</w:t>
      </w:r>
      <w:r w:rsidR="00EC2DD0" w:rsidRPr="00DE12FE">
        <w:t xml:space="preserve"> %. </w:t>
      </w:r>
    </w:p>
    <w:p w14:paraId="2E2A5F42" w14:textId="55F5B98D" w:rsidR="00EC2DD0" w:rsidRPr="00E155C1" w:rsidRDefault="00EC2DD0" w:rsidP="00871B06">
      <w:pPr>
        <w:pStyle w:val="SCPreglednica"/>
        <w:rPr>
          <w:sz w:val="20"/>
        </w:rPr>
      </w:pPr>
      <w:bookmarkStart w:id="19" w:name="_Toc55913721"/>
      <w:bookmarkStart w:id="20" w:name="_Toc89860995"/>
      <w:r w:rsidRPr="00E155C1">
        <w:rPr>
          <w:sz w:val="20"/>
        </w:rPr>
        <w:t xml:space="preserve">Tabela </w:t>
      </w:r>
      <w:r w:rsidRPr="00E155C1">
        <w:rPr>
          <w:noProof/>
          <w:sz w:val="20"/>
        </w:rPr>
        <w:fldChar w:fldCharType="begin"/>
      </w:r>
      <w:r w:rsidRPr="00E155C1">
        <w:rPr>
          <w:noProof/>
          <w:sz w:val="20"/>
        </w:rPr>
        <w:instrText xml:space="preserve"> SEQ Tabela \* ARABIC </w:instrText>
      </w:r>
      <w:r w:rsidRPr="00E155C1">
        <w:rPr>
          <w:noProof/>
          <w:sz w:val="20"/>
        </w:rPr>
        <w:fldChar w:fldCharType="separate"/>
      </w:r>
      <w:r w:rsidR="0088117A" w:rsidRPr="00E155C1">
        <w:rPr>
          <w:noProof/>
          <w:sz w:val="20"/>
        </w:rPr>
        <w:t>3</w:t>
      </w:r>
      <w:r w:rsidRPr="00E155C1">
        <w:rPr>
          <w:noProof/>
          <w:sz w:val="20"/>
        </w:rPr>
        <w:fldChar w:fldCharType="end"/>
      </w:r>
      <w:r w:rsidRPr="00E155C1">
        <w:rPr>
          <w:sz w:val="20"/>
        </w:rPr>
        <w:t>: BDP na prebivalca</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1"/>
        <w:gridCol w:w="1110"/>
        <w:gridCol w:w="1110"/>
        <w:gridCol w:w="1110"/>
        <w:gridCol w:w="1110"/>
        <w:gridCol w:w="1110"/>
        <w:gridCol w:w="941"/>
      </w:tblGrid>
      <w:tr w:rsidR="00F44F83" w:rsidRPr="00275988" w14:paraId="125AA1DA" w14:textId="3443DC63" w:rsidTr="005B2A49">
        <w:trPr>
          <w:trHeight w:val="315"/>
        </w:trPr>
        <w:tc>
          <w:tcPr>
            <w:tcW w:w="1423" w:type="pct"/>
            <w:shd w:val="clear" w:color="000000" w:fill="92D050"/>
            <w:vAlign w:val="bottom"/>
            <w:hideMark/>
          </w:tcPr>
          <w:p w14:paraId="369D34DF" w14:textId="62792122" w:rsidR="00F44F83" w:rsidRPr="005B2A49" w:rsidRDefault="00F44F83" w:rsidP="006544EB">
            <w:pPr>
              <w:rPr>
                <w:b/>
                <w:bCs/>
                <w:color w:val="000000"/>
                <w:sz w:val="18"/>
                <w:szCs w:val="18"/>
                <w:lang w:eastAsia="sl-SI"/>
              </w:rPr>
            </w:pPr>
            <w:r w:rsidRPr="005B2A49">
              <w:rPr>
                <w:b/>
                <w:bCs/>
                <w:color w:val="000000"/>
                <w:sz w:val="18"/>
                <w:szCs w:val="18"/>
                <w:lang w:eastAsia="sl-SI"/>
              </w:rPr>
              <w:t>C. 09 BDP na prebivalca</w:t>
            </w:r>
          </w:p>
        </w:tc>
        <w:tc>
          <w:tcPr>
            <w:tcW w:w="617" w:type="pct"/>
            <w:shd w:val="clear" w:color="000000" w:fill="92D050"/>
            <w:noWrap/>
            <w:vAlign w:val="center"/>
            <w:hideMark/>
          </w:tcPr>
          <w:p w14:paraId="480225A1"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2010</w:t>
            </w:r>
          </w:p>
        </w:tc>
        <w:tc>
          <w:tcPr>
            <w:tcW w:w="617" w:type="pct"/>
            <w:shd w:val="clear" w:color="000000" w:fill="92D050"/>
            <w:noWrap/>
            <w:vAlign w:val="center"/>
            <w:hideMark/>
          </w:tcPr>
          <w:p w14:paraId="156A6A6E"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2013</w:t>
            </w:r>
          </w:p>
        </w:tc>
        <w:tc>
          <w:tcPr>
            <w:tcW w:w="617" w:type="pct"/>
            <w:shd w:val="clear" w:color="000000" w:fill="92D050"/>
            <w:noWrap/>
            <w:vAlign w:val="center"/>
            <w:hideMark/>
          </w:tcPr>
          <w:p w14:paraId="2E81C8BE"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2016</w:t>
            </w:r>
          </w:p>
        </w:tc>
        <w:tc>
          <w:tcPr>
            <w:tcW w:w="617" w:type="pct"/>
            <w:shd w:val="clear" w:color="000000" w:fill="92D050"/>
            <w:noWrap/>
            <w:vAlign w:val="center"/>
            <w:hideMark/>
          </w:tcPr>
          <w:p w14:paraId="43FEDF24"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2017</w:t>
            </w:r>
          </w:p>
        </w:tc>
        <w:tc>
          <w:tcPr>
            <w:tcW w:w="617" w:type="pct"/>
            <w:shd w:val="clear" w:color="000000" w:fill="92D050"/>
            <w:noWrap/>
            <w:vAlign w:val="center"/>
            <w:hideMark/>
          </w:tcPr>
          <w:p w14:paraId="23C331CF"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2018</w:t>
            </w:r>
          </w:p>
        </w:tc>
        <w:tc>
          <w:tcPr>
            <w:tcW w:w="491" w:type="pct"/>
            <w:shd w:val="clear" w:color="000000" w:fill="92D050"/>
            <w:vAlign w:val="center"/>
          </w:tcPr>
          <w:p w14:paraId="2A6A9117" w14:textId="20878D66" w:rsidR="00F44F83" w:rsidRPr="005B2A49" w:rsidRDefault="00F44F83" w:rsidP="005B2A49">
            <w:pPr>
              <w:jc w:val="right"/>
              <w:rPr>
                <w:b/>
                <w:bCs/>
                <w:color w:val="000000"/>
                <w:sz w:val="18"/>
                <w:szCs w:val="18"/>
                <w:lang w:eastAsia="sl-SI"/>
              </w:rPr>
            </w:pPr>
            <w:r w:rsidRPr="005B2A49">
              <w:rPr>
                <w:b/>
                <w:bCs/>
                <w:color w:val="000000"/>
                <w:sz w:val="18"/>
                <w:szCs w:val="18"/>
                <w:lang w:eastAsia="sl-SI"/>
              </w:rPr>
              <w:t>2019</w:t>
            </w:r>
          </w:p>
        </w:tc>
      </w:tr>
      <w:tr w:rsidR="00F44F83" w:rsidRPr="00275988" w14:paraId="0E5C3215" w14:textId="554CF200" w:rsidTr="005B2A49">
        <w:trPr>
          <w:trHeight w:val="430"/>
        </w:trPr>
        <w:tc>
          <w:tcPr>
            <w:tcW w:w="1423" w:type="pct"/>
            <w:shd w:val="clear" w:color="000000" w:fill="FFFFFF"/>
            <w:vAlign w:val="bottom"/>
            <w:hideMark/>
          </w:tcPr>
          <w:p w14:paraId="2816C199"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v podeželskih regijah (EUR PPS)</w:t>
            </w:r>
          </w:p>
        </w:tc>
        <w:tc>
          <w:tcPr>
            <w:tcW w:w="617" w:type="pct"/>
            <w:shd w:val="clear" w:color="000000" w:fill="FFFFFF"/>
            <w:vAlign w:val="center"/>
            <w:hideMark/>
          </w:tcPr>
          <w:p w14:paraId="0C0DCC39" w14:textId="77777777" w:rsidR="00F44F83" w:rsidRPr="005B2A49" w:rsidRDefault="00F44F83" w:rsidP="00F44F83">
            <w:pPr>
              <w:jc w:val="right"/>
              <w:rPr>
                <w:b/>
                <w:bCs/>
                <w:color w:val="000000"/>
                <w:sz w:val="18"/>
                <w:szCs w:val="18"/>
                <w:lang w:eastAsia="sl-SI"/>
              </w:rPr>
            </w:pPr>
            <w:r w:rsidRPr="005B2A49">
              <w:rPr>
                <w:b/>
                <w:bCs/>
                <w:color w:val="000000"/>
                <w:sz w:val="18"/>
                <w:szCs w:val="18"/>
                <w:lang w:eastAsia="sl-SI"/>
              </w:rPr>
              <w:t>-</w:t>
            </w:r>
          </w:p>
        </w:tc>
        <w:tc>
          <w:tcPr>
            <w:tcW w:w="617" w:type="pct"/>
            <w:shd w:val="clear" w:color="000000" w:fill="FFFFFF"/>
            <w:vAlign w:val="center"/>
            <w:hideMark/>
          </w:tcPr>
          <w:p w14:paraId="08605EAF" w14:textId="795A5ECC" w:rsidR="00F44F83" w:rsidRPr="005B2A49" w:rsidRDefault="00F44F83" w:rsidP="005177BC">
            <w:pPr>
              <w:jc w:val="right"/>
              <w:rPr>
                <w:color w:val="000000"/>
                <w:sz w:val="18"/>
                <w:szCs w:val="18"/>
                <w:lang w:eastAsia="sl-SI"/>
              </w:rPr>
            </w:pPr>
            <w:r w:rsidRPr="005B2A49">
              <w:rPr>
                <w:color w:val="000000"/>
                <w:sz w:val="18"/>
                <w:szCs w:val="18"/>
                <w:lang w:eastAsia="sl-SI"/>
              </w:rPr>
              <w:t>18.100,00</w:t>
            </w:r>
          </w:p>
        </w:tc>
        <w:tc>
          <w:tcPr>
            <w:tcW w:w="617" w:type="pct"/>
            <w:shd w:val="clear" w:color="000000" w:fill="FFFFFF"/>
            <w:vAlign w:val="center"/>
            <w:hideMark/>
          </w:tcPr>
          <w:p w14:paraId="741D06FC" w14:textId="04AA629B" w:rsidR="00F44F83" w:rsidRPr="005B2A49" w:rsidRDefault="00F44F83" w:rsidP="009F0937">
            <w:pPr>
              <w:jc w:val="right"/>
              <w:rPr>
                <w:color w:val="000000"/>
                <w:sz w:val="18"/>
                <w:szCs w:val="18"/>
                <w:lang w:eastAsia="sl-SI"/>
              </w:rPr>
            </w:pPr>
            <w:r w:rsidRPr="005B2A49">
              <w:rPr>
                <w:sz w:val="18"/>
                <w:szCs w:val="18"/>
              </w:rPr>
              <w:t>19.700,00</w:t>
            </w:r>
          </w:p>
        </w:tc>
        <w:tc>
          <w:tcPr>
            <w:tcW w:w="617" w:type="pct"/>
            <w:shd w:val="clear" w:color="000000" w:fill="FFFFFF"/>
            <w:vAlign w:val="center"/>
            <w:hideMark/>
          </w:tcPr>
          <w:p w14:paraId="18A1E038" w14:textId="48D81938" w:rsidR="00F44F83" w:rsidRPr="005B2A49" w:rsidRDefault="00F44F83">
            <w:pPr>
              <w:jc w:val="right"/>
              <w:rPr>
                <w:color w:val="000000"/>
                <w:sz w:val="18"/>
                <w:szCs w:val="18"/>
                <w:lang w:eastAsia="sl-SI"/>
              </w:rPr>
            </w:pPr>
            <w:r w:rsidRPr="005B2A49">
              <w:rPr>
                <w:sz w:val="18"/>
                <w:szCs w:val="18"/>
              </w:rPr>
              <w:t>20.900,00</w:t>
            </w:r>
          </w:p>
        </w:tc>
        <w:tc>
          <w:tcPr>
            <w:tcW w:w="617" w:type="pct"/>
            <w:shd w:val="clear" w:color="000000" w:fill="FFFFFF"/>
            <w:vAlign w:val="center"/>
            <w:hideMark/>
          </w:tcPr>
          <w:p w14:paraId="152382C3" w14:textId="22DCD807" w:rsidR="00F44F83" w:rsidRPr="005B2A49" w:rsidRDefault="00F44F83">
            <w:pPr>
              <w:jc w:val="right"/>
              <w:rPr>
                <w:color w:val="000000"/>
                <w:sz w:val="18"/>
                <w:szCs w:val="18"/>
                <w:lang w:eastAsia="sl-SI"/>
              </w:rPr>
            </w:pPr>
            <w:r w:rsidRPr="005B2A49">
              <w:rPr>
                <w:sz w:val="18"/>
                <w:szCs w:val="18"/>
              </w:rPr>
              <w:t>21.900,00</w:t>
            </w:r>
          </w:p>
        </w:tc>
        <w:tc>
          <w:tcPr>
            <w:tcW w:w="491" w:type="pct"/>
            <w:shd w:val="clear" w:color="000000" w:fill="FFFFFF"/>
            <w:vAlign w:val="center"/>
          </w:tcPr>
          <w:p w14:paraId="03ECD141" w14:textId="00880C5D" w:rsidR="00F44F83" w:rsidRPr="005B2A49" w:rsidRDefault="00F44F83">
            <w:pPr>
              <w:jc w:val="right"/>
              <w:rPr>
                <w:color w:val="000000"/>
                <w:sz w:val="18"/>
                <w:szCs w:val="18"/>
                <w:lang w:eastAsia="sl-SI"/>
              </w:rPr>
            </w:pPr>
            <w:r w:rsidRPr="005B2A49">
              <w:rPr>
                <w:sz w:val="18"/>
                <w:szCs w:val="18"/>
              </w:rPr>
              <w:t>23.000,00</w:t>
            </w:r>
          </w:p>
        </w:tc>
      </w:tr>
      <w:tr w:rsidR="00F44F83" w:rsidRPr="00275988" w14:paraId="6BFE8526" w14:textId="2F2469A1" w:rsidTr="005B2A49">
        <w:trPr>
          <w:trHeight w:val="367"/>
        </w:trPr>
        <w:tc>
          <w:tcPr>
            <w:tcW w:w="1423" w:type="pct"/>
            <w:shd w:val="clear" w:color="000000" w:fill="FFFFFF"/>
            <w:vAlign w:val="bottom"/>
            <w:hideMark/>
          </w:tcPr>
          <w:p w14:paraId="7116604E"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v podeželskih regijah (indeks PPS)</w:t>
            </w:r>
          </w:p>
        </w:tc>
        <w:tc>
          <w:tcPr>
            <w:tcW w:w="617" w:type="pct"/>
            <w:shd w:val="clear" w:color="000000" w:fill="FFFFFF"/>
            <w:noWrap/>
            <w:vAlign w:val="center"/>
            <w:hideMark/>
          </w:tcPr>
          <w:p w14:paraId="02797306" w14:textId="449448BD" w:rsidR="00F44F83" w:rsidRPr="005B2A49" w:rsidRDefault="00F44F83" w:rsidP="00F44F83">
            <w:pPr>
              <w:jc w:val="right"/>
              <w:rPr>
                <w:color w:val="000000"/>
                <w:sz w:val="18"/>
                <w:szCs w:val="18"/>
                <w:lang w:eastAsia="sl-SI"/>
              </w:rPr>
            </w:pPr>
            <w:r w:rsidRPr="005B2A49">
              <w:rPr>
                <w:color w:val="000000"/>
                <w:sz w:val="18"/>
                <w:szCs w:val="18"/>
                <w:lang w:eastAsia="sl-SI"/>
              </w:rPr>
              <w:t>70</w:t>
            </w:r>
          </w:p>
        </w:tc>
        <w:tc>
          <w:tcPr>
            <w:tcW w:w="617" w:type="pct"/>
            <w:shd w:val="clear" w:color="000000" w:fill="FFFFFF"/>
            <w:noWrap/>
            <w:vAlign w:val="center"/>
            <w:hideMark/>
          </w:tcPr>
          <w:p w14:paraId="083E59C4" w14:textId="4B957696" w:rsidR="00F44F83" w:rsidRPr="005B2A49" w:rsidRDefault="00F44F83" w:rsidP="005177BC">
            <w:pPr>
              <w:jc w:val="right"/>
              <w:rPr>
                <w:color w:val="000000"/>
                <w:sz w:val="18"/>
                <w:szCs w:val="18"/>
                <w:lang w:eastAsia="sl-SI"/>
              </w:rPr>
            </w:pPr>
            <w:r w:rsidRPr="005B2A49">
              <w:rPr>
                <w:color w:val="000000"/>
                <w:sz w:val="18"/>
                <w:szCs w:val="18"/>
                <w:lang w:eastAsia="sl-SI"/>
              </w:rPr>
              <w:t>70</w:t>
            </w:r>
          </w:p>
        </w:tc>
        <w:tc>
          <w:tcPr>
            <w:tcW w:w="617" w:type="pct"/>
            <w:shd w:val="clear" w:color="000000" w:fill="FFFFFF"/>
            <w:noWrap/>
            <w:vAlign w:val="center"/>
            <w:hideMark/>
          </w:tcPr>
          <w:p w14:paraId="5B066A9A" w14:textId="33D804BA" w:rsidR="00F44F83" w:rsidRPr="005B2A49" w:rsidRDefault="00F44F83" w:rsidP="009F0937">
            <w:pPr>
              <w:jc w:val="right"/>
              <w:rPr>
                <w:color w:val="000000"/>
                <w:sz w:val="18"/>
                <w:szCs w:val="18"/>
                <w:lang w:eastAsia="sl-SI"/>
              </w:rPr>
            </w:pPr>
            <w:r w:rsidRPr="005B2A49">
              <w:rPr>
                <w:sz w:val="18"/>
                <w:szCs w:val="18"/>
              </w:rPr>
              <w:t>70</w:t>
            </w:r>
          </w:p>
        </w:tc>
        <w:tc>
          <w:tcPr>
            <w:tcW w:w="617" w:type="pct"/>
            <w:shd w:val="clear" w:color="auto" w:fill="auto"/>
            <w:noWrap/>
            <w:vAlign w:val="center"/>
            <w:hideMark/>
          </w:tcPr>
          <w:p w14:paraId="203481D6" w14:textId="1E34307E" w:rsidR="00F44F83" w:rsidRPr="005B2A49" w:rsidRDefault="00F44F83">
            <w:pPr>
              <w:jc w:val="right"/>
              <w:rPr>
                <w:color w:val="000000"/>
                <w:sz w:val="18"/>
                <w:szCs w:val="18"/>
                <w:lang w:eastAsia="sl-SI"/>
              </w:rPr>
            </w:pPr>
            <w:r w:rsidRPr="005B2A49">
              <w:rPr>
                <w:sz w:val="18"/>
                <w:szCs w:val="18"/>
              </w:rPr>
              <w:t>71</w:t>
            </w:r>
          </w:p>
        </w:tc>
        <w:tc>
          <w:tcPr>
            <w:tcW w:w="617" w:type="pct"/>
            <w:shd w:val="clear" w:color="000000" w:fill="FFFFFF"/>
            <w:vAlign w:val="center"/>
            <w:hideMark/>
          </w:tcPr>
          <w:p w14:paraId="1965A884" w14:textId="59020C76" w:rsidR="00F44F83" w:rsidRPr="005B2A49" w:rsidRDefault="00F44F83">
            <w:pPr>
              <w:jc w:val="right"/>
              <w:rPr>
                <w:b/>
                <w:bCs/>
                <w:color w:val="000000"/>
                <w:sz w:val="18"/>
                <w:szCs w:val="18"/>
                <w:lang w:eastAsia="sl-SI"/>
              </w:rPr>
            </w:pPr>
            <w:r w:rsidRPr="005B2A49">
              <w:rPr>
                <w:sz w:val="18"/>
                <w:szCs w:val="18"/>
              </w:rPr>
              <w:t>73</w:t>
            </w:r>
          </w:p>
        </w:tc>
        <w:tc>
          <w:tcPr>
            <w:tcW w:w="491" w:type="pct"/>
            <w:shd w:val="clear" w:color="000000" w:fill="FFFFFF"/>
            <w:vAlign w:val="center"/>
          </w:tcPr>
          <w:p w14:paraId="22F5161D" w14:textId="71A1321D" w:rsidR="00F44F83" w:rsidRPr="005B2A49" w:rsidRDefault="00F44F83">
            <w:pPr>
              <w:jc w:val="right"/>
              <w:rPr>
                <w:bCs/>
                <w:color w:val="000000"/>
                <w:sz w:val="18"/>
                <w:szCs w:val="18"/>
                <w:lang w:eastAsia="sl-SI"/>
              </w:rPr>
            </w:pPr>
            <w:r w:rsidRPr="005B2A49">
              <w:rPr>
                <w:sz w:val="18"/>
                <w:szCs w:val="18"/>
              </w:rPr>
              <w:t>74</w:t>
            </w:r>
          </w:p>
        </w:tc>
      </w:tr>
      <w:tr w:rsidR="00F44F83" w:rsidRPr="00275988" w14:paraId="46ABA21C" w14:textId="2F5E1B19" w:rsidTr="005B2A49">
        <w:trPr>
          <w:trHeight w:val="315"/>
        </w:trPr>
        <w:tc>
          <w:tcPr>
            <w:tcW w:w="1423" w:type="pct"/>
            <w:shd w:val="clear" w:color="000000" w:fill="FFFFFF"/>
            <w:vAlign w:val="bottom"/>
            <w:hideMark/>
          </w:tcPr>
          <w:p w14:paraId="251777CE"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skupaj (EUR PPS)</w:t>
            </w:r>
          </w:p>
        </w:tc>
        <w:tc>
          <w:tcPr>
            <w:tcW w:w="617" w:type="pct"/>
            <w:shd w:val="clear" w:color="000000" w:fill="FFFFFF"/>
            <w:vAlign w:val="center"/>
            <w:hideMark/>
          </w:tcPr>
          <w:p w14:paraId="105BD149" w14:textId="7EB46F04" w:rsidR="00F44F83" w:rsidRPr="005B2A49" w:rsidRDefault="00F44F83" w:rsidP="00F44F83">
            <w:pPr>
              <w:jc w:val="right"/>
              <w:rPr>
                <w:color w:val="000000"/>
                <w:sz w:val="18"/>
                <w:szCs w:val="18"/>
                <w:lang w:eastAsia="sl-SI"/>
              </w:rPr>
            </w:pPr>
            <w:r w:rsidRPr="005B2A49">
              <w:rPr>
                <w:color w:val="000000"/>
                <w:sz w:val="18"/>
                <w:szCs w:val="18"/>
                <w:lang w:eastAsia="sl-SI"/>
              </w:rPr>
              <w:t>21.200</w:t>
            </w:r>
            <w:r w:rsidR="009F0937" w:rsidRPr="005B2A49">
              <w:rPr>
                <w:color w:val="000000"/>
                <w:sz w:val="18"/>
                <w:szCs w:val="18"/>
                <w:lang w:eastAsia="sl-SI"/>
              </w:rPr>
              <w:t>,00</w:t>
            </w:r>
          </w:p>
        </w:tc>
        <w:tc>
          <w:tcPr>
            <w:tcW w:w="617" w:type="pct"/>
            <w:shd w:val="clear" w:color="000000" w:fill="FFFFFF"/>
            <w:vAlign w:val="center"/>
            <w:hideMark/>
          </w:tcPr>
          <w:p w14:paraId="2D78A0E2" w14:textId="0484BAE0" w:rsidR="00F44F83" w:rsidRPr="005B2A49" w:rsidRDefault="00F44F83" w:rsidP="005177BC">
            <w:pPr>
              <w:jc w:val="right"/>
              <w:rPr>
                <w:color w:val="000000"/>
                <w:sz w:val="18"/>
                <w:szCs w:val="18"/>
                <w:lang w:eastAsia="sl-SI"/>
              </w:rPr>
            </w:pPr>
            <w:r w:rsidRPr="005B2A49">
              <w:rPr>
                <w:color w:val="000000"/>
                <w:sz w:val="18"/>
                <w:szCs w:val="18"/>
                <w:lang w:eastAsia="sl-SI"/>
              </w:rPr>
              <w:t>21.900</w:t>
            </w:r>
            <w:r w:rsidR="009F0937" w:rsidRPr="005B2A49">
              <w:rPr>
                <w:color w:val="000000"/>
                <w:sz w:val="18"/>
                <w:szCs w:val="18"/>
                <w:lang w:eastAsia="sl-SI"/>
              </w:rPr>
              <w:t>,00</w:t>
            </w:r>
          </w:p>
        </w:tc>
        <w:tc>
          <w:tcPr>
            <w:tcW w:w="617" w:type="pct"/>
            <w:shd w:val="clear" w:color="000000" w:fill="FFFFFF"/>
            <w:vAlign w:val="center"/>
            <w:hideMark/>
          </w:tcPr>
          <w:p w14:paraId="07C0BCE5" w14:textId="74E3FA5F" w:rsidR="00F44F83" w:rsidRPr="005B2A49" w:rsidRDefault="00F44F83" w:rsidP="009F0937">
            <w:pPr>
              <w:jc w:val="right"/>
              <w:rPr>
                <w:color w:val="000000"/>
                <w:sz w:val="18"/>
                <w:szCs w:val="18"/>
                <w:lang w:eastAsia="sl-SI"/>
              </w:rPr>
            </w:pPr>
            <w:r w:rsidRPr="005B2A49">
              <w:rPr>
                <w:sz w:val="18"/>
                <w:szCs w:val="18"/>
              </w:rPr>
              <w:t>24.100</w:t>
            </w:r>
            <w:r w:rsidR="009F0937" w:rsidRPr="005B2A49">
              <w:rPr>
                <w:sz w:val="18"/>
                <w:szCs w:val="18"/>
              </w:rPr>
              <w:t>,00</w:t>
            </w:r>
          </w:p>
        </w:tc>
        <w:tc>
          <w:tcPr>
            <w:tcW w:w="617" w:type="pct"/>
            <w:shd w:val="clear" w:color="000000" w:fill="FFFFFF"/>
            <w:vAlign w:val="center"/>
            <w:hideMark/>
          </w:tcPr>
          <w:p w14:paraId="081B58EA" w14:textId="30357A77" w:rsidR="00F44F83" w:rsidRPr="005B2A49" w:rsidRDefault="00F44F83" w:rsidP="009F0937">
            <w:pPr>
              <w:jc w:val="right"/>
              <w:rPr>
                <w:color w:val="000000"/>
                <w:sz w:val="18"/>
                <w:szCs w:val="18"/>
                <w:lang w:eastAsia="sl-SI"/>
              </w:rPr>
            </w:pPr>
            <w:r w:rsidRPr="005B2A49">
              <w:rPr>
                <w:sz w:val="18"/>
                <w:szCs w:val="18"/>
              </w:rPr>
              <w:t>25.500</w:t>
            </w:r>
            <w:r w:rsidR="009F0937" w:rsidRPr="005B2A49">
              <w:rPr>
                <w:sz w:val="18"/>
                <w:szCs w:val="18"/>
              </w:rPr>
              <w:t>,00</w:t>
            </w:r>
          </w:p>
        </w:tc>
        <w:tc>
          <w:tcPr>
            <w:tcW w:w="617" w:type="pct"/>
            <w:shd w:val="clear" w:color="000000" w:fill="FFFFFF"/>
            <w:vAlign w:val="center"/>
            <w:hideMark/>
          </w:tcPr>
          <w:p w14:paraId="1C2EB392" w14:textId="0B27A916" w:rsidR="00F44F83" w:rsidRPr="005B2A49" w:rsidRDefault="00F44F83">
            <w:pPr>
              <w:jc w:val="right"/>
              <w:rPr>
                <w:color w:val="000000"/>
                <w:sz w:val="18"/>
                <w:szCs w:val="18"/>
                <w:lang w:eastAsia="sl-SI"/>
              </w:rPr>
            </w:pPr>
            <w:r w:rsidRPr="005B2A49">
              <w:rPr>
                <w:sz w:val="18"/>
                <w:szCs w:val="18"/>
              </w:rPr>
              <w:t>26.387,60</w:t>
            </w:r>
          </w:p>
        </w:tc>
        <w:tc>
          <w:tcPr>
            <w:tcW w:w="491" w:type="pct"/>
            <w:shd w:val="clear" w:color="000000" w:fill="FFFFFF"/>
            <w:vAlign w:val="center"/>
          </w:tcPr>
          <w:p w14:paraId="48424946" w14:textId="0B8E5F14" w:rsidR="00F44F83" w:rsidRPr="005B2A49" w:rsidRDefault="00F44F83">
            <w:pPr>
              <w:jc w:val="right"/>
              <w:rPr>
                <w:color w:val="000000"/>
                <w:sz w:val="18"/>
                <w:szCs w:val="18"/>
                <w:lang w:eastAsia="sl-SI"/>
              </w:rPr>
            </w:pPr>
            <w:r w:rsidRPr="005B2A49">
              <w:rPr>
                <w:sz w:val="18"/>
                <w:szCs w:val="18"/>
              </w:rPr>
              <w:t>27.658,80</w:t>
            </w:r>
          </w:p>
        </w:tc>
      </w:tr>
      <w:tr w:rsidR="00F44F83" w:rsidRPr="00275988" w14:paraId="1804D086" w14:textId="3201EF4D" w:rsidTr="005B2A49">
        <w:trPr>
          <w:trHeight w:val="156"/>
        </w:trPr>
        <w:tc>
          <w:tcPr>
            <w:tcW w:w="1423" w:type="pct"/>
            <w:shd w:val="clear" w:color="000000" w:fill="FFFFFF"/>
            <w:vAlign w:val="center"/>
            <w:hideMark/>
          </w:tcPr>
          <w:p w14:paraId="081281E6"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skupaj (Indeks PPS)</w:t>
            </w:r>
          </w:p>
        </w:tc>
        <w:tc>
          <w:tcPr>
            <w:tcW w:w="617" w:type="pct"/>
            <w:shd w:val="clear" w:color="000000" w:fill="FFFFFF"/>
            <w:noWrap/>
            <w:vAlign w:val="center"/>
            <w:hideMark/>
          </w:tcPr>
          <w:p w14:paraId="490DF705" w14:textId="77777777" w:rsidR="00F44F83" w:rsidRPr="005B2A49" w:rsidRDefault="00F44F83" w:rsidP="00F44F83">
            <w:pPr>
              <w:jc w:val="right"/>
              <w:rPr>
                <w:color w:val="000000"/>
                <w:sz w:val="18"/>
                <w:szCs w:val="18"/>
                <w:lang w:eastAsia="sl-SI"/>
              </w:rPr>
            </w:pPr>
            <w:r w:rsidRPr="005B2A49">
              <w:rPr>
                <w:color w:val="000000"/>
                <w:sz w:val="18"/>
                <w:szCs w:val="18"/>
                <w:lang w:eastAsia="sl-SI"/>
              </w:rPr>
              <w:t>84,60</w:t>
            </w:r>
          </w:p>
        </w:tc>
        <w:tc>
          <w:tcPr>
            <w:tcW w:w="617" w:type="pct"/>
            <w:shd w:val="clear" w:color="000000" w:fill="FFFFFF"/>
            <w:noWrap/>
            <w:vAlign w:val="center"/>
            <w:hideMark/>
          </w:tcPr>
          <w:p w14:paraId="37CA69F0" w14:textId="77777777" w:rsidR="00F44F83" w:rsidRPr="005B2A49" w:rsidRDefault="00F44F83" w:rsidP="005177BC">
            <w:pPr>
              <w:jc w:val="right"/>
              <w:rPr>
                <w:color w:val="000000"/>
                <w:sz w:val="18"/>
                <w:szCs w:val="18"/>
                <w:lang w:eastAsia="sl-SI"/>
              </w:rPr>
            </w:pPr>
            <w:r w:rsidRPr="005B2A49">
              <w:rPr>
                <w:color w:val="000000"/>
                <w:sz w:val="18"/>
                <w:szCs w:val="18"/>
                <w:lang w:eastAsia="sl-SI"/>
              </w:rPr>
              <w:t>83,20</w:t>
            </w:r>
          </w:p>
        </w:tc>
        <w:tc>
          <w:tcPr>
            <w:tcW w:w="617" w:type="pct"/>
            <w:shd w:val="clear" w:color="000000" w:fill="FFFFFF"/>
            <w:noWrap/>
            <w:vAlign w:val="center"/>
            <w:hideMark/>
          </w:tcPr>
          <w:p w14:paraId="6B4EDDF9" w14:textId="52883EF7" w:rsidR="00F44F83" w:rsidRPr="005B2A49" w:rsidRDefault="00F44F83" w:rsidP="009F0937">
            <w:pPr>
              <w:jc w:val="right"/>
              <w:rPr>
                <w:color w:val="000000"/>
                <w:sz w:val="18"/>
                <w:szCs w:val="18"/>
                <w:lang w:eastAsia="sl-SI"/>
              </w:rPr>
            </w:pPr>
            <w:r w:rsidRPr="005B2A49">
              <w:rPr>
                <w:sz w:val="18"/>
                <w:szCs w:val="18"/>
              </w:rPr>
              <w:t>83,70</w:t>
            </w:r>
          </w:p>
        </w:tc>
        <w:tc>
          <w:tcPr>
            <w:tcW w:w="617" w:type="pct"/>
            <w:shd w:val="clear" w:color="000000" w:fill="FFFFFF"/>
            <w:noWrap/>
            <w:vAlign w:val="center"/>
            <w:hideMark/>
          </w:tcPr>
          <w:p w14:paraId="4BA685BA" w14:textId="07C6E9F9" w:rsidR="00F44F83" w:rsidRPr="005B2A49" w:rsidRDefault="00F44F83">
            <w:pPr>
              <w:jc w:val="right"/>
              <w:rPr>
                <w:color w:val="000000"/>
                <w:sz w:val="18"/>
                <w:szCs w:val="18"/>
                <w:lang w:eastAsia="sl-SI"/>
              </w:rPr>
            </w:pPr>
            <w:r w:rsidRPr="005B2A49">
              <w:rPr>
                <w:sz w:val="18"/>
                <w:szCs w:val="18"/>
              </w:rPr>
              <w:t>85,60</w:t>
            </w:r>
          </w:p>
        </w:tc>
        <w:tc>
          <w:tcPr>
            <w:tcW w:w="617" w:type="pct"/>
            <w:shd w:val="clear" w:color="000000" w:fill="FFFFFF"/>
            <w:noWrap/>
            <w:vAlign w:val="center"/>
            <w:hideMark/>
          </w:tcPr>
          <w:p w14:paraId="4E651C8B" w14:textId="362A9D0C" w:rsidR="00F44F83" w:rsidRPr="005B2A49" w:rsidRDefault="00F44F83">
            <w:pPr>
              <w:jc w:val="right"/>
              <w:rPr>
                <w:color w:val="000000"/>
                <w:sz w:val="18"/>
                <w:szCs w:val="18"/>
                <w:lang w:eastAsia="sl-SI"/>
              </w:rPr>
            </w:pPr>
            <w:r w:rsidRPr="005B2A49">
              <w:rPr>
                <w:sz w:val="18"/>
                <w:szCs w:val="18"/>
              </w:rPr>
              <w:t>87,40</w:t>
            </w:r>
          </w:p>
        </w:tc>
        <w:tc>
          <w:tcPr>
            <w:tcW w:w="491" w:type="pct"/>
            <w:shd w:val="clear" w:color="000000" w:fill="FFFFFF"/>
            <w:vAlign w:val="center"/>
          </w:tcPr>
          <w:p w14:paraId="0F4633E5" w14:textId="3B609519" w:rsidR="00F44F83" w:rsidRPr="005B2A49" w:rsidRDefault="00F44F83">
            <w:pPr>
              <w:jc w:val="right"/>
              <w:rPr>
                <w:color w:val="000000"/>
                <w:sz w:val="18"/>
                <w:szCs w:val="18"/>
                <w:lang w:eastAsia="sl-SI"/>
              </w:rPr>
            </w:pPr>
            <w:r w:rsidRPr="005B2A49">
              <w:rPr>
                <w:sz w:val="18"/>
                <w:szCs w:val="18"/>
              </w:rPr>
              <w:t>88,70</w:t>
            </w:r>
          </w:p>
        </w:tc>
      </w:tr>
    </w:tbl>
    <w:p w14:paraId="0BC057DC" w14:textId="77777777" w:rsidR="00EC2DD0" w:rsidRDefault="00EC2DD0" w:rsidP="005B2A49">
      <w:pPr>
        <w:jc w:val="left"/>
        <w:rPr>
          <w:sz w:val="16"/>
          <w:szCs w:val="16"/>
        </w:rPr>
      </w:pPr>
      <w:r w:rsidRPr="00041B20">
        <w:rPr>
          <w:sz w:val="16"/>
          <w:szCs w:val="16"/>
        </w:rPr>
        <w:t>*PPS – standard kupne moči (»purchase power standard«)</w:t>
      </w:r>
      <w:bookmarkStart w:id="21" w:name="_Ref29976797"/>
    </w:p>
    <w:p w14:paraId="6CF748B8" w14:textId="77777777" w:rsidR="00EC2DD0" w:rsidRDefault="00EC2DD0" w:rsidP="005B2A49">
      <w:pPr>
        <w:spacing w:after="240"/>
        <w:jc w:val="left"/>
        <w:rPr>
          <w:bCs/>
          <w:i/>
          <w:szCs w:val="20"/>
        </w:rPr>
      </w:pPr>
      <w:r>
        <w:rPr>
          <w:rFonts w:eastAsia="Arial"/>
          <w:bCs/>
          <w:sz w:val="16"/>
          <w:szCs w:val="16"/>
        </w:rPr>
        <w:t xml:space="preserve">Vir: C.09 - </w:t>
      </w:r>
      <w:r w:rsidRPr="004629B1">
        <w:rPr>
          <w:rFonts w:eastAsia="Calibri"/>
          <w:sz w:val="16"/>
          <w:szCs w:val="16"/>
        </w:rPr>
        <w:t>Dashboard Indicators</w:t>
      </w:r>
      <w:r w:rsidRPr="004629B1">
        <w:rPr>
          <w:sz w:val="16"/>
          <w:szCs w:val="16"/>
        </w:rPr>
        <w:t xml:space="preserve"> </w:t>
      </w:r>
      <w:r w:rsidRPr="004629B1">
        <w:rPr>
          <w:rFonts w:eastAsia="Arial"/>
          <w:bCs/>
          <w:sz w:val="16"/>
          <w:szCs w:val="16"/>
        </w:rPr>
        <w:t>https://agridata.ec.europa.eu/extensions/DashboardIndicators/DataExplorer.html?select=EU27_FLAG,1)</w:t>
      </w:r>
      <w:r w:rsidRPr="00826383" w:rsidDel="0048003A">
        <w:rPr>
          <w:bCs/>
          <w:i/>
          <w:szCs w:val="20"/>
        </w:rPr>
        <w:t xml:space="preserve"> </w:t>
      </w:r>
    </w:p>
    <w:p w14:paraId="65ADA4B7" w14:textId="56103AAF" w:rsidR="00EC2DD0" w:rsidRPr="00E155C1" w:rsidRDefault="00EC2DD0" w:rsidP="00871B06">
      <w:pPr>
        <w:pStyle w:val="SCSlika0"/>
        <w:rPr>
          <w:color w:val="FF0000"/>
          <w:sz w:val="20"/>
          <w:highlight w:val="green"/>
        </w:rPr>
      </w:pPr>
      <w:bookmarkStart w:id="22" w:name="_Toc89851043"/>
      <w:bookmarkStart w:id="23" w:name="_Toc55913756"/>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88117A" w:rsidRPr="00E155C1">
        <w:rPr>
          <w:noProof/>
          <w:sz w:val="20"/>
        </w:rPr>
        <w:t>1</w:t>
      </w:r>
      <w:r w:rsidR="009F2591" w:rsidRPr="00E155C1">
        <w:rPr>
          <w:noProof/>
          <w:sz w:val="20"/>
        </w:rPr>
        <w:fldChar w:fldCharType="end"/>
      </w:r>
      <w:bookmarkEnd w:id="21"/>
      <w:r w:rsidRPr="00E155C1">
        <w:rPr>
          <w:sz w:val="20"/>
        </w:rPr>
        <w:t>: BDP na prebivalca, indeks standarda kupne moči EU-28=100</w:t>
      </w:r>
      <w:bookmarkEnd w:id="22"/>
      <w:bookmarkEnd w:id="23"/>
    </w:p>
    <w:p w14:paraId="5194F3A5" w14:textId="77777777" w:rsidR="00EC2DD0" w:rsidRPr="00826383" w:rsidRDefault="00EC2DD0" w:rsidP="00EC2DD0">
      <w:pPr>
        <w:keepNext/>
        <w:rPr>
          <w:sz w:val="16"/>
          <w:szCs w:val="16"/>
        </w:rPr>
      </w:pPr>
      <w:r w:rsidRPr="00041B20">
        <w:rPr>
          <w:noProof/>
          <w:lang w:eastAsia="sl-SI"/>
        </w:rPr>
        <w:drawing>
          <wp:inline distT="0" distB="0" distL="0" distR="0" wp14:anchorId="39014987" wp14:editId="016E8C79">
            <wp:extent cx="5760720" cy="2168525"/>
            <wp:effectExtent l="0" t="0" r="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7" name="BDP na preb po PPS.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r w:rsidRPr="00826383">
        <w:rPr>
          <w:bCs/>
          <w:sz w:val="16"/>
          <w:szCs w:val="16"/>
        </w:rPr>
        <w:t>Vir: Analytical factsheet; EUROSTAT</w:t>
      </w:r>
    </w:p>
    <w:p w14:paraId="5A53E1BF" w14:textId="77777777" w:rsidR="00EC2DD0" w:rsidRPr="00041B20" w:rsidRDefault="00EC2DD0" w:rsidP="00EC2DD0"/>
    <w:p w14:paraId="5CFD73BC" w14:textId="46667500" w:rsidR="00EC2DD0" w:rsidRDefault="00EC2DD0" w:rsidP="005B2A49">
      <w:pPr>
        <w:pStyle w:val="Odstavek1"/>
      </w:pPr>
      <w:r w:rsidRPr="00DE12FE">
        <w:t xml:space="preserve">Po podatkih nacionalnih računov je kmetijstvo skupaj z lovstvom, gozdarstvom in ribištvom leta 2019 k skupni ustvarjeni </w:t>
      </w:r>
      <w:r w:rsidR="00275988">
        <w:t>BDV</w:t>
      </w:r>
      <w:r w:rsidRPr="00DE12FE">
        <w:t xml:space="preserve"> prispevalo 2,3 % (leta 2018: 2,4 %), k skupni zaposlenosti pa 6,9 % (leta 2018: 7,2 %). Delež zaposlenih v kmetijstvu ima trend upadanja in se tako iz leta v leto zmanjšuje.</w:t>
      </w:r>
    </w:p>
    <w:p w14:paraId="7AFDBDCE" w14:textId="36F1B732" w:rsidR="001B2299" w:rsidRDefault="001B2299" w:rsidP="005B2A49">
      <w:pPr>
        <w:pStyle w:val="Odstavek1"/>
      </w:pPr>
    </w:p>
    <w:p w14:paraId="7DDC3636" w14:textId="0402E94D" w:rsidR="00275988" w:rsidRDefault="00275988" w:rsidP="00275988">
      <w:pPr>
        <w:pStyle w:val="Odstavek1"/>
        <w:rPr>
          <w:shd w:val="clear" w:color="auto" w:fill="FCFCFC"/>
        </w:rPr>
      </w:pPr>
      <w:r w:rsidRPr="003344A4">
        <w:rPr>
          <w:shd w:val="clear" w:color="auto" w:fill="FCFCFC"/>
        </w:rPr>
        <w:t>Primerjava BDV kmetijstva v Sloveniji in EU-28 pokaže, da kmetijstvo (skupaj z gozdarstvom in ribištvom) v Sloveniji od leta 2008 do leta 201</w:t>
      </w:r>
      <w:r>
        <w:rPr>
          <w:shd w:val="clear" w:color="auto" w:fill="FCFCFC"/>
        </w:rPr>
        <w:t>9</w:t>
      </w:r>
      <w:r w:rsidRPr="003344A4">
        <w:rPr>
          <w:shd w:val="clear" w:color="auto" w:fill="FCFCFC"/>
        </w:rPr>
        <w:t xml:space="preserve"> ustvarja med 2,1 % do 2,5 % celotne BDV vseh dejavnosti. Do navedenega obdobja je zabeležen padec deleža, kar kaže na razmeroma hitrejši ekonomski</w:t>
      </w:r>
      <w:r>
        <w:rPr>
          <w:shd w:val="clear" w:color="auto" w:fill="FCFCFC"/>
        </w:rPr>
        <w:t xml:space="preserve"> razvoj drugih dejavnosti. </w:t>
      </w:r>
    </w:p>
    <w:p w14:paraId="7EBCEDD6" w14:textId="1E8C7545" w:rsidR="00275988" w:rsidRDefault="00275988" w:rsidP="00275988">
      <w:pPr>
        <w:pStyle w:val="Odstavek1"/>
        <w:rPr>
          <w:shd w:val="clear" w:color="auto" w:fill="FCFCFC"/>
        </w:rPr>
      </w:pPr>
    </w:p>
    <w:p w14:paraId="50326151" w14:textId="77777777" w:rsidR="00275988" w:rsidRDefault="00275988" w:rsidP="00275988">
      <w:pPr>
        <w:pStyle w:val="Odstavek1"/>
        <w:rPr>
          <w:shd w:val="clear" w:color="auto" w:fill="FCFCFC"/>
        </w:rPr>
      </w:pPr>
      <w:r w:rsidRPr="003344A4">
        <w:rPr>
          <w:shd w:val="clear" w:color="auto" w:fill="FCFCFC"/>
        </w:rPr>
        <w:t xml:space="preserve">Dokaj podobne ugotovitve veljajo tudi za EU-28, pri čemer je razvidno, da se je do leta 2008 pomen kmetijstva v Sloveniji hitreje zniževal kot pomen kmetijstva v EU-28, po tem letu pa sledi obdobje, kjer se je zmanjševanje ekonomskega pomena </w:t>
      </w:r>
      <w:r w:rsidRPr="00AD376E">
        <w:rPr>
          <w:shd w:val="clear" w:color="auto" w:fill="FCFCFC"/>
        </w:rPr>
        <w:t>kmetijstva v Sloveniji in v EU-28 ustavilo. Od tega leta naprej ni opaziti približevanja slovenskega deleža kmetijstva v BDV vrednosti EU-28</w:t>
      </w:r>
      <w:r>
        <w:rPr>
          <w:shd w:val="clear" w:color="auto" w:fill="FCFCFC"/>
        </w:rPr>
        <w:t>.</w:t>
      </w:r>
    </w:p>
    <w:p w14:paraId="013EA14D" w14:textId="45708476" w:rsidR="00EC2DD0" w:rsidRPr="00E155C1" w:rsidRDefault="00EC2DD0" w:rsidP="005B2A49">
      <w:pPr>
        <w:pStyle w:val="SCPreglednica"/>
        <w:rPr>
          <w:sz w:val="20"/>
        </w:rPr>
      </w:pPr>
      <w:bookmarkStart w:id="24" w:name="_Ref29976879"/>
      <w:bookmarkStart w:id="25" w:name="_Toc55913722"/>
      <w:bookmarkStart w:id="26" w:name="_Toc89860996"/>
      <w:r w:rsidRPr="00E155C1">
        <w:rPr>
          <w:sz w:val="20"/>
        </w:rPr>
        <w:t xml:space="preserve">Tabela </w:t>
      </w:r>
      <w:bookmarkEnd w:id="24"/>
      <w:r w:rsidRPr="00E155C1">
        <w:rPr>
          <w:sz w:val="20"/>
        </w:rPr>
        <w:fldChar w:fldCharType="begin"/>
      </w:r>
      <w:r w:rsidRPr="00E155C1">
        <w:rPr>
          <w:sz w:val="20"/>
        </w:rPr>
        <w:instrText xml:space="preserve"> SEQ Tabela \* ARABIC </w:instrText>
      </w:r>
      <w:r w:rsidRPr="00E155C1">
        <w:rPr>
          <w:sz w:val="20"/>
        </w:rPr>
        <w:fldChar w:fldCharType="separate"/>
      </w:r>
      <w:r w:rsidR="0088117A" w:rsidRPr="00E155C1">
        <w:rPr>
          <w:noProof/>
          <w:sz w:val="20"/>
        </w:rPr>
        <w:t>4</w:t>
      </w:r>
      <w:r w:rsidRPr="00E155C1">
        <w:rPr>
          <w:sz w:val="20"/>
        </w:rPr>
        <w:fldChar w:fldCharType="end"/>
      </w:r>
      <w:r w:rsidRPr="00E155C1">
        <w:rPr>
          <w:sz w:val="20"/>
        </w:rPr>
        <w:t>: Bruto dodana vrednost</w:t>
      </w:r>
      <w:bookmarkEnd w:id="25"/>
      <w:r w:rsidR="006544EB" w:rsidRPr="00E155C1">
        <w:rPr>
          <w:sz w:val="20"/>
        </w:rPr>
        <w:t xml:space="preserve"> 2010-2019</w:t>
      </w:r>
      <w:bookmarkEnd w:id="26"/>
    </w:p>
    <w:tbl>
      <w:tblPr>
        <w:tblW w:w="47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977"/>
        <w:gridCol w:w="977"/>
        <w:gridCol w:w="976"/>
        <w:gridCol w:w="976"/>
        <w:gridCol w:w="976"/>
        <w:gridCol w:w="976"/>
      </w:tblGrid>
      <w:tr w:rsidR="006544EB" w:rsidRPr="00360802" w14:paraId="777E4053" w14:textId="77777777" w:rsidTr="00E155C1">
        <w:trPr>
          <w:trHeight w:val="315"/>
        </w:trPr>
        <w:tc>
          <w:tcPr>
            <w:tcW w:w="1561" w:type="pct"/>
            <w:shd w:val="clear" w:color="000000" w:fill="92D050"/>
            <w:noWrap/>
            <w:vAlign w:val="bottom"/>
            <w:hideMark/>
          </w:tcPr>
          <w:p w14:paraId="4AD8A4DD" w14:textId="6714832E" w:rsidR="006544EB" w:rsidRPr="00E155C1" w:rsidRDefault="006544EB" w:rsidP="006544EB">
            <w:pPr>
              <w:keepNext/>
              <w:keepLines/>
              <w:rPr>
                <w:b/>
                <w:bCs/>
                <w:color w:val="000000"/>
                <w:sz w:val="18"/>
                <w:szCs w:val="20"/>
                <w:lang w:eastAsia="sl-SI"/>
              </w:rPr>
            </w:pPr>
            <w:r w:rsidRPr="00E155C1">
              <w:rPr>
                <w:b/>
                <w:bCs/>
                <w:color w:val="000000"/>
                <w:sz w:val="18"/>
                <w:szCs w:val="20"/>
                <w:lang w:eastAsia="sl-SI"/>
              </w:rPr>
              <w:t>C.11 Bruto dodana vrednost</w:t>
            </w:r>
          </w:p>
        </w:tc>
        <w:tc>
          <w:tcPr>
            <w:tcW w:w="573" w:type="pct"/>
            <w:shd w:val="clear" w:color="000000" w:fill="92D050"/>
            <w:noWrap/>
            <w:vAlign w:val="center"/>
            <w:hideMark/>
          </w:tcPr>
          <w:p w14:paraId="7439A00D"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2010</w:t>
            </w:r>
          </w:p>
        </w:tc>
        <w:tc>
          <w:tcPr>
            <w:tcW w:w="573" w:type="pct"/>
            <w:shd w:val="clear" w:color="000000" w:fill="92D050"/>
            <w:noWrap/>
            <w:vAlign w:val="center"/>
            <w:hideMark/>
          </w:tcPr>
          <w:p w14:paraId="61BE16E5"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2013</w:t>
            </w:r>
          </w:p>
        </w:tc>
        <w:tc>
          <w:tcPr>
            <w:tcW w:w="573" w:type="pct"/>
            <w:shd w:val="clear" w:color="000000" w:fill="92D050"/>
            <w:noWrap/>
            <w:vAlign w:val="center"/>
            <w:hideMark/>
          </w:tcPr>
          <w:p w14:paraId="548138EA"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2016</w:t>
            </w:r>
          </w:p>
        </w:tc>
        <w:tc>
          <w:tcPr>
            <w:tcW w:w="573" w:type="pct"/>
            <w:shd w:val="clear" w:color="000000" w:fill="92D050"/>
            <w:noWrap/>
            <w:vAlign w:val="center"/>
            <w:hideMark/>
          </w:tcPr>
          <w:p w14:paraId="7C714E28"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2017</w:t>
            </w:r>
          </w:p>
        </w:tc>
        <w:tc>
          <w:tcPr>
            <w:tcW w:w="573" w:type="pct"/>
            <w:shd w:val="clear" w:color="000000" w:fill="92D050"/>
            <w:noWrap/>
            <w:vAlign w:val="center"/>
            <w:hideMark/>
          </w:tcPr>
          <w:p w14:paraId="21D05CFA"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2018</w:t>
            </w:r>
          </w:p>
        </w:tc>
        <w:tc>
          <w:tcPr>
            <w:tcW w:w="573" w:type="pct"/>
            <w:shd w:val="clear" w:color="000000" w:fill="92D050"/>
            <w:noWrap/>
            <w:vAlign w:val="center"/>
            <w:hideMark/>
          </w:tcPr>
          <w:p w14:paraId="518BB3D1" w14:textId="77777777" w:rsidR="006544EB" w:rsidRPr="00E155C1" w:rsidRDefault="006544EB" w:rsidP="006544EB">
            <w:pPr>
              <w:keepNext/>
              <w:keepLines/>
              <w:jc w:val="right"/>
              <w:rPr>
                <w:b/>
                <w:bCs/>
                <w:color w:val="000000"/>
                <w:sz w:val="18"/>
                <w:szCs w:val="20"/>
                <w:lang w:eastAsia="sl-SI"/>
              </w:rPr>
            </w:pPr>
            <w:r w:rsidRPr="00E155C1">
              <w:rPr>
                <w:b/>
                <w:bCs/>
                <w:color w:val="000000"/>
                <w:sz w:val="18"/>
                <w:szCs w:val="20"/>
                <w:lang w:eastAsia="sl-SI"/>
              </w:rPr>
              <w:t>2019</w:t>
            </w:r>
          </w:p>
        </w:tc>
      </w:tr>
      <w:tr w:rsidR="006544EB" w:rsidRPr="00360802" w14:paraId="1091432B" w14:textId="77777777" w:rsidTr="00E155C1">
        <w:trPr>
          <w:trHeight w:val="315"/>
        </w:trPr>
        <w:tc>
          <w:tcPr>
            <w:tcW w:w="1561" w:type="pct"/>
            <w:shd w:val="clear" w:color="auto" w:fill="auto"/>
            <w:vAlign w:val="bottom"/>
            <w:hideMark/>
          </w:tcPr>
          <w:p w14:paraId="7F69FB0C"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BDV skupaj (mio EUR)</w:t>
            </w:r>
          </w:p>
        </w:tc>
        <w:tc>
          <w:tcPr>
            <w:tcW w:w="573" w:type="pct"/>
            <w:shd w:val="clear" w:color="auto" w:fill="auto"/>
            <w:noWrap/>
            <w:vAlign w:val="center"/>
            <w:hideMark/>
          </w:tcPr>
          <w:p w14:paraId="1FD0EE0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31.693,50</w:t>
            </w:r>
          </w:p>
        </w:tc>
        <w:tc>
          <w:tcPr>
            <w:tcW w:w="573" w:type="pct"/>
            <w:shd w:val="clear" w:color="auto" w:fill="auto"/>
            <w:noWrap/>
            <w:vAlign w:val="center"/>
            <w:hideMark/>
          </w:tcPr>
          <w:p w14:paraId="2D474C8B"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31.508,80</w:t>
            </w:r>
          </w:p>
        </w:tc>
        <w:tc>
          <w:tcPr>
            <w:tcW w:w="573" w:type="pct"/>
            <w:shd w:val="clear" w:color="auto" w:fill="auto"/>
            <w:noWrap/>
            <w:vAlign w:val="center"/>
            <w:hideMark/>
          </w:tcPr>
          <w:p w14:paraId="2350427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34.952,80</w:t>
            </w:r>
          </w:p>
        </w:tc>
        <w:tc>
          <w:tcPr>
            <w:tcW w:w="573" w:type="pct"/>
            <w:shd w:val="clear" w:color="auto" w:fill="auto"/>
            <w:noWrap/>
            <w:vAlign w:val="center"/>
            <w:hideMark/>
          </w:tcPr>
          <w:p w14:paraId="5912C47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37.350,20</w:t>
            </w:r>
          </w:p>
        </w:tc>
        <w:tc>
          <w:tcPr>
            <w:tcW w:w="573" w:type="pct"/>
            <w:shd w:val="clear" w:color="auto" w:fill="auto"/>
            <w:noWrap/>
            <w:vAlign w:val="center"/>
            <w:hideMark/>
          </w:tcPr>
          <w:p w14:paraId="4008F9E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39.838,50</w:t>
            </w:r>
          </w:p>
        </w:tc>
        <w:tc>
          <w:tcPr>
            <w:tcW w:w="573" w:type="pct"/>
            <w:shd w:val="clear" w:color="auto" w:fill="auto"/>
            <w:vAlign w:val="center"/>
            <w:hideMark/>
          </w:tcPr>
          <w:p w14:paraId="3366F9F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41.882,30</w:t>
            </w:r>
          </w:p>
        </w:tc>
      </w:tr>
      <w:tr w:rsidR="006544EB" w:rsidRPr="00360802" w14:paraId="37511082" w14:textId="77777777" w:rsidTr="00E155C1">
        <w:trPr>
          <w:trHeight w:val="315"/>
        </w:trPr>
        <w:tc>
          <w:tcPr>
            <w:tcW w:w="1561" w:type="pct"/>
            <w:shd w:val="clear" w:color="000000" w:fill="FFFFFF"/>
            <w:vAlign w:val="bottom"/>
            <w:hideMark/>
          </w:tcPr>
          <w:p w14:paraId="063B5A6E"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Porazdelitev BDV po gospodarskih sektorjih - primarni sektor (%)</w:t>
            </w:r>
          </w:p>
        </w:tc>
        <w:tc>
          <w:tcPr>
            <w:tcW w:w="573" w:type="pct"/>
            <w:shd w:val="clear" w:color="auto" w:fill="auto"/>
            <w:noWrap/>
            <w:vAlign w:val="center"/>
            <w:hideMark/>
          </w:tcPr>
          <w:p w14:paraId="2E08E389"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2,17</w:t>
            </w:r>
          </w:p>
        </w:tc>
        <w:tc>
          <w:tcPr>
            <w:tcW w:w="573" w:type="pct"/>
            <w:shd w:val="clear" w:color="auto" w:fill="auto"/>
            <w:noWrap/>
            <w:vAlign w:val="center"/>
            <w:hideMark/>
          </w:tcPr>
          <w:p w14:paraId="260DD3BD"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2,28</w:t>
            </w:r>
          </w:p>
        </w:tc>
        <w:tc>
          <w:tcPr>
            <w:tcW w:w="573" w:type="pct"/>
            <w:shd w:val="clear" w:color="auto" w:fill="auto"/>
            <w:noWrap/>
            <w:vAlign w:val="center"/>
            <w:hideMark/>
          </w:tcPr>
          <w:p w14:paraId="7B80D2B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2,31</w:t>
            </w:r>
          </w:p>
        </w:tc>
        <w:tc>
          <w:tcPr>
            <w:tcW w:w="573" w:type="pct"/>
            <w:shd w:val="clear" w:color="auto" w:fill="auto"/>
            <w:noWrap/>
            <w:vAlign w:val="center"/>
            <w:hideMark/>
          </w:tcPr>
          <w:p w14:paraId="1821E87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2,13</w:t>
            </w:r>
          </w:p>
        </w:tc>
        <w:tc>
          <w:tcPr>
            <w:tcW w:w="573" w:type="pct"/>
            <w:shd w:val="clear" w:color="auto" w:fill="auto"/>
            <w:noWrap/>
            <w:vAlign w:val="center"/>
            <w:hideMark/>
          </w:tcPr>
          <w:p w14:paraId="67DFF977"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2,42</w:t>
            </w:r>
          </w:p>
        </w:tc>
        <w:tc>
          <w:tcPr>
            <w:tcW w:w="573" w:type="pct"/>
            <w:shd w:val="clear" w:color="auto" w:fill="auto"/>
            <w:vAlign w:val="center"/>
            <w:hideMark/>
          </w:tcPr>
          <w:p w14:paraId="16723B13"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2,26</w:t>
            </w:r>
          </w:p>
        </w:tc>
      </w:tr>
      <w:tr w:rsidR="006544EB" w:rsidRPr="00360802" w14:paraId="45C16EEB" w14:textId="77777777" w:rsidTr="00E155C1">
        <w:trPr>
          <w:trHeight w:val="585"/>
        </w:trPr>
        <w:tc>
          <w:tcPr>
            <w:tcW w:w="1561" w:type="pct"/>
            <w:shd w:val="clear" w:color="000000" w:fill="FFFFFF"/>
            <w:vAlign w:val="bottom"/>
            <w:hideMark/>
          </w:tcPr>
          <w:p w14:paraId="79F02E33"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Porazdelitev BDV po gospodarskih sektorjih - sekundarni sektor (%)</w:t>
            </w:r>
          </w:p>
        </w:tc>
        <w:tc>
          <w:tcPr>
            <w:tcW w:w="573" w:type="pct"/>
            <w:shd w:val="clear" w:color="auto" w:fill="auto"/>
            <w:noWrap/>
            <w:vAlign w:val="center"/>
            <w:hideMark/>
          </w:tcPr>
          <w:p w14:paraId="0E2945A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30,41</w:t>
            </w:r>
          </w:p>
        </w:tc>
        <w:tc>
          <w:tcPr>
            <w:tcW w:w="573" w:type="pct"/>
            <w:shd w:val="clear" w:color="auto" w:fill="auto"/>
            <w:noWrap/>
            <w:vAlign w:val="center"/>
            <w:hideMark/>
          </w:tcPr>
          <w:p w14:paraId="6062CE1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31,80</w:t>
            </w:r>
          </w:p>
        </w:tc>
        <w:tc>
          <w:tcPr>
            <w:tcW w:w="573" w:type="pct"/>
            <w:shd w:val="clear" w:color="auto" w:fill="auto"/>
            <w:noWrap/>
            <w:vAlign w:val="center"/>
            <w:hideMark/>
          </w:tcPr>
          <w:p w14:paraId="49895D2A"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32,32</w:t>
            </w:r>
          </w:p>
        </w:tc>
        <w:tc>
          <w:tcPr>
            <w:tcW w:w="573" w:type="pct"/>
            <w:shd w:val="clear" w:color="auto" w:fill="auto"/>
            <w:noWrap/>
            <w:vAlign w:val="center"/>
            <w:hideMark/>
          </w:tcPr>
          <w:p w14:paraId="35C7E40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32,71</w:t>
            </w:r>
          </w:p>
        </w:tc>
        <w:tc>
          <w:tcPr>
            <w:tcW w:w="573" w:type="pct"/>
            <w:shd w:val="clear" w:color="auto" w:fill="auto"/>
            <w:noWrap/>
            <w:vAlign w:val="center"/>
            <w:hideMark/>
          </w:tcPr>
          <w:p w14:paraId="5084D815"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32,66</w:t>
            </w:r>
          </w:p>
        </w:tc>
        <w:tc>
          <w:tcPr>
            <w:tcW w:w="573" w:type="pct"/>
            <w:shd w:val="clear" w:color="auto" w:fill="auto"/>
            <w:vAlign w:val="center"/>
            <w:hideMark/>
          </w:tcPr>
          <w:p w14:paraId="1362862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32,55</w:t>
            </w:r>
          </w:p>
        </w:tc>
      </w:tr>
      <w:tr w:rsidR="006544EB" w:rsidRPr="00360802" w14:paraId="01FD586A" w14:textId="77777777" w:rsidTr="00E155C1">
        <w:trPr>
          <w:trHeight w:val="315"/>
        </w:trPr>
        <w:tc>
          <w:tcPr>
            <w:tcW w:w="1561" w:type="pct"/>
            <w:shd w:val="clear" w:color="000000" w:fill="FFFFFF"/>
            <w:vAlign w:val="bottom"/>
            <w:hideMark/>
          </w:tcPr>
          <w:p w14:paraId="42C4B8B0"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Porazdelitev BDV po gospodarskih sektorjih - terciarni sektor (%)</w:t>
            </w:r>
          </w:p>
        </w:tc>
        <w:tc>
          <w:tcPr>
            <w:tcW w:w="573" w:type="pct"/>
            <w:shd w:val="clear" w:color="auto" w:fill="auto"/>
            <w:noWrap/>
            <w:vAlign w:val="center"/>
            <w:hideMark/>
          </w:tcPr>
          <w:p w14:paraId="0FEE03F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67,42</w:t>
            </w:r>
          </w:p>
        </w:tc>
        <w:tc>
          <w:tcPr>
            <w:tcW w:w="573" w:type="pct"/>
            <w:shd w:val="clear" w:color="auto" w:fill="auto"/>
            <w:noWrap/>
            <w:vAlign w:val="center"/>
            <w:hideMark/>
          </w:tcPr>
          <w:p w14:paraId="391BE8C3"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65,92</w:t>
            </w:r>
          </w:p>
        </w:tc>
        <w:tc>
          <w:tcPr>
            <w:tcW w:w="573" w:type="pct"/>
            <w:shd w:val="clear" w:color="auto" w:fill="auto"/>
            <w:noWrap/>
            <w:vAlign w:val="center"/>
            <w:hideMark/>
          </w:tcPr>
          <w:p w14:paraId="7EBD513C"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65,37</w:t>
            </w:r>
          </w:p>
        </w:tc>
        <w:tc>
          <w:tcPr>
            <w:tcW w:w="573" w:type="pct"/>
            <w:shd w:val="clear" w:color="auto" w:fill="auto"/>
            <w:noWrap/>
            <w:vAlign w:val="center"/>
            <w:hideMark/>
          </w:tcPr>
          <w:p w14:paraId="3FE2672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65,16</w:t>
            </w:r>
          </w:p>
        </w:tc>
        <w:tc>
          <w:tcPr>
            <w:tcW w:w="573" w:type="pct"/>
            <w:shd w:val="clear" w:color="auto" w:fill="auto"/>
            <w:noWrap/>
            <w:vAlign w:val="center"/>
            <w:hideMark/>
          </w:tcPr>
          <w:p w14:paraId="6B9D1744"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64,93</w:t>
            </w:r>
          </w:p>
        </w:tc>
        <w:tc>
          <w:tcPr>
            <w:tcW w:w="573" w:type="pct"/>
            <w:shd w:val="clear" w:color="auto" w:fill="auto"/>
            <w:vAlign w:val="center"/>
            <w:hideMark/>
          </w:tcPr>
          <w:p w14:paraId="04927774"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65,19</w:t>
            </w:r>
          </w:p>
        </w:tc>
      </w:tr>
      <w:tr w:rsidR="006544EB" w:rsidRPr="00360802" w14:paraId="242B1CF6" w14:textId="77777777" w:rsidTr="00E155C1">
        <w:trPr>
          <w:trHeight w:val="315"/>
        </w:trPr>
        <w:tc>
          <w:tcPr>
            <w:tcW w:w="1561" w:type="pct"/>
            <w:shd w:val="clear" w:color="000000" w:fill="FFFFFF"/>
            <w:vAlign w:val="bottom"/>
            <w:hideMark/>
          </w:tcPr>
          <w:p w14:paraId="72BA838F"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Porazdelitev BDV po vrstah regij - vmesne regije (%)</w:t>
            </w:r>
          </w:p>
        </w:tc>
        <w:tc>
          <w:tcPr>
            <w:tcW w:w="573" w:type="pct"/>
            <w:shd w:val="clear" w:color="000000" w:fill="FFFFFF"/>
            <w:noWrap/>
            <w:vAlign w:val="center"/>
            <w:hideMark/>
          </w:tcPr>
          <w:p w14:paraId="7855EAC6"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50,56</w:t>
            </w:r>
          </w:p>
        </w:tc>
        <w:tc>
          <w:tcPr>
            <w:tcW w:w="573" w:type="pct"/>
            <w:shd w:val="clear" w:color="000000" w:fill="FFFFFF"/>
            <w:noWrap/>
            <w:vAlign w:val="center"/>
            <w:hideMark/>
          </w:tcPr>
          <w:p w14:paraId="131CA87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50,24</w:t>
            </w:r>
          </w:p>
        </w:tc>
        <w:tc>
          <w:tcPr>
            <w:tcW w:w="573" w:type="pct"/>
            <w:shd w:val="clear" w:color="000000" w:fill="FFFFFF"/>
            <w:noWrap/>
            <w:vAlign w:val="center"/>
            <w:hideMark/>
          </w:tcPr>
          <w:p w14:paraId="4D76A9ED"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51,04</w:t>
            </w:r>
          </w:p>
        </w:tc>
        <w:tc>
          <w:tcPr>
            <w:tcW w:w="573" w:type="pct"/>
            <w:shd w:val="clear" w:color="auto" w:fill="auto"/>
            <w:noWrap/>
            <w:vAlign w:val="center"/>
            <w:hideMark/>
          </w:tcPr>
          <w:p w14:paraId="5C61CFB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51,31</w:t>
            </w:r>
          </w:p>
        </w:tc>
        <w:tc>
          <w:tcPr>
            <w:tcW w:w="573" w:type="pct"/>
            <w:shd w:val="clear" w:color="auto" w:fill="auto"/>
            <w:noWrap/>
            <w:vAlign w:val="center"/>
            <w:hideMark/>
          </w:tcPr>
          <w:p w14:paraId="2F6BCCB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vAlign w:val="center"/>
            <w:hideMark/>
          </w:tcPr>
          <w:p w14:paraId="559A869D"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6903C16D" w14:textId="77777777" w:rsidTr="00E155C1">
        <w:trPr>
          <w:trHeight w:val="366"/>
        </w:trPr>
        <w:tc>
          <w:tcPr>
            <w:tcW w:w="1561" w:type="pct"/>
            <w:shd w:val="clear" w:color="auto" w:fill="auto"/>
            <w:vAlign w:val="bottom"/>
            <w:hideMark/>
          </w:tcPr>
          <w:p w14:paraId="7A745E31"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Porazdelitev BDV po vrstah regij - podeželske regije (%)</w:t>
            </w:r>
          </w:p>
        </w:tc>
        <w:tc>
          <w:tcPr>
            <w:tcW w:w="573" w:type="pct"/>
            <w:shd w:val="clear" w:color="000000" w:fill="FFFFFF"/>
            <w:noWrap/>
            <w:vAlign w:val="center"/>
            <w:hideMark/>
          </w:tcPr>
          <w:p w14:paraId="5D4E6C1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49,10</w:t>
            </w:r>
          </w:p>
        </w:tc>
        <w:tc>
          <w:tcPr>
            <w:tcW w:w="573" w:type="pct"/>
            <w:shd w:val="clear" w:color="000000" w:fill="FFFFFF"/>
            <w:noWrap/>
            <w:vAlign w:val="center"/>
            <w:hideMark/>
          </w:tcPr>
          <w:p w14:paraId="2495BCF2"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49,08</w:t>
            </w:r>
          </w:p>
        </w:tc>
        <w:tc>
          <w:tcPr>
            <w:tcW w:w="573" w:type="pct"/>
            <w:shd w:val="clear" w:color="000000" w:fill="FFFFFF"/>
            <w:noWrap/>
            <w:vAlign w:val="center"/>
            <w:hideMark/>
          </w:tcPr>
          <w:p w14:paraId="1F7E5CCB"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48,94</w:t>
            </w:r>
          </w:p>
        </w:tc>
        <w:tc>
          <w:tcPr>
            <w:tcW w:w="573" w:type="pct"/>
            <w:shd w:val="clear" w:color="auto" w:fill="auto"/>
            <w:noWrap/>
            <w:vAlign w:val="center"/>
            <w:hideMark/>
          </w:tcPr>
          <w:p w14:paraId="4DBA992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48,73</w:t>
            </w:r>
          </w:p>
        </w:tc>
        <w:tc>
          <w:tcPr>
            <w:tcW w:w="573" w:type="pct"/>
            <w:shd w:val="clear" w:color="auto" w:fill="auto"/>
            <w:noWrap/>
            <w:vAlign w:val="center"/>
            <w:hideMark/>
          </w:tcPr>
          <w:p w14:paraId="0A928354"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vAlign w:val="center"/>
            <w:hideMark/>
          </w:tcPr>
          <w:p w14:paraId="31C4E14B"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62163F4A" w14:textId="77777777" w:rsidTr="00E155C1">
        <w:trPr>
          <w:trHeight w:val="729"/>
        </w:trPr>
        <w:tc>
          <w:tcPr>
            <w:tcW w:w="1561" w:type="pct"/>
            <w:shd w:val="clear" w:color="000000" w:fill="FFFFFF"/>
            <w:vAlign w:val="bottom"/>
            <w:hideMark/>
          </w:tcPr>
          <w:p w14:paraId="05575160"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 xml:space="preserve">BDV za primarne proizvajalce v prehranski verigi </w:t>
            </w:r>
            <w:r w:rsidRPr="00E155C1">
              <w:rPr>
                <w:color w:val="000000"/>
                <w:sz w:val="18"/>
                <w:szCs w:val="20"/>
                <w:lang w:eastAsia="sl-SI"/>
              </w:rPr>
              <w:br/>
              <w:t>delež kmetijstva v skupni dodani vrednosti (%)</w:t>
            </w:r>
          </w:p>
        </w:tc>
        <w:tc>
          <w:tcPr>
            <w:tcW w:w="573" w:type="pct"/>
            <w:shd w:val="clear" w:color="auto" w:fill="auto"/>
            <w:noWrap/>
            <w:vAlign w:val="center"/>
            <w:hideMark/>
          </w:tcPr>
          <w:p w14:paraId="01D98D8C"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29,18</w:t>
            </w:r>
          </w:p>
        </w:tc>
        <w:tc>
          <w:tcPr>
            <w:tcW w:w="573" w:type="pct"/>
            <w:shd w:val="clear" w:color="auto" w:fill="auto"/>
            <w:noWrap/>
            <w:vAlign w:val="center"/>
            <w:hideMark/>
          </w:tcPr>
          <w:p w14:paraId="1217D3C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30,41</w:t>
            </w:r>
          </w:p>
        </w:tc>
        <w:tc>
          <w:tcPr>
            <w:tcW w:w="573" w:type="pct"/>
            <w:shd w:val="clear" w:color="auto" w:fill="auto"/>
            <w:noWrap/>
            <w:vAlign w:val="center"/>
            <w:hideMark/>
          </w:tcPr>
          <w:p w14:paraId="372461AC"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30,01</w:t>
            </w:r>
          </w:p>
        </w:tc>
        <w:tc>
          <w:tcPr>
            <w:tcW w:w="573" w:type="pct"/>
            <w:shd w:val="clear" w:color="auto" w:fill="auto"/>
            <w:noWrap/>
            <w:vAlign w:val="center"/>
            <w:hideMark/>
          </w:tcPr>
          <w:p w14:paraId="09C3CEF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27,88</w:t>
            </w:r>
          </w:p>
        </w:tc>
        <w:tc>
          <w:tcPr>
            <w:tcW w:w="573" w:type="pct"/>
            <w:shd w:val="clear" w:color="auto" w:fill="auto"/>
            <w:noWrap/>
            <w:vAlign w:val="center"/>
            <w:hideMark/>
          </w:tcPr>
          <w:p w14:paraId="37E6A3A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noWrap/>
            <w:vAlign w:val="center"/>
            <w:hideMark/>
          </w:tcPr>
          <w:p w14:paraId="26212F09"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2A17C3FE" w14:textId="77777777" w:rsidTr="00E155C1">
        <w:trPr>
          <w:trHeight w:val="315"/>
        </w:trPr>
        <w:tc>
          <w:tcPr>
            <w:tcW w:w="1561" w:type="pct"/>
            <w:shd w:val="clear" w:color="auto" w:fill="auto"/>
            <w:vAlign w:val="bottom"/>
            <w:hideMark/>
          </w:tcPr>
          <w:p w14:paraId="72F0A0CE"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dodana vrednost - storitve oskrbe s hrano in pijačami  (mio EUR)</w:t>
            </w:r>
          </w:p>
        </w:tc>
        <w:tc>
          <w:tcPr>
            <w:tcW w:w="573" w:type="pct"/>
            <w:shd w:val="clear" w:color="auto" w:fill="auto"/>
            <w:noWrap/>
            <w:vAlign w:val="center"/>
            <w:hideMark/>
          </w:tcPr>
          <w:p w14:paraId="1455F7B3"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308,30</w:t>
            </w:r>
          </w:p>
        </w:tc>
        <w:tc>
          <w:tcPr>
            <w:tcW w:w="573" w:type="pct"/>
            <w:shd w:val="clear" w:color="auto" w:fill="auto"/>
            <w:noWrap/>
            <w:vAlign w:val="center"/>
            <w:hideMark/>
          </w:tcPr>
          <w:p w14:paraId="410C410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306,60</w:t>
            </w:r>
          </w:p>
        </w:tc>
        <w:tc>
          <w:tcPr>
            <w:tcW w:w="573" w:type="pct"/>
            <w:shd w:val="clear" w:color="auto" w:fill="auto"/>
            <w:noWrap/>
            <w:vAlign w:val="center"/>
            <w:hideMark/>
          </w:tcPr>
          <w:p w14:paraId="0E288450"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408,60</w:t>
            </w:r>
          </w:p>
        </w:tc>
        <w:tc>
          <w:tcPr>
            <w:tcW w:w="573" w:type="pct"/>
            <w:shd w:val="clear" w:color="auto" w:fill="auto"/>
            <w:noWrap/>
            <w:vAlign w:val="center"/>
            <w:hideMark/>
          </w:tcPr>
          <w:p w14:paraId="4368BCD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442,10</w:t>
            </w:r>
          </w:p>
        </w:tc>
        <w:tc>
          <w:tcPr>
            <w:tcW w:w="573" w:type="pct"/>
            <w:shd w:val="clear" w:color="auto" w:fill="auto"/>
            <w:noWrap/>
            <w:vAlign w:val="center"/>
            <w:hideMark/>
          </w:tcPr>
          <w:p w14:paraId="242069E8"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noWrap/>
            <w:vAlign w:val="center"/>
            <w:hideMark/>
          </w:tcPr>
          <w:p w14:paraId="0A8BA3C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5505CD79" w14:textId="77777777" w:rsidTr="00E155C1">
        <w:trPr>
          <w:trHeight w:val="315"/>
        </w:trPr>
        <w:tc>
          <w:tcPr>
            <w:tcW w:w="1561" w:type="pct"/>
            <w:shd w:val="clear" w:color="auto" w:fill="auto"/>
            <w:vAlign w:val="bottom"/>
            <w:hideMark/>
          </w:tcPr>
          <w:p w14:paraId="1F4A4E74"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dodana vrednost - distribucija hrane in pijač  (mio EUR)</w:t>
            </w:r>
          </w:p>
        </w:tc>
        <w:tc>
          <w:tcPr>
            <w:tcW w:w="573" w:type="pct"/>
            <w:shd w:val="clear" w:color="auto" w:fill="auto"/>
            <w:noWrap/>
            <w:vAlign w:val="center"/>
            <w:hideMark/>
          </w:tcPr>
          <w:p w14:paraId="00B06BEC"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770,80</w:t>
            </w:r>
          </w:p>
        </w:tc>
        <w:tc>
          <w:tcPr>
            <w:tcW w:w="573" w:type="pct"/>
            <w:shd w:val="clear" w:color="auto" w:fill="auto"/>
            <w:noWrap/>
            <w:vAlign w:val="center"/>
            <w:hideMark/>
          </w:tcPr>
          <w:p w14:paraId="0B28DD8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755,40</w:t>
            </w:r>
          </w:p>
        </w:tc>
        <w:tc>
          <w:tcPr>
            <w:tcW w:w="573" w:type="pct"/>
            <w:shd w:val="clear" w:color="auto" w:fill="auto"/>
            <w:noWrap/>
            <w:vAlign w:val="center"/>
            <w:hideMark/>
          </w:tcPr>
          <w:p w14:paraId="39C8597E"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758,10</w:t>
            </w:r>
          </w:p>
        </w:tc>
        <w:tc>
          <w:tcPr>
            <w:tcW w:w="573" w:type="pct"/>
            <w:shd w:val="clear" w:color="auto" w:fill="auto"/>
            <w:noWrap/>
            <w:vAlign w:val="center"/>
            <w:hideMark/>
          </w:tcPr>
          <w:p w14:paraId="561E11F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812,10</w:t>
            </w:r>
          </w:p>
        </w:tc>
        <w:tc>
          <w:tcPr>
            <w:tcW w:w="573" w:type="pct"/>
            <w:shd w:val="clear" w:color="auto" w:fill="auto"/>
            <w:noWrap/>
            <w:vAlign w:val="center"/>
            <w:hideMark/>
          </w:tcPr>
          <w:p w14:paraId="5AA55647"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noWrap/>
            <w:vAlign w:val="center"/>
            <w:hideMark/>
          </w:tcPr>
          <w:p w14:paraId="13EBB830"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30A62AA0" w14:textId="77777777" w:rsidTr="00E155C1">
        <w:trPr>
          <w:trHeight w:val="315"/>
        </w:trPr>
        <w:tc>
          <w:tcPr>
            <w:tcW w:w="1561" w:type="pct"/>
            <w:shd w:val="clear" w:color="auto" w:fill="auto"/>
            <w:vAlign w:val="bottom"/>
            <w:hideMark/>
          </w:tcPr>
          <w:p w14:paraId="0B2E0C71"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dodana vrednost - proizvodnja hrane in pijač  (mio EUR)</w:t>
            </w:r>
          </w:p>
        </w:tc>
        <w:tc>
          <w:tcPr>
            <w:tcW w:w="573" w:type="pct"/>
            <w:shd w:val="clear" w:color="auto" w:fill="auto"/>
            <w:noWrap/>
            <w:vAlign w:val="center"/>
            <w:hideMark/>
          </w:tcPr>
          <w:p w14:paraId="009FF8FC"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470,60</w:t>
            </w:r>
          </w:p>
        </w:tc>
        <w:tc>
          <w:tcPr>
            <w:tcW w:w="573" w:type="pct"/>
            <w:shd w:val="clear" w:color="auto" w:fill="auto"/>
            <w:noWrap/>
            <w:vAlign w:val="center"/>
            <w:hideMark/>
          </w:tcPr>
          <w:p w14:paraId="141F9C4A"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439,70</w:t>
            </w:r>
          </w:p>
        </w:tc>
        <w:tc>
          <w:tcPr>
            <w:tcW w:w="573" w:type="pct"/>
            <w:shd w:val="clear" w:color="auto" w:fill="auto"/>
            <w:noWrap/>
            <w:vAlign w:val="center"/>
            <w:hideMark/>
          </w:tcPr>
          <w:p w14:paraId="1BBB73F7"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523,40</w:t>
            </w:r>
          </w:p>
        </w:tc>
        <w:tc>
          <w:tcPr>
            <w:tcW w:w="573" w:type="pct"/>
            <w:shd w:val="clear" w:color="auto" w:fill="auto"/>
            <w:noWrap/>
            <w:vAlign w:val="center"/>
            <w:hideMark/>
          </w:tcPr>
          <w:p w14:paraId="015C88BD"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543,30</w:t>
            </w:r>
          </w:p>
        </w:tc>
        <w:tc>
          <w:tcPr>
            <w:tcW w:w="573" w:type="pct"/>
            <w:shd w:val="clear" w:color="auto" w:fill="auto"/>
            <w:noWrap/>
            <w:vAlign w:val="center"/>
            <w:hideMark/>
          </w:tcPr>
          <w:p w14:paraId="55F666C1"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noWrap/>
            <w:vAlign w:val="center"/>
            <w:hideMark/>
          </w:tcPr>
          <w:p w14:paraId="68D0E320"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r w:rsidR="006544EB" w:rsidRPr="00360802" w14:paraId="10ED58F2" w14:textId="77777777" w:rsidTr="00E155C1">
        <w:trPr>
          <w:trHeight w:val="315"/>
        </w:trPr>
        <w:tc>
          <w:tcPr>
            <w:tcW w:w="1561" w:type="pct"/>
            <w:shd w:val="clear" w:color="auto" w:fill="auto"/>
            <w:vAlign w:val="bottom"/>
            <w:hideMark/>
          </w:tcPr>
          <w:p w14:paraId="2509EEA5" w14:textId="77777777" w:rsidR="006544EB" w:rsidRPr="00E155C1" w:rsidRDefault="006544EB" w:rsidP="00E155C1">
            <w:pPr>
              <w:keepNext/>
              <w:keepLines/>
              <w:jc w:val="left"/>
              <w:rPr>
                <w:color w:val="000000"/>
                <w:sz w:val="18"/>
                <w:szCs w:val="20"/>
                <w:lang w:eastAsia="sl-SI"/>
              </w:rPr>
            </w:pPr>
            <w:r w:rsidRPr="00E155C1">
              <w:rPr>
                <w:color w:val="000000"/>
                <w:sz w:val="18"/>
                <w:szCs w:val="20"/>
                <w:lang w:eastAsia="sl-SI"/>
              </w:rPr>
              <w:t>dodana vrednost - primarna proizvodnja (mio EUR)</w:t>
            </w:r>
          </w:p>
        </w:tc>
        <w:tc>
          <w:tcPr>
            <w:tcW w:w="573" w:type="pct"/>
            <w:shd w:val="clear" w:color="auto" w:fill="auto"/>
            <w:noWrap/>
            <w:vAlign w:val="center"/>
            <w:hideMark/>
          </w:tcPr>
          <w:p w14:paraId="0914F867"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638,50</w:t>
            </w:r>
          </w:p>
        </w:tc>
        <w:tc>
          <w:tcPr>
            <w:tcW w:w="573" w:type="pct"/>
            <w:shd w:val="clear" w:color="auto" w:fill="auto"/>
            <w:noWrap/>
            <w:vAlign w:val="center"/>
            <w:hideMark/>
          </w:tcPr>
          <w:p w14:paraId="048A2D56"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656,11</w:t>
            </w:r>
          </w:p>
        </w:tc>
        <w:tc>
          <w:tcPr>
            <w:tcW w:w="573" w:type="pct"/>
            <w:shd w:val="clear" w:color="auto" w:fill="auto"/>
            <w:noWrap/>
            <w:vAlign w:val="center"/>
            <w:hideMark/>
          </w:tcPr>
          <w:p w14:paraId="43F9EC45"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724,63</w:t>
            </w:r>
          </w:p>
        </w:tc>
        <w:tc>
          <w:tcPr>
            <w:tcW w:w="573" w:type="pct"/>
            <w:shd w:val="clear" w:color="auto" w:fill="auto"/>
            <w:noWrap/>
            <w:vAlign w:val="center"/>
            <w:hideMark/>
          </w:tcPr>
          <w:p w14:paraId="65E9FD76"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694,93</w:t>
            </w:r>
          </w:p>
        </w:tc>
        <w:tc>
          <w:tcPr>
            <w:tcW w:w="573" w:type="pct"/>
            <w:shd w:val="clear" w:color="auto" w:fill="auto"/>
            <w:noWrap/>
            <w:vAlign w:val="center"/>
            <w:hideMark/>
          </w:tcPr>
          <w:p w14:paraId="5CAD955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c>
          <w:tcPr>
            <w:tcW w:w="573" w:type="pct"/>
            <w:shd w:val="clear" w:color="auto" w:fill="auto"/>
            <w:noWrap/>
            <w:vAlign w:val="center"/>
            <w:hideMark/>
          </w:tcPr>
          <w:p w14:paraId="0A4840DF" w14:textId="77777777" w:rsidR="006544EB" w:rsidRPr="00E155C1" w:rsidRDefault="006544EB" w:rsidP="006544EB">
            <w:pPr>
              <w:keepNext/>
              <w:keepLines/>
              <w:jc w:val="right"/>
              <w:rPr>
                <w:color w:val="000000"/>
                <w:sz w:val="18"/>
                <w:szCs w:val="20"/>
                <w:lang w:eastAsia="sl-SI"/>
              </w:rPr>
            </w:pPr>
            <w:r w:rsidRPr="00E155C1">
              <w:rPr>
                <w:color w:val="000000"/>
                <w:sz w:val="18"/>
                <w:szCs w:val="20"/>
                <w:lang w:eastAsia="sl-SI"/>
              </w:rPr>
              <w:t>-</w:t>
            </w:r>
          </w:p>
        </w:tc>
      </w:tr>
    </w:tbl>
    <w:p w14:paraId="2104C2BF" w14:textId="77777777" w:rsidR="00EC2DD0" w:rsidRPr="00E73231" w:rsidRDefault="00EC2DD0" w:rsidP="00EC2DD0">
      <w:pPr>
        <w:keepNext/>
        <w:keepLines/>
        <w:autoSpaceDE w:val="0"/>
        <w:autoSpaceDN w:val="0"/>
        <w:adjustRightInd w:val="0"/>
        <w:rPr>
          <w:sz w:val="16"/>
          <w:szCs w:val="16"/>
        </w:rPr>
      </w:pPr>
      <w:r w:rsidRPr="00E73231">
        <w:rPr>
          <w:sz w:val="16"/>
          <w:szCs w:val="16"/>
        </w:rPr>
        <w:t>Vir: EUROSTAT</w:t>
      </w:r>
    </w:p>
    <w:p w14:paraId="5C0176CE" w14:textId="77777777" w:rsidR="006544EB" w:rsidRDefault="006544EB" w:rsidP="005B2A49">
      <w:pPr>
        <w:pStyle w:val="Odstavek1"/>
      </w:pPr>
    </w:p>
    <w:p w14:paraId="119E1142" w14:textId="57B28082" w:rsidR="006544EB" w:rsidRDefault="006544EB" w:rsidP="005B2A49">
      <w:pPr>
        <w:pStyle w:val="Odstavek1"/>
      </w:pPr>
      <w:r w:rsidRPr="003344A4">
        <w:t xml:space="preserve">Delež kmetijstva v skupni dodani vrednosti BDV za primarne proizvajalce v prehranski verigi se giblje okoli 30 %. Kljub majhnemu ekonomskemu deležu kmetijstva v celotni BDV slovenskega gospodarstva je ta gospodarski sektor strateško pomemben z vidika varnosti preskrbe s kakovostno, zdravo hrano ter upravljanja z naravnimi viri in zagotavljanja družbeni-ekonomskih funkcij, kot je obdelanost in poseljenost podeželja. </w:t>
      </w:r>
    </w:p>
    <w:p w14:paraId="1B2CFDE9" w14:textId="77777777" w:rsidR="00A5430C" w:rsidRPr="003344A4" w:rsidRDefault="00A5430C" w:rsidP="006544EB">
      <w:pPr>
        <w:spacing w:line="360" w:lineRule="auto"/>
      </w:pPr>
    </w:p>
    <w:p w14:paraId="7808C174" w14:textId="296C6D87" w:rsidR="006544EB" w:rsidRPr="00E155C1" w:rsidRDefault="006544EB" w:rsidP="002E5901">
      <w:pPr>
        <w:pStyle w:val="SCSlika0"/>
        <w:rPr>
          <w:sz w:val="20"/>
          <w:shd w:val="clear" w:color="auto" w:fill="FCFCFC"/>
        </w:rPr>
      </w:pPr>
      <w:bookmarkStart w:id="27" w:name="_Toc40959324"/>
      <w:bookmarkStart w:id="28" w:name="_Toc55913762"/>
      <w:bookmarkStart w:id="29" w:name="_Toc89851044"/>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88117A" w:rsidRPr="00E155C1">
        <w:rPr>
          <w:noProof/>
          <w:sz w:val="20"/>
        </w:rPr>
        <w:t>2</w:t>
      </w:r>
      <w:r w:rsidR="009F2591" w:rsidRPr="00E155C1">
        <w:rPr>
          <w:noProof/>
          <w:sz w:val="20"/>
        </w:rPr>
        <w:fldChar w:fldCharType="end"/>
      </w:r>
      <w:r w:rsidRPr="00E155C1">
        <w:rPr>
          <w:sz w:val="20"/>
        </w:rPr>
        <w:t>: Delež bruto dodane vrednosti (BDV) kmetijstva, gozdarstva in ribištva v skupni BDV,</w:t>
      </w:r>
      <w:r w:rsidR="002E5901" w:rsidRPr="00E155C1">
        <w:rPr>
          <w:sz w:val="20"/>
        </w:rPr>
        <w:t xml:space="preserve"> </w:t>
      </w:r>
      <w:r w:rsidRPr="00E155C1">
        <w:rPr>
          <w:sz w:val="20"/>
        </w:rPr>
        <w:t>Slovenija in EU-28 – tekoče cene</w:t>
      </w:r>
      <w:bookmarkEnd w:id="27"/>
      <w:bookmarkEnd w:id="28"/>
      <w:bookmarkEnd w:id="29"/>
    </w:p>
    <w:p w14:paraId="02F26CFD" w14:textId="77777777" w:rsidR="006544EB" w:rsidRPr="003344A4" w:rsidRDefault="006544EB" w:rsidP="006544EB">
      <w:pPr>
        <w:jc w:val="center"/>
        <w:rPr>
          <w:rFonts w:eastAsia="Calibri"/>
          <w:szCs w:val="20"/>
        </w:rPr>
      </w:pPr>
      <w:r w:rsidRPr="003344A4">
        <w:rPr>
          <w:noProof/>
          <w:lang w:eastAsia="sl-SI"/>
        </w:rPr>
        <w:drawing>
          <wp:inline distT="0" distB="0" distL="0" distR="0" wp14:anchorId="5F88E97F" wp14:editId="2272A16D">
            <wp:extent cx="5200650" cy="2295525"/>
            <wp:effectExtent l="0" t="0" r="0"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4BE47A" w14:textId="77777777" w:rsidR="006544EB" w:rsidRPr="0022611B" w:rsidRDefault="006544EB" w:rsidP="006544EB">
      <w:pPr>
        <w:rPr>
          <w:sz w:val="16"/>
          <w:szCs w:val="16"/>
        </w:rPr>
      </w:pPr>
      <w:r w:rsidRPr="0022611B">
        <w:rPr>
          <w:sz w:val="16"/>
          <w:szCs w:val="16"/>
        </w:rPr>
        <w:t>Vir: EUROSTAT [nama_10_a10]</w:t>
      </w:r>
    </w:p>
    <w:p w14:paraId="70396CE5" w14:textId="77777777" w:rsidR="006544EB" w:rsidRDefault="006544EB" w:rsidP="005B2A49">
      <w:pPr>
        <w:pStyle w:val="Odstavek1"/>
      </w:pPr>
    </w:p>
    <w:p w14:paraId="4EAFDBD9" w14:textId="70749E62" w:rsidR="00EC2DD0" w:rsidRDefault="00EC2DD0" w:rsidP="005B2A49">
      <w:pPr>
        <w:pStyle w:val="Odstavek1"/>
      </w:pPr>
      <w:r w:rsidRPr="00DE12FE">
        <w:t>V letu 2019 je delovalo 67.178 gospodarskih družb in zadrug. Samostojnih podjetnikov je bilo 52.713. Po podatkih Poslovnega registra Slovenije je bilo v letu 2019 ustanovljenih 3.988 družb. Družbe, ki so poslovale v letu 2019, so zaposlovale 519.505 zaposlenih, kar je za 5 % več zaposlenih kot v predhodnem letu. Največji delež predstavljajo mikro družbe (85,1 %), ki so imele 18,3 % vseh zaposlenih, sledi delež majhnih (12,6 %), ki so imele 27,2 % vseh zaposlenih, in srednjih družb (1,6 %), ki so imele 20,2 % vseh zaposlenih. Najmanj je velikih družb (0,6 %), vendar zaposlujejo največ zaposlenih (34,3 % vseh) in so v letu 2019 tudi najbolj odločilno vplivale na izboljšanje rezultatov poslovanja družb.</w:t>
      </w:r>
    </w:p>
    <w:p w14:paraId="61F0D73F" w14:textId="77777777" w:rsidR="00AF3297" w:rsidRPr="00DE12FE" w:rsidRDefault="00AF3297" w:rsidP="005B2A49">
      <w:pPr>
        <w:pStyle w:val="Odstavek1"/>
      </w:pPr>
    </w:p>
    <w:p w14:paraId="4B91F217" w14:textId="77777777" w:rsidR="00EC2DD0" w:rsidRDefault="00EC2DD0" w:rsidP="005B2A49">
      <w:pPr>
        <w:pStyle w:val="Odstavek1"/>
      </w:pPr>
      <w:r w:rsidRPr="00DE12FE">
        <w:t>V letu 2018 je v Sloveniji poslovalo 200.174 podjetij. Zaposlovala so 914.224 oseb in ustvarila 117.041 milijonov EUR prihodka. Vrednosti vseh navedenih podatkov so bile višje kot v prejšnjem letu, tj. v letu 2017: število podjetij je bilo višje za 2,3 %, število oseb, ki delajo, za 3,7 %, ustvarjeni prihodek pa za 7,5 %. Z vidika velikosti podjetij (glede na število oseb, ki delajo) se je v letu 2018 največ podjetij, ki so poslovala v 2018, uvrščalo med mikropodjetja (94,9 %); to so podjetja, ki zaposlujejo manj kot 10 oseb. Kljub temu so največji del prihodka ustvarila sicer manj številna srednje velika in velika podjetja, tj. podjetja, ki zaposlujejo najmanj</w:t>
      </w:r>
      <w:r w:rsidRPr="00146602">
        <w:t xml:space="preserve"> 50 oseb. Srednje velika podjetja so ustvarila 23,7 % prihodka, velika pa 35,5 % prihodka; zaposlovala pa so skupaj več kot polovico vseh oseb, ki so delale v podjetjih (54,3 %).</w:t>
      </w:r>
    </w:p>
    <w:p w14:paraId="4F607A40" w14:textId="77777777" w:rsidR="00C80370" w:rsidRDefault="00C80370" w:rsidP="005B2A49"/>
    <w:p w14:paraId="01ACD664" w14:textId="5340B110" w:rsidR="00C80370" w:rsidRPr="00F20823" w:rsidRDefault="00CE540D" w:rsidP="005B2A49">
      <w:pPr>
        <w:pStyle w:val="Naslov2"/>
      </w:pPr>
      <w:bookmarkStart w:id="30" w:name="_Toc90462209"/>
      <w:r w:rsidRPr="00F20823">
        <w:t>Stanje kmetijstva v Sloveniji</w:t>
      </w:r>
      <w:bookmarkEnd w:id="30"/>
    </w:p>
    <w:p w14:paraId="22CDC36B" w14:textId="77777777" w:rsidR="00275988" w:rsidRDefault="00275988" w:rsidP="005B2A49"/>
    <w:p w14:paraId="6D81274F" w14:textId="34D92F4F" w:rsidR="003908E7" w:rsidRDefault="00275988" w:rsidP="005B2A49">
      <w:pPr>
        <w:rPr>
          <w:lang w:eastAsia="en-US"/>
        </w:rPr>
      </w:pPr>
      <w:r w:rsidRPr="005B2A49">
        <w:rPr>
          <w:lang w:eastAsia="en-US"/>
        </w:rPr>
        <w:t>Za slovensko kmetijstvo je značilna izrazito neugodna agrarna struktura in težji pogoji kmetovanja</w:t>
      </w:r>
      <w:r w:rsidR="00C034D4">
        <w:rPr>
          <w:lang w:eastAsia="en-US"/>
        </w:rPr>
        <w:t xml:space="preserve"> glede na ostale države članice EU-27. </w:t>
      </w:r>
      <w:r w:rsidR="00FD2278">
        <w:rPr>
          <w:lang w:eastAsia="en-US"/>
        </w:rPr>
        <w:t xml:space="preserve">Povzemajoč iz analize stanja za cilj 1, 4 in 7 </w:t>
      </w:r>
      <w:r w:rsidR="00C034D4">
        <w:rPr>
          <w:lang w:eastAsia="en-US"/>
        </w:rPr>
        <w:t>so v nadaljevanju predstavljena nekatera ključna dejstva, ki vplivajo na konkurenčnost slovenskega kmetijstva</w:t>
      </w:r>
      <w:r w:rsidR="003908E7">
        <w:rPr>
          <w:lang w:eastAsia="en-US"/>
        </w:rPr>
        <w:t>.</w:t>
      </w:r>
    </w:p>
    <w:p w14:paraId="5A5321CA" w14:textId="2F796B00" w:rsidR="003908E7" w:rsidRPr="00E155C1" w:rsidRDefault="003908E7" w:rsidP="003908E7">
      <w:pPr>
        <w:rPr>
          <w:b/>
          <w:lang w:eastAsia="en-US"/>
        </w:rPr>
      </w:pPr>
      <w:r w:rsidRPr="00E155C1">
        <w:rPr>
          <w:b/>
        </w:rPr>
        <w:t>Kmetijske površine</w:t>
      </w:r>
    </w:p>
    <w:p w14:paraId="775B6956" w14:textId="77777777" w:rsidR="003908E7" w:rsidRPr="004B07DA" w:rsidRDefault="003908E7" w:rsidP="005B2A49">
      <w:pPr>
        <w:rPr>
          <w:szCs w:val="22"/>
        </w:rPr>
      </w:pPr>
      <w:r w:rsidRPr="00E53EB6">
        <w:rPr>
          <w:szCs w:val="22"/>
        </w:rPr>
        <w:t xml:space="preserve">Tretjina površja države (34 %) je namenjenega pretežno kmetijskim površinam. Površina skupnih kmetijskih zemljišč v uporabi v Sloveniji od leta 2005 do leta 2012 sicer nekoliko niha, kasneje je skupna kmetijska površina stabilna in se giblje pri okoli 480.000 ha. </w:t>
      </w:r>
    </w:p>
    <w:p w14:paraId="1B5CAF38" w14:textId="77777777" w:rsidR="003908E7" w:rsidRPr="00851FFE" w:rsidRDefault="003908E7" w:rsidP="003908E7">
      <w:pPr>
        <w:rPr>
          <w:szCs w:val="22"/>
          <w:lang w:eastAsia="sl-SI"/>
        </w:rPr>
      </w:pPr>
      <w:r w:rsidRPr="004B07DA">
        <w:rPr>
          <w:szCs w:val="22"/>
          <w:lang w:eastAsia="sl-SI"/>
        </w:rPr>
        <w:t xml:space="preserve">V povprečju je v obdobju med letoma 2005 in 2019 delež ornih površin predstavljal 36 %, delež trajnega </w:t>
      </w:r>
      <w:r w:rsidRPr="0083583E">
        <w:rPr>
          <w:szCs w:val="22"/>
          <w:lang w:eastAsia="sl-SI"/>
        </w:rPr>
        <w:t>travinja 58 % in delež trajnih nasadov 6 % od skupnih kmetijskih zemljišč v uporabi</w:t>
      </w:r>
      <w:r w:rsidRPr="00851FFE">
        <w:rPr>
          <w:szCs w:val="22"/>
          <w:lang w:eastAsia="sl-SI"/>
        </w:rPr>
        <w:t xml:space="preserve">. Primerjava z EU povprečjem pokaže, da je v Sloveniji delež trajnega travinja bistveno večji, delež ornih površin bistveno manjši ter delež nasadov primerljiv. V strukturi rabe kmetijske zemlje v EU (povprečje 2015-2019) tako predstavljajo orne površine 62 % (v Sloveniji: 36 %), trajno travinje 31 % (v Sloveniji: 58 %) in trajni nasadi dobrih 7 % (v Sloveniji: slabih 6 %) (Kazalnik C.17). </w:t>
      </w:r>
    </w:p>
    <w:p w14:paraId="08615955" w14:textId="77777777" w:rsidR="003908E7" w:rsidRPr="00986668" w:rsidRDefault="003908E7" w:rsidP="00E155C1">
      <w:pPr>
        <w:pStyle w:val="Odstavek1"/>
        <w:rPr>
          <w:szCs w:val="22"/>
        </w:rPr>
      </w:pPr>
    </w:p>
    <w:p w14:paraId="3A82031A" w14:textId="0AF8B288" w:rsidR="003908E7" w:rsidRPr="00396EB7" w:rsidRDefault="003908E7" w:rsidP="00E155C1">
      <w:pPr>
        <w:pStyle w:val="Odstavek1"/>
        <w:rPr>
          <w:szCs w:val="22"/>
        </w:rPr>
      </w:pPr>
      <w:r w:rsidRPr="00165283">
        <w:rPr>
          <w:szCs w:val="22"/>
          <w:lang w:eastAsia="sl-SI"/>
        </w:rPr>
        <w:t>Velika večina kmetijskih površin</w:t>
      </w:r>
      <w:r w:rsidRPr="005A712B">
        <w:rPr>
          <w:szCs w:val="22"/>
          <w:lang w:eastAsia="sl-SI"/>
        </w:rPr>
        <w:t xml:space="preserve"> v Sloveniji se torej uporablja kot trajni travnik ali pašnik. To dejstvo je posledica velike reliefne razgibanosti slovenskega prostora, kjer ravninska območja v obliki sklenjenih dolin in kotlin predstavljajo le slabih 20 % vsega ozemlja.</w:t>
      </w:r>
      <w:r w:rsidRPr="0048510D">
        <w:rPr>
          <w:szCs w:val="22"/>
        </w:rPr>
        <w:t xml:space="preserve"> V teh ravninskih območjih se pretežno nahajajo njivske površine.</w:t>
      </w:r>
    </w:p>
    <w:p w14:paraId="234BE9D1" w14:textId="77777777" w:rsidR="003908E7" w:rsidRPr="00E155C1" w:rsidRDefault="003908E7" w:rsidP="00E155C1">
      <w:pPr>
        <w:pStyle w:val="Odstavek1"/>
        <w:rPr>
          <w:szCs w:val="22"/>
        </w:rPr>
      </w:pPr>
    </w:p>
    <w:p w14:paraId="3A3A7B23" w14:textId="5E7E06B5" w:rsidR="003908E7" w:rsidRPr="00E155C1" w:rsidRDefault="003908E7" w:rsidP="00E155C1">
      <w:pPr>
        <w:pStyle w:val="Odstavek1"/>
        <w:rPr>
          <w:szCs w:val="22"/>
          <w:lang w:eastAsia="sl-SI"/>
        </w:rPr>
      </w:pPr>
      <w:r w:rsidRPr="00E155C1">
        <w:rPr>
          <w:szCs w:val="22"/>
        </w:rPr>
        <w:t xml:space="preserve">Velik delež kmetijskih zemljišč se nahaja na OMD (Slovenija: 76 %, EU: 58 %, leto 2019). </w:t>
      </w:r>
      <w:r w:rsidRPr="00E155C1">
        <w:rPr>
          <w:szCs w:val="22"/>
          <w:lang w:eastAsia="sl-SI"/>
        </w:rPr>
        <w:t>Glede na delež kmetijskih zemljišč na območjih z naravnimi ali drugimi posebnimi omejitvami (OMD) sodi Slovenija med države z daleč najvišjim deležem</w:t>
      </w:r>
      <w:r w:rsidRPr="00E155C1">
        <w:rPr>
          <w:rStyle w:val="Sprotnaopomba-sklic"/>
          <w:sz w:val="22"/>
          <w:szCs w:val="22"/>
          <w:lang w:eastAsia="sl-SI"/>
        </w:rPr>
        <w:footnoteReference w:id="3"/>
      </w:r>
      <w:r w:rsidRPr="00E155C1">
        <w:rPr>
          <w:szCs w:val="22"/>
          <w:lang w:eastAsia="sl-SI"/>
        </w:rPr>
        <w:t>, kar zmanjšuje konkurenčnost slovenskega kmetijstva, omejuje izbor možnih proizvodnih usmeritev in povišuje stroške proizvodnje.</w:t>
      </w:r>
    </w:p>
    <w:p w14:paraId="23D4383B" w14:textId="190E89A4" w:rsidR="003908E7" w:rsidRPr="00E155C1" w:rsidRDefault="003908E7" w:rsidP="00E155C1">
      <w:pPr>
        <w:pStyle w:val="Odstavek1"/>
        <w:rPr>
          <w:szCs w:val="22"/>
          <w:lang w:eastAsia="sl-SI"/>
        </w:rPr>
      </w:pPr>
    </w:p>
    <w:p w14:paraId="5DC325AE" w14:textId="09C22C36" w:rsidR="003908E7" w:rsidRDefault="003908E7" w:rsidP="00E155C1">
      <w:pPr>
        <w:pStyle w:val="Odstavek1"/>
        <w:rPr>
          <w:szCs w:val="22"/>
          <w:lang w:eastAsia="sl-SI"/>
        </w:rPr>
      </w:pPr>
      <w:r w:rsidRPr="00E155C1">
        <w:rPr>
          <w:szCs w:val="22"/>
        </w:rPr>
        <w:t xml:space="preserve">Intenzivnost kmetovanja v Sloveniji je nižja od EU povprečja, saj je delež KZU, ki jih upravljajo kmetije z nizko vhodno intenzivnostjo na ha (35,8 % KZU v letu 2019) višji od povprečja EU (26,8 % KZU v letu 2019). </w:t>
      </w:r>
      <w:r w:rsidRPr="00E155C1">
        <w:rPr>
          <w:szCs w:val="22"/>
          <w:lang w:eastAsia="sl-SI"/>
        </w:rPr>
        <w:t>Na nižjo stopnjo intenzivnosti kmetovanja v Sloveniji glede na EU povprečje pomembno vpliva izrazito visok delež OMD.</w:t>
      </w:r>
    </w:p>
    <w:p w14:paraId="7926C60A" w14:textId="0685DCC7" w:rsidR="003908E7" w:rsidRDefault="003908E7" w:rsidP="00E155C1">
      <w:pPr>
        <w:pStyle w:val="Odstavek1"/>
        <w:rPr>
          <w:i/>
          <w:szCs w:val="22"/>
          <w:u w:val="single"/>
          <w:lang w:eastAsia="sl-SI"/>
        </w:rPr>
      </w:pPr>
    </w:p>
    <w:p w14:paraId="068D3F8D" w14:textId="6E853CAD" w:rsidR="000B16D1" w:rsidRDefault="000B16D1" w:rsidP="00E155C1">
      <w:pPr>
        <w:pStyle w:val="Odstavek1"/>
        <w:rPr>
          <w:szCs w:val="22"/>
        </w:rPr>
      </w:pPr>
      <w:r>
        <w:rPr>
          <w:szCs w:val="22"/>
        </w:rPr>
        <w:t xml:space="preserve">Za slovensko kmetijstvo je značilna </w:t>
      </w:r>
      <w:r w:rsidR="00153F6E">
        <w:rPr>
          <w:szCs w:val="22"/>
        </w:rPr>
        <w:t xml:space="preserve">tudi </w:t>
      </w:r>
      <w:r>
        <w:rPr>
          <w:szCs w:val="22"/>
        </w:rPr>
        <w:t>velika r</w:t>
      </w:r>
      <w:r w:rsidRPr="00EF50B8">
        <w:rPr>
          <w:szCs w:val="22"/>
        </w:rPr>
        <w:t>azdrobljenost kmetijskih zemljišč</w:t>
      </w:r>
      <w:r>
        <w:rPr>
          <w:szCs w:val="22"/>
        </w:rPr>
        <w:t>.</w:t>
      </w:r>
      <w:r w:rsidRPr="00EF50B8">
        <w:rPr>
          <w:szCs w:val="22"/>
        </w:rPr>
        <w:t xml:space="preserve"> V letu 2019 je bilo v Sloveniji 861.493 grafičnih enot rabe kmetijskih zemljišč (GERK). V povprečju je KMG obdeloval 9,7 GERK-a, povprečna velikost GERK-a pa znaša le 0,56 ha. Tako majhna povprečna velikost vpisanega GERK-a je posledica dejstva, da je kar 86,29 % vseh GERK-ov po površini, manjših od 1 ha.</w:t>
      </w:r>
    </w:p>
    <w:p w14:paraId="5F29DF7E" w14:textId="2B9E77C0" w:rsidR="000B16D1" w:rsidRDefault="000B16D1" w:rsidP="00E155C1">
      <w:pPr>
        <w:pStyle w:val="Odstavek1"/>
        <w:rPr>
          <w:szCs w:val="22"/>
        </w:rPr>
      </w:pPr>
    </w:p>
    <w:p w14:paraId="167782C3" w14:textId="7D638C3B" w:rsidR="000B16D1" w:rsidRPr="00EF50B8" w:rsidRDefault="000B16D1" w:rsidP="00E155C1">
      <w:pPr>
        <w:pStyle w:val="Odstavek1"/>
        <w:rPr>
          <w:szCs w:val="22"/>
        </w:rPr>
      </w:pPr>
      <w:r>
        <w:rPr>
          <w:szCs w:val="22"/>
        </w:rPr>
        <w:t>Za Slovenijo je značilen ma</w:t>
      </w:r>
      <w:r w:rsidRPr="00EF50B8">
        <w:rPr>
          <w:szCs w:val="22"/>
        </w:rPr>
        <w:t>jhen delež namakanih površin</w:t>
      </w:r>
      <w:r>
        <w:rPr>
          <w:szCs w:val="22"/>
        </w:rPr>
        <w:t>.</w:t>
      </w:r>
      <w:r w:rsidRPr="00EF50B8">
        <w:rPr>
          <w:szCs w:val="22"/>
        </w:rPr>
        <w:t xml:space="preserve"> V Sloveniji je delež za namakanje pripravljenih zemljišč glede na KZU med nižjimi znotraj držav članic EU, in sicer je znašal pod 1,4 % v letu 2020. V letu 2020 je bilo namakanih 3.958 hektarjev zemljišč, v glavnem gre pri tem za njive in vrtove (69 %). Primerjava z ostalimi članicami EU za trenutno zadnje dostopne podatke iz leta 2016 kaže, da je bil delež za namakanje pripravljenih zemljišč nižji kot v Sloveniji le še v štirih državah članicah. Natančneje je stanje predstavljeno v okviru analize stanja za cilj 4.</w:t>
      </w:r>
    </w:p>
    <w:p w14:paraId="7964CF0C" w14:textId="5DD8F7B7" w:rsidR="000B16D1" w:rsidRDefault="000B16D1" w:rsidP="00E155C1">
      <w:pPr>
        <w:pStyle w:val="Odstavek1"/>
        <w:rPr>
          <w:szCs w:val="22"/>
        </w:rPr>
      </w:pPr>
    </w:p>
    <w:p w14:paraId="67A3FE65" w14:textId="63CA736C" w:rsidR="000B16D1" w:rsidRPr="00EF50B8" w:rsidRDefault="000B16D1" w:rsidP="00E155C1">
      <w:pPr>
        <w:pStyle w:val="Odstavek1"/>
        <w:rPr>
          <w:szCs w:val="22"/>
        </w:rPr>
      </w:pPr>
      <w:r w:rsidRPr="00EF50B8">
        <w:rPr>
          <w:szCs w:val="22"/>
        </w:rPr>
        <w:t>Slovensko kmetijstvo se pod vplivom podnebnih sprememb vedno pogosteje sooča z ekstremnimi vremenski razmerami (suša, toča, pozebe…). Strokovnjaki ugotavljajo,  da se negativni vplivi podnebnih sprememb kažejo v sušnem stresu rastlin zaradi višjih temperature in povečane evapotranspiracije, skrajšanju življenjskega cikla rastlin (pospešen fenološki razvoj rastlin), premiku rastlinskih pasov, povečani pogostnosti ekstremnih vremenskih dogodkov (neurja z močnim vetrom in/ali točo, pozebe, suše, poplave, erozija), spremenjeni pogostnosti in intenziteti napadov škodljivcev in povzročiteljev bolezni, pojavu novih škodljivcev, plevelov, bolezni.</w:t>
      </w:r>
    </w:p>
    <w:p w14:paraId="143ACC5C" w14:textId="77777777" w:rsidR="000B16D1" w:rsidRPr="00E155C1" w:rsidRDefault="000B16D1" w:rsidP="00E155C1">
      <w:pPr>
        <w:pStyle w:val="Odstavek1"/>
        <w:rPr>
          <w:i/>
          <w:szCs w:val="22"/>
          <w:u w:val="single"/>
          <w:lang w:eastAsia="sl-SI"/>
        </w:rPr>
      </w:pPr>
    </w:p>
    <w:p w14:paraId="37C26B79" w14:textId="1FD151DF" w:rsidR="003908E7" w:rsidRDefault="003908E7" w:rsidP="00E155C1">
      <w:pPr>
        <w:pStyle w:val="Odstavek1"/>
        <w:rPr>
          <w:i/>
          <w:szCs w:val="22"/>
          <w:u w:val="single"/>
          <w:lang w:eastAsia="sl-SI"/>
        </w:rPr>
      </w:pPr>
      <w:r w:rsidRPr="00E155C1">
        <w:rPr>
          <w:i/>
          <w:szCs w:val="22"/>
          <w:u w:val="single"/>
          <w:lang w:eastAsia="sl-SI"/>
        </w:rPr>
        <w:t>Podrobnejši podatki so prikazani v analizi stanja za cilj 1</w:t>
      </w:r>
      <w:r w:rsidR="000B16D1">
        <w:rPr>
          <w:i/>
          <w:szCs w:val="22"/>
          <w:u w:val="single"/>
          <w:lang w:eastAsia="sl-SI"/>
        </w:rPr>
        <w:t xml:space="preserve"> in 4</w:t>
      </w:r>
      <w:r w:rsidRPr="00E155C1">
        <w:rPr>
          <w:i/>
          <w:szCs w:val="22"/>
          <w:u w:val="single"/>
          <w:lang w:eastAsia="sl-SI"/>
        </w:rPr>
        <w:t>.</w:t>
      </w:r>
    </w:p>
    <w:p w14:paraId="3C3E95FA" w14:textId="77777777" w:rsidR="000B16D1" w:rsidRPr="00E155C1" w:rsidRDefault="000B16D1" w:rsidP="00E155C1">
      <w:pPr>
        <w:pStyle w:val="Odstavek1"/>
        <w:rPr>
          <w:i/>
          <w:szCs w:val="22"/>
          <w:u w:val="single"/>
        </w:rPr>
      </w:pPr>
    </w:p>
    <w:p w14:paraId="5AD5836E" w14:textId="0875A56C" w:rsidR="003908E7" w:rsidRPr="00E155C1" w:rsidRDefault="003908E7" w:rsidP="00E155C1">
      <w:bookmarkStart w:id="31" w:name="_Toc89634032"/>
      <w:r w:rsidRPr="00E155C1">
        <w:rPr>
          <w:b/>
        </w:rPr>
        <w:t>Struktura kmetijskih gospodarstev</w:t>
      </w:r>
      <w:bookmarkEnd w:id="31"/>
    </w:p>
    <w:p w14:paraId="5AC8D108" w14:textId="77777777" w:rsidR="006440E9" w:rsidRDefault="006440E9" w:rsidP="006440E9">
      <w:pPr>
        <w:rPr>
          <w:szCs w:val="22"/>
        </w:rPr>
      </w:pPr>
    </w:p>
    <w:p w14:paraId="6B17102E" w14:textId="72059242" w:rsidR="006440E9" w:rsidRPr="00E155C1" w:rsidRDefault="006440E9" w:rsidP="006440E9">
      <w:pPr>
        <w:rPr>
          <w:i/>
          <w:u w:val="single"/>
          <w:lang w:eastAsia="sl-SI"/>
        </w:rPr>
      </w:pPr>
      <w:r w:rsidRPr="00E155C1">
        <w:rPr>
          <w:i/>
          <w:u w:val="single"/>
          <w:lang w:eastAsia="sl-SI"/>
        </w:rPr>
        <w:t>Povprečno kmetijsko gospodarstvo v Sloveniji</w:t>
      </w:r>
    </w:p>
    <w:p w14:paraId="762A8187" w14:textId="085630CB" w:rsidR="006440E9" w:rsidRPr="00351291" w:rsidRDefault="006440E9" w:rsidP="006440E9">
      <w:pPr>
        <w:rPr>
          <w:lang w:eastAsia="sl-SI"/>
        </w:rPr>
      </w:pPr>
      <w:r>
        <w:rPr>
          <w:lang w:eastAsia="sl-SI"/>
        </w:rPr>
        <w:t>P</w:t>
      </w:r>
      <w:r w:rsidRPr="00351291">
        <w:rPr>
          <w:lang w:eastAsia="sl-SI"/>
        </w:rPr>
        <w:t xml:space="preserve">ovprečno kmetijsko gospodarstvo v EU obdeluje 14,8 ha njiv in 13,5 ha travinja. To je skoraj petkrat oziroma trikrat več kot povprečno slovensko kmetijsko gospodarstvo (3,2 ha njiv in 4,7 ha travinja). Podobno razmerje velja tudi pri trajnih nasadih, kjer v EU kmetijska gospodarstva v povprečju obdelujejo 2,7 ha trajnih nasadov, kar je skoraj štirikrat več kot v Sloveniji (0,7 ha) (KIS (2018)). </w:t>
      </w:r>
    </w:p>
    <w:p w14:paraId="57B80FB4" w14:textId="77777777" w:rsidR="006440E9" w:rsidRPr="00351291" w:rsidRDefault="006440E9" w:rsidP="006440E9">
      <w:pPr>
        <w:rPr>
          <w:lang w:eastAsia="sl-SI"/>
        </w:rPr>
      </w:pPr>
      <w:r w:rsidRPr="00351291">
        <w:rPr>
          <w:lang w:eastAsia="sl-SI"/>
        </w:rPr>
        <w:t>Na povprečno velikem kmetijskem gospodarstvu v Sloveniji so v letu 2016 obdelovali 6,9 ha kmetijskih zemljišč</w:t>
      </w:r>
      <w:r>
        <w:rPr>
          <w:lang w:eastAsia="sl-SI"/>
        </w:rPr>
        <w:t xml:space="preserve"> (v EU 15,24 ha)</w:t>
      </w:r>
      <w:r w:rsidRPr="00351291">
        <w:rPr>
          <w:lang w:eastAsia="sl-SI"/>
        </w:rPr>
        <w:t xml:space="preserve"> (0,3 ha več kot v letu 2013) in so redili 6,0 GVŽ (0,5 več kot v letu 2013) ter gospodarili s povprečno 5,6 ha gozda. KMG je obdelovalo 0,10 hektarja trajnih travnikov in pašnikov več kot v letu 2013 (3,91 ha), 0,11 hektarja več njiv (2,51 ha) in enako površino trajnih nasadov kot v letu 2013 (0,38 ha). Povprečni standardni prihodek na kmetijsko gospodarstvo je v 2016 znašal 16.577 evrov (v 2013: 13.944). Povprečno je bilo na kmetijskem gospodarstvu zaposlenih 2,8 osebe oz. 1,1 PDM (SURS (2016)).</w:t>
      </w:r>
    </w:p>
    <w:p w14:paraId="2242EBAE" w14:textId="6861FACD" w:rsidR="006440E9" w:rsidRDefault="006440E9" w:rsidP="005B2A49">
      <w:pPr>
        <w:rPr>
          <w:szCs w:val="22"/>
        </w:rPr>
      </w:pPr>
    </w:p>
    <w:p w14:paraId="11DF6866" w14:textId="6A8B207D" w:rsidR="006440E9" w:rsidRPr="00E155C1" w:rsidRDefault="006440E9" w:rsidP="005B2A49">
      <w:pPr>
        <w:rPr>
          <w:i/>
          <w:szCs w:val="22"/>
          <w:u w:val="single"/>
        </w:rPr>
      </w:pPr>
      <w:r w:rsidRPr="00E155C1">
        <w:rPr>
          <w:i/>
          <w:szCs w:val="22"/>
          <w:u w:val="single"/>
        </w:rPr>
        <w:t>Število kmetijskih gospodarstev</w:t>
      </w:r>
    </w:p>
    <w:p w14:paraId="448A6467" w14:textId="77777777" w:rsidR="006440E9" w:rsidRPr="00351291" w:rsidRDefault="006440E9" w:rsidP="006440E9">
      <w:pPr>
        <w:rPr>
          <w:lang w:eastAsia="sl-SI"/>
        </w:rPr>
      </w:pPr>
      <w:r w:rsidRPr="00351291">
        <w:rPr>
          <w:lang w:eastAsia="sl-SI"/>
        </w:rPr>
        <w:t xml:space="preserve">Po statističnih podatkih sta bili 1. junija 2016 v Sloveniji 69.902 kmetijski gospodarstvi. Od tega je bilo 231 kmetijskih podjetij, preostalo so bile družinske kmetije (69.671 – SURS(2016)).  Skupno število kmetijskih gospodarstev se je zmanjšalo za 6,35 % (KIS (2018)).  </w:t>
      </w:r>
    </w:p>
    <w:p w14:paraId="0C3A8A3B" w14:textId="77777777" w:rsidR="006440E9" w:rsidRPr="00351291" w:rsidRDefault="006440E9" w:rsidP="006440E9">
      <w:pPr>
        <w:rPr>
          <w:lang w:eastAsia="sl-SI"/>
        </w:rPr>
      </w:pPr>
      <w:r w:rsidRPr="00351291">
        <w:rPr>
          <w:lang w:eastAsia="sl-SI"/>
        </w:rPr>
        <w:t>V Vzhodni Sloveniji se je nahaja 70,74 % kmetijskih gospodarstev (49.448), v Zahodni Sloveniji pa 29,26 % (20.454). Največ kmetijskih gospodarstev se nahaja v podravski (10.990), v savinjski (10.274) in v jugovzhodni statistični regiji (8.141), daleč najmanj pa v zasavski (1.674).</w:t>
      </w:r>
    </w:p>
    <w:p w14:paraId="3CD59F7F" w14:textId="77777777" w:rsidR="006440E9" w:rsidRPr="00351291" w:rsidRDefault="006440E9" w:rsidP="006440E9">
      <w:pPr>
        <w:rPr>
          <w:lang w:eastAsia="sl-SI"/>
        </w:rPr>
      </w:pPr>
      <w:r w:rsidRPr="00351291">
        <w:rPr>
          <w:lang w:eastAsia="sl-SI"/>
        </w:rPr>
        <w:t>Na 40.149 družinskih kmetijah (58 %) je bil pretežni del kmetijske pridelave namenjen za lastno porabo, na 29.523 družinskih kmetijah (42 %) pa je bil pretežni del kmetijskih pridelkov namenjen za prodajo (SURS (2016)).</w:t>
      </w:r>
    </w:p>
    <w:p w14:paraId="10BD9AFD" w14:textId="1C4D1906" w:rsidR="006440E9" w:rsidRDefault="006440E9" w:rsidP="005B2A49">
      <w:pPr>
        <w:rPr>
          <w:szCs w:val="22"/>
        </w:rPr>
      </w:pPr>
    </w:p>
    <w:p w14:paraId="54C5BD44" w14:textId="7FC0C4C2" w:rsidR="006440E9" w:rsidRPr="00E155C1" w:rsidRDefault="006440E9" w:rsidP="005B2A49">
      <w:pPr>
        <w:rPr>
          <w:i/>
          <w:szCs w:val="22"/>
          <w:u w:val="single"/>
        </w:rPr>
      </w:pPr>
      <w:r>
        <w:rPr>
          <w:i/>
          <w:u w:val="single"/>
          <w:lang w:eastAsia="sl-SI"/>
        </w:rPr>
        <w:t>Ekonomska in fizična v</w:t>
      </w:r>
      <w:r w:rsidRPr="00E155C1">
        <w:rPr>
          <w:i/>
          <w:u w:val="single"/>
          <w:lang w:eastAsia="sl-SI"/>
        </w:rPr>
        <w:t>elikost kmetijskih gospodarstev</w:t>
      </w:r>
    </w:p>
    <w:p w14:paraId="0F591EE4" w14:textId="585DE3E4" w:rsidR="006440E9" w:rsidRPr="00351291" w:rsidRDefault="006440E9" w:rsidP="006440E9">
      <w:pPr>
        <w:rPr>
          <w:lang w:eastAsia="sl-SI"/>
        </w:rPr>
      </w:pPr>
      <w:r w:rsidRPr="00351291">
        <w:rPr>
          <w:lang w:eastAsia="sl-SI"/>
        </w:rPr>
        <w:t>Slovenija ima v primerjavi z EU še vedno zelo neugodno velikostno strukturo kmetijskih gospodarstev. Čeprav ima podoben delež kmetijskih gospodarstev v velikostnih razredih do 10 ha kot EU (</w:t>
      </w:r>
      <w:r>
        <w:rPr>
          <w:lang w:eastAsia="sl-SI"/>
        </w:rPr>
        <w:t xml:space="preserve">SI: </w:t>
      </w:r>
      <w:r w:rsidRPr="00351291">
        <w:rPr>
          <w:lang w:eastAsia="sl-SI"/>
        </w:rPr>
        <w:t xml:space="preserve">82 % </w:t>
      </w:r>
      <w:r>
        <w:rPr>
          <w:lang w:eastAsia="sl-SI"/>
        </w:rPr>
        <w:t xml:space="preserve">EU: </w:t>
      </w:r>
      <w:r w:rsidRPr="00351291">
        <w:rPr>
          <w:lang w:eastAsia="sl-SI"/>
        </w:rPr>
        <w:t xml:space="preserve">77 %), pa je velika razlika v deležu KZU, ki jih ta kmetijska gospodarstva obdelujejo. V Sloveniji kmetijska gospodarstva, manjša od 10 ha, obdelujejo skoraj polovico (43 %) vse KZU, v EU pa znaša ta delež le 11 %. V EU več kot dve tretjini KZU (68 %) obdelujejo gospodarstva, ki so večja od 50 ha. V Sloveniji tako velika gospodarstva obdelujejo le nekaj več kot desetino vse kmetijske zemlje v uporabi (14 %) (KIS (2018)). </w:t>
      </w:r>
    </w:p>
    <w:p w14:paraId="1BA86B6C" w14:textId="3B6F9C6B" w:rsidR="006440E9" w:rsidRDefault="006440E9" w:rsidP="006440E9">
      <w:pPr>
        <w:rPr>
          <w:lang w:eastAsia="sl-SI"/>
        </w:rPr>
      </w:pPr>
      <w:r w:rsidRPr="00351291">
        <w:rPr>
          <w:lang w:eastAsia="sl-SI"/>
        </w:rPr>
        <w:t>Slovenija s slabimi 7 ha KZU na kmetijsko gospodarstvo spada v krog držav z najmanjšo povprečno velikostjo kmetijskih gospodarstev</w:t>
      </w:r>
      <w:r>
        <w:rPr>
          <w:lang w:eastAsia="sl-SI"/>
        </w:rPr>
        <w:t xml:space="preserve"> v EU, opazen je sicer trend rasti (v letu 2010 je bila povprečna velikost 6,47 ha)</w:t>
      </w:r>
      <w:r w:rsidRPr="00351291">
        <w:rPr>
          <w:lang w:eastAsia="sl-SI"/>
        </w:rPr>
        <w:t xml:space="preserve"> (KIS (2018)).  </w:t>
      </w:r>
    </w:p>
    <w:p w14:paraId="3C1FB65E" w14:textId="7A84ED52" w:rsidR="006440E9" w:rsidRDefault="0047416C" w:rsidP="005B2A49">
      <w:pPr>
        <w:rPr>
          <w:szCs w:val="22"/>
        </w:rPr>
      </w:pPr>
      <w:r>
        <w:rPr>
          <w:szCs w:val="22"/>
        </w:rPr>
        <w:t>Iz spodnje tabele je razvidno, da se je v obdobju 2005–2016</w:t>
      </w:r>
      <w:r w:rsidR="006003F4">
        <w:rPr>
          <w:szCs w:val="22"/>
        </w:rPr>
        <w:t xml:space="preserve"> </w:t>
      </w:r>
      <w:r>
        <w:rPr>
          <w:szCs w:val="22"/>
        </w:rPr>
        <w:t xml:space="preserve">v največjih velikostnih razredih KZU </w:t>
      </w:r>
      <w:r w:rsidR="006003F4">
        <w:rPr>
          <w:szCs w:val="22"/>
        </w:rPr>
        <w:t xml:space="preserve">(kmetijska gospodrstva nad 20 hektarji KZU) </w:t>
      </w:r>
      <w:r>
        <w:rPr>
          <w:szCs w:val="22"/>
        </w:rPr>
        <w:t>poveč</w:t>
      </w:r>
      <w:r w:rsidR="006003F4">
        <w:rPr>
          <w:szCs w:val="22"/>
        </w:rPr>
        <w:t>alo</w:t>
      </w:r>
      <w:r>
        <w:rPr>
          <w:szCs w:val="22"/>
        </w:rPr>
        <w:t xml:space="preserve"> število kmetijskih gospodarstev, medtem ko se v nižjih velikostnih razredih KZU število kmetijskih gospodarstev zmanjšuje. </w:t>
      </w:r>
      <w:r w:rsidR="006003F4">
        <w:rPr>
          <w:szCs w:val="22"/>
        </w:rPr>
        <w:t xml:space="preserve">Ta segment upadanja med letoma 2005–2016 je razviden zlasti v velikostni skupini kmetijskih gospodarstev od  </w:t>
      </w:r>
      <w:r w:rsidR="006003F4" w:rsidRPr="00351291">
        <w:rPr>
          <w:color w:val="000000"/>
          <w:szCs w:val="20"/>
          <w:lang w:eastAsia="sl-SI"/>
        </w:rPr>
        <w:t>2-4</w:t>
      </w:r>
      <w:r w:rsidR="006003F4">
        <w:rPr>
          <w:color w:val="000000"/>
          <w:szCs w:val="20"/>
          <w:lang w:eastAsia="sl-SI"/>
        </w:rPr>
        <w:t>,</w:t>
      </w:r>
      <w:r w:rsidR="006003F4" w:rsidRPr="00351291">
        <w:rPr>
          <w:color w:val="000000"/>
          <w:szCs w:val="20"/>
          <w:lang w:eastAsia="sl-SI"/>
        </w:rPr>
        <w:t>9 ha</w:t>
      </w:r>
      <w:r w:rsidR="006003F4">
        <w:rPr>
          <w:szCs w:val="22"/>
        </w:rPr>
        <w:t xml:space="preserve"> in 5-9,99 ha</w:t>
      </w:r>
      <w:r w:rsidR="004B25F8">
        <w:rPr>
          <w:szCs w:val="22"/>
        </w:rPr>
        <w:t>.</w:t>
      </w:r>
      <w:r w:rsidR="005E5689" w:rsidRPr="005E5689">
        <w:rPr>
          <w:szCs w:val="22"/>
        </w:rPr>
        <w:t xml:space="preserve"> </w:t>
      </w:r>
      <w:r w:rsidR="005E5689">
        <w:rPr>
          <w:szCs w:val="22"/>
        </w:rPr>
        <w:t>Nakazuje se torej postopen trend povečevanja kmetij, ki upravljajo z 20 ha KZU in več.</w:t>
      </w:r>
    </w:p>
    <w:p w14:paraId="6EBF0429" w14:textId="5CB898EB" w:rsidR="006440E9" w:rsidRPr="00351291" w:rsidRDefault="006440E9" w:rsidP="00E155C1">
      <w:pPr>
        <w:pStyle w:val="Napis"/>
        <w:keepNext/>
        <w:jc w:val="both"/>
      </w:pPr>
      <w:bookmarkStart w:id="32" w:name="_Toc89634071"/>
      <w:bookmarkStart w:id="33" w:name="_Toc89860997"/>
      <w:r w:rsidRPr="00351291">
        <w:t xml:space="preserve">Tabela </w:t>
      </w:r>
      <w:r w:rsidRPr="00E155C1">
        <w:rPr>
          <w:noProof/>
          <w:sz w:val="22"/>
          <w:szCs w:val="24"/>
        </w:rPr>
        <w:fldChar w:fldCharType="begin"/>
      </w:r>
      <w:r w:rsidRPr="00E155C1">
        <w:rPr>
          <w:noProof/>
          <w:sz w:val="22"/>
          <w:szCs w:val="24"/>
        </w:rPr>
        <w:instrText xml:space="preserve"> SEQ Tabela \* ARABIC </w:instrText>
      </w:r>
      <w:r w:rsidRPr="00E155C1">
        <w:rPr>
          <w:noProof/>
          <w:sz w:val="22"/>
          <w:szCs w:val="24"/>
        </w:rPr>
        <w:fldChar w:fldCharType="separate"/>
      </w:r>
      <w:r>
        <w:rPr>
          <w:noProof/>
          <w:sz w:val="22"/>
          <w:szCs w:val="24"/>
        </w:rPr>
        <w:t>5</w:t>
      </w:r>
      <w:r w:rsidRPr="00E155C1">
        <w:rPr>
          <w:noProof/>
          <w:sz w:val="22"/>
          <w:szCs w:val="24"/>
        </w:rPr>
        <w:fldChar w:fldCharType="end"/>
      </w:r>
      <w:r w:rsidRPr="00351291">
        <w:t>: Velikost kmetijskih gospodarstev glede na KZU in standardni prihodek</w:t>
      </w:r>
      <w:bookmarkEnd w:id="32"/>
      <w:bookmarkEnd w:id="33"/>
    </w:p>
    <w:tbl>
      <w:tblPr>
        <w:tblStyle w:val="Tabelamrea"/>
        <w:tblW w:w="8907" w:type="dxa"/>
        <w:jc w:val="center"/>
        <w:tblLook w:val="04A0" w:firstRow="1" w:lastRow="0" w:firstColumn="1" w:lastColumn="0" w:noHBand="0" w:noVBand="1"/>
      </w:tblPr>
      <w:tblGrid>
        <w:gridCol w:w="4267"/>
        <w:gridCol w:w="928"/>
        <w:gridCol w:w="928"/>
        <w:gridCol w:w="928"/>
        <w:gridCol w:w="928"/>
        <w:gridCol w:w="928"/>
      </w:tblGrid>
      <w:tr w:rsidR="006440E9" w:rsidRPr="00351291" w14:paraId="61A6E93E" w14:textId="77777777" w:rsidTr="00E155C1">
        <w:trPr>
          <w:trHeight w:val="300"/>
          <w:jc w:val="center"/>
        </w:trPr>
        <w:tc>
          <w:tcPr>
            <w:tcW w:w="4267" w:type="dxa"/>
            <w:shd w:val="clear" w:color="auto" w:fill="92D050"/>
            <w:noWrap/>
            <w:vAlign w:val="center"/>
          </w:tcPr>
          <w:p w14:paraId="310F8864" w14:textId="77777777" w:rsidR="006440E9" w:rsidRPr="00351291" w:rsidRDefault="006440E9" w:rsidP="000B16D1">
            <w:pPr>
              <w:pStyle w:val="TAbela0"/>
              <w:jc w:val="center"/>
              <w:rPr>
                <w:lang w:val="sl-SI"/>
              </w:rPr>
            </w:pPr>
            <w:r w:rsidRPr="00351291">
              <w:rPr>
                <w:lang w:val="sl-SI"/>
              </w:rPr>
              <w:t>C. 12 Kmetijska gospodarstva (kmetije)</w:t>
            </w:r>
          </w:p>
        </w:tc>
        <w:tc>
          <w:tcPr>
            <w:tcW w:w="928" w:type="dxa"/>
            <w:shd w:val="clear" w:color="auto" w:fill="92D050"/>
          </w:tcPr>
          <w:p w14:paraId="3BF02298" w14:textId="77777777" w:rsidR="006440E9" w:rsidRPr="00351291" w:rsidRDefault="006440E9" w:rsidP="000B16D1">
            <w:pPr>
              <w:pStyle w:val="TAbela0"/>
              <w:jc w:val="center"/>
              <w:rPr>
                <w:lang w:val="sl-SI"/>
              </w:rPr>
            </w:pPr>
            <w:r w:rsidRPr="00351291">
              <w:rPr>
                <w:lang w:val="sl-SI"/>
              </w:rPr>
              <w:t>2005</w:t>
            </w:r>
          </w:p>
        </w:tc>
        <w:tc>
          <w:tcPr>
            <w:tcW w:w="928" w:type="dxa"/>
            <w:shd w:val="clear" w:color="auto" w:fill="92D050"/>
            <w:noWrap/>
            <w:vAlign w:val="center"/>
          </w:tcPr>
          <w:p w14:paraId="066BF8E4" w14:textId="77777777" w:rsidR="006440E9" w:rsidRPr="00351291" w:rsidRDefault="006440E9" w:rsidP="000B16D1">
            <w:pPr>
              <w:pStyle w:val="TAbela0"/>
              <w:jc w:val="center"/>
              <w:rPr>
                <w:lang w:val="sl-SI"/>
              </w:rPr>
            </w:pPr>
            <w:r w:rsidRPr="00351291">
              <w:rPr>
                <w:lang w:val="sl-SI"/>
              </w:rPr>
              <w:t>2007</w:t>
            </w:r>
          </w:p>
        </w:tc>
        <w:tc>
          <w:tcPr>
            <w:tcW w:w="928" w:type="dxa"/>
            <w:shd w:val="clear" w:color="auto" w:fill="92D050"/>
            <w:noWrap/>
            <w:vAlign w:val="center"/>
          </w:tcPr>
          <w:p w14:paraId="7737E3DE" w14:textId="77777777" w:rsidR="006440E9" w:rsidRPr="00351291" w:rsidRDefault="006440E9" w:rsidP="000B16D1">
            <w:pPr>
              <w:pStyle w:val="TAbela0"/>
              <w:jc w:val="center"/>
              <w:rPr>
                <w:lang w:val="sl-SI"/>
              </w:rPr>
            </w:pPr>
            <w:r w:rsidRPr="00351291">
              <w:rPr>
                <w:lang w:val="sl-SI"/>
              </w:rPr>
              <w:t>2010</w:t>
            </w:r>
          </w:p>
        </w:tc>
        <w:tc>
          <w:tcPr>
            <w:tcW w:w="928" w:type="dxa"/>
            <w:shd w:val="clear" w:color="auto" w:fill="92D050"/>
            <w:noWrap/>
            <w:vAlign w:val="center"/>
          </w:tcPr>
          <w:p w14:paraId="362DBFD3" w14:textId="77777777" w:rsidR="006440E9" w:rsidRPr="00351291" w:rsidRDefault="006440E9" w:rsidP="000B16D1">
            <w:pPr>
              <w:pStyle w:val="TAbela0"/>
              <w:jc w:val="center"/>
              <w:rPr>
                <w:lang w:val="sl-SI"/>
              </w:rPr>
            </w:pPr>
            <w:r w:rsidRPr="00351291">
              <w:rPr>
                <w:lang w:val="sl-SI"/>
              </w:rPr>
              <w:t>2013</w:t>
            </w:r>
          </w:p>
        </w:tc>
        <w:tc>
          <w:tcPr>
            <w:tcW w:w="928" w:type="dxa"/>
            <w:shd w:val="clear" w:color="auto" w:fill="92D050"/>
            <w:noWrap/>
            <w:vAlign w:val="center"/>
          </w:tcPr>
          <w:p w14:paraId="1424C504" w14:textId="77777777" w:rsidR="006440E9" w:rsidRPr="00351291" w:rsidRDefault="006440E9" w:rsidP="000B16D1">
            <w:pPr>
              <w:pStyle w:val="TAbela0"/>
              <w:jc w:val="center"/>
              <w:rPr>
                <w:lang w:val="sl-SI"/>
              </w:rPr>
            </w:pPr>
            <w:r w:rsidRPr="00351291">
              <w:rPr>
                <w:lang w:val="sl-SI"/>
              </w:rPr>
              <w:t>2016</w:t>
            </w:r>
          </w:p>
        </w:tc>
      </w:tr>
      <w:tr w:rsidR="006440E9" w:rsidRPr="00351291" w14:paraId="39A82385" w14:textId="77777777" w:rsidTr="00E155C1">
        <w:trPr>
          <w:trHeight w:val="300"/>
          <w:jc w:val="center"/>
        </w:trPr>
        <w:tc>
          <w:tcPr>
            <w:tcW w:w="4267" w:type="dxa"/>
            <w:noWrap/>
            <w:vAlign w:val="center"/>
          </w:tcPr>
          <w:p w14:paraId="5B4ED19A" w14:textId="77777777" w:rsidR="006440E9" w:rsidRPr="00351291" w:rsidRDefault="006440E9" w:rsidP="000B16D1">
            <w:pPr>
              <w:pStyle w:val="TAbela0"/>
              <w:rPr>
                <w:b/>
                <w:u w:val="single"/>
                <w:lang w:val="sl-SI"/>
              </w:rPr>
            </w:pPr>
            <w:r w:rsidRPr="00351291">
              <w:rPr>
                <w:rFonts w:eastAsia="Times New Roman"/>
                <w:b/>
                <w:color w:val="000000"/>
                <w:szCs w:val="20"/>
                <w:u w:val="single"/>
                <w:lang w:val="sl-SI" w:eastAsia="sl-SI"/>
              </w:rPr>
              <w:t>Velikost kmetijskih gospodarstev</w:t>
            </w:r>
          </w:p>
        </w:tc>
        <w:tc>
          <w:tcPr>
            <w:tcW w:w="928" w:type="dxa"/>
            <w:vAlign w:val="center"/>
          </w:tcPr>
          <w:p w14:paraId="79CBF83A" w14:textId="77777777" w:rsidR="006440E9" w:rsidRPr="00351291" w:rsidRDefault="006440E9" w:rsidP="000B16D1">
            <w:pPr>
              <w:pStyle w:val="TAbela0"/>
              <w:jc w:val="right"/>
              <w:rPr>
                <w:b/>
                <w:color w:val="000000"/>
                <w:szCs w:val="20"/>
                <w:u w:val="single"/>
                <w:lang w:val="sl-SI" w:eastAsia="sl-SI"/>
              </w:rPr>
            </w:pPr>
          </w:p>
        </w:tc>
        <w:tc>
          <w:tcPr>
            <w:tcW w:w="928" w:type="dxa"/>
            <w:shd w:val="clear" w:color="auto" w:fill="auto"/>
            <w:noWrap/>
            <w:vAlign w:val="center"/>
          </w:tcPr>
          <w:p w14:paraId="20FECFDE"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6A7948CB"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49EA8915"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4599D5B4" w14:textId="77777777" w:rsidR="006440E9" w:rsidRPr="00351291" w:rsidRDefault="006440E9" w:rsidP="000B16D1">
            <w:pPr>
              <w:pStyle w:val="TAbela0"/>
              <w:jc w:val="right"/>
              <w:rPr>
                <w:b/>
                <w:u w:val="single"/>
                <w:lang w:val="sl-SI"/>
              </w:rPr>
            </w:pPr>
          </w:p>
        </w:tc>
      </w:tr>
      <w:tr w:rsidR="006440E9" w:rsidRPr="00351291" w14:paraId="1F3737A5" w14:textId="77777777" w:rsidTr="00E155C1">
        <w:trPr>
          <w:trHeight w:val="300"/>
          <w:jc w:val="center"/>
        </w:trPr>
        <w:tc>
          <w:tcPr>
            <w:tcW w:w="4267" w:type="dxa"/>
            <w:noWrap/>
            <w:vAlign w:val="center"/>
          </w:tcPr>
          <w:p w14:paraId="026789F3"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100 ha in več</w:t>
            </w:r>
          </w:p>
        </w:tc>
        <w:tc>
          <w:tcPr>
            <w:tcW w:w="928" w:type="dxa"/>
            <w:vAlign w:val="center"/>
          </w:tcPr>
          <w:p w14:paraId="5923E094"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100</w:t>
            </w:r>
          </w:p>
        </w:tc>
        <w:tc>
          <w:tcPr>
            <w:tcW w:w="928" w:type="dxa"/>
            <w:shd w:val="clear" w:color="auto" w:fill="auto"/>
            <w:noWrap/>
            <w:vAlign w:val="center"/>
          </w:tcPr>
          <w:p w14:paraId="506B7B8A"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100</w:t>
            </w:r>
          </w:p>
        </w:tc>
        <w:tc>
          <w:tcPr>
            <w:tcW w:w="928" w:type="dxa"/>
            <w:shd w:val="clear" w:color="auto" w:fill="auto"/>
            <w:noWrap/>
            <w:vAlign w:val="center"/>
          </w:tcPr>
          <w:p w14:paraId="466F2B9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100</w:t>
            </w:r>
          </w:p>
        </w:tc>
        <w:tc>
          <w:tcPr>
            <w:tcW w:w="928" w:type="dxa"/>
            <w:shd w:val="clear" w:color="auto" w:fill="auto"/>
            <w:noWrap/>
            <w:vAlign w:val="center"/>
          </w:tcPr>
          <w:p w14:paraId="31E7D3CA"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110</w:t>
            </w:r>
          </w:p>
        </w:tc>
        <w:tc>
          <w:tcPr>
            <w:tcW w:w="928" w:type="dxa"/>
            <w:shd w:val="clear" w:color="auto" w:fill="auto"/>
            <w:noWrap/>
            <w:vAlign w:val="center"/>
          </w:tcPr>
          <w:p w14:paraId="25B4AC0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120</w:t>
            </w:r>
          </w:p>
        </w:tc>
      </w:tr>
      <w:tr w:rsidR="006440E9" w:rsidRPr="00351291" w14:paraId="2DCA5909" w14:textId="77777777" w:rsidTr="00E155C1">
        <w:trPr>
          <w:trHeight w:val="300"/>
          <w:jc w:val="center"/>
        </w:trPr>
        <w:tc>
          <w:tcPr>
            <w:tcW w:w="4267" w:type="dxa"/>
            <w:noWrap/>
            <w:vAlign w:val="center"/>
          </w:tcPr>
          <w:p w14:paraId="245E7EE6"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50-99.9 ha</w:t>
            </w:r>
          </w:p>
        </w:tc>
        <w:tc>
          <w:tcPr>
            <w:tcW w:w="928" w:type="dxa"/>
            <w:vAlign w:val="center"/>
          </w:tcPr>
          <w:p w14:paraId="5836FBBE"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210</w:t>
            </w:r>
          </w:p>
        </w:tc>
        <w:tc>
          <w:tcPr>
            <w:tcW w:w="928" w:type="dxa"/>
            <w:shd w:val="clear" w:color="auto" w:fill="auto"/>
            <w:noWrap/>
            <w:vAlign w:val="center"/>
          </w:tcPr>
          <w:p w14:paraId="50649F1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290</w:t>
            </w:r>
          </w:p>
        </w:tc>
        <w:tc>
          <w:tcPr>
            <w:tcW w:w="928" w:type="dxa"/>
            <w:shd w:val="clear" w:color="auto" w:fill="auto"/>
            <w:noWrap/>
            <w:vAlign w:val="center"/>
          </w:tcPr>
          <w:p w14:paraId="3F37DA8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380</w:t>
            </w:r>
          </w:p>
        </w:tc>
        <w:tc>
          <w:tcPr>
            <w:tcW w:w="928" w:type="dxa"/>
            <w:shd w:val="clear" w:color="auto" w:fill="auto"/>
            <w:noWrap/>
            <w:vAlign w:val="center"/>
          </w:tcPr>
          <w:p w14:paraId="5CC6FDC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420</w:t>
            </w:r>
          </w:p>
        </w:tc>
        <w:tc>
          <w:tcPr>
            <w:tcW w:w="928" w:type="dxa"/>
            <w:shd w:val="clear" w:color="auto" w:fill="auto"/>
            <w:noWrap/>
            <w:vAlign w:val="center"/>
          </w:tcPr>
          <w:p w14:paraId="59019BF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500</w:t>
            </w:r>
          </w:p>
        </w:tc>
      </w:tr>
      <w:tr w:rsidR="006440E9" w:rsidRPr="00351291" w14:paraId="1EBC911B" w14:textId="77777777" w:rsidTr="00E155C1">
        <w:trPr>
          <w:trHeight w:val="300"/>
          <w:jc w:val="center"/>
        </w:trPr>
        <w:tc>
          <w:tcPr>
            <w:tcW w:w="4267" w:type="dxa"/>
            <w:noWrap/>
            <w:vAlign w:val="center"/>
          </w:tcPr>
          <w:p w14:paraId="46C6681D"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30-49.9 ha</w:t>
            </w:r>
          </w:p>
        </w:tc>
        <w:tc>
          <w:tcPr>
            <w:tcW w:w="928" w:type="dxa"/>
            <w:vAlign w:val="center"/>
          </w:tcPr>
          <w:p w14:paraId="44950311"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720</w:t>
            </w:r>
          </w:p>
        </w:tc>
        <w:tc>
          <w:tcPr>
            <w:tcW w:w="928" w:type="dxa"/>
            <w:shd w:val="clear" w:color="auto" w:fill="auto"/>
            <w:noWrap/>
            <w:vAlign w:val="center"/>
          </w:tcPr>
          <w:p w14:paraId="23A3778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890</w:t>
            </w:r>
          </w:p>
        </w:tc>
        <w:tc>
          <w:tcPr>
            <w:tcW w:w="928" w:type="dxa"/>
            <w:shd w:val="clear" w:color="auto" w:fill="auto"/>
            <w:noWrap/>
            <w:vAlign w:val="center"/>
          </w:tcPr>
          <w:p w14:paraId="512DFD9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970</w:t>
            </w:r>
          </w:p>
        </w:tc>
        <w:tc>
          <w:tcPr>
            <w:tcW w:w="928" w:type="dxa"/>
            <w:shd w:val="clear" w:color="auto" w:fill="auto"/>
            <w:noWrap/>
            <w:vAlign w:val="center"/>
          </w:tcPr>
          <w:p w14:paraId="6C6576F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1.070</w:t>
            </w:r>
          </w:p>
        </w:tc>
        <w:tc>
          <w:tcPr>
            <w:tcW w:w="928" w:type="dxa"/>
            <w:shd w:val="clear" w:color="auto" w:fill="auto"/>
            <w:noWrap/>
            <w:vAlign w:val="center"/>
          </w:tcPr>
          <w:p w14:paraId="0B92EDE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1.250</w:t>
            </w:r>
          </w:p>
        </w:tc>
      </w:tr>
      <w:tr w:rsidR="006440E9" w:rsidRPr="00351291" w14:paraId="53829795" w14:textId="77777777" w:rsidTr="00E155C1">
        <w:trPr>
          <w:trHeight w:val="300"/>
          <w:jc w:val="center"/>
        </w:trPr>
        <w:tc>
          <w:tcPr>
            <w:tcW w:w="4267" w:type="dxa"/>
            <w:noWrap/>
            <w:vAlign w:val="center"/>
          </w:tcPr>
          <w:p w14:paraId="43176D69"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20-29.9 ha</w:t>
            </w:r>
          </w:p>
        </w:tc>
        <w:tc>
          <w:tcPr>
            <w:tcW w:w="928" w:type="dxa"/>
            <w:vAlign w:val="center"/>
          </w:tcPr>
          <w:p w14:paraId="74CD1C40"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1.710</w:t>
            </w:r>
          </w:p>
        </w:tc>
        <w:tc>
          <w:tcPr>
            <w:tcW w:w="928" w:type="dxa"/>
            <w:shd w:val="clear" w:color="auto" w:fill="auto"/>
            <w:noWrap/>
            <w:vAlign w:val="center"/>
          </w:tcPr>
          <w:p w14:paraId="7BC1AB8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1.890</w:t>
            </w:r>
          </w:p>
        </w:tc>
        <w:tc>
          <w:tcPr>
            <w:tcW w:w="928" w:type="dxa"/>
            <w:shd w:val="clear" w:color="auto" w:fill="auto"/>
            <w:noWrap/>
            <w:vAlign w:val="center"/>
          </w:tcPr>
          <w:p w14:paraId="4FDF141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2.020</w:t>
            </w:r>
          </w:p>
        </w:tc>
        <w:tc>
          <w:tcPr>
            <w:tcW w:w="928" w:type="dxa"/>
            <w:shd w:val="clear" w:color="auto" w:fill="auto"/>
            <w:noWrap/>
            <w:vAlign w:val="center"/>
          </w:tcPr>
          <w:p w14:paraId="3C11B3E8"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2.050</w:t>
            </w:r>
          </w:p>
        </w:tc>
        <w:tc>
          <w:tcPr>
            <w:tcW w:w="928" w:type="dxa"/>
            <w:shd w:val="clear" w:color="auto" w:fill="auto"/>
            <w:noWrap/>
            <w:vAlign w:val="center"/>
          </w:tcPr>
          <w:p w14:paraId="0E2F9C0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2.180</w:t>
            </w:r>
          </w:p>
        </w:tc>
      </w:tr>
      <w:tr w:rsidR="006440E9" w:rsidRPr="00351291" w14:paraId="32322762" w14:textId="77777777" w:rsidTr="00E155C1">
        <w:trPr>
          <w:trHeight w:val="300"/>
          <w:jc w:val="center"/>
        </w:trPr>
        <w:tc>
          <w:tcPr>
            <w:tcW w:w="4267" w:type="dxa"/>
            <w:noWrap/>
            <w:vAlign w:val="center"/>
          </w:tcPr>
          <w:p w14:paraId="53FE0871"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10-19.9 ha</w:t>
            </w:r>
          </w:p>
        </w:tc>
        <w:tc>
          <w:tcPr>
            <w:tcW w:w="928" w:type="dxa"/>
            <w:vAlign w:val="center"/>
          </w:tcPr>
          <w:p w14:paraId="5396C4AC"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8.820</w:t>
            </w:r>
          </w:p>
        </w:tc>
        <w:tc>
          <w:tcPr>
            <w:tcW w:w="928" w:type="dxa"/>
            <w:shd w:val="clear" w:color="auto" w:fill="auto"/>
            <w:noWrap/>
            <w:vAlign w:val="center"/>
          </w:tcPr>
          <w:p w14:paraId="5A03CA5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8.550</w:t>
            </w:r>
          </w:p>
        </w:tc>
        <w:tc>
          <w:tcPr>
            <w:tcW w:w="928" w:type="dxa"/>
            <w:shd w:val="clear" w:color="auto" w:fill="auto"/>
            <w:noWrap/>
            <w:vAlign w:val="center"/>
          </w:tcPr>
          <w:p w14:paraId="5E76F70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8.350</w:t>
            </w:r>
          </w:p>
        </w:tc>
        <w:tc>
          <w:tcPr>
            <w:tcW w:w="928" w:type="dxa"/>
            <w:shd w:val="clear" w:color="auto" w:fill="auto"/>
            <w:noWrap/>
            <w:vAlign w:val="center"/>
          </w:tcPr>
          <w:p w14:paraId="14EF859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8.190</w:t>
            </w:r>
          </w:p>
        </w:tc>
        <w:tc>
          <w:tcPr>
            <w:tcW w:w="928" w:type="dxa"/>
            <w:shd w:val="clear" w:color="auto" w:fill="auto"/>
            <w:noWrap/>
            <w:vAlign w:val="center"/>
          </w:tcPr>
          <w:p w14:paraId="43E48E4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8.230</w:t>
            </w:r>
          </w:p>
        </w:tc>
      </w:tr>
      <w:tr w:rsidR="006440E9" w:rsidRPr="00351291" w14:paraId="0221DD06" w14:textId="77777777" w:rsidTr="00E155C1">
        <w:trPr>
          <w:trHeight w:val="300"/>
          <w:jc w:val="center"/>
        </w:trPr>
        <w:tc>
          <w:tcPr>
            <w:tcW w:w="4267" w:type="dxa"/>
            <w:noWrap/>
            <w:vAlign w:val="center"/>
          </w:tcPr>
          <w:p w14:paraId="491DB74A"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5-9.9 ha</w:t>
            </w:r>
          </w:p>
        </w:tc>
        <w:tc>
          <w:tcPr>
            <w:tcW w:w="928" w:type="dxa"/>
            <w:vAlign w:val="center"/>
          </w:tcPr>
          <w:p w14:paraId="140D5FD0"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19.770</w:t>
            </w:r>
          </w:p>
        </w:tc>
        <w:tc>
          <w:tcPr>
            <w:tcW w:w="928" w:type="dxa"/>
            <w:shd w:val="clear" w:color="auto" w:fill="auto"/>
            <w:noWrap/>
            <w:vAlign w:val="center"/>
          </w:tcPr>
          <w:p w14:paraId="60215E7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19.140</w:t>
            </w:r>
          </w:p>
        </w:tc>
        <w:tc>
          <w:tcPr>
            <w:tcW w:w="928" w:type="dxa"/>
            <w:shd w:val="clear" w:color="auto" w:fill="auto"/>
            <w:noWrap/>
            <w:vAlign w:val="center"/>
          </w:tcPr>
          <w:p w14:paraId="7B30F182"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17.440</w:t>
            </w:r>
          </w:p>
        </w:tc>
        <w:tc>
          <w:tcPr>
            <w:tcW w:w="928" w:type="dxa"/>
            <w:shd w:val="clear" w:color="auto" w:fill="auto"/>
            <w:noWrap/>
            <w:vAlign w:val="center"/>
          </w:tcPr>
          <w:p w14:paraId="1FAE0DFA"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17.260</w:t>
            </w:r>
          </w:p>
        </w:tc>
        <w:tc>
          <w:tcPr>
            <w:tcW w:w="928" w:type="dxa"/>
            <w:shd w:val="clear" w:color="auto" w:fill="auto"/>
            <w:noWrap/>
            <w:vAlign w:val="center"/>
          </w:tcPr>
          <w:p w14:paraId="735AEC2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16.060</w:t>
            </w:r>
          </w:p>
        </w:tc>
      </w:tr>
      <w:tr w:rsidR="006440E9" w:rsidRPr="00351291" w14:paraId="111C09A6" w14:textId="77777777" w:rsidTr="00E155C1">
        <w:trPr>
          <w:trHeight w:val="300"/>
          <w:jc w:val="center"/>
        </w:trPr>
        <w:tc>
          <w:tcPr>
            <w:tcW w:w="4267" w:type="dxa"/>
            <w:noWrap/>
            <w:vAlign w:val="center"/>
          </w:tcPr>
          <w:p w14:paraId="6828EEA4"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2-4.9 ha</w:t>
            </w:r>
          </w:p>
        </w:tc>
        <w:tc>
          <w:tcPr>
            <w:tcW w:w="928" w:type="dxa"/>
            <w:vAlign w:val="center"/>
          </w:tcPr>
          <w:p w14:paraId="05580404"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27.860</w:t>
            </w:r>
          </w:p>
        </w:tc>
        <w:tc>
          <w:tcPr>
            <w:tcW w:w="928" w:type="dxa"/>
            <w:shd w:val="clear" w:color="auto" w:fill="auto"/>
            <w:noWrap/>
            <w:vAlign w:val="center"/>
          </w:tcPr>
          <w:p w14:paraId="1C9ED04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25.850</w:t>
            </w:r>
          </w:p>
        </w:tc>
        <w:tc>
          <w:tcPr>
            <w:tcW w:w="928" w:type="dxa"/>
            <w:shd w:val="clear" w:color="auto" w:fill="auto"/>
            <w:noWrap/>
            <w:vAlign w:val="center"/>
          </w:tcPr>
          <w:p w14:paraId="13A981A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24.920</w:t>
            </w:r>
          </w:p>
        </w:tc>
        <w:tc>
          <w:tcPr>
            <w:tcW w:w="928" w:type="dxa"/>
            <w:shd w:val="clear" w:color="auto" w:fill="auto"/>
            <w:noWrap/>
            <w:vAlign w:val="center"/>
          </w:tcPr>
          <w:p w14:paraId="68DE895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24.810</w:t>
            </w:r>
          </w:p>
        </w:tc>
        <w:tc>
          <w:tcPr>
            <w:tcW w:w="928" w:type="dxa"/>
            <w:shd w:val="clear" w:color="auto" w:fill="auto"/>
            <w:noWrap/>
            <w:vAlign w:val="center"/>
          </w:tcPr>
          <w:p w14:paraId="3C4729D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24.050</w:t>
            </w:r>
          </w:p>
        </w:tc>
      </w:tr>
      <w:tr w:rsidR="006440E9" w:rsidRPr="00351291" w14:paraId="62DA8C86" w14:textId="77777777" w:rsidTr="00E155C1">
        <w:trPr>
          <w:trHeight w:val="300"/>
          <w:jc w:val="center"/>
        </w:trPr>
        <w:tc>
          <w:tcPr>
            <w:tcW w:w="4267" w:type="dxa"/>
            <w:noWrap/>
            <w:vAlign w:val="center"/>
          </w:tcPr>
          <w:p w14:paraId="7BAAED28"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manj kot 2 ha</w:t>
            </w:r>
          </w:p>
        </w:tc>
        <w:tc>
          <w:tcPr>
            <w:tcW w:w="928" w:type="dxa"/>
            <w:vAlign w:val="center"/>
          </w:tcPr>
          <w:p w14:paraId="67591F26"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17.970</w:t>
            </w:r>
          </w:p>
        </w:tc>
        <w:tc>
          <w:tcPr>
            <w:tcW w:w="928" w:type="dxa"/>
            <w:shd w:val="clear" w:color="auto" w:fill="auto"/>
            <w:noWrap/>
            <w:vAlign w:val="center"/>
          </w:tcPr>
          <w:p w14:paraId="610CEC5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18.620</w:t>
            </w:r>
          </w:p>
        </w:tc>
        <w:tc>
          <w:tcPr>
            <w:tcW w:w="928" w:type="dxa"/>
            <w:shd w:val="clear" w:color="auto" w:fill="auto"/>
            <w:noWrap/>
            <w:vAlign w:val="center"/>
          </w:tcPr>
          <w:p w14:paraId="47D2AE6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20.470</w:t>
            </w:r>
          </w:p>
        </w:tc>
        <w:tc>
          <w:tcPr>
            <w:tcW w:w="928" w:type="dxa"/>
            <w:shd w:val="clear" w:color="auto" w:fill="auto"/>
            <w:noWrap/>
            <w:vAlign w:val="center"/>
          </w:tcPr>
          <w:p w14:paraId="78796A2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18.460</w:t>
            </w:r>
          </w:p>
        </w:tc>
        <w:tc>
          <w:tcPr>
            <w:tcW w:w="928" w:type="dxa"/>
            <w:shd w:val="clear" w:color="auto" w:fill="auto"/>
            <w:noWrap/>
            <w:vAlign w:val="center"/>
          </w:tcPr>
          <w:p w14:paraId="64E93D1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17.520</w:t>
            </w:r>
          </w:p>
        </w:tc>
      </w:tr>
      <w:tr w:rsidR="006440E9" w:rsidRPr="00351291" w14:paraId="46D84135" w14:textId="77777777" w:rsidTr="00E155C1">
        <w:trPr>
          <w:trHeight w:val="300"/>
          <w:jc w:val="center"/>
        </w:trPr>
        <w:tc>
          <w:tcPr>
            <w:tcW w:w="4267" w:type="dxa"/>
            <w:noWrap/>
            <w:vAlign w:val="center"/>
          </w:tcPr>
          <w:p w14:paraId="754DEEB5" w14:textId="77777777" w:rsidR="006440E9" w:rsidRPr="00351291" w:rsidRDefault="006440E9" w:rsidP="000B16D1">
            <w:pPr>
              <w:pStyle w:val="TAbela0"/>
              <w:rPr>
                <w:b/>
                <w:u w:val="single"/>
                <w:lang w:val="sl-SI"/>
              </w:rPr>
            </w:pPr>
            <w:r w:rsidRPr="00351291">
              <w:rPr>
                <w:rFonts w:eastAsia="Times New Roman"/>
                <w:b/>
                <w:color w:val="000000"/>
                <w:szCs w:val="20"/>
                <w:u w:val="single"/>
                <w:lang w:val="sl-SI" w:eastAsia="sl-SI"/>
              </w:rPr>
              <w:t>Povprečna velikost gospodarstva</w:t>
            </w:r>
          </w:p>
        </w:tc>
        <w:tc>
          <w:tcPr>
            <w:tcW w:w="928" w:type="dxa"/>
            <w:vAlign w:val="center"/>
          </w:tcPr>
          <w:p w14:paraId="49CB8386" w14:textId="77777777" w:rsidR="006440E9" w:rsidRPr="00351291" w:rsidRDefault="006440E9" w:rsidP="000B16D1">
            <w:pPr>
              <w:pStyle w:val="TAbela0"/>
              <w:jc w:val="right"/>
              <w:rPr>
                <w:b/>
                <w:color w:val="000000"/>
                <w:szCs w:val="20"/>
                <w:u w:val="single"/>
                <w:lang w:val="sl-SI" w:eastAsia="sl-SI"/>
              </w:rPr>
            </w:pPr>
          </w:p>
        </w:tc>
        <w:tc>
          <w:tcPr>
            <w:tcW w:w="928" w:type="dxa"/>
            <w:shd w:val="clear" w:color="auto" w:fill="auto"/>
            <w:noWrap/>
            <w:vAlign w:val="center"/>
          </w:tcPr>
          <w:p w14:paraId="1F818991"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47874A01"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2C2EE966"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1EBCAA26" w14:textId="77777777" w:rsidR="006440E9" w:rsidRPr="00351291" w:rsidRDefault="006440E9" w:rsidP="000B16D1">
            <w:pPr>
              <w:pStyle w:val="TAbela0"/>
              <w:jc w:val="right"/>
              <w:rPr>
                <w:b/>
                <w:u w:val="single"/>
                <w:lang w:val="sl-SI"/>
              </w:rPr>
            </w:pPr>
          </w:p>
        </w:tc>
      </w:tr>
      <w:tr w:rsidR="006440E9" w:rsidRPr="00351291" w14:paraId="039B2D14" w14:textId="77777777" w:rsidTr="00E155C1">
        <w:trPr>
          <w:trHeight w:val="300"/>
          <w:jc w:val="center"/>
        </w:trPr>
        <w:tc>
          <w:tcPr>
            <w:tcW w:w="4267" w:type="dxa"/>
            <w:noWrap/>
            <w:vAlign w:val="center"/>
          </w:tcPr>
          <w:p w14:paraId="714A5A14" w14:textId="77777777" w:rsidR="006440E9" w:rsidRPr="00351291" w:rsidRDefault="006440E9" w:rsidP="000B16D1">
            <w:pPr>
              <w:pStyle w:val="TAbela0"/>
              <w:rPr>
                <w:lang w:val="sl-SI"/>
              </w:rPr>
            </w:pPr>
            <w:r w:rsidRPr="00351291">
              <w:rPr>
                <w:rFonts w:eastAsia="Times New Roman"/>
                <w:color w:val="000000"/>
                <w:szCs w:val="20"/>
                <w:lang w:val="sl-SI" w:eastAsia="sl-SI"/>
              </w:rPr>
              <w:t>ekonomska velikost (EUR SO)</w:t>
            </w:r>
          </w:p>
        </w:tc>
        <w:tc>
          <w:tcPr>
            <w:tcW w:w="928" w:type="dxa"/>
            <w:vAlign w:val="center"/>
          </w:tcPr>
          <w:p w14:paraId="4C6EAA93"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10.805,29</w:t>
            </w:r>
          </w:p>
        </w:tc>
        <w:tc>
          <w:tcPr>
            <w:tcW w:w="928" w:type="dxa"/>
            <w:shd w:val="clear" w:color="auto" w:fill="auto"/>
            <w:noWrap/>
            <w:vAlign w:val="center"/>
          </w:tcPr>
          <w:p w14:paraId="4C92A63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11.746,70</w:t>
            </w:r>
          </w:p>
        </w:tc>
        <w:tc>
          <w:tcPr>
            <w:tcW w:w="928" w:type="dxa"/>
            <w:shd w:val="clear" w:color="auto" w:fill="auto"/>
            <w:noWrap/>
            <w:vAlign w:val="center"/>
          </w:tcPr>
          <w:p w14:paraId="31004E0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12.233,01</w:t>
            </w:r>
          </w:p>
        </w:tc>
        <w:tc>
          <w:tcPr>
            <w:tcW w:w="928" w:type="dxa"/>
            <w:shd w:val="clear" w:color="auto" w:fill="auto"/>
            <w:noWrap/>
            <w:vAlign w:val="center"/>
          </w:tcPr>
          <w:p w14:paraId="73BE0A2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13.943,49</w:t>
            </w:r>
          </w:p>
        </w:tc>
        <w:tc>
          <w:tcPr>
            <w:tcW w:w="928" w:type="dxa"/>
            <w:shd w:val="clear" w:color="auto" w:fill="auto"/>
            <w:noWrap/>
            <w:vAlign w:val="center"/>
          </w:tcPr>
          <w:p w14:paraId="5C9963E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16.577,59</w:t>
            </w:r>
          </w:p>
        </w:tc>
      </w:tr>
      <w:tr w:rsidR="006440E9" w:rsidRPr="00351291" w14:paraId="06F1B186" w14:textId="77777777" w:rsidTr="00E155C1">
        <w:trPr>
          <w:trHeight w:val="300"/>
          <w:jc w:val="center"/>
        </w:trPr>
        <w:tc>
          <w:tcPr>
            <w:tcW w:w="4267" w:type="dxa"/>
            <w:noWrap/>
            <w:vAlign w:val="center"/>
          </w:tcPr>
          <w:p w14:paraId="731D11A8" w14:textId="77777777" w:rsidR="006440E9" w:rsidRPr="00351291" w:rsidRDefault="006440E9" w:rsidP="000B16D1">
            <w:pPr>
              <w:pStyle w:val="TAbela0"/>
              <w:rPr>
                <w:lang w:val="sl-SI"/>
              </w:rPr>
            </w:pPr>
            <w:r w:rsidRPr="00351291">
              <w:rPr>
                <w:rFonts w:eastAsia="Times New Roman"/>
                <w:color w:val="000000"/>
                <w:szCs w:val="20"/>
                <w:lang w:val="sl-SI" w:eastAsia="sl-SI"/>
              </w:rPr>
              <w:t>delovna sila (v PDM)</w:t>
            </w:r>
          </w:p>
        </w:tc>
        <w:tc>
          <w:tcPr>
            <w:tcW w:w="928" w:type="dxa"/>
            <w:vAlign w:val="center"/>
          </w:tcPr>
          <w:p w14:paraId="3D3B5F7B"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1,23</w:t>
            </w:r>
          </w:p>
        </w:tc>
        <w:tc>
          <w:tcPr>
            <w:tcW w:w="928" w:type="dxa"/>
            <w:shd w:val="clear" w:color="auto" w:fill="auto"/>
            <w:noWrap/>
            <w:vAlign w:val="center"/>
          </w:tcPr>
          <w:p w14:paraId="29CAB87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1,11</w:t>
            </w:r>
          </w:p>
        </w:tc>
        <w:tc>
          <w:tcPr>
            <w:tcW w:w="928" w:type="dxa"/>
            <w:shd w:val="clear" w:color="auto" w:fill="auto"/>
            <w:noWrap/>
            <w:vAlign w:val="center"/>
          </w:tcPr>
          <w:p w14:paraId="6114863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1,03</w:t>
            </w:r>
          </w:p>
        </w:tc>
        <w:tc>
          <w:tcPr>
            <w:tcW w:w="928" w:type="dxa"/>
            <w:shd w:val="clear" w:color="auto" w:fill="auto"/>
            <w:noWrap/>
            <w:vAlign w:val="center"/>
          </w:tcPr>
          <w:p w14:paraId="6B6D36D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1,14</w:t>
            </w:r>
          </w:p>
        </w:tc>
        <w:tc>
          <w:tcPr>
            <w:tcW w:w="928" w:type="dxa"/>
            <w:shd w:val="clear" w:color="auto" w:fill="auto"/>
            <w:noWrap/>
            <w:vAlign w:val="center"/>
          </w:tcPr>
          <w:p w14:paraId="57DE51B7"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1,12</w:t>
            </w:r>
          </w:p>
        </w:tc>
      </w:tr>
      <w:tr w:rsidR="006440E9" w:rsidRPr="00351291" w14:paraId="3C3DEA00" w14:textId="77777777" w:rsidTr="00E155C1">
        <w:trPr>
          <w:trHeight w:val="300"/>
          <w:jc w:val="center"/>
        </w:trPr>
        <w:tc>
          <w:tcPr>
            <w:tcW w:w="4267" w:type="dxa"/>
            <w:noWrap/>
            <w:vAlign w:val="center"/>
          </w:tcPr>
          <w:p w14:paraId="01342592" w14:textId="77777777" w:rsidR="006440E9" w:rsidRPr="00351291" w:rsidRDefault="006440E9" w:rsidP="000B16D1">
            <w:pPr>
              <w:pStyle w:val="TAbela0"/>
              <w:rPr>
                <w:lang w:val="sl-SI"/>
              </w:rPr>
            </w:pPr>
            <w:r w:rsidRPr="00351291">
              <w:rPr>
                <w:rFonts w:eastAsia="Times New Roman"/>
                <w:color w:val="000000"/>
                <w:szCs w:val="20"/>
                <w:lang w:val="sl-SI" w:eastAsia="sl-SI"/>
              </w:rPr>
              <w:t>delovna sila (število oseb)</w:t>
            </w:r>
          </w:p>
        </w:tc>
        <w:tc>
          <w:tcPr>
            <w:tcW w:w="928" w:type="dxa"/>
            <w:vAlign w:val="center"/>
          </w:tcPr>
          <w:p w14:paraId="4891F4E1"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2,69</w:t>
            </w:r>
          </w:p>
        </w:tc>
        <w:tc>
          <w:tcPr>
            <w:tcW w:w="928" w:type="dxa"/>
            <w:shd w:val="clear" w:color="auto" w:fill="auto"/>
            <w:noWrap/>
            <w:vAlign w:val="center"/>
          </w:tcPr>
          <w:p w14:paraId="226C4757"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2,66</w:t>
            </w:r>
          </w:p>
        </w:tc>
        <w:tc>
          <w:tcPr>
            <w:tcW w:w="928" w:type="dxa"/>
            <w:shd w:val="clear" w:color="auto" w:fill="auto"/>
            <w:noWrap/>
            <w:vAlign w:val="center"/>
          </w:tcPr>
          <w:p w14:paraId="2EF98D4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2,79</w:t>
            </w:r>
          </w:p>
        </w:tc>
        <w:tc>
          <w:tcPr>
            <w:tcW w:w="928" w:type="dxa"/>
            <w:shd w:val="clear" w:color="auto" w:fill="auto"/>
            <w:noWrap/>
            <w:vAlign w:val="center"/>
          </w:tcPr>
          <w:p w14:paraId="36ACB66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2,77</w:t>
            </w:r>
          </w:p>
        </w:tc>
        <w:tc>
          <w:tcPr>
            <w:tcW w:w="928" w:type="dxa"/>
            <w:shd w:val="clear" w:color="auto" w:fill="auto"/>
            <w:noWrap/>
            <w:vAlign w:val="center"/>
          </w:tcPr>
          <w:p w14:paraId="1ADD70D2"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2,81</w:t>
            </w:r>
          </w:p>
        </w:tc>
      </w:tr>
      <w:tr w:rsidR="006440E9" w:rsidRPr="00351291" w14:paraId="640FA85A" w14:textId="77777777" w:rsidTr="00E155C1">
        <w:trPr>
          <w:trHeight w:val="300"/>
          <w:jc w:val="center"/>
        </w:trPr>
        <w:tc>
          <w:tcPr>
            <w:tcW w:w="4267" w:type="dxa"/>
            <w:noWrap/>
            <w:vAlign w:val="center"/>
          </w:tcPr>
          <w:p w14:paraId="2E46E74E" w14:textId="77777777" w:rsidR="006440E9" w:rsidRPr="00351291" w:rsidRDefault="006440E9" w:rsidP="000B16D1">
            <w:pPr>
              <w:pStyle w:val="TAbela0"/>
              <w:rPr>
                <w:lang w:val="sl-SI"/>
              </w:rPr>
            </w:pPr>
            <w:r w:rsidRPr="00351291">
              <w:rPr>
                <w:rFonts w:eastAsia="Times New Roman"/>
                <w:color w:val="000000"/>
                <w:szCs w:val="20"/>
                <w:lang w:val="sl-SI" w:eastAsia="sl-SI"/>
              </w:rPr>
              <w:t>fizična površina (ha)</w:t>
            </w:r>
          </w:p>
        </w:tc>
        <w:tc>
          <w:tcPr>
            <w:tcW w:w="928" w:type="dxa"/>
            <w:vAlign w:val="center"/>
          </w:tcPr>
          <w:p w14:paraId="712464FD"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6,29</w:t>
            </w:r>
          </w:p>
        </w:tc>
        <w:tc>
          <w:tcPr>
            <w:tcW w:w="928" w:type="dxa"/>
            <w:shd w:val="clear" w:color="auto" w:fill="auto"/>
            <w:noWrap/>
            <w:vAlign w:val="center"/>
          </w:tcPr>
          <w:p w14:paraId="1C432CF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6,49</w:t>
            </w:r>
          </w:p>
        </w:tc>
        <w:tc>
          <w:tcPr>
            <w:tcW w:w="928" w:type="dxa"/>
            <w:shd w:val="clear" w:color="auto" w:fill="auto"/>
            <w:noWrap/>
            <w:vAlign w:val="center"/>
          </w:tcPr>
          <w:p w14:paraId="58206DF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6,47</w:t>
            </w:r>
          </w:p>
        </w:tc>
        <w:tc>
          <w:tcPr>
            <w:tcW w:w="928" w:type="dxa"/>
            <w:shd w:val="clear" w:color="auto" w:fill="auto"/>
            <w:noWrap/>
            <w:vAlign w:val="center"/>
          </w:tcPr>
          <w:p w14:paraId="6F27C16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6,71</w:t>
            </w:r>
          </w:p>
        </w:tc>
        <w:tc>
          <w:tcPr>
            <w:tcW w:w="928" w:type="dxa"/>
            <w:shd w:val="clear" w:color="auto" w:fill="auto"/>
            <w:noWrap/>
            <w:vAlign w:val="center"/>
          </w:tcPr>
          <w:p w14:paraId="63342F8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6,99</w:t>
            </w:r>
          </w:p>
        </w:tc>
      </w:tr>
      <w:tr w:rsidR="006440E9" w:rsidRPr="00351291" w14:paraId="12A0EFB7" w14:textId="77777777" w:rsidTr="00E155C1">
        <w:trPr>
          <w:trHeight w:val="300"/>
          <w:jc w:val="center"/>
        </w:trPr>
        <w:tc>
          <w:tcPr>
            <w:tcW w:w="4267" w:type="dxa"/>
            <w:noWrap/>
            <w:vAlign w:val="center"/>
          </w:tcPr>
          <w:p w14:paraId="47BA76E3" w14:textId="77777777" w:rsidR="006440E9" w:rsidRPr="00351291" w:rsidRDefault="006440E9" w:rsidP="000B16D1">
            <w:pPr>
              <w:pStyle w:val="TAbela0"/>
              <w:rPr>
                <w:b/>
                <w:u w:val="single"/>
                <w:lang w:val="sl-SI"/>
              </w:rPr>
            </w:pPr>
            <w:r w:rsidRPr="00351291">
              <w:rPr>
                <w:rFonts w:eastAsia="Times New Roman"/>
                <w:b/>
                <w:color w:val="000000"/>
                <w:szCs w:val="20"/>
                <w:u w:val="single"/>
                <w:lang w:val="sl-SI" w:eastAsia="sl-SI"/>
              </w:rPr>
              <w:t>Ekonomska velikost gospodarstva</w:t>
            </w:r>
          </w:p>
        </w:tc>
        <w:tc>
          <w:tcPr>
            <w:tcW w:w="928" w:type="dxa"/>
            <w:vAlign w:val="center"/>
          </w:tcPr>
          <w:p w14:paraId="576FB569" w14:textId="77777777" w:rsidR="006440E9" w:rsidRPr="00351291" w:rsidRDefault="006440E9" w:rsidP="000B16D1">
            <w:pPr>
              <w:pStyle w:val="TAbela0"/>
              <w:jc w:val="right"/>
              <w:rPr>
                <w:b/>
                <w:color w:val="000000"/>
                <w:szCs w:val="20"/>
                <w:u w:val="single"/>
                <w:lang w:val="sl-SI" w:eastAsia="sl-SI"/>
              </w:rPr>
            </w:pPr>
          </w:p>
        </w:tc>
        <w:tc>
          <w:tcPr>
            <w:tcW w:w="928" w:type="dxa"/>
            <w:shd w:val="clear" w:color="auto" w:fill="auto"/>
            <w:noWrap/>
            <w:vAlign w:val="center"/>
          </w:tcPr>
          <w:p w14:paraId="738F59E7"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5D78EE2C"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0356068C" w14:textId="77777777" w:rsidR="006440E9" w:rsidRPr="00351291" w:rsidRDefault="006440E9" w:rsidP="000B16D1">
            <w:pPr>
              <w:pStyle w:val="TAbela0"/>
              <w:jc w:val="right"/>
              <w:rPr>
                <w:b/>
                <w:u w:val="single"/>
                <w:lang w:val="sl-SI"/>
              </w:rPr>
            </w:pPr>
          </w:p>
        </w:tc>
        <w:tc>
          <w:tcPr>
            <w:tcW w:w="928" w:type="dxa"/>
            <w:shd w:val="clear" w:color="auto" w:fill="auto"/>
            <w:noWrap/>
            <w:vAlign w:val="center"/>
          </w:tcPr>
          <w:p w14:paraId="1645E64E" w14:textId="77777777" w:rsidR="006440E9" w:rsidRPr="00351291" w:rsidRDefault="006440E9" w:rsidP="000B16D1">
            <w:pPr>
              <w:pStyle w:val="TAbela0"/>
              <w:jc w:val="right"/>
              <w:rPr>
                <w:b/>
                <w:u w:val="single"/>
                <w:lang w:val="sl-SI"/>
              </w:rPr>
            </w:pPr>
          </w:p>
        </w:tc>
      </w:tr>
      <w:tr w:rsidR="006440E9" w:rsidRPr="00351291" w14:paraId="0E12095E" w14:textId="77777777" w:rsidTr="00E155C1">
        <w:trPr>
          <w:trHeight w:val="300"/>
          <w:jc w:val="center"/>
        </w:trPr>
        <w:tc>
          <w:tcPr>
            <w:tcW w:w="4267" w:type="dxa"/>
            <w:noWrap/>
            <w:vAlign w:val="center"/>
          </w:tcPr>
          <w:p w14:paraId="43190DDB"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500 000 EUR in več EUR SO</w:t>
            </w:r>
          </w:p>
        </w:tc>
        <w:tc>
          <w:tcPr>
            <w:tcW w:w="928" w:type="dxa"/>
            <w:vAlign w:val="center"/>
          </w:tcPr>
          <w:p w14:paraId="33356440"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50</w:t>
            </w:r>
          </w:p>
        </w:tc>
        <w:tc>
          <w:tcPr>
            <w:tcW w:w="928" w:type="dxa"/>
            <w:shd w:val="clear" w:color="auto" w:fill="auto"/>
            <w:noWrap/>
            <w:vAlign w:val="center"/>
          </w:tcPr>
          <w:p w14:paraId="2253AEF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60</w:t>
            </w:r>
          </w:p>
        </w:tc>
        <w:tc>
          <w:tcPr>
            <w:tcW w:w="928" w:type="dxa"/>
            <w:shd w:val="clear" w:color="auto" w:fill="auto"/>
            <w:noWrap/>
            <w:vAlign w:val="center"/>
          </w:tcPr>
          <w:p w14:paraId="7F6CDB2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40</w:t>
            </w:r>
          </w:p>
        </w:tc>
        <w:tc>
          <w:tcPr>
            <w:tcW w:w="928" w:type="dxa"/>
            <w:shd w:val="clear" w:color="auto" w:fill="auto"/>
            <w:noWrap/>
            <w:vAlign w:val="center"/>
          </w:tcPr>
          <w:p w14:paraId="0E214131"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50</w:t>
            </w:r>
          </w:p>
        </w:tc>
        <w:tc>
          <w:tcPr>
            <w:tcW w:w="928" w:type="dxa"/>
            <w:shd w:val="clear" w:color="auto" w:fill="auto"/>
            <w:noWrap/>
            <w:vAlign w:val="center"/>
          </w:tcPr>
          <w:p w14:paraId="2CCEA162"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70</w:t>
            </w:r>
          </w:p>
        </w:tc>
      </w:tr>
      <w:tr w:rsidR="006440E9" w:rsidRPr="00351291" w14:paraId="3A65F4B1" w14:textId="77777777" w:rsidTr="00E155C1">
        <w:trPr>
          <w:trHeight w:val="300"/>
          <w:jc w:val="center"/>
        </w:trPr>
        <w:tc>
          <w:tcPr>
            <w:tcW w:w="4267" w:type="dxa"/>
            <w:noWrap/>
            <w:vAlign w:val="center"/>
          </w:tcPr>
          <w:p w14:paraId="64FE09AD"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250 000-499 999 EUR SO</w:t>
            </w:r>
          </w:p>
        </w:tc>
        <w:tc>
          <w:tcPr>
            <w:tcW w:w="928" w:type="dxa"/>
            <w:vAlign w:val="center"/>
          </w:tcPr>
          <w:p w14:paraId="00C62A56"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40</w:t>
            </w:r>
          </w:p>
        </w:tc>
        <w:tc>
          <w:tcPr>
            <w:tcW w:w="928" w:type="dxa"/>
            <w:shd w:val="clear" w:color="auto" w:fill="auto"/>
            <w:noWrap/>
            <w:vAlign w:val="center"/>
          </w:tcPr>
          <w:p w14:paraId="4D52DBB7"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160</w:t>
            </w:r>
          </w:p>
        </w:tc>
        <w:tc>
          <w:tcPr>
            <w:tcW w:w="928" w:type="dxa"/>
            <w:shd w:val="clear" w:color="auto" w:fill="auto"/>
            <w:noWrap/>
            <w:vAlign w:val="center"/>
          </w:tcPr>
          <w:p w14:paraId="7EC3D757"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80</w:t>
            </w:r>
          </w:p>
        </w:tc>
        <w:tc>
          <w:tcPr>
            <w:tcW w:w="928" w:type="dxa"/>
            <w:shd w:val="clear" w:color="auto" w:fill="auto"/>
            <w:noWrap/>
            <w:vAlign w:val="center"/>
          </w:tcPr>
          <w:p w14:paraId="3A29246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120</w:t>
            </w:r>
          </w:p>
        </w:tc>
        <w:tc>
          <w:tcPr>
            <w:tcW w:w="928" w:type="dxa"/>
            <w:shd w:val="clear" w:color="auto" w:fill="auto"/>
            <w:noWrap/>
            <w:vAlign w:val="center"/>
          </w:tcPr>
          <w:p w14:paraId="57678BA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180</w:t>
            </w:r>
          </w:p>
        </w:tc>
      </w:tr>
      <w:tr w:rsidR="006440E9" w:rsidRPr="00351291" w14:paraId="49F0532C" w14:textId="77777777" w:rsidTr="00E155C1">
        <w:trPr>
          <w:trHeight w:val="300"/>
          <w:jc w:val="center"/>
        </w:trPr>
        <w:tc>
          <w:tcPr>
            <w:tcW w:w="4267" w:type="dxa"/>
            <w:noWrap/>
            <w:vAlign w:val="center"/>
          </w:tcPr>
          <w:p w14:paraId="7468EE68"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100 000-249 999 EUR SO</w:t>
            </w:r>
          </w:p>
        </w:tc>
        <w:tc>
          <w:tcPr>
            <w:tcW w:w="928" w:type="dxa"/>
            <w:vAlign w:val="center"/>
          </w:tcPr>
          <w:p w14:paraId="788F1040"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450</w:t>
            </w:r>
          </w:p>
        </w:tc>
        <w:tc>
          <w:tcPr>
            <w:tcW w:w="928" w:type="dxa"/>
            <w:shd w:val="clear" w:color="auto" w:fill="auto"/>
            <w:noWrap/>
            <w:vAlign w:val="center"/>
          </w:tcPr>
          <w:p w14:paraId="236F6CD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500</w:t>
            </w:r>
          </w:p>
        </w:tc>
        <w:tc>
          <w:tcPr>
            <w:tcW w:w="928" w:type="dxa"/>
            <w:shd w:val="clear" w:color="auto" w:fill="auto"/>
            <w:noWrap/>
            <w:vAlign w:val="center"/>
          </w:tcPr>
          <w:p w14:paraId="04AF9594"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780</w:t>
            </w:r>
          </w:p>
        </w:tc>
        <w:tc>
          <w:tcPr>
            <w:tcW w:w="928" w:type="dxa"/>
            <w:shd w:val="clear" w:color="auto" w:fill="auto"/>
            <w:noWrap/>
            <w:vAlign w:val="center"/>
          </w:tcPr>
          <w:p w14:paraId="5F0A12F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950</w:t>
            </w:r>
          </w:p>
        </w:tc>
        <w:tc>
          <w:tcPr>
            <w:tcW w:w="928" w:type="dxa"/>
            <w:shd w:val="clear" w:color="auto" w:fill="auto"/>
            <w:noWrap/>
            <w:vAlign w:val="center"/>
          </w:tcPr>
          <w:p w14:paraId="2085D95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1.300</w:t>
            </w:r>
          </w:p>
        </w:tc>
      </w:tr>
      <w:tr w:rsidR="006440E9" w:rsidRPr="00351291" w14:paraId="58F75AF7" w14:textId="77777777" w:rsidTr="00E155C1">
        <w:trPr>
          <w:trHeight w:val="300"/>
          <w:jc w:val="center"/>
        </w:trPr>
        <w:tc>
          <w:tcPr>
            <w:tcW w:w="4267" w:type="dxa"/>
            <w:noWrap/>
            <w:vAlign w:val="center"/>
          </w:tcPr>
          <w:p w14:paraId="23B39408"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50 000-99 999 EUR SO</w:t>
            </w:r>
          </w:p>
        </w:tc>
        <w:tc>
          <w:tcPr>
            <w:tcW w:w="928" w:type="dxa"/>
            <w:vAlign w:val="center"/>
          </w:tcPr>
          <w:p w14:paraId="3B42B09A"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1.540</w:t>
            </w:r>
          </w:p>
        </w:tc>
        <w:tc>
          <w:tcPr>
            <w:tcW w:w="928" w:type="dxa"/>
            <w:shd w:val="clear" w:color="auto" w:fill="auto"/>
            <w:noWrap/>
            <w:vAlign w:val="center"/>
          </w:tcPr>
          <w:p w14:paraId="087DD88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1.630</w:t>
            </w:r>
          </w:p>
        </w:tc>
        <w:tc>
          <w:tcPr>
            <w:tcW w:w="928" w:type="dxa"/>
            <w:shd w:val="clear" w:color="auto" w:fill="auto"/>
            <w:noWrap/>
            <w:vAlign w:val="center"/>
          </w:tcPr>
          <w:p w14:paraId="5EE902B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2.170</w:t>
            </w:r>
          </w:p>
        </w:tc>
        <w:tc>
          <w:tcPr>
            <w:tcW w:w="928" w:type="dxa"/>
            <w:shd w:val="clear" w:color="auto" w:fill="auto"/>
            <w:noWrap/>
            <w:vAlign w:val="center"/>
          </w:tcPr>
          <w:p w14:paraId="2C1B2058"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2.410</w:t>
            </w:r>
          </w:p>
        </w:tc>
        <w:tc>
          <w:tcPr>
            <w:tcW w:w="928" w:type="dxa"/>
            <w:shd w:val="clear" w:color="auto" w:fill="auto"/>
            <w:noWrap/>
            <w:vAlign w:val="center"/>
          </w:tcPr>
          <w:p w14:paraId="27B4AA5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2.900</w:t>
            </w:r>
          </w:p>
        </w:tc>
      </w:tr>
      <w:tr w:rsidR="006440E9" w:rsidRPr="00351291" w14:paraId="58E27CA0" w14:textId="77777777" w:rsidTr="00E155C1">
        <w:trPr>
          <w:trHeight w:val="300"/>
          <w:jc w:val="center"/>
        </w:trPr>
        <w:tc>
          <w:tcPr>
            <w:tcW w:w="4267" w:type="dxa"/>
            <w:noWrap/>
            <w:vAlign w:val="center"/>
          </w:tcPr>
          <w:p w14:paraId="246998A3"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s 25 000-49 999 EUR SO</w:t>
            </w:r>
          </w:p>
        </w:tc>
        <w:tc>
          <w:tcPr>
            <w:tcW w:w="928" w:type="dxa"/>
            <w:vAlign w:val="center"/>
          </w:tcPr>
          <w:p w14:paraId="02117611"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4.290</w:t>
            </w:r>
          </w:p>
        </w:tc>
        <w:tc>
          <w:tcPr>
            <w:tcW w:w="928" w:type="dxa"/>
            <w:shd w:val="clear" w:color="auto" w:fill="auto"/>
            <w:noWrap/>
            <w:vAlign w:val="center"/>
          </w:tcPr>
          <w:p w14:paraId="72EB1D4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4.300</w:t>
            </w:r>
          </w:p>
        </w:tc>
        <w:tc>
          <w:tcPr>
            <w:tcW w:w="928" w:type="dxa"/>
            <w:shd w:val="clear" w:color="auto" w:fill="auto"/>
            <w:noWrap/>
            <w:vAlign w:val="center"/>
          </w:tcPr>
          <w:p w14:paraId="40CF01F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4.460</w:t>
            </w:r>
          </w:p>
        </w:tc>
        <w:tc>
          <w:tcPr>
            <w:tcW w:w="928" w:type="dxa"/>
            <w:shd w:val="clear" w:color="auto" w:fill="auto"/>
            <w:noWrap/>
            <w:vAlign w:val="center"/>
          </w:tcPr>
          <w:p w14:paraId="608C258B"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4.700</w:t>
            </w:r>
          </w:p>
        </w:tc>
        <w:tc>
          <w:tcPr>
            <w:tcW w:w="928" w:type="dxa"/>
            <w:shd w:val="clear" w:color="auto" w:fill="auto"/>
            <w:noWrap/>
            <w:vAlign w:val="center"/>
          </w:tcPr>
          <w:p w14:paraId="7B892F24"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5.170</w:t>
            </w:r>
          </w:p>
        </w:tc>
      </w:tr>
      <w:tr w:rsidR="006440E9" w:rsidRPr="00351291" w14:paraId="33908149" w14:textId="77777777" w:rsidTr="00E155C1">
        <w:trPr>
          <w:trHeight w:val="300"/>
          <w:jc w:val="center"/>
        </w:trPr>
        <w:tc>
          <w:tcPr>
            <w:tcW w:w="4267" w:type="dxa"/>
            <w:noWrap/>
            <w:vAlign w:val="center"/>
          </w:tcPr>
          <w:p w14:paraId="03D3EC68"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15 000-24 999 EUR SO</w:t>
            </w:r>
          </w:p>
        </w:tc>
        <w:tc>
          <w:tcPr>
            <w:tcW w:w="928" w:type="dxa"/>
            <w:vAlign w:val="center"/>
          </w:tcPr>
          <w:p w14:paraId="742102EE"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6.050</w:t>
            </w:r>
          </w:p>
        </w:tc>
        <w:tc>
          <w:tcPr>
            <w:tcW w:w="928" w:type="dxa"/>
            <w:shd w:val="clear" w:color="auto" w:fill="auto"/>
            <w:noWrap/>
            <w:vAlign w:val="center"/>
          </w:tcPr>
          <w:p w14:paraId="317A6AA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5.370</w:t>
            </w:r>
          </w:p>
        </w:tc>
        <w:tc>
          <w:tcPr>
            <w:tcW w:w="928" w:type="dxa"/>
            <w:shd w:val="clear" w:color="auto" w:fill="auto"/>
            <w:noWrap/>
            <w:vAlign w:val="center"/>
          </w:tcPr>
          <w:p w14:paraId="405A952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5.000</w:t>
            </w:r>
          </w:p>
        </w:tc>
        <w:tc>
          <w:tcPr>
            <w:tcW w:w="928" w:type="dxa"/>
            <w:shd w:val="clear" w:color="auto" w:fill="auto"/>
            <w:noWrap/>
            <w:vAlign w:val="center"/>
          </w:tcPr>
          <w:p w14:paraId="6E190F7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5.850</w:t>
            </w:r>
          </w:p>
        </w:tc>
        <w:tc>
          <w:tcPr>
            <w:tcW w:w="928" w:type="dxa"/>
            <w:shd w:val="clear" w:color="auto" w:fill="auto"/>
            <w:noWrap/>
            <w:vAlign w:val="center"/>
          </w:tcPr>
          <w:p w14:paraId="52737D08"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5.840</w:t>
            </w:r>
          </w:p>
        </w:tc>
      </w:tr>
      <w:tr w:rsidR="006440E9" w:rsidRPr="00351291" w14:paraId="470DCD3B" w14:textId="77777777" w:rsidTr="00E155C1">
        <w:trPr>
          <w:trHeight w:val="300"/>
          <w:jc w:val="center"/>
        </w:trPr>
        <w:tc>
          <w:tcPr>
            <w:tcW w:w="4267" w:type="dxa"/>
            <w:noWrap/>
            <w:vAlign w:val="center"/>
          </w:tcPr>
          <w:p w14:paraId="49BC9E24"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8 000-14 999 EUR SO</w:t>
            </w:r>
          </w:p>
        </w:tc>
        <w:tc>
          <w:tcPr>
            <w:tcW w:w="928" w:type="dxa"/>
            <w:vAlign w:val="center"/>
          </w:tcPr>
          <w:p w14:paraId="640BB600"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11.800</w:t>
            </w:r>
          </w:p>
        </w:tc>
        <w:tc>
          <w:tcPr>
            <w:tcW w:w="928" w:type="dxa"/>
            <w:shd w:val="clear" w:color="auto" w:fill="auto"/>
            <w:noWrap/>
            <w:vAlign w:val="center"/>
          </w:tcPr>
          <w:p w14:paraId="3051FF8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11.050</w:t>
            </w:r>
          </w:p>
        </w:tc>
        <w:tc>
          <w:tcPr>
            <w:tcW w:w="928" w:type="dxa"/>
            <w:shd w:val="clear" w:color="auto" w:fill="auto"/>
            <w:noWrap/>
            <w:vAlign w:val="center"/>
          </w:tcPr>
          <w:p w14:paraId="54C5D77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10.650</w:t>
            </w:r>
          </w:p>
        </w:tc>
        <w:tc>
          <w:tcPr>
            <w:tcW w:w="928" w:type="dxa"/>
            <w:shd w:val="clear" w:color="auto" w:fill="auto"/>
            <w:noWrap/>
            <w:vAlign w:val="center"/>
          </w:tcPr>
          <w:p w14:paraId="44E77A6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11.430</w:t>
            </w:r>
          </w:p>
        </w:tc>
        <w:tc>
          <w:tcPr>
            <w:tcW w:w="928" w:type="dxa"/>
            <w:shd w:val="clear" w:color="auto" w:fill="auto"/>
            <w:noWrap/>
            <w:vAlign w:val="center"/>
          </w:tcPr>
          <w:p w14:paraId="7F504FA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13.330</w:t>
            </w:r>
          </w:p>
        </w:tc>
      </w:tr>
      <w:tr w:rsidR="006440E9" w:rsidRPr="00351291" w14:paraId="4F49DCA7" w14:textId="77777777" w:rsidTr="00E155C1">
        <w:trPr>
          <w:trHeight w:val="300"/>
          <w:jc w:val="center"/>
        </w:trPr>
        <w:tc>
          <w:tcPr>
            <w:tcW w:w="4267" w:type="dxa"/>
            <w:noWrap/>
            <w:vAlign w:val="center"/>
          </w:tcPr>
          <w:p w14:paraId="7787368F"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4 000-7 999 EUR SO</w:t>
            </w:r>
          </w:p>
        </w:tc>
        <w:tc>
          <w:tcPr>
            <w:tcW w:w="928" w:type="dxa"/>
            <w:vAlign w:val="center"/>
          </w:tcPr>
          <w:p w14:paraId="1944FBE5"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19.800</w:t>
            </w:r>
          </w:p>
        </w:tc>
        <w:tc>
          <w:tcPr>
            <w:tcW w:w="928" w:type="dxa"/>
            <w:shd w:val="clear" w:color="auto" w:fill="auto"/>
            <w:noWrap/>
            <w:vAlign w:val="center"/>
          </w:tcPr>
          <w:p w14:paraId="0680420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18.450</w:t>
            </w:r>
          </w:p>
        </w:tc>
        <w:tc>
          <w:tcPr>
            <w:tcW w:w="928" w:type="dxa"/>
            <w:shd w:val="clear" w:color="auto" w:fill="auto"/>
            <w:noWrap/>
            <w:vAlign w:val="center"/>
          </w:tcPr>
          <w:p w14:paraId="0172DFF7"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18.120</w:t>
            </w:r>
          </w:p>
        </w:tc>
        <w:tc>
          <w:tcPr>
            <w:tcW w:w="928" w:type="dxa"/>
            <w:shd w:val="clear" w:color="auto" w:fill="auto"/>
            <w:noWrap/>
            <w:vAlign w:val="center"/>
          </w:tcPr>
          <w:p w14:paraId="2F06C825"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19.280</w:t>
            </w:r>
          </w:p>
        </w:tc>
        <w:tc>
          <w:tcPr>
            <w:tcW w:w="928" w:type="dxa"/>
            <w:shd w:val="clear" w:color="auto" w:fill="auto"/>
            <w:noWrap/>
            <w:vAlign w:val="center"/>
          </w:tcPr>
          <w:p w14:paraId="3238FCE0"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17.860</w:t>
            </w:r>
          </w:p>
        </w:tc>
      </w:tr>
      <w:tr w:rsidR="006440E9" w:rsidRPr="00351291" w14:paraId="01D453A9" w14:textId="77777777" w:rsidTr="00E155C1">
        <w:trPr>
          <w:trHeight w:val="300"/>
          <w:jc w:val="center"/>
        </w:trPr>
        <w:tc>
          <w:tcPr>
            <w:tcW w:w="4267" w:type="dxa"/>
            <w:noWrap/>
            <w:vAlign w:val="center"/>
          </w:tcPr>
          <w:p w14:paraId="5FA2C87F"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2 000-3 999 EUR SO</w:t>
            </w:r>
          </w:p>
        </w:tc>
        <w:tc>
          <w:tcPr>
            <w:tcW w:w="928" w:type="dxa"/>
            <w:vAlign w:val="center"/>
          </w:tcPr>
          <w:p w14:paraId="02F29FC9"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18.810</w:t>
            </w:r>
          </w:p>
        </w:tc>
        <w:tc>
          <w:tcPr>
            <w:tcW w:w="928" w:type="dxa"/>
            <w:shd w:val="clear" w:color="auto" w:fill="auto"/>
            <w:noWrap/>
            <w:vAlign w:val="center"/>
          </w:tcPr>
          <w:p w14:paraId="30E887D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16.850</w:t>
            </w:r>
          </w:p>
        </w:tc>
        <w:tc>
          <w:tcPr>
            <w:tcW w:w="928" w:type="dxa"/>
            <w:shd w:val="clear" w:color="auto" w:fill="auto"/>
            <w:noWrap/>
            <w:vAlign w:val="center"/>
          </w:tcPr>
          <w:p w14:paraId="63B0D25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17.650</w:t>
            </w:r>
          </w:p>
        </w:tc>
        <w:tc>
          <w:tcPr>
            <w:tcW w:w="928" w:type="dxa"/>
            <w:shd w:val="clear" w:color="auto" w:fill="auto"/>
            <w:noWrap/>
            <w:vAlign w:val="center"/>
          </w:tcPr>
          <w:p w14:paraId="11827F7E"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15.370</w:t>
            </w:r>
          </w:p>
        </w:tc>
        <w:tc>
          <w:tcPr>
            <w:tcW w:w="928" w:type="dxa"/>
            <w:shd w:val="clear" w:color="auto" w:fill="auto"/>
            <w:noWrap/>
            <w:vAlign w:val="center"/>
          </w:tcPr>
          <w:p w14:paraId="5661D279"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13.250</w:t>
            </w:r>
          </w:p>
        </w:tc>
      </w:tr>
      <w:tr w:rsidR="006440E9" w:rsidRPr="00351291" w14:paraId="451A1832" w14:textId="77777777" w:rsidTr="00E155C1">
        <w:trPr>
          <w:trHeight w:val="300"/>
          <w:jc w:val="center"/>
        </w:trPr>
        <w:tc>
          <w:tcPr>
            <w:tcW w:w="4267" w:type="dxa"/>
            <w:noWrap/>
            <w:vAlign w:val="center"/>
          </w:tcPr>
          <w:p w14:paraId="499A3CDB" w14:textId="77777777" w:rsidR="006440E9" w:rsidRPr="00351291" w:rsidRDefault="006440E9" w:rsidP="000B16D1">
            <w:pPr>
              <w:pStyle w:val="TAbela0"/>
              <w:rPr>
                <w:lang w:val="sl-SI"/>
              </w:rPr>
            </w:pPr>
            <w:r w:rsidRPr="00351291">
              <w:rPr>
                <w:rFonts w:eastAsia="Times New Roman"/>
                <w:color w:val="000000"/>
                <w:szCs w:val="20"/>
                <w:lang w:val="sl-SI" w:eastAsia="sl-SI"/>
              </w:rPr>
              <w:t>gospodarstva z manj kot 2 000 EUR SO</w:t>
            </w:r>
          </w:p>
        </w:tc>
        <w:tc>
          <w:tcPr>
            <w:tcW w:w="928" w:type="dxa"/>
            <w:vAlign w:val="center"/>
          </w:tcPr>
          <w:p w14:paraId="3D1D7BD2"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14.330</w:t>
            </w:r>
          </w:p>
        </w:tc>
        <w:tc>
          <w:tcPr>
            <w:tcW w:w="928" w:type="dxa"/>
            <w:shd w:val="clear" w:color="auto" w:fill="auto"/>
            <w:noWrap/>
            <w:vAlign w:val="center"/>
          </w:tcPr>
          <w:p w14:paraId="2F24051A"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16.970</w:t>
            </w:r>
          </w:p>
        </w:tc>
        <w:tc>
          <w:tcPr>
            <w:tcW w:w="928" w:type="dxa"/>
            <w:shd w:val="clear" w:color="auto" w:fill="auto"/>
            <w:noWrap/>
            <w:vAlign w:val="center"/>
          </w:tcPr>
          <w:p w14:paraId="13E479C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15.690</w:t>
            </w:r>
          </w:p>
        </w:tc>
        <w:tc>
          <w:tcPr>
            <w:tcW w:w="928" w:type="dxa"/>
            <w:shd w:val="clear" w:color="auto" w:fill="auto"/>
            <w:noWrap/>
            <w:vAlign w:val="center"/>
          </w:tcPr>
          <w:p w14:paraId="3F21B8FD"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12.200</w:t>
            </w:r>
          </w:p>
        </w:tc>
        <w:tc>
          <w:tcPr>
            <w:tcW w:w="928" w:type="dxa"/>
            <w:shd w:val="clear" w:color="auto" w:fill="auto"/>
            <w:noWrap/>
            <w:vAlign w:val="center"/>
          </w:tcPr>
          <w:p w14:paraId="0BC2A3FF"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10.010</w:t>
            </w:r>
          </w:p>
        </w:tc>
      </w:tr>
      <w:tr w:rsidR="006440E9" w:rsidRPr="00351291" w14:paraId="648375EF" w14:textId="77777777" w:rsidTr="00E155C1">
        <w:trPr>
          <w:trHeight w:val="300"/>
          <w:jc w:val="center"/>
        </w:trPr>
        <w:tc>
          <w:tcPr>
            <w:tcW w:w="4267" w:type="dxa"/>
            <w:noWrap/>
            <w:vAlign w:val="center"/>
          </w:tcPr>
          <w:p w14:paraId="151F169A" w14:textId="77777777" w:rsidR="006440E9" w:rsidRPr="00351291" w:rsidRDefault="006440E9" w:rsidP="000B16D1">
            <w:pPr>
              <w:pStyle w:val="TAbela0"/>
              <w:rPr>
                <w:lang w:val="sl-SI"/>
              </w:rPr>
            </w:pPr>
            <w:r w:rsidRPr="00351291">
              <w:rPr>
                <w:rFonts w:eastAsia="Times New Roman"/>
                <w:color w:val="000000"/>
                <w:szCs w:val="20"/>
                <w:lang w:val="sl-SI" w:eastAsia="sl-SI"/>
              </w:rPr>
              <w:t>Število kmetijskih gospodarstev</w:t>
            </w:r>
          </w:p>
        </w:tc>
        <w:tc>
          <w:tcPr>
            <w:tcW w:w="928" w:type="dxa"/>
            <w:vAlign w:val="center"/>
          </w:tcPr>
          <w:p w14:paraId="64B2BCA7" w14:textId="77777777" w:rsidR="006440E9" w:rsidRPr="00351291" w:rsidRDefault="006440E9" w:rsidP="000B16D1">
            <w:pPr>
              <w:pStyle w:val="TAbela0"/>
              <w:jc w:val="right"/>
              <w:rPr>
                <w:color w:val="000000"/>
                <w:szCs w:val="20"/>
                <w:lang w:val="sl-SI" w:eastAsia="sl-SI"/>
              </w:rPr>
            </w:pPr>
            <w:r w:rsidRPr="00351291">
              <w:rPr>
                <w:rFonts w:eastAsia="Times New Roman"/>
                <w:color w:val="000000"/>
                <w:szCs w:val="20"/>
                <w:lang w:val="sl-SI" w:eastAsia="sl-SI"/>
              </w:rPr>
              <w:t>77.170</w:t>
            </w:r>
          </w:p>
        </w:tc>
        <w:tc>
          <w:tcPr>
            <w:tcW w:w="928" w:type="dxa"/>
            <w:shd w:val="clear" w:color="auto" w:fill="auto"/>
            <w:noWrap/>
            <w:vAlign w:val="center"/>
          </w:tcPr>
          <w:p w14:paraId="37FC410A"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75.340</w:t>
            </w:r>
          </w:p>
        </w:tc>
        <w:tc>
          <w:tcPr>
            <w:tcW w:w="928" w:type="dxa"/>
            <w:shd w:val="clear" w:color="auto" w:fill="auto"/>
            <w:noWrap/>
            <w:vAlign w:val="center"/>
          </w:tcPr>
          <w:p w14:paraId="6357E576"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74.650</w:t>
            </w:r>
          </w:p>
        </w:tc>
        <w:tc>
          <w:tcPr>
            <w:tcW w:w="928" w:type="dxa"/>
            <w:shd w:val="clear" w:color="auto" w:fill="auto"/>
            <w:noWrap/>
            <w:vAlign w:val="center"/>
          </w:tcPr>
          <w:p w14:paraId="3E0ACEFC"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72.380</w:t>
            </w:r>
          </w:p>
        </w:tc>
        <w:tc>
          <w:tcPr>
            <w:tcW w:w="928" w:type="dxa"/>
            <w:shd w:val="clear" w:color="auto" w:fill="auto"/>
            <w:noWrap/>
            <w:vAlign w:val="center"/>
          </w:tcPr>
          <w:p w14:paraId="3FB381B3" w14:textId="77777777" w:rsidR="006440E9" w:rsidRPr="00351291" w:rsidRDefault="006440E9" w:rsidP="000B16D1">
            <w:pPr>
              <w:pStyle w:val="TAbela0"/>
              <w:jc w:val="right"/>
              <w:rPr>
                <w:lang w:val="sl-SI"/>
              </w:rPr>
            </w:pPr>
            <w:r w:rsidRPr="00351291">
              <w:rPr>
                <w:rFonts w:eastAsia="Times New Roman"/>
                <w:color w:val="000000"/>
                <w:szCs w:val="20"/>
                <w:lang w:val="sl-SI" w:eastAsia="sl-SI"/>
              </w:rPr>
              <w:t>69.900</w:t>
            </w:r>
          </w:p>
        </w:tc>
      </w:tr>
    </w:tbl>
    <w:p w14:paraId="22503DB9" w14:textId="77777777" w:rsidR="006440E9" w:rsidRPr="00351291" w:rsidRDefault="006440E9" w:rsidP="00E155C1">
      <w:pPr>
        <w:pStyle w:val="Vir"/>
        <w:ind w:firstLine="360"/>
        <w:rPr>
          <w:lang w:eastAsia="sl-SI"/>
        </w:rPr>
      </w:pPr>
      <w:r w:rsidRPr="00351291">
        <w:rPr>
          <w:lang w:eastAsia="sl-SI"/>
        </w:rPr>
        <w:t>Vir: C.12 – Dashboard Indicators</w:t>
      </w:r>
    </w:p>
    <w:p w14:paraId="62856AE6" w14:textId="7A235350" w:rsidR="006440E9" w:rsidRDefault="006440E9" w:rsidP="005B2A49">
      <w:pPr>
        <w:rPr>
          <w:szCs w:val="22"/>
        </w:rPr>
      </w:pPr>
    </w:p>
    <w:p w14:paraId="6E4EFF65" w14:textId="5C6ED749" w:rsidR="00275988" w:rsidRDefault="00275988" w:rsidP="00E155C1">
      <w:pPr>
        <w:rPr>
          <w:szCs w:val="22"/>
        </w:rPr>
      </w:pPr>
      <w:r w:rsidRPr="00986668">
        <w:rPr>
          <w:szCs w:val="22"/>
        </w:rPr>
        <w:t>Sloven</w:t>
      </w:r>
      <w:r w:rsidRPr="00DA7A1F">
        <w:rPr>
          <w:szCs w:val="22"/>
        </w:rPr>
        <w:t xml:space="preserve">ija z nekaj več kot 16.500 EUR na </w:t>
      </w:r>
      <w:r w:rsidR="00C034D4" w:rsidRPr="00165283">
        <w:rPr>
          <w:szCs w:val="22"/>
        </w:rPr>
        <w:t xml:space="preserve">kmetijsko </w:t>
      </w:r>
      <w:r w:rsidRPr="005A712B">
        <w:rPr>
          <w:szCs w:val="22"/>
        </w:rPr>
        <w:t>gospodarstvo spada v krog držav, ki močno zaostajajo za povprečjem EU</w:t>
      </w:r>
      <w:r w:rsidRPr="0048510D">
        <w:rPr>
          <w:szCs w:val="22"/>
        </w:rPr>
        <w:t xml:space="preserve"> (34.784 EUR</w:t>
      </w:r>
      <w:r w:rsidR="006003F4" w:rsidRPr="0048510D">
        <w:rPr>
          <w:szCs w:val="22"/>
        </w:rPr>
        <w:t>)</w:t>
      </w:r>
      <w:r w:rsidR="006003F4">
        <w:rPr>
          <w:szCs w:val="22"/>
        </w:rPr>
        <w:t xml:space="preserve">, se pa ta ekonomska velikost postopoma povečuje (leta 2005: nekaj večkot </w:t>
      </w:r>
      <w:r w:rsidR="006003F4" w:rsidRPr="00351291">
        <w:rPr>
          <w:color w:val="000000"/>
          <w:szCs w:val="20"/>
          <w:lang w:eastAsia="sl-SI"/>
        </w:rPr>
        <w:t>10.80</w:t>
      </w:r>
      <w:r w:rsidR="006003F4">
        <w:rPr>
          <w:color w:val="000000"/>
          <w:szCs w:val="20"/>
          <w:lang w:eastAsia="sl-SI"/>
        </w:rPr>
        <w:t>0 EUR)</w:t>
      </w:r>
      <w:r w:rsidR="006003F4">
        <w:rPr>
          <w:szCs w:val="22"/>
        </w:rPr>
        <w:t xml:space="preserve">. Največje povečanje </w:t>
      </w:r>
      <w:r w:rsidR="004B25F8">
        <w:rPr>
          <w:szCs w:val="22"/>
        </w:rPr>
        <w:t>števila kmetijskih gospodarstev je opazno v največjih razredih SO in sicer zlasti pri 100.000-249.999 € SO (skoraj za 3x med letoma 2005–2016) ter pri vrednosti SO med 250.000 – 499.999 € SO (kar 4,5 x v obdobju 2005–2016). Kažejo se torej trendi rasti ekonomske velikosti KMG</w:t>
      </w:r>
      <w:r w:rsidR="005E5689">
        <w:rPr>
          <w:szCs w:val="22"/>
        </w:rPr>
        <w:t>, in sicer od 8.000 € SO dalje (z izjemo razreda od 15- do 25.000 € SO)</w:t>
      </w:r>
      <w:r w:rsidR="004B25F8">
        <w:rPr>
          <w:szCs w:val="22"/>
        </w:rPr>
        <w:t>.</w:t>
      </w:r>
      <w:r w:rsidR="006003F4" w:rsidRPr="00E53EB6">
        <w:rPr>
          <w:szCs w:val="22"/>
        </w:rPr>
        <w:t xml:space="preserve">  </w:t>
      </w:r>
    </w:p>
    <w:p w14:paraId="67648F0B" w14:textId="05ECC595" w:rsidR="006440E9" w:rsidRDefault="006440E9" w:rsidP="00E155C1">
      <w:pPr>
        <w:rPr>
          <w:szCs w:val="22"/>
        </w:rPr>
      </w:pPr>
    </w:p>
    <w:p w14:paraId="1B4EC279" w14:textId="523C1B0F" w:rsidR="006440E9" w:rsidRPr="00EF50B8" w:rsidRDefault="006440E9" w:rsidP="006440E9">
      <w:pPr>
        <w:rPr>
          <w:i/>
          <w:szCs w:val="22"/>
          <w:u w:val="single"/>
        </w:rPr>
      </w:pPr>
      <w:r>
        <w:rPr>
          <w:i/>
          <w:u w:val="single"/>
          <w:lang w:eastAsia="sl-SI"/>
        </w:rPr>
        <w:t>Tipologija</w:t>
      </w:r>
      <w:r w:rsidRPr="00EF50B8">
        <w:rPr>
          <w:i/>
          <w:u w:val="single"/>
          <w:lang w:eastAsia="sl-SI"/>
        </w:rPr>
        <w:t xml:space="preserve"> kmetijskih gospodarstev</w:t>
      </w:r>
    </w:p>
    <w:p w14:paraId="1C17DAF6" w14:textId="6A0F0EEE" w:rsidR="000B16D1" w:rsidRPr="00351291" w:rsidRDefault="000B16D1" w:rsidP="000B16D1">
      <w:pPr>
        <w:rPr>
          <w:lang w:eastAsia="sl-SI"/>
        </w:rPr>
      </w:pPr>
      <w:r w:rsidRPr="00351291">
        <w:rPr>
          <w:lang w:eastAsia="sl-SI"/>
        </w:rPr>
        <w:t>Tipi kmetovanja, ki so povezani z živinorejo (specializirani rejci pašne živine, mešana živinoreja, specializirani prašičerejci in perutninarji), predstavljajo 58,9 % kmetij. Leta 2016 je bil prevladujoči tip kmetovanja v Sloveniji »specializirani rejec pašne živine« (35,7 % kmetijskih gospodarstev). Sledijo mu specializirani pridelovalci poljščin z 19,2 %, mešani rastlinski pridelovalci – živinoreja s 17,2 % ter specializirani gojitelji trajnih nasadov s 13,1 % kmetijskih gospodarstev.</w:t>
      </w:r>
    </w:p>
    <w:p w14:paraId="4F46A17E" w14:textId="1EEE3487" w:rsidR="000B16D1" w:rsidRDefault="000B16D1" w:rsidP="00E155C1">
      <w:pPr>
        <w:rPr>
          <w:szCs w:val="22"/>
        </w:rPr>
      </w:pPr>
    </w:p>
    <w:p w14:paraId="0EBEAC9D" w14:textId="028BA07B" w:rsidR="000B16D1" w:rsidRDefault="000B16D1" w:rsidP="00E155C1">
      <w:pPr>
        <w:pStyle w:val="Napis"/>
        <w:keepNext/>
        <w:jc w:val="both"/>
      </w:pPr>
      <w:bookmarkStart w:id="34" w:name="_Toc89634101"/>
      <w:bookmarkStart w:id="35" w:name="_Toc89851045"/>
      <w:r w:rsidRPr="00351291">
        <w:t xml:space="preserve">Slika </w:t>
      </w:r>
      <w:r>
        <w:rPr>
          <w:noProof/>
        </w:rPr>
        <w:fldChar w:fldCharType="begin"/>
      </w:r>
      <w:r>
        <w:rPr>
          <w:noProof/>
        </w:rPr>
        <w:instrText xml:space="preserve"> SEQ Slika \* ARABIC </w:instrText>
      </w:r>
      <w:r>
        <w:rPr>
          <w:noProof/>
        </w:rPr>
        <w:fldChar w:fldCharType="separate"/>
      </w:r>
      <w:r>
        <w:rPr>
          <w:noProof/>
        </w:rPr>
        <w:t>3</w:t>
      </w:r>
      <w:r>
        <w:rPr>
          <w:noProof/>
        </w:rPr>
        <w:fldChar w:fldCharType="end"/>
      </w:r>
      <w:r w:rsidRPr="00351291">
        <w:t>: Delež števila kmetijskih gospodarstev po tipu kmetovanja za leto 2016</w:t>
      </w:r>
      <w:bookmarkEnd w:id="34"/>
      <w:bookmarkEnd w:id="35"/>
    </w:p>
    <w:p w14:paraId="4198502C" w14:textId="77777777" w:rsidR="000B16D1" w:rsidRPr="00E53EB6" w:rsidRDefault="000B16D1" w:rsidP="00E155C1"/>
    <w:p w14:paraId="43F0B10B" w14:textId="77777777" w:rsidR="000B16D1" w:rsidRPr="00351291" w:rsidRDefault="000B16D1" w:rsidP="00E155C1">
      <w:pPr>
        <w:pStyle w:val="Slike"/>
        <w:pBdr>
          <w:top w:val="none" w:sz="0" w:space="0" w:color="auto"/>
          <w:left w:val="none" w:sz="0" w:space="0" w:color="auto"/>
          <w:bottom w:val="none" w:sz="0" w:space="0" w:color="auto"/>
          <w:right w:val="none" w:sz="0" w:space="0" w:color="auto"/>
        </w:pBdr>
      </w:pPr>
      <w:r w:rsidRPr="00351291">
        <w:rPr>
          <w:shd w:val="clear" w:color="auto" w:fill="CCFF99"/>
        </w:rPr>
        <w:drawing>
          <wp:inline distT="0" distB="0" distL="0" distR="0" wp14:anchorId="2D3B5EB6" wp14:editId="59AD455B">
            <wp:extent cx="5676900" cy="2720340"/>
            <wp:effectExtent l="0" t="0" r="0" b="3810"/>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C4BAB5" w14:textId="77777777" w:rsidR="000B16D1" w:rsidRPr="00351291" w:rsidRDefault="000B16D1" w:rsidP="000B16D1">
      <w:pPr>
        <w:pStyle w:val="Vir"/>
        <w:rPr>
          <w:lang w:eastAsia="sl-SI"/>
        </w:rPr>
      </w:pPr>
      <w:r w:rsidRPr="00351291">
        <w:rPr>
          <w:lang w:eastAsia="sl-SI"/>
        </w:rPr>
        <w:t>Vir: SURS</w:t>
      </w:r>
    </w:p>
    <w:p w14:paraId="60D7C3A3" w14:textId="222CF404" w:rsidR="006440E9" w:rsidRDefault="006440E9" w:rsidP="00E155C1">
      <w:pPr>
        <w:rPr>
          <w:szCs w:val="22"/>
        </w:rPr>
      </w:pPr>
    </w:p>
    <w:p w14:paraId="38CDDE8D" w14:textId="2A66D0FA" w:rsidR="000B16D1" w:rsidRDefault="000B16D1" w:rsidP="00E155C1">
      <w:pPr>
        <w:rPr>
          <w:lang w:eastAsia="sl-SI"/>
        </w:rPr>
      </w:pPr>
      <w:r w:rsidRPr="00351291">
        <w:t>V letu 2016 so živinorejska kmetijska gospodarstva v EU–28 v povprečju redila 22,9 GVŽ, v Sloveniji pa 9,1 GVŽ. Z vidika velikosti kmetijskih gospodarstev Slovenija praktično pri vseh živinorejskih usmeritvah močno zaostaja za povprečjem držav EU–28.</w:t>
      </w:r>
    </w:p>
    <w:p w14:paraId="319A0862" w14:textId="4D7F08FD" w:rsidR="006440E9" w:rsidRPr="00E53EB6" w:rsidRDefault="000B16D1" w:rsidP="00E155C1">
      <w:pPr>
        <w:rPr>
          <w:szCs w:val="22"/>
        </w:rPr>
      </w:pPr>
      <w:r w:rsidRPr="00351291">
        <w:rPr>
          <w:lang w:eastAsia="sl-SI"/>
        </w:rPr>
        <w:t>Z rejo živine so se v Sloveniji v letu 2016 ukvarjali na 55.782 kmetijskih gospodarstvih, kar je sicer 3 % manj kot v letu 2013, vendar pa se je število GVŽ povečalo za 5 % (na 418.684). Povprečna velikost kmetijskih gospodarstev, na katerih so redili živino, se je torej od leta 2013 povečala za 0,6 GVŽ, in sicer s 6,9 GVŽ na 7,5 GVŽ. Število GVŽ je v Sloveniji od leta 2005 do leta 2016 dokaj stabilno.</w:t>
      </w:r>
      <w:r>
        <w:rPr>
          <w:lang w:eastAsia="sl-SI"/>
        </w:rPr>
        <w:t xml:space="preserve"> </w:t>
      </w:r>
      <w:r w:rsidRPr="00351291">
        <w:t>V Sloveniji se nakazuje postopen proces rasti števila kmetijskih gospodarstev, ki redijo večji obseg GVŽ.</w:t>
      </w:r>
    </w:p>
    <w:p w14:paraId="7D7C9DA1" w14:textId="77777777" w:rsidR="00360802" w:rsidRDefault="00360802" w:rsidP="00E155C1">
      <w:pPr>
        <w:pStyle w:val="Odstavek1"/>
        <w:rPr>
          <w:szCs w:val="22"/>
        </w:rPr>
      </w:pPr>
    </w:p>
    <w:p w14:paraId="64C6F276" w14:textId="0B1D48C0" w:rsidR="00360802" w:rsidRPr="00351291" w:rsidRDefault="00360802" w:rsidP="00E155C1">
      <w:pPr>
        <w:pStyle w:val="Odstavek1"/>
        <w:rPr>
          <w:lang w:eastAsia="sl-SI"/>
        </w:rPr>
      </w:pPr>
      <w:r w:rsidRPr="00351291">
        <w:rPr>
          <w:lang w:eastAsia="sl-SI"/>
        </w:rPr>
        <w:t>Pri rastlinski pridelavi so najpomembnejše krmne rastline, vino, sveže vrtnine  in žita. Obseg rastlinske proizvodnje v Sloveniji je močno odvisen od naravnih razmer. Od leta 2011 dalje so vremenske razmere zelo spremenljive, kar se odraža v velikih spremembah obsega proizvodnje. Neugodne vremenske razmere so tako na primer v letih 2016 in 2017 še posebej prizadele sadjarski sektor. Po dveh zelo skromnih letinah je bil pridelek sadja leta 2018 obilen in tudi v primerjavi z ugodnimi preteklimi leti nadpovprečen. Leta 2018 je bil izjemen tudi pridelek grozdja. Količinsko je bila letina 2019 za večino njivskih posevkov boljša kot v letu prej. Hektarski pridelki so bili v primerjavi z daljšim obdobjem nadpovprečni.</w:t>
      </w:r>
    </w:p>
    <w:p w14:paraId="07D0B699" w14:textId="77777777" w:rsidR="00360802" w:rsidRDefault="00360802" w:rsidP="00E155C1">
      <w:pPr>
        <w:pStyle w:val="Odstavek1"/>
        <w:rPr>
          <w:i/>
          <w:szCs w:val="22"/>
          <w:u w:val="single"/>
        </w:rPr>
      </w:pPr>
    </w:p>
    <w:p w14:paraId="652D8298" w14:textId="4F5C7E62" w:rsidR="00275988" w:rsidRDefault="00275988" w:rsidP="00E155C1">
      <w:pPr>
        <w:pStyle w:val="Odstavek1"/>
        <w:rPr>
          <w:szCs w:val="22"/>
        </w:rPr>
      </w:pPr>
      <w:r w:rsidRPr="00396EB7">
        <w:rPr>
          <w:szCs w:val="22"/>
        </w:rPr>
        <w:t xml:space="preserve">V slovenskem kmetijstvu prevladujejo ne specializirana KMG, ki so manj produktivna in ustvarjajo nižje dohodke (Slovenija: 56 %, EU: 51 %) – Eurostat (2016). </w:t>
      </w:r>
    </w:p>
    <w:p w14:paraId="2A69530A" w14:textId="77777777" w:rsidR="000B16D1" w:rsidRPr="00E53EB6" w:rsidRDefault="000B16D1" w:rsidP="00E155C1">
      <w:pPr>
        <w:pStyle w:val="Odstavek1"/>
        <w:rPr>
          <w:szCs w:val="22"/>
        </w:rPr>
      </w:pPr>
    </w:p>
    <w:p w14:paraId="1DF7F429" w14:textId="7C2EFC99" w:rsidR="00275988" w:rsidRDefault="00275988" w:rsidP="00E155C1">
      <w:pPr>
        <w:pStyle w:val="Odstavek1"/>
        <w:rPr>
          <w:szCs w:val="22"/>
        </w:rPr>
      </w:pPr>
      <w:r w:rsidRPr="004B07DA">
        <w:rPr>
          <w:szCs w:val="22"/>
        </w:rPr>
        <w:t xml:space="preserve">Dohodek v </w:t>
      </w:r>
      <w:r w:rsidRPr="0083583E">
        <w:rPr>
          <w:szCs w:val="22"/>
        </w:rPr>
        <w:t>slovenskem kmetijstvu je tudi kot posledica neugodne agrarne strukture med najnižjimi v EU in predstavlja samo okoli 20 % primerljivega dohodka v celotnem gospodarstvu. Od leta 2015 do leta 2019 je v povprečju znašal 5.977 EUR, kar je 38 % povprečja EU.</w:t>
      </w:r>
      <w:r w:rsidR="000B16D1">
        <w:rPr>
          <w:szCs w:val="22"/>
        </w:rPr>
        <w:t xml:space="preserve"> </w:t>
      </w:r>
    </w:p>
    <w:p w14:paraId="7220C45F" w14:textId="77777777" w:rsidR="000B16D1" w:rsidRPr="00E53EB6" w:rsidRDefault="000B16D1" w:rsidP="00E155C1">
      <w:pPr>
        <w:pStyle w:val="Odstavek1"/>
        <w:rPr>
          <w:szCs w:val="22"/>
        </w:rPr>
      </w:pPr>
    </w:p>
    <w:p w14:paraId="4C5E94CC" w14:textId="50CDFE2F" w:rsidR="00275988" w:rsidRDefault="00275988" w:rsidP="00E155C1">
      <w:pPr>
        <w:pStyle w:val="Odstavek1"/>
        <w:rPr>
          <w:szCs w:val="22"/>
        </w:rPr>
      </w:pPr>
      <w:r w:rsidRPr="004B07DA">
        <w:rPr>
          <w:szCs w:val="22"/>
        </w:rPr>
        <w:t>Subvencije (neposredna plačila in OMD plačila) so zelo pomemben dejavnik, ki vsaj delno izravnavajo slabši dohodkovni položaj ter zaradi svoje stabilnosti zmanjšujejo dohodkovna nihanja.</w:t>
      </w:r>
    </w:p>
    <w:p w14:paraId="099D3149" w14:textId="7C77B632" w:rsidR="00153F6E" w:rsidRDefault="00153F6E" w:rsidP="00E155C1">
      <w:pPr>
        <w:pStyle w:val="Odstavek1"/>
        <w:rPr>
          <w:szCs w:val="22"/>
        </w:rPr>
      </w:pPr>
    </w:p>
    <w:p w14:paraId="58D80644" w14:textId="77777777" w:rsidR="00153F6E" w:rsidRPr="00E155C1" w:rsidRDefault="00153F6E" w:rsidP="00153F6E">
      <w:pPr>
        <w:pStyle w:val="Odstavek1"/>
        <w:rPr>
          <w:i/>
          <w:szCs w:val="22"/>
        </w:rPr>
      </w:pPr>
      <w:r w:rsidRPr="00E155C1">
        <w:rPr>
          <w:i/>
          <w:szCs w:val="22"/>
        </w:rPr>
        <w:t>Podrobnejša analiza je prikazana v okviru analize za SC 1.</w:t>
      </w:r>
    </w:p>
    <w:p w14:paraId="7A44D2BC" w14:textId="513BA50F" w:rsidR="00CF62AA" w:rsidRDefault="00CF62AA" w:rsidP="00E155C1">
      <w:pPr>
        <w:rPr>
          <w:szCs w:val="22"/>
        </w:rPr>
      </w:pPr>
    </w:p>
    <w:p w14:paraId="3D5565CA" w14:textId="77777777" w:rsidR="00CF62AA" w:rsidRDefault="00CF62AA" w:rsidP="00CF62AA">
      <w:pPr>
        <w:rPr>
          <w:i/>
          <w:u w:val="single"/>
          <w:lang w:eastAsia="sl-SI"/>
        </w:rPr>
      </w:pPr>
      <w:r>
        <w:rPr>
          <w:i/>
          <w:u w:val="single"/>
          <w:lang w:eastAsia="sl-SI"/>
        </w:rPr>
        <w:t>Ekološko kmetijstvo</w:t>
      </w:r>
    </w:p>
    <w:p w14:paraId="5D6B9898" w14:textId="77777777" w:rsidR="00CF62AA" w:rsidRDefault="00CF62AA" w:rsidP="00E155C1">
      <w:pPr>
        <w:pStyle w:val="Odstavek1"/>
        <w:rPr>
          <w:szCs w:val="22"/>
        </w:rPr>
      </w:pPr>
    </w:p>
    <w:p w14:paraId="102EDB04" w14:textId="00C84F04" w:rsidR="00CF62AA" w:rsidRDefault="00CF62AA" w:rsidP="00E155C1">
      <w:pPr>
        <w:pStyle w:val="Odstavek1"/>
        <w:rPr>
          <w:szCs w:val="22"/>
        </w:rPr>
      </w:pPr>
      <w:r w:rsidRPr="00E155C1">
        <w:rPr>
          <w:szCs w:val="22"/>
        </w:rPr>
        <w:t>V letu 2020 je bilo v ekološko kontrolo vključenih 3.689 KMG, kar predstavlja 5,4 % vseh KMG. KZU, ki so vključena v kontrolo ekološkega kmetovanja, so v letu 2020 obsegala 52.078 ha, kar predstavlja 11 % vseh KZU (10,4 % v letu 2019), kar je višje kot povprečje EU (7,9 % v letu 2017). Z vidika posameznih kategorij KZU je največji del zavzemalo travinje (83,6 %), sledijo mu poljščine na njivah (9,4 %), sadovnjaki (4,3 %) in vinogradi (1,5 %). Oljčniki in zemljišča z vrtninami so še vedno pod 1 % skupne površine zemljišč z ekološkim kmetovanjem.</w:t>
      </w:r>
    </w:p>
    <w:p w14:paraId="1F8BFF2F" w14:textId="1990FD89" w:rsidR="005E5689" w:rsidRDefault="005E5689" w:rsidP="00E155C1">
      <w:pPr>
        <w:pStyle w:val="Odstavek1"/>
        <w:rPr>
          <w:szCs w:val="22"/>
        </w:rPr>
      </w:pPr>
    </w:p>
    <w:p w14:paraId="7094D9C1" w14:textId="4FF476E9" w:rsidR="00CF62AA" w:rsidRDefault="00CF62AA" w:rsidP="00E155C1">
      <w:pPr>
        <w:pStyle w:val="Odstavek1"/>
        <w:rPr>
          <w:szCs w:val="22"/>
        </w:rPr>
      </w:pPr>
      <w:r w:rsidRPr="00E155C1">
        <w:rPr>
          <w:szCs w:val="22"/>
        </w:rPr>
        <w:t>Stalež živali na KMG, ki so v sistemu nadzora ekološkega kmetovanja, se iz leta v leto povečuje. Po številu živali je na prvem mestu perutnina, sledita pa drobnica in govedo.</w:t>
      </w:r>
    </w:p>
    <w:p w14:paraId="7082B86F" w14:textId="2D4C040D" w:rsidR="00CF62AA" w:rsidRDefault="00CF62AA" w:rsidP="00E155C1">
      <w:pPr>
        <w:pStyle w:val="Odstavek1"/>
        <w:rPr>
          <w:szCs w:val="22"/>
        </w:rPr>
      </w:pPr>
    </w:p>
    <w:p w14:paraId="1EF353CC" w14:textId="1695976D" w:rsidR="005E5689" w:rsidRDefault="005E5689" w:rsidP="005E5689">
      <w:pPr>
        <w:pStyle w:val="Odstavek1"/>
        <w:rPr>
          <w:szCs w:val="22"/>
        </w:rPr>
      </w:pPr>
      <w:r>
        <w:rPr>
          <w:szCs w:val="22"/>
        </w:rPr>
        <w:t xml:space="preserve">V Sloveniji je razviden pozitiven trend povečevanja števila kmetijskih gospodarstev v kontroli eko pridelave </w:t>
      </w:r>
      <w:r w:rsidR="001829AF">
        <w:rPr>
          <w:szCs w:val="22"/>
        </w:rPr>
        <w:t xml:space="preserve">(leta 2010: 2.218 KMG, leta 2020: 3.689 KMG) </w:t>
      </w:r>
      <w:r>
        <w:rPr>
          <w:szCs w:val="22"/>
        </w:rPr>
        <w:t>in površin v kontroli eko pridelave</w:t>
      </w:r>
      <w:r w:rsidR="001829AF">
        <w:rPr>
          <w:szCs w:val="22"/>
        </w:rPr>
        <w:t xml:space="preserve"> (leta 2010: 30.689 ha; leta 2020: 52.078 ha)</w:t>
      </w:r>
      <w:r>
        <w:rPr>
          <w:szCs w:val="22"/>
        </w:rPr>
        <w:t xml:space="preserve">. </w:t>
      </w:r>
    </w:p>
    <w:p w14:paraId="5F2F57F2" w14:textId="77777777" w:rsidR="005E5689" w:rsidRDefault="005E5689" w:rsidP="00E155C1">
      <w:pPr>
        <w:pStyle w:val="Odstavek1"/>
        <w:rPr>
          <w:szCs w:val="22"/>
        </w:rPr>
      </w:pPr>
    </w:p>
    <w:p w14:paraId="270884A4" w14:textId="1DBC75C6" w:rsidR="006300E1" w:rsidRDefault="00CF62AA" w:rsidP="00E155C1">
      <w:pPr>
        <w:pStyle w:val="Odstavek1"/>
        <w:rPr>
          <w:szCs w:val="22"/>
        </w:rPr>
      </w:pPr>
      <w:r>
        <w:rPr>
          <w:szCs w:val="22"/>
        </w:rPr>
        <w:t>Na slovenskem trgu raste povpraševanje po ekoloških proizvodih, zato obseg lokalne proizvodnje ne pokriva vseh potreb trga. Glavnina ekoloških proizvodov tako prihaja iz uvoza. V Sloveniji primanjkuje zadostnih količin ekoloških proizvodov, ekološki proizvajalci so prešibko povezani in organizirani pri skupnem nastopu na trgu, primanjkuje tudi skupnih kapacitet za ločeno zbiranje in predelavo ekoloških proizvodov</w:t>
      </w:r>
      <w:r w:rsidR="006300E1">
        <w:rPr>
          <w:szCs w:val="22"/>
        </w:rPr>
        <w:t>. E</w:t>
      </w:r>
      <w:r>
        <w:rPr>
          <w:szCs w:val="22"/>
        </w:rPr>
        <w:t>kološki proizvodi</w:t>
      </w:r>
      <w:r w:rsidR="006300E1">
        <w:rPr>
          <w:szCs w:val="22"/>
        </w:rPr>
        <w:t xml:space="preserve"> se tako</w:t>
      </w:r>
      <w:r>
        <w:rPr>
          <w:szCs w:val="22"/>
        </w:rPr>
        <w:t xml:space="preserve"> pogosto predelajo in prodajajo kot konvencionalni proizvodi. </w:t>
      </w:r>
      <w:r w:rsidR="006300E1" w:rsidRPr="006300E1">
        <w:rPr>
          <w:szCs w:val="22"/>
        </w:rPr>
        <w:t>Zaskrbljujoče je zlasti stanje glede predelave in trženja mesnih in mlečnih proizvodov iz ekološko rejenih živali</w:t>
      </w:r>
      <w:r w:rsidR="006300E1">
        <w:rPr>
          <w:szCs w:val="22"/>
        </w:rPr>
        <w:t xml:space="preserve">. </w:t>
      </w:r>
      <w:r w:rsidR="006300E1" w:rsidRPr="006300E1">
        <w:rPr>
          <w:szCs w:val="22"/>
        </w:rPr>
        <w:t>Razlog za takšno stanje je v premajhnem obsegu pridelave in predelave ekoloških pridelkov in izdelkov ter premajhni stopnji povezovanja in skupnega nastopa na trgu.</w:t>
      </w:r>
    </w:p>
    <w:p w14:paraId="61FEE13A" w14:textId="2FF36879" w:rsidR="001829AF" w:rsidRDefault="001829AF" w:rsidP="00E155C1">
      <w:pPr>
        <w:pStyle w:val="Odstavek1"/>
        <w:rPr>
          <w:szCs w:val="22"/>
        </w:rPr>
      </w:pPr>
    </w:p>
    <w:p w14:paraId="27FBA693" w14:textId="07190395" w:rsidR="001829AF" w:rsidRPr="00E155C1" w:rsidRDefault="001829AF" w:rsidP="00E155C1">
      <w:pPr>
        <w:pStyle w:val="Odstavek1"/>
        <w:rPr>
          <w:szCs w:val="22"/>
        </w:rPr>
      </w:pPr>
      <w:r>
        <w:rPr>
          <w:szCs w:val="22"/>
        </w:rPr>
        <w:t>Tudi s</w:t>
      </w:r>
      <w:r w:rsidRPr="001829AF">
        <w:rPr>
          <w:szCs w:val="22"/>
        </w:rPr>
        <w:t>truktura ekološke pridelave ne ustreza povpraševanju, saj je to največje pri svežih vrtninah, sadju in nemesnih predelanih živilih (mlevski in mlečni izdelki), v pridelavi pa prevladuje živinoreja oziroma travinje. (KIS, 2020)</w:t>
      </w:r>
    </w:p>
    <w:p w14:paraId="08742114" w14:textId="77777777" w:rsidR="00CF62AA" w:rsidRDefault="00CF62AA" w:rsidP="00CF62AA">
      <w:pPr>
        <w:pStyle w:val="Odstavek1"/>
        <w:rPr>
          <w:i/>
          <w:szCs w:val="22"/>
        </w:rPr>
      </w:pPr>
    </w:p>
    <w:p w14:paraId="2A34921E" w14:textId="05E16259" w:rsidR="00CF62AA" w:rsidRDefault="00CF62AA" w:rsidP="00E155C1">
      <w:pPr>
        <w:pStyle w:val="Odstavek1"/>
        <w:rPr>
          <w:i/>
          <w:u w:val="single"/>
          <w:lang w:eastAsia="sl-SI"/>
        </w:rPr>
      </w:pPr>
      <w:r w:rsidRPr="00EF50B8">
        <w:rPr>
          <w:i/>
          <w:szCs w:val="22"/>
        </w:rPr>
        <w:t xml:space="preserve">Podrobnejša analiza je prikazana v okviru analize za SC </w:t>
      </w:r>
      <w:r>
        <w:rPr>
          <w:i/>
          <w:szCs w:val="22"/>
        </w:rPr>
        <w:t>3 in SC 5.</w:t>
      </w:r>
    </w:p>
    <w:p w14:paraId="6260EF8C" w14:textId="77777777" w:rsidR="00CF62AA" w:rsidRDefault="00CF62AA" w:rsidP="000B16D1">
      <w:pPr>
        <w:rPr>
          <w:i/>
          <w:u w:val="single"/>
          <w:lang w:eastAsia="sl-SI"/>
        </w:rPr>
      </w:pPr>
    </w:p>
    <w:p w14:paraId="78EC785B" w14:textId="2F8712E7" w:rsidR="000B16D1" w:rsidRPr="00EF50B8" w:rsidRDefault="000B16D1" w:rsidP="000B16D1">
      <w:pPr>
        <w:rPr>
          <w:i/>
          <w:szCs w:val="22"/>
          <w:u w:val="single"/>
        </w:rPr>
      </w:pPr>
      <w:r>
        <w:rPr>
          <w:i/>
          <w:u w:val="single"/>
          <w:lang w:eastAsia="sl-SI"/>
        </w:rPr>
        <w:t xml:space="preserve">Struktura nosilcev </w:t>
      </w:r>
      <w:r w:rsidRPr="00EF50B8">
        <w:rPr>
          <w:i/>
          <w:u w:val="single"/>
          <w:lang w:eastAsia="sl-SI"/>
        </w:rPr>
        <w:t>kmetijskih gospodarstev</w:t>
      </w:r>
      <w:r>
        <w:rPr>
          <w:i/>
          <w:u w:val="single"/>
          <w:lang w:eastAsia="sl-SI"/>
        </w:rPr>
        <w:t xml:space="preserve"> – demografski vidik</w:t>
      </w:r>
    </w:p>
    <w:p w14:paraId="7480DF1A" w14:textId="77777777" w:rsidR="000B16D1" w:rsidRPr="00E53EB6" w:rsidRDefault="000B16D1" w:rsidP="00E155C1">
      <w:pPr>
        <w:pStyle w:val="Odstavek1"/>
        <w:rPr>
          <w:szCs w:val="22"/>
        </w:rPr>
      </w:pPr>
    </w:p>
    <w:p w14:paraId="23D7315F" w14:textId="666F76BF" w:rsidR="00C034D4" w:rsidRPr="00E155C1" w:rsidRDefault="00C034D4" w:rsidP="00E155C1">
      <w:pPr>
        <w:pStyle w:val="Odstavek1"/>
        <w:rPr>
          <w:szCs w:val="22"/>
        </w:rPr>
      </w:pPr>
      <w:r w:rsidRPr="00E155C1">
        <w:rPr>
          <w:szCs w:val="22"/>
        </w:rPr>
        <w:t>Starostna struktura nosilcev kmetijskih gospodarstev v Sloveniji je neugodna, saj je bilo leta 2016 le 16,8 % nosilcev mlajših od 44 let, hkrati pa je bilo 57,3 % nosilcev starejših od 55 let. Starostna struktura nosilcev kmetijskih gospodarstev pomembno vpliva na produktivnost dela v kmetijstvu. Neugodna starostna struktura nosilcev kmetijskih gospodarstev se kaže tudi v počasnejšem prevzemanju novih idej in znanj ter skepticizmu pri vpeljavi novosti na kmetijskem gospodarstvu.</w:t>
      </w:r>
      <w:r w:rsidR="00FD2278" w:rsidRPr="00E155C1">
        <w:rPr>
          <w:szCs w:val="22"/>
        </w:rPr>
        <w:t xml:space="preserve"> Natančneje je ta vidik predstavljen v analizi stanja za cilj 7 in 10.</w:t>
      </w:r>
    </w:p>
    <w:p w14:paraId="245AD1FE" w14:textId="77777777" w:rsidR="000B16D1" w:rsidRDefault="000B16D1" w:rsidP="00E155C1">
      <w:pPr>
        <w:pStyle w:val="Odstavek1"/>
        <w:rPr>
          <w:szCs w:val="22"/>
        </w:rPr>
      </w:pPr>
    </w:p>
    <w:p w14:paraId="118DE201" w14:textId="4ED13187" w:rsidR="00C034D4" w:rsidRDefault="00C034D4" w:rsidP="00E155C1">
      <w:pPr>
        <w:pStyle w:val="Odstavek1"/>
        <w:rPr>
          <w:szCs w:val="22"/>
        </w:rPr>
      </w:pPr>
      <w:r w:rsidRPr="00E53EB6">
        <w:rPr>
          <w:szCs w:val="22"/>
        </w:rPr>
        <w:t xml:space="preserve">Leta 2016 je bilo </w:t>
      </w:r>
      <w:r w:rsidR="00D25E8B">
        <w:rPr>
          <w:szCs w:val="22"/>
        </w:rPr>
        <w:t>*</w:t>
      </w:r>
      <w:r w:rsidRPr="00E53EB6">
        <w:rPr>
          <w:szCs w:val="22"/>
        </w:rPr>
        <w:t xml:space="preserve">od skupno 69.671 nosilcev KMG kar 18.985 nosilcev KMG (27 %), starih 41 let in več, ki so bili brez izobrazbe ali so imeli samo osnovnošolsko izobrazbo. V starostni skupini do 40 let je bilo takšnih nosilcev 414. </w:t>
      </w:r>
    </w:p>
    <w:p w14:paraId="22C3B235" w14:textId="77777777" w:rsidR="00360802" w:rsidRPr="00E53EB6" w:rsidRDefault="00360802" w:rsidP="00E155C1">
      <w:pPr>
        <w:pStyle w:val="Odstavek1"/>
        <w:rPr>
          <w:szCs w:val="22"/>
        </w:rPr>
      </w:pPr>
    </w:p>
    <w:p w14:paraId="5D8798CD" w14:textId="362C84C7" w:rsidR="00C034D4" w:rsidRDefault="00360802" w:rsidP="00E155C1">
      <w:pPr>
        <w:pStyle w:val="Odstavekseznama"/>
        <w:spacing w:before="100" w:line="240" w:lineRule="auto"/>
        <w:contextualSpacing/>
        <w:jc w:val="center"/>
        <w:rPr>
          <w:rFonts w:ascii="Arial" w:hAnsi="Arial"/>
        </w:rPr>
      </w:pPr>
      <w:r>
        <w:rPr>
          <w:rFonts w:ascii="Arial" w:hAnsi="Arial"/>
        </w:rPr>
        <w:t>***</w:t>
      </w:r>
    </w:p>
    <w:p w14:paraId="5BE1D510" w14:textId="5C1BB841" w:rsidR="00AC0234" w:rsidRDefault="00FD2278" w:rsidP="005B2A49">
      <w:pPr>
        <w:rPr>
          <w:lang w:eastAsia="en-US"/>
        </w:rPr>
      </w:pPr>
      <w:r>
        <w:rPr>
          <w:lang w:eastAsia="en-US"/>
        </w:rPr>
        <w:t>Vsi navedeni in še nekateri drugi dejavniki močno vplivajo na konkurenčnost in produktivnost slovenskega kmetijstva, kar je podrobneje analizirano v nadaljevanju</w:t>
      </w:r>
      <w:r w:rsidR="00360802">
        <w:rPr>
          <w:lang w:eastAsia="en-US"/>
        </w:rPr>
        <w:t>, ko analiziramo skupno produktivnost kmetijstva, produktivnost dela, kapitala in zemlje</w:t>
      </w:r>
      <w:r>
        <w:rPr>
          <w:lang w:eastAsia="en-US"/>
        </w:rPr>
        <w:t>.</w:t>
      </w:r>
    </w:p>
    <w:p w14:paraId="196BB201" w14:textId="08A712AD" w:rsidR="002E5901" w:rsidRDefault="00FD2278" w:rsidP="005B2A49">
      <w:pPr>
        <w:rPr>
          <w:lang w:eastAsia="en-US"/>
        </w:rPr>
      </w:pPr>
      <w:r>
        <w:rPr>
          <w:lang w:eastAsia="en-US"/>
        </w:rPr>
        <w:t xml:space="preserve"> </w:t>
      </w:r>
    </w:p>
    <w:p w14:paraId="0C842C0D" w14:textId="77777777" w:rsidR="00CF62AA" w:rsidRPr="002E5901" w:rsidRDefault="00CF62AA" w:rsidP="005B2A49"/>
    <w:p w14:paraId="3406581C" w14:textId="6F47B23D" w:rsidR="00396EB7" w:rsidRDefault="00396EB7" w:rsidP="005B2A49">
      <w:pPr>
        <w:pStyle w:val="Naslov2"/>
      </w:pPr>
      <w:bookmarkStart w:id="36" w:name="_Toc90462210"/>
      <w:r>
        <w:t>Strukturne spremembe v kmetijstvu</w:t>
      </w:r>
      <w:r w:rsidR="00D25E8B">
        <w:t xml:space="preserve"> med letoma 2010 in 2020</w:t>
      </w:r>
      <w:bookmarkEnd w:id="36"/>
    </w:p>
    <w:p w14:paraId="0D8F9FDF" w14:textId="77777777" w:rsidR="00A44601" w:rsidRDefault="00A44601">
      <w:pPr>
        <w:rPr>
          <w:lang w:eastAsia="en-US"/>
        </w:rPr>
      </w:pPr>
    </w:p>
    <w:p w14:paraId="555A5D88" w14:textId="61736306" w:rsidR="00A44601" w:rsidRDefault="00A44601">
      <w:pPr>
        <w:rPr>
          <w:szCs w:val="20"/>
        </w:rPr>
      </w:pPr>
      <w:r w:rsidRPr="00E155C1">
        <w:rPr>
          <w:b/>
          <w:szCs w:val="20"/>
        </w:rPr>
        <w:t>V slovenskem kmetijstvu so se med popisoma kmetijskih gospodarstev v letih 2010 in 2020 zgodile strukturne spremembe, ki kažejo predvsem na procese koncentracije in specializacije kmetijskih gospodarstev.</w:t>
      </w:r>
      <w:r>
        <w:rPr>
          <w:szCs w:val="20"/>
        </w:rPr>
        <w:t xml:space="preserve"> V nadaljevanju sledi povzetek popisa SURS, kot ga je pripravil Kmetijski inštitut Slovenije v poročilu </w:t>
      </w:r>
      <w:r w:rsidRPr="00A44601">
        <w:rPr>
          <w:szCs w:val="20"/>
        </w:rPr>
        <w:t>Prva ocena stanja v kmetijstvu v letu 2021</w:t>
      </w:r>
      <w:r>
        <w:rPr>
          <w:rStyle w:val="Sprotnaopomba-sklic"/>
        </w:rPr>
        <w:footnoteReference w:id="4"/>
      </w:r>
      <w:r>
        <w:rPr>
          <w:szCs w:val="20"/>
        </w:rPr>
        <w:t xml:space="preserve">. </w:t>
      </w:r>
    </w:p>
    <w:p w14:paraId="302DC03F" w14:textId="258AB54F" w:rsidR="00396EB7" w:rsidRPr="00E155C1" w:rsidRDefault="00396EB7">
      <w:pPr>
        <w:rPr>
          <w:szCs w:val="20"/>
        </w:rPr>
      </w:pPr>
      <w:r w:rsidRPr="00E155C1">
        <w:rPr>
          <w:szCs w:val="20"/>
        </w:rPr>
        <w:t>V marcu 2021 je SURS objavil prve začasne podatke Popisa kmetijstva 2020. Objavili so</w:t>
      </w:r>
      <w:r>
        <w:rPr>
          <w:szCs w:val="20"/>
        </w:rPr>
        <w:t xml:space="preserve"> </w:t>
      </w:r>
      <w:r w:rsidRPr="00E155C1">
        <w:rPr>
          <w:szCs w:val="20"/>
        </w:rPr>
        <w:t>osnovne podatke o številu kmetijskih gospodarstev, rabi zemljišč in živinoreji. Oktobra 2021</w:t>
      </w:r>
      <w:r>
        <w:rPr>
          <w:szCs w:val="20"/>
        </w:rPr>
        <w:t xml:space="preserve"> </w:t>
      </w:r>
      <w:r w:rsidRPr="00E155C1">
        <w:rPr>
          <w:szCs w:val="20"/>
        </w:rPr>
        <w:t>so jih dopolnili s podrobnejšimi podatki o rabi kmetijskih zemljišč, številu živali po kategorijah</w:t>
      </w:r>
      <w:r>
        <w:rPr>
          <w:szCs w:val="20"/>
        </w:rPr>
        <w:t xml:space="preserve"> </w:t>
      </w:r>
      <w:r w:rsidRPr="00E155C1">
        <w:rPr>
          <w:szCs w:val="20"/>
        </w:rPr>
        <w:t>živine in delovni sili. Nekateri od navedenih podatkov so objavljeni tudi po regijah.</w:t>
      </w:r>
    </w:p>
    <w:p w14:paraId="7BD12FD4" w14:textId="413AB010" w:rsidR="00396EB7" w:rsidRPr="00E155C1" w:rsidRDefault="00396EB7">
      <w:pPr>
        <w:rPr>
          <w:szCs w:val="20"/>
        </w:rPr>
      </w:pPr>
      <w:r w:rsidRPr="00E155C1">
        <w:rPr>
          <w:szCs w:val="20"/>
        </w:rPr>
        <w:t>Po podatkih popisa kmetijstva 2020 se v Sloveniji s kmetijsko dejavnostjo ukvarja 67.915</w:t>
      </w:r>
      <w:r>
        <w:rPr>
          <w:szCs w:val="20"/>
        </w:rPr>
        <w:t xml:space="preserve"> </w:t>
      </w:r>
      <w:r w:rsidRPr="00E155C1">
        <w:rPr>
          <w:szCs w:val="20"/>
        </w:rPr>
        <w:t xml:space="preserve">kmetijskih gospodarstev, kar je za skoraj 7 tisoč oziroma za </w:t>
      </w:r>
      <w:r w:rsidRPr="00E155C1">
        <w:rPr>
          <w:b/>
          <w:szCs w:val="20"/>
        </w:rPr>
        <w:t>9 % manj</w:t>
      </w:r>
      <w:r w:rsidRPr="00E155C1">
        <w:rPr>
          <w:szCs w:val="20"/>
        </w:rPr>
        <w:t xml:space="preserve"> v primerjavi s</w:t>
      </w:r>
      <w:r>
        <w:rPr>
          <w:szCs w:val="20"/>
        </w:rPr>
        <w:t xml:space="preserve"> </w:t>
      </w:r>
      <w:r w:rsidRPr="00E155C1">
        <w:rPr>
          <w:szCs w:val="20"/>
        </w:rPr>
        <w:t>popisom, ki je bil izveden leta 2010. Število kmetijskih gospodarstev se je zmanjšalo v vseh</w:t>
      </w:r>
      <w:r>
        <w:rPr>
          <w:szCs w:val="20"/>
        </w:rPr>
        <w:t xml:space="preserve"> </w:t>
      </w:r>
      <w:r w:rsidRPr="00E155C1">
        <w:rPr>
          <w:szCs w:val="20"/>
        </w:rPr>
        <w:t>statističnih regijah, še najbolj v Pomurski (–20 %) in Podravski regiji (–12 %), le v Obalnokraški</w:t>
      </w:r>
      <w:r>
        <w:rPr>
          <w:szCs w:val="20"/>
        </w:rPr>
        <w:t xml:space="preserve"> </w:t>
      </w:r>
      <w:r w:rsidRPr="00E155C1">
        <w:rPr>
          <w:szCs w:val="20"/>
        </w:rPr>
        <w:t>regiji se je število kmetijskih gospodarstev povečalo (+13 %).</w:t>
      </w:r>
    </w:p>
    <w:p w14:paraId="4FD385A3" w14:textId="78E54452" w:rsidR="00396EB7" w:rsidRPr="00E155C1" w:rsidRDefault="00396EB7">
      <w:pPr>
        <w:rPr>
          <w:szCs w:val="20"/>
        </w:rPr>
      </w:pPr>
      <w:r w:rsidRPr="00E155C1">
        <w:rPr>
          <w:b/>
          <w:szCs w:val="20"/>
        </w:rPr>
        <w:t>Spremembe velikostne strukture kažejo, da se pri rabi kmetijskih zemljišč in tudi v živinoreji nadaljujejo procesi koncentracije.</w:t>
      </w:r>
      <w:r w:rsidRPr="00E155C1">
        <w:rPr>
          <w:szCs w:val="20"/>
        </w:rPr>
        <w:t xml:space="preserve"> Delež gospodarstev, ki imajo v uporabi nad 20 ha KZU je</w:t>
      </w:r>
      <w:r>
        <w:rPr>
          <w:szCs w:val="20"/>
        </w:rPr>
        <w:t xml:space="preserve"> </w:t>
      </w:r>
      <w:r w:rsidRPr="00E155C1">
        <w:rPr>
          <w:szCs w:val="20"/>
        </w:rPr>
        <w:t>leta 2020 znašal nekaj manj kot 6 % in se je v primerjavi z letom 2010 povečal za četrtino.</w:t>
      </w:r>
    </w:p>
    <w:p w14:paraId="11626305" w14:textId="45FFA28F" w:rsidR="00396EB7" w:rsidRPr="00E155C1" w:rsidRDefault="00396EB7">
      <w:pPr>
        <w:rPr>
          <w:szCs w:val="20"/>
        </w:rPr>
      </w:pPr>
      <w:r w:rsidRPr="00E155C1">
        <w:rPr>
          <w:szCs w:val="20"/>
        </w:rPr>
        <w:t>Kmetijska zemlja, ki jo ta gospodarstva uporabljajo, pa sedaj zavzema več kot tretjino (34 %)</w:t>
      </w:r>
      <w:r>
        <w:rPr>
          <w:szCs w:val="20"/>
        </w:rPr>
        <w:t xml:space="preserve"> </w:t>
      </w:r>
      <w:r w:rsidRPr="00E155C1">
        <w:rPr>
          <w:szCs w:val="20"/>
        </w:rPr>
        <w:t>skupne površine KZU, medtem ko so ta gospodarstva leta 2010 obdelovala 29 % KZU.</w:t>
      </w:r>
    </w:p>
    <w:p w14:paraId="158E8EF9" w14:textId="1B15E4F9" w:rsidR="00396EB7" w:rsidRDefault="00396EB7">
      <w:pPr>
        <w:rPr>
          <w:szCs w:val="20"/>
        </w:rPr>
      </w:pPr>
      <w:r w:rsidRPr="00E155C1">
        <w:rPr>
          <w:szCs w:val="20"/>
        </w:rPr>
        <w:t>Delež gospodarstev, ki redijo več kot 20 GVŽ na gospodarstvo, se je med letoma 2010 in</w:t>
      </w:r>
      <w:r>
        <w:rPr>
          <w:szCs w:val="20"/>
        </w:rPr>
        <w:t xml:space="preserve"> </w:t>
      </w:r>
      <w:r w:rsidRPr="00E155C1">
        <w:rPr>
          <w:szCs w:val="20"/>
        </w:rPr>
        <w:t>2020 povečal z 8 % na 10 %, delež GVŽ v tem velikostnem razredu pa s 46 % na 56 %.</w:t>
      </w:r>
      <w:r>
        <w:rPr>
          <w:szCs w:val="20"/>
        </w:rPr>
        <w:t xml:space="preserve"> </w:t>
      </w:r>
    </w:p>
    <w:p w14:paraId="31FDF29C" w14:textId="77777777" w:rsidR="00396EB7" w:rsidRPr="00E155C1" w:rsidRDefault="00396EB7">
      <w:pPr>
        <w:rPr>
          <w:szCs w:val="20"/>
        </w:rPr>
      </w:pPr>
    </w:p>
    <w:p w14:paraId="190FA18A" w14:textId="77777777" w:rsidR="00396EB7" w:rsidRPr="00E155C1" w:rsidRDefault="00396EB7">
      <w:pPr>
        <w:rPr>
          <w:b/>
          <w:i/>
          <w:szCs w:val="20"/>
          <w:u w:val="single"/>
        </w:rPr>
      </w:pPr>
      <w:r w:rsidRPr="00E155C1">
        <w:rPr>
          <w:b/>
          <w:i/>
          <w:szCs w:val="20"/>
          <w:u w:val="single"/>
        </w:rPr>
        <w:t>Raba zemljišč</w:t>
      </w:r>
    </w:p>
    <w:p w14:paraId="1B2587BD" w14:textId="110B4A76" w:rsidR="00396EB7" w:rsidRPr="00E155C1" w:rsidRDefault="00396EB7">
      <w:pPr>
        <w:rPr>
          <w:b/>
          <w:szCs w:val="20"/>
        </w:rPr>
      </w:pPr>
      <w:r w:rsidRPr="00E155C1">
        <w:rPr>
          <w:szCs w:val="20"/>
        </w:rPr>
        <w:t>V letu 2020 so kmetijska gospodarstva uporabljala nekaj več kot 474 tisoč ha kmetijskih</w:t>
      </w:r>
      <w:r>
        <w:rPr>
          <w:szCs w:val="20"/>
        </w:rPr>
        <w:t xml:space="preserve"> </w:t>
      </w:r>
      <w:r w:rsidRPr="00E155C1">
        <w:rPr>
          <w:szCs w:val="20"/>
        </w:rPr>
        <w:t xml:space="preserve">zemljišč. </w:t>
      </w:r>
      <w:r w:rsidRPr="00E155C1">
        <w:rPr>
          <w:b/>
          <w:szCs w:val="20"/>
        </w:rPr>
        <w:t>V primerjavi z letom 2010 se površina KZU praktično ni spremenila.</w:t>
      </w:r>
      <w:r w:rsidRPr="00E155C1">
        <w:rPr>
          <w:szCs w:val="20"/>
        </w:rPr>
        <w:t xml:space="preserve"> </w:t>
      </w:r>
      <w:r w:rsidRPr="00E155C1">
        <w:rPr>
          <w:b/>
          <w:szCs w:val="20"/>
        </w:rPr>
        <w:t>Manjše število KMG ob podobnem obsegu KZU pomeni, da se je povprečna velikost kmetijskih gospodarstev s KZU povečala s 6,4 ha v letu 2010 na 7,1 ha v letu 2020 oziroma za 11 %.</w:t>
      </w:r>
    </w:p>
    <w:p w14:paraId="4E2D3B51" w14:textId="68FE9A20" w:rsidR="00396EB7" w:rsidRPr="00E155C1" w:rsidRDefault="00396EB7">
      <w:pPr>
        <w:rPr>
          <w:szCs w:val="20"/>
        </w:rPr>
      </w:pPr>
      <w:r w:rsidRPr="00E155C1">
        <w:rPr>
          <w:szCs w:val="20"/>
        </w:rPr>
        <w:t>Največja KMG so v Pomurski regiji, kjer v povprečju obdelujejo 9,1 ha KZU na KMG, kar je</w:t>
      </w:r>
      <w:r>
        <w:rPr>
          <w:szCs w:val="20"/>
        </w:rPr>
        <w:t xml:space="preserve"> </w:t>
      </w:r>
      <w:r w:rsidRPr="00E155C1">
        <w:rPr>
          <w:szCs w:val="20"/>
        </w:rPr>
        <w:t>dvakrat toliko kot v Obalno-kraški regiji, kjer KMG obdelujejo 4,5 ha KZU na gospodarstvo.</w:t>
      </w:r>
    </w:p>
    <w:p w14:paraId="4919D72D" w14:textId="11205D86" w:rsidR="00396EB7" w:rsidRPr="00E155C1" w:rsidRDefault="00396EB7">
      <w:pPr>
        <w:rPr>
          <w:szCs w:val="20"/>
        </w:rPr>
      </w:pPr>
      <w:r w:rsidRPr="00E155C1">
        <w:rPr>
          <w:szCs w:val="20"/>
        </w:rPr>
        <w:t>Struktura kmetijskih zemljišč v uporabi se v primerjavi z letom 2010 ni bistveno spremenila,</w:t>
      </w:r>
      <w:r>
        <w:rPr>
          <w:szCs w:val="20"/>
        </w:rPr>
        <w:t xml:space="preserve"> </w:t>
      </w:r>
      <w:r w:rsidRPr="00E155C1">
        <w:rPr>
          <w:szCs w:val="20"/>
        </w:rPr>
        <w:t>saj še vedno prevladujejo trajni travniki in pašniki z 57 %, sledijo njive in vrtovi s 37 % in</w:t>
      </w:r>
      <w:r>
        <w:rPr>
          <w:szCs w:val="20"/>
        </w:rPr>
        <w:t xml:space="preserve"> </w:t>
      </w:r>
      <w:r w:rsidRPr="00E155C1">
        <w:rPr>
          <w:szCs w:val="20"/>
        </w:rPr>
        <w:t>trajni nasadi s 6 %.</w:t>
      </w:r>
    </w:p>
    <w:p w14:paraId="1ECB8026" w14:textId="4A0B2267" w:rsidR="00396EB7" w:rsidRPr="00E155C1" w:rsidRDefault="00396EB7">
      <w:pPr>
        <w:rPr>
          <w:szCs w:val="20"/>
        </w:rPr>
      </w:pPr>
      <w:r w:rsidRPr="00E155C1">
        <w:rPr>
          <w:szCs w:val="20"/>
        </w:rPr>
        <w:t>Leta 2020 je nekaj manj kot 58 tisoč KMG obdelovalo skoraj 176 tisoč ha njiv. V primerjavi s</w:t>
      </w:r>
      <w:r>
        <w:rPr>
          <w:szCs w:val="20"/>
        </w:rPr>
        <w:t xml:space="preserve"> </w:t>
      </w:r>
      <w:r w:rsidRPr="00E155C1">
        <w:rPr>
          <w:szCs w:val="20"/>
        </w:rPr>
        <w:t>popisom v letu 2010 se je število KMG zmanjšalo za 9 %, medtem ko se je površina njiv v</w:t>
      </w:r>
      <w:r>
        <w:rPr>
          <w:szCs w:val="20"/>
        </w:rPr>
        <w:t xml:space="preserve"> </w:t>
      </w:r>
      <w:r w:rsidRPr="00E155C1">
        <w:rPr>
          <w:szCs w:val="20"/>
        </w:rPr>
        <w:t xml:space="preserve">obravnavanem obdobju povečala za dobre 3 </w:t>
      </w:r>
      <w:r w:rsidRPr="00E155C1">
        <w:rPr>
          <w:b/>
          <w:szCs w:val="20"/>
        </w:rPr>
        <w:t xml:space="preserve">%. </w:t>
      </w:r>
      <w:r w:rsidRPr="00E155C1">
        <w:rPr>
          <w:szCs w:val="20"/>
        </w:rPr>
        <w:t xml:space="preserve">Povprečna </w:t>
      </w:r>
      <w:r w:rsidRPr="00E155C1">
        <w:rPr>
          <w:b/>
          <w:szCs w:val="20"/>
        </w:rPr>
        <w:t>površina njiv</w:t>
      </w:r>
      <w:r w:rsidRPr="00E155C1">
        <w:rPr>
          <w:szCs w:val="20"/>
        </w:rPr>
        <w:t>, v obdelavi enega</w:t>
      </w:r>
      <w:r w:rsidRPr="008B15B1">
        <w:rPr>
          <w:szCs w:val="20"/>
        </w:rPr>
        <w:t xml:space="preserve"> </w:t>
      </w:r>
      <w:r w:rsidRPr="00E155C1">
        <w:rPr>
          <w:szCs w:val="20"/>
        </w:rPr>
        <w:t xml:space="preserve">gospodarstva, pa se je v zadnjih desetih letih </w:t>
      </w:r>
      <w:r w:rsidRPr="00E155C1">
        <w:rPr>
          <w:b/>
          <w:szCs w:val="20"/>
        </w:rPr>
        <w:t>povečala za 14 %</w:t>
      </w:r>
      <w:r w:rsidRPr="00E155C1">
        <w:rPr>
          <w:szCs w:val="20"/>
        </w:rPr>
        <w:t xml:space="preserve"> (z 2,7 ha na 3,1 ha).</w:t>
      </w:r>
    </w:p>
    <w:p w14:paraId="7B9B0111" w14:textId="2B8605EB" w:rsidR="00396EB7" w:rsidRPr="00E155C1" w:rsidRDefault="00396EB7">
      <w:pPr>
        <w:rPr>
          <w:szCs w:val="20"/>
        </w:rPr>
      </w:pPr>
      <w:r w:rsidRPr="00E155C1">
        <w:rPr>
          <w:szCs w:val="20"/>
        </w:rPr>
        <w:t xml:space="preserve">V letu 2020 je bilo v Sloveniji skoraj 59 tisoč KMG s </w:t>
      </w:r>
      <w:r w:rsidRPr="00E155C1">
        <w:rPr>
          <w:b/>
          <w:szCs w:val="20"/>
        </w:rPr>
        <w:t>trajnimi travniki in pašniki</w:t>
      </w:r>
      <w:r w:rsidRPr="00E155C1">
        <w:rPr>
          <w:szCs w:val="20"/>
        </w:rPr>
        <w:t>, ki so skupaj</w:t>
      </w:r>
      <w:r>
        <w:rPr>
          <w:szCs w:val="20"/>
        </w:rPr>
        <w:t xml:space="preserve"> </w:t>
      </w:r>
      <w:r w:rsidRPr="00E155C1">
        <w:rPr>
          <w:szCs w:val="20"/>
        </w:rPr>
        <w:t>obdelovala dobrih 271 tisoč ha travinja. V primerjavi s popisom v letu 2010 se je število KMG</w:t>
      </w:r>
      <w:r>
        <w:rPr>
          <w:szCs w:val="20"/>
        </w:rPr>
        <w:t xml:space="preserve"> </w:t>
      </w:r>
      <w:r w:rsidRPr="00E155C1">
        <w:rPr>
          <w:szCs w:val="20"/>
        </w:rPr>
        <w:t>s travniki in pašniki zmanjšalo za 5 %, medtem ko se je njihova površina zmanjšala za 2 %.</w:t>
      </w:r>
      <w:r w:rsidR="008B15B1">
        <w:rPr>
          <w:szCs w:val="20"/>
        </w:rPr>
        <w:t xml:space="preserve"> </w:t>
      </w:r>
      <w:r w:rsidRPr="00E155C1">
        <w:rPr>
          <w:szCs w:val="20"/>
        </w:rPr>
        <w:t xml:space="preserve">Ta gospodarstva so v letu 2020 v povprečju obdelovala 4,6 ha trajnega travinja, kar je </w:t>
      </w:r>
      <w:r w:rsidRPr="00E155C1">
        <w:rPr>
          <w:b/>
          <w:szCs w:val="20"/>
        </w:rPr>
        <w:t xml:space="preserve">za 3 % več </w:t>
      </w:r>
      <w:r w:rsidRPr="00E155C1">
        <w:rPr>
          <w:szCs w:val="20"/>
        </w:rPr>
        <w:t>kot v letu 2010.</w:t>
      </w:r>
    </w:p>
    <w:p w14:paraId="0903E011" w14:textId="64C4B333" w:rsidR="00396EB7" w:rsidRPr="00E155C1" w:rsidRDefault="00396EB7">
      <w:pPr>
        <w:rPr>
          <w:szCs w:val="20"/>
        </w:rPr>
      </w:pPr>
      <w:r w:rsidRPr="00E155C1">
        <w:rPr>
          <w:szCs w:val="20"/>
        </w:rPr>
        <w:t xml:space="preserve">V letu 2020 je </w:t>
      </w:r>
      <w:r w:rsidRPr="00E155C1">
        <w:rPr>
          <w:b/>
          <w:szCs w:val="20"/>
        </w:rPr>
        <w:t>intenzivne sadovnjake</w:t>
      </w:r>
      <w:r w:rsidRPr="00E155C1">
        <w:rPr>
          <w:szCs w:val="20"/>
        </w:rPr>
        <w:t xml:space="preserve"> obdelovalo 2,6 tisoč KMG, ekstenzivne pa 19,3 tisoč</w:t>
      </w:r>
      <w:r>
        <w:rPr>
          <w:szCs w:val="20"/>
        </w:rPr>
        <w:t xml:space="preserve"> </w:t>
      </w:r>
      <w:r w:rsidRPr="00E155C1">
        <w:rPr>
          <w:szCs w:val="20"/>
        </w:rPr>
        <w:t>KMG. V primerjavi z letom 2010 se je število KMG z intenzivnimi sadovnjaki povečalo za</w:t>
      </w:r>
      <w:r>
        <w:rPr>
          <w:szCs w:val="20"/>
        </w:rPr>
        <w:t xml:space="preserve"> </w:t>
      </w:r>
      <w:r w:rsidRPr="00E155C1">
        <w:rPr>
          <w:szCs w:val="20"/>
        </w:rPr>
        <w:t>44 %, število KMG z ekstenzivnimi sadovnjaki pa zmanjšalo za dobre 3 %. Leta 2020 je bilo</w:t>
      </w:r>
      <w:r>
        <w:rPr>
          <w:szCs w:val="20"/>
        </w:rPr>
        <w:t xml:space="preserve"> </w:t>
      </w:r>
      <w:r w:rsidRPr="00E155C1">
        <w:rPr>
          <w:szCs w:val="20"/>
        </w:rPr>
        <w:t>z intenzivnimi sadovnjaki zasajeno 3,9 tisoč ha površin in njihova površina se je v primerjavi</w:t>
      </w:r>
      <w:r>
        <w:rPr>
          <w:szCs w:val="20"/>
        </w:rPr>
        <w:t xml:space="preserve"> </w:t>
      </w:r>
      <w:r w:rsidRPr="00E155C1">
        <w:rPr>
          <w:szCs w:val="20"/>
        </w:rPr>
        <w:t>z letom 2010 le malenkost povečala (+1 %). To je vplivalo na precejšno zmanjšanje</w:t>
      </w:r>
      <w:r>
        <w:rPr>
          <w:szCs w:val="20"/>
        </w:rPr>
        <w:t xml:space="preserve"> </w:t>
      </w:r>
      <w:r w:rsidRPr="00E155C1">
        <w:rPr>
          <w:szCs w:val="20"/>
        </w:rPr>
        <w:t xml:space="preserve">intenzivnih sadovnjakov v obdelavi enega KMG (–30 %; z 2,1 na 1,5 ha). </w:t>
      </w:r>
      <w:r w:rsidRPr="00E155C1">
        <w:rPr>
          <w:b/>
          <w:szCs w:val="20"/>
        </w:rPr>
        <w:t>Ekstenzivni sadovnjaki</w:t>
      </w:r>
      <w:r w:rsidRPr="00E155C1">
        <w:rPr>
          <w:szCs w:val="20"/>
        </w:rPr>
        <w:t xml:space="preserve"> pa so leta 2020 obsegali 7,4 tisoč ha površin, kar je za 39 % več kot leta 2010.</w:t>
      </w:r>
    </w:p>
    <w:p w14:paraId="7A8A4160" w14:textId="2D49A6DC" w:rsidR="00396EB7" w:rsidRPr="00E155C1" w:rsidRDefault="00396EB7">
      <w:pPr>
        <w:rPr>
          <w:szCs w:val="20"/>
        </w:rPr>
      </w:pPr>
      <w:r w:rsidRPr="00E155C1">
        <w:rPr>
          <w:szCs w:val="20"/>
        </w:rPr>
        <w:t xml:space="preserve">S </w:t>
      </w:r>
      <w:r w:rsidRPr="00E155C1">
        <w:rPr>
          <w:b/>
          <w:szCs w:val="20"/>
        </w:rPr>
        <w:t>pridelavo oljk</w:t>
      </w:r>
      <w:r w:rsidRPr="00E155C1">
        <w:rPr>
          <w:szCs w:val="20"/>
        </w:rPr>
        <w:t xml:space="preserve"> se je v letu 2020 ukvarjalo 2,3 tisoč KMG, ki so obdelovala nekaj več kot</w:t>
      </w:r>
      <w:r>
        <w:rPr>
          <w:szCs w:val="20"/>
        </w:rPr>
        <w:t xml:space="preserve"> </w:t>
      </w:r>
      <w:r w:rsidRPr="00E155C1">
        <w:rPr>
          <w:szCs w:val="20"/>
        </w:rPr>
        <w:t>tisoč ha površin. V primerjavi z letom 2010 se je število KMG z oljkami povečalo za več kot</w:t>
      </w:r>
      <w:r>
        <w:rPr>
          <w:szCs w:val="20"/>
        </w:rPr>
        <w:t xml:space="preserve"> </w:t>
      </w:r>
      <w:r w:rsidRPr="00E155C1">
        <w:rPr>
          <w:szCs w:val="20"/>
        </w:rPr>
        <w:t>tretjino (+36 %), površine oljčnikov pa so se povečale za dobro polovico (51 %). KMG so</w:t>
      </w:r>
      <w:r w:rsidR="00A44601">
        <w:rPr>
          <w:szCs w:val="20"/>
        </w:rPr>
        <w:t xml:space="preserve"> </w:t>
      </w:r>
      <w:r w:rsidRPr="00E155C1">
        <w:rPr>
          <w:szCs w:val="20"/>
        </w:rPr>
        <w:t>oljke v povprečju pridelovala na 0,58 ha površin, kar je malo več kot leta 2010 (0,52 ha).</w:t>
      </w:r>
    </w:p>
    <w:p w14:paraId="7F09C2C9" w14:textId="403A8415" w:rsidR="00396EB7" w:rsidRDefault="00396EB7">
      <w:pPr>
        <w:rPr>
          <w:szCs w:val="20"/>
        </w:rPr>
      </w:pPr>
      <w:r w:rsidRPr="00E155C1">
        <w:rPr>
          <w:szCs w:val="20"/>
        </w:rPr>
        <w:t xml:space="preserve">V letu 2020 je bilo v Sloveniji približno 17,3 tisoč KMG z </w:t>
      </w:r>
      <w:r w:rsidRPr="00E155C1">
        <w:rPr>
          <w:b/>
          <w:szCs w:val="20"/>
        </w:rPr>
        <w:t>vinogradi,</w:t>
      </w:r>
      <w:r w:rsidRPr="00E155C1">
        <w:rPr>
          <w:szCs w:val="20"/>
        </w:rPr>
        <w:t xml:space="preserve"> ki so obdelovala dobrih 14</w:t>
      </w:r>
      <w:r w:rsidR="00A44601">
        <w:rPr>
          <w:szCs w:val="20"/>
        </w:rPr>
        <w:t xml:space="preserve"> </w:t>
      </w:r>
      <w:r w:rsidRPr="00E155C1">
        <w:rPr>
          <w:szCs w:val="20"/>
        </w:rPr>
        <w:t>tisoč ha površin vinogradov. V primerjavi z letom 2010 se je število KMG z vinogradi</w:t>
      </w:r>
      <w:r w:rsidR="00A44601">
        <w:rPr>
          <w:szCs w:val="20"/>
        </w:rPr>
        <w:t xml:space="preserve"> </w:t>
      </w:r>
      <w:r w:rsidRPr="00E155C1">
        <w:rPr>
          <w:szCs w:val="20"/>
        </w:rPr>
        <w:t>zmanjšalo za tretjino, medtem ko so se površine z vinogradi zmanjšale za 14 %. Ta</w:t>
      </w:r>
      <w:r w:rsidR="00A44601">
        <w:rPr>
          <w:szCs w:val="20"/>
        </w:rPr>
        <w:t xml:space="preserve"> </w:t>
      </w:r>
      <w:r w:rsidRPr="00E155C1">
        <w:rPr>
          <w:szCs w:val="20"/>
        </w:rPr>
        <w:t>gospodarstva v povprečju obdelujejo 0,82 ha vinogradov, kar je za skoraj tretjino več (31 %;</w:t>
      </w:r>
      <w:r w:rsidR="00A44601">
        <w:rPr>
          <w:szCs w:val="20"/>
        </w:rPr>
        <w:t xml:space="preserve"> </w:t>
      </w:r>
      <w:r w:rsidRPr="00E155C1">
        <w:rPr>
          <w:szCs w:val="20"/>
        </w:rPr>
        <w:t>0,62 ha) kot leta 2010.</w:t>
      </w:r>
    </w:p>
    <w:p w14:paraId="1FE9F1BF" w14:textId="77777777" w:rsidR="008B15B1" w:rsidRPr="00E155C1" w:rsidRDefault="008B15B1">
      <w:pPr>
        <w:rPr>
          <w:szCs w:val="20"/>
        </w:rPr>
      </w:pPr>
    </w:p>
    <w:p w14:paraId="3482922E" w14:textId="77777777" w:rsidR="00396EB7" w:rsidRPr="00E155C1" w:rsidRDefault="00396EB7">
      <w:pPr>
        <w:rPr>
          <w:b/>
          <w:i/>
          <w:szCs w:val="20"/>
          <w:u w:val="single"/>
        </w:rPr>
      </w:pPr>
      <w:r w:rsidRPr="00E155C1">
        <w:rPr>
          <w:b/>
          <w:i/>
          <w:szCs w:val="20"/>
          <w:u w:val="single"/>
        </w:rPr>
        <w:t>Živinoreja</w:t>
      </w:r>
    </w:p>
    <w:p w14:paraId="3C083360" w14:textId="77777777" w:rsidR="008B15B1" w:rsidRDefault="00396EB7">
      <w:pPr>
        <w:rPr>
          <w:szCs w:val="20"/>
        </w:rPr>
      </w:pPr>
      <w:r w:rsidRPr="00E155C1">
        <w:rPr>
          <w:szCs w:val="20"/>
        </w:rPr>
        <w:t>Z živinorejo se po podatkih popisa kmetijstva 2020 ukvarja skoraj 45 tisoč kmetijskih</w:t>
      </w:r>
      <w:r w:rsidR="00A44601">
        <w:rPr>
          <w:szCs w:val="20"/>
        </w:rPr>
        <w:t xml:space="preserve"> </w:t>
      </w:r>
      <w:r w:rsidRPr="00E155C1">
        <w:rPr>
          <w:szCs w:val="20"/>
        </w:rPr>
        <w:t>gospodarstev, kar je skoraj četrtina manj (–23 %) kot leta 2010. Ta gospodarstva skupaj</w:t>
      </w:r>
      <w:r w:rsidR="00A44601">
        <w:rPr>
          <w:szCs w:val="20"/>
        </w:rPr>
        <w:t xml:space="preserve"> </w:t>
      </w:r>
      <w:r w:rsidRPr="00E155C1">
        <w:rPr>
          <w:szCs w:val="20"/>
        </w:rPr>
        <w:t>redijo nekaj manj kot 409 tisoč glav velike živine (GVŽ), kar je 3 % manj kot leta 2010.</w:t>
      </w:r>
      <w:r w:rsidR="008B15B1">
        <w:rPr>
          <w:szCs w:val="20"/>
        </w:rPr>
        <w:t xml:space="preserve"> </w:t>
      </w:r>
    </w:p>
    <w:p w14:paraId="30DD3C84" w14:textId="0649F736" w:rsidR="00396EB7" w:rsidRPr="00E155C1" w:rsidRDefault="00396EB7">
      <w:pPr>
        <w:rPr>
          <w:szCs w:val="20"/>
        </w:rPr>
      </w:pPr>
      <w:r w:rsidRPr="00E155C1">
        <w:rPr>
          <w:b/>
          <w:szCs w:val="20"/>
        </w:rPr>
        <w:t>Število GVŽ se je zmanjšalo predvsem zaradi velikega zmanjšanja števila prašičev, katerih je</w:t>
      </w:r>
      <w:r w:rsidR="008B15B1">
        <w:rPr>
          <w:b/>
          <w:szCs w:val="20"/>
        </w:rPr>
        <w:t xml:space="preserve"> </w:t>
      </w:r>
      <w:r w:rsidRPr="00E155C1">
        <w:rPr>
          <w:b/>
          <w:szCs w:val="20"/>
        </w:rPr>
        <w:t>sedaj skoraj 40 % manj kot leta 2010.</w:t>
      </w:r>
      <w:r w:rsidRPr="00E155C1">
        <w:rPr>
          <w:szCs w:val="20"/>
        </w:rPr>
        <w:t xml:space="preserve"> Zmanjšalo se je tudi število konj, ovc in koz, medtem</w:t>
      </w:r>
      <w:r w:rsidR="00A44601">
        <w:rPr>
          <w:szCs w:val="20"/>
        </w:rPr>
        <w:t xml:space="preserve"> </w:t>
      </w:r>
      <w:r w:rsidRPr="00E155C1">
        <w:rPr>
          <w:szCs w:val="20"/>
        </w:rPr>
        <w:t>ko je število goveda ostalo skoraj nespremenjeno. V obdobju med obema popisoma se je</w:t>
      </w:r>
      <w:r w:rsidR="00A44601">
        <w:rPr>
          <w:szCs w:val="20"/>
        </w:rPr>
        <w:t xml:space="preserve"> </w:t>
      </w:r>
      <w:r w:rsidRPr="00E155C1">
        <w:rPr>
          <w:szCs w:val="20"/>
        </w:rPr>
        <w:t>povečalo število perutnine, čebeljih družin ter tudi število damjakov, muflonov in navadne</w:t>
      </w:r>
      <w:r w:rsidR="00A44601">
        <w:rPr>
          <w:szCs w:val="20"/>
        </w:rPr>
        <w:t xml:space="preserve"> </w:t>
      </w:r>
      <w:r w:rsidRPr="00E155C1">
        <w:rPr>
          <w:szCs w:val="20"/>
        </w:rPr>
        <w:t>jelenjadi.</w:t>
      </w:r>
    </w:p>
    <w:p w14:paraId="73A8967B" w14:textId="21CE81F2" w:rsidR="00396EB7" w:rsidRPr="00E155C1" w:rsidRDefault="00396EB7">
      <w:pPr>
        <w:rPr>
          <w:szCs w:val="20"/>
        </w:rPr>
      </w:pPr>
      <w:r w:rsidRPr="00E155C1">
        <w:rPr>
          <w:b/>
          <w:szCs w:val="20"/>
        </w:rPr>
        <w:t>Živinorejska gospodarstva so v povprečju redila 9,1 GVŽ, kar je za dobro četrtino več kot leta</w:t>
      </w:r>
      <w:r w:rsidR="00A44601" w:rsidRPr="00E155C1">
        <w:rPr>
          <w:b/>
          <w:szCs w:val="20"/>
        </w:rPr>
        <w:t xml:space="preserve"> </w:t>
      </w:r>
      <w:r w:rsidRPr="00E155C1">
        <w:rPr>
          <w:b/>
          <w:szCs w:val="20"/>
        </w:rPr>
        <w:t>2010, ko so redila 7,2 GVŽ na gospodarstvo</w:t>
      </w:r>
      <w:r w:rsidRPr="00E155C1">
        <w:rPr>
          <w:szCs w:val="20"/>
        </w:rPr>
        <w:t>. Največja živinorejska KMG so v Gorenjski</w:t>
      </w:r>
      <w:r w:rsidR="00A44601">
        <w:rPr>
          <w:szCs w:val="20"/>
        </w:rPr>
        <w:t xml:space="preserve"> </w:t>
      </w:r>
      <w:r w:rsidRPr="00E155C1">
        <w:rPr>
          <w:szCs w:val="20"/>
        </w:rPr>
        <w:t>regiji, kjer v povprečju redijo 12,0 GVŽ, v Obalno-kraški regiji pa redijo najmanj živali na</w:t>
      </w:r>
      <w:r w:rsidR="00A44601">
        <w:rPr>
          <w:szCs w:val="20"/>
        </w:rPr>
        <w:t xml:space="preserve"> </w:t>
      </w:r>
      <w:r w:rsidRPr="00E155C1">
        <w:rPr>
          <w:szCs w:val="20"/>
        </w:rPr>
        <w:t>KMG, in sicer 5,2 GVŽ.</w:t>
      </w:r>
    </w:p>
    <w:p w14:paraId="1E15DD54" w14:textId="3091ABE7" w:rsidR="00396EB7" w:rsidRPr="00E155C1" w:rsidRDefault="00396EB7">
      <w:pPr>
        <w:rPr>
          <w:szCs w:val="20"/>
        </w:rPr>
      </w:pPr>
      <w:r w:rsidRPr="00E155C1">
        <w:rPr>
          <w:b/>
          <w:szCs w:val="20"/>
        </w:rPr>
        <w:t>Prireja govejega mesa poleg prireje mleka ostaja najpomembnejša proizvodna usmeritev</w:t>
      </w:r>
      <w:r w:rsidR="00A44601" w:rsidRPr="00E155C1">
        <w:rPr>
          <w:b/>
          <w:szCs w:val="20"/>
        </w:rPr>
        <w:t xml:space="preserve"> </w:t>
      </w:r>
      <w:r w:rsidRPr="00E155C1">
        <w:rPr>
          <w:b/>
          <w:szCs w:val="20"/>
        </w:rPr>
        <w:t>slovenskega kmetijstva.</w:t>
      </w:r>
      <w:r w:rsidRPr="00E155C1">
        <w:rPr>
          <w:szCs w:val="20"/>
        </w:rPr>
        <w:t xml:space="preserve"> </w:t>
      </w:r>
      <w:r w:rsidRPr="00E155C1">
        <w:rPr>
          <w:b/>
          <w:szCs w:val="20"/>
        </w:rPr>
        <w:t>V govedoreji že od leta 2000 dalje potekajo dokaj intenzivne</w:t>
      </w:r>
      <w:r w:rsidR="00A44601" w:rsidRPr="00E155C1">
        <w:rPr>
          <w:b/>
          <w:szCs w:val="20"/>
        </w:rPr>
        <w:t xml:space="preserve"> </w:t>
      </w:r>
      <w:r w:rsidRPr="00E155C1">
        <w:rPr>
          <w:b/>
          <w:szCs w:val="20"/>
        </w:rPr>
        <w:t>strukturne spremembe, ki se kažejo predvsem v zmanjševanju števila KMG, ki redijo govedo</w:t>
      </w:r>
      <w:r w:rsidR="00A44601" w:rsidRPr="00E155C1">
        <w:rPr>
          <w:b/>
          <w:szCs w:val="20"/>
        </w:rPr>
        <w:t xml:space="preserve"> </w:t>
      </w:r>
      <w:r w:rsidRPr="00E155C1">
        <w:rPr>
          <w:b/>
          <w:szCs w:val="20"/>
        </w:rPr>
        <w:t>in povečevanju povprečnega staleža živali na KMG.</w:t>
      </w:r>
      <w:r w:rsidRPr="00E155C1">
        <w:rPr>
          <w:szCs w:val="20"/>
        </w:rPr>
        <w:t xml:space="preserve"> Leta 2020 se je v Sloveniji z govedorejo</w:t>
      </w:r>
      <w:r w:rsidR="00A44601">
        <w:rPr>
          <w:szCs w:val="20"/>
        </w:rPr>
        <w:t xml:space="preserve"> </w:t>
      </w:r>
      <w:r w:rsidRPr="00E155C1">
        <w:rPr>
          <w:szCs w:val="20"/>
        </w:rPr>
        <w:t>ukvarjalo nekaj več kot 28 tisoč KMG, kar predstavlja skoraj dve tretjini (63 %) vseh</w:t>
      </w:r>
      <w:r w:rsidR="00A44601">
        <w:rPr>
          <w:szCs w:val="20"/>
        </w:rPr>
        <w:t xml:space="preserve"> </w:t>
      </w:r>
      <w:r w:rsidRPr="00E155C1">
        <w:rPr>
          <w:szCs w:val="20"/>
        </w:rPr>
        <w:t>živinorejskih gospodarstev. Ta gospodarstva so redila okoli 477 tisoč glav goveda, kar je za</w:t>
      </w:r>
      <w:r w:rsidR="00A44601">
        <w:rPr>
          <w:szCs w:val="20"/>
        </w:rPr>
        <w:t xml:space="preserve"> </w:t>
      </w:r>
      <w:r w:rsidRPr="00E155C1">
        <w:rPr>
          <w:szCs w:val="20"/>
        </w:rPr>
        <w:t>slab odstotek več kot leta 2010. Povprečna velikost črede se je v obdobju med obema</w:t>
      </w:r>
      <w:r w:rsidR="00A44601">
        <w:rPr>
          <w:szCs w:val="20"/>
        </w:rPr>
        <w:t xml:space="preserve"> </w:t>
      </w:r>
      <w:r w:rsidRPr="00E155C1">
        <w:rPr>
          <w:szCs w:val="20"/>
        </w:rPr>
        <w:t>popisoma povečala s 13,1 glave na KMG, na 16,7 glave goveda na KMG v letu 2020.</w:t>
      </w:r>
    </w:p>
    <w:p w14:paraId="0B986625" w14:textId="1B49D755" w:rsidR="00396EB7" w:rsidRPr="00E155C1" w:rsidRDefault="00396EB7">
      <w:pPr>
        <w:rPr>
          <w:szCs w:val="20"/>
        </w:rPr>
      </w:pPr>
      <w:r w:rsidRPr="00E155C1">
        <w:rPr>
          <w:szCs w:val="20"/>
        </w:rPr>
        <w:t xml:space="preserve">V letu 2020 se je s proizvodnjo </w:t>
      </w:r>
      <w:r w:rsidRPr="00E155C1">
        <w:rPr>
          <w:b/>
          <w:szCs w:val="20"/>
        </w:rPr>
        <w:t>kravjega mleka</w:t>
      </w:r>
      <w:r w:rsidRPr="00E155C1">
        <w:rPr>
          <w:szCs w:val="20"/>
        </w:rPr>
        <w:t xml:space="preserve"> ukvarjalo 5,6 tisoč KMG, medtem ko jih je bilo</w:t>
      </w:r>
      <w:r w:rsidR="00A44601" w:rsidRPr="008B15B1">
        <w:rPr>
          <w:szCs w:val="20"/>
        </w:rPr>
        <w:t xml:space="preserve"> </w:t>
      </w:r>
      <w:r w:rsidRPr="00E155C1">
        <w:rPr>
          <w:szCs w:val="20"/>
        </w:rPr>
        <w:t>v letu 2010 še skoraj 11 tisoč (–49 %). Ta gospodarstva so redila skoraj 101 tisoč krav</w:t>
      </w:r>
      <w:r w:rsidR="00A44601">
        <w:rPr>
          <w:szCs w:val="20"/>
        </w:rPr>
        <w:t xml:space="preserve"> </w:t>
      </w:r>
      <w:r w:rsidRPr="00E155C1">
        <w:rPr>
          <w:szCs w:val="20"/>
        </w:rPr>
        <w:t xml:space="preserve">molznic, kar je 7 % manj kot leta 2010. </w:t>
      </w:r>
      <w:r w:rsidRPr="00E155C1">
        <w:rPr>
          <w:b/>
          <w:szCs w:val="20"/>
        </w:rPr>
        <w:t>To pomeni, da so v letu 2020 v povprečju redila</w:t>
      </w:r>
      <w:r w:rsidR="00A44601" w:rsidRPr="00E155C1">
        <w:rPr>
          <w:b/>
          <w:szCs w:val="20"/>
        </w:rPr>
        <w:t xml:space="preserve"> </w:t>
      </w:r>
      <w:r w:rsidRPr="00E155C1">
        <w:rPr>
          <w:b/>
          <w:szCs w:val="20"/>
        </w:rPr>
        <w:t>18 krav molznic na KMG, kar je 82 % več kot leta 2010, kar kaže na to, da se nadaljujejo</w:t>
      </w:r>
      <w:r w:rsidR="00A44601" w:rsidRPr="00E155C1">
        <w:rPr>
          <w:b/>
          <w:szCs w:val="20"/>
        </w:rPr>
        <w:t xml:space="preserve"> </w:t>
      </w:r>
      <w:r w:rsidRPr="00E155C1">
        <w:rPr>
          <w:b/>
          <w:szCs w:val="20"/>
        </w:rPr>
        <w:t>zelo intenzivni procesi koncentracije in specializacije reje.</w:t>
      </w:r>
    </w:p>
    <w:p w14:paraId="207B3A00" w14:textId="6F957D0F" w:rsidR="00396EB7" w:rsidRPr="00E155C1" w:rsidRDefault="00396EB7">
      <w:pPr>
        <w:rPr>
          <w:szCs w:val="20"/>
        </w:rPr>
      </w:pPr>
      <w:r w:rsidRPr="00E155C1">
        <w:rPr>
          <w:szCs w:val="20"/>
        </w:rPr>
        <w:t>Podobno kot v sektorju govedoreje se</w:t>
      </w:r>
      <w:r w:rsidRPr="00E155C1">
        <w:rPr>
          <w:b/>
          <w:szCs w:val="20"/>
        </w:rPr>
        <w:t xml:space="preserve"> tudi v prašičereji nadaljujejo intenzivne strukturne</w:t>
      </w:r>
      <w:r w:rsidR="00A44601" w:rsidRPr="00E155C1">
        <w:rPr>
          <w:b/>
          <w:szCs w:val="20"/>
        </w:rPr>
        <w:t xml:space="preserve"> </w:t>
      </w:r>
      <w:r w:rsidRPr="00E155C1">
        <w:rPr>
          <w:b/>
          <w:szCs w:val="20"/>
        </w:rPr>
        <w:t>spremembe.</w:t>
      </w:r>
      <w:r w:rsidRPr="00E155C1">
        <w:rPr>
          <w:szCs w:val="20"/>
        </w:rPr>
        <w:t xml:space="preserve"> V letu 2020 so prašiče redili na nekaj več kot 12 tisoč KMG, kar je za dobro</w:t>
      </w:r>
      <w:r w:rsidR="00A44601">
        <w:rPr>
          <w:szCs w:val="20"/>
        </w:rPr>
        <w:t xml:space="preserve"> </w:t>
      </w:r>
      <w:r w:rsidRPr="00E155C1">
        <w:rPr>
          <w:szCs w:val="20"/>
        </w:rPr>
        <w:t>polovico manj (–54 %) kot leta 2010, ko so prašiče redili na več kot 26 tisoč KMG. Prašiče</w:t>
      </w:r>
      <w:r w:rsidR="00A44601">
        <w:rPr>
          <w:szCs w:val="20"/>
        </w:rPr>
        <w:t xml:space="preserve"> </w:t>
      </w:r>
      <w:r w:rsidRPr="00E155C1">
        <w:rPr>
          <w:szCs w:val="20"/>
        </w:rPr>
        <w:t>redijo na več kot četrtini (27 %) živinorejskih KMG, kar je precej manj kot leta 2010, ko so</w:t>
      </w:r>
      <w:r w:rsidR="00A44601">
        <w:rPr>
          <w:szCs w:val="20"/>
        </w:rPr>
        <w:t xml:space="preserve"> </w:t>
      </w:r>
      <w:r w:rsidRPr="00E155C1">
        <w:rPr>
          <w:szCs w:val="20"/>
        </w:rPr>
        <w:t>prašiče redili skoraj na polovici živinorejskih KMG. Leta 2020 so ta redila 235 tisoč prašičev,</w:t>
      </w:r>
      <w:r w:rsidR="00A44601">
        <w:rPr>
          <w:szCs w:val="20"/>
        </w:rPr>
        <w:t xml:space="preserve"> </w:t>
      </w:r>
      <w:r w:rsidRPr="00E155C1">
        <w:rPr>
          <w:szCs w:val="20"/>
        </w:rPr>
        <w:t>kar je 38 % manj kot leta 2010, ko so redila 382 tisoč prašičev. Ta gospodarstva so leta 2020</w:t>
      </w:r>
      <w:r w:rsidR="00A44601">
        <w:rPr>
          <w:szCs w:val="20"/>
        </w:rPr>
        <w:t xml:space="preserve"> </w:t>
      </w:r>
      <w:r w:rsidRPr="00E155C1">
        <w:rPr>
          <w:szCs w:val="20"/>
        </w:rPr>
        <w:t>v povprečju redila 19 prašičev na gospodarstvo, kar je pet prašičev več kot leta 2010</w:t>
      </w:r>
      <w:r w:rsidR="008B15B1">
        <w:rPr>
          <w:szCs w:val="20"/>
        </w:rPr>
        <w:t xml:space="preserve"> (+36 %)</w:t>
      </w:r>
      <w:r w:rsidRPr="00E155C1">
        <w:rPr>
          <w:szCs w:val="20"/>
        </w:rPr>
        <w:t>.</w:t>
      </w:r>
    </w:p>
    <w:p w14:paraId="6C67C214" w14:textId="19F59BFD" w:rsidR="00396EB7" w:rsidRPr="00E155C1" w:rsidRDefault="00396EB7">
      <w:pPr>
        <w:rPr>
          <w:szCs w:val="20"/>
        </w:rPr>
      </w:pPr>
      <w:r w:rsidRPr="00E155C1">
        <w:rPr>
          <w:szCs w:val="20"/>
        </w:rPr>
        <w:t xml:space="preserve">V letu 2020 je </w:t>
      </w:r>
      <w:r w:rsidRPr="00E155C1">
        <w:rPr>
          <w:b/>
          <w:szCs w:val="20"/>
        </w:rPr>
        <w:t>perutnino</w:t>
      </w:r>
      <w:r w:rsidRPr="00E155C1">
        <w:rPr>
          <w:szCs w:val="20"/>
        </w:rPr>
        <w:t xml:space="preserve"> redilo okoli 27 tisoč KMG. V primerjavi z letom 2010 se je število</w:t>
      </w:r>
      <w:r w:rsidR="00A44601">
        <w:rPr>
          <w:szCs w:val="20"/>
        </w:rPr>
        <w:t xml:space="preserve"> </w:t>
      </w:r>
      <w:r w:rsidRPr="00E155C1">
        <w:rPr>
          <w:szCs w:val="20"/>
        </w:rPr>
        <w:t>rejcev zmanjšalo za četrtino. Ta KMG so redila 7 milijonov kljunov, kar je 44 % več kot leta</w:t>
      </w:r>
      <w:r w:rsidR="00A44601">
        <w:rPr>
          <w:szCs w:val="20"/>
        </w:rPr>
        <w:t xml:space="preserve"> </w:t>
      </w:r>
      <w:r w:rsidRPr="00E155C1">
        <w:rPr>
          <w:szCs w:val="20"/>
        </w:rPr>
        <w:t>2010. Najbolj zastopani proizvodni usmeritvi v perutninarstvu ostajata prireja pitovnih</w:t>
      </w:r>
      <w:r w:rsidR="00A44601">
        <w:rPr>
          <w:szCs w:val="20"/>
        </w:rPr>
        <w:t xml:space="preserve"> </w:t>
      </w:r>
      <w:r w:rsidRPr="00E155C1">
        <w:rPr>
          <w:szCs w:val="20"/>
        </w:rPr>
        <w:t xml:space="preserve">piščancev in reja kokoši nesnic. </w:t>
      </w:r>
      <w:r w:rsidRPr="00E155C1">
        <w:rPr>
          <w:b/>
          <w:szCs w:val="20"/>
        </w:rPr>
        <w:t>Pri tržno usmerjenih rejah je med zadnjima popisoma</w:t>
      </w:r>
      <w:r w:rsidR="00A44601" w:rsidRPr="00E155C1">
        <w:rPr>
          <w:b/>
          <w:szCs w:val="20"/>
        </w:rPr>
        <w:t xml:space="preserve"> </w:t>
      </w:r>
      <w:r w:rsidRPr="00E155C1">
        <w:rPr>
          <w:b/>
          <w:szCs w:val="20"/>
        </w:rPr>
        <w:t>ponovno prišlo do povečanja koncentracije prireje.</w:t>
      </w:r>
      <w:r w:rsidRPr="00E155C1">
        <w:rPr>
          <w:szCs w:val="20"/>
        </w:rPr>
        <w:t xml:space="preserve"> Število KMG, ki redijo piščance se je v</w:t>
      </w:r>
      <w:r w:rsidR="00A44601">
        <w:rPr>
          <w:szCs w:val="20"/>
        </w:rPr>
        <w:t xml:space="preserve"> </w:t>
      </w:r>
      <w:r w:rsidRPr="00E155C1">
        <w:rPr>
          <w:szCs w:val="20"/>
        </w:rPr>
        <w:t>medpopisnem obdobju zmanjšalo kar za 74 %, medtem ko se je jata povečala skoraj za</w:t>
      </w:r>
      <w:r w:rsidR="00A44601">
        <w:rPr>
          <w:szCs w:val="20"/>
        </w:rPr>
        <w:t xml:space="preserve"> </w:t>
      </w:r>
      <w:r w:rsidRPr="00E155C1">
        <w:rPr>
          <w:szCs w:val="20"/>
        </w:rPr>
        <w:t>polovico (+49 %). Na teh gospodarstvih so v povprečju redili več kot pet tisoč kljunov, kar je</w:t>
      </w:r>
      <w:r w:rsidR="00A44601">
        <w:rPr>
          <w:szCs w:val="20"/>
        </w:rPr>
        <w:t xml:space="preserve"> </w:t>
      </w:r>
      <w:r w:rsidRPr="00E155C1">
        <w:rPr>
          <w:szCs w:val="20"/>
        </w:rPr>
        <w:t>skoraj šest krat toliko kot leta 2010.</w:t>
      </w:r>
    </w:p>
    <w:p w14:paraId="5200EF34" w14:textId="68AF9534" w:rsidR="00396EB7" w:rsidRPr="00E155C1" w:rsidRDefault="00396EB7">
      <w:pPr>
        <w:rPr>
          <w:szCs w:val="20"/>
        </w:rPr>
      </w:pPr>
      <w:r w:rsidRPr="00E155C1">
        <w:rPr>
          <w:szCs w:val="20"/>
        </w:rPr>
        <w:t xml:space="preserve">V letu 2020 je nekaj več kot 26 tisoč KMG redilo 1,6 milijona </w:t>
      </w:r>
      <w:r w:rsidRPr="00E155C1">
        <w:rPr>
          <w:b/>
          <w:szCs w:val="20"/>
        </w:rPr>
        <w:t>kokoši nesnic</w:t>
      </w:r>
      <w:r w:rsidRPr="00E155C1">
        <w:rPr>
          <w:szCs w:val="20"/>
        </w:rPr>
        <w:t>. V medpopisnem</w:t>
      </w:r>
      <w:r w:rsidR="00A44601">
        <w:rPr>
          <w:szCs w:val="20"/>
        </w:rPr>
        <w:t xml:space="preserve"> </w:t>
      </w:r>
      <w:r w:rsidRPr="00E155C1">
        <w:rPr>
          <w:szCs w:val="20"/>
        </w:rPr>
        <w:t>obdobju se je število KMG z nesnicami zmanjšalo skoraj za četrtino, medtem ko se je</w:t>
      </w:r>
      <w:r w:rsidR="00A44601">
        <w:rPr>
          <w:szCs w:val="20"/>
        </w:rPr>
        <w:t xml:space="preserve"> </w:t>
      </w:r>
      <w:r w:rsidRPr="00E155C1">
        <w:rPr>
          <w:szCs w:val="20"/>
        </w:rPr>
        <w:t>velikost jate povečala za 7 %. Ta KMG so v povprečju redila 61 nesnic, kar je 41 % več kot</w:t>
      </w:r>
      <w:r w:rsidR="00A44601">
        <w:rPr>
          <w:szCs w:val="20"/>
        </w:rPr>
        <w:t xml:space="preserve"> </w:t>
      </w:r>
      <w:r w:rsidRPr="00E155C1">
        <w:rPr>
          <w:szCs w:val="20"/>
        </w:rPr>
        <w:t>leta 2010.</w:t>
      </w:r>
    </w:p>
    <w:p w14:paraId="0DE7ED2A" w14:textId="3B8FB7EF" w:rsidR="00396EB7" w:rsidRPr="00E155C1" w:rsidRDefault="00396EB7">
      <w:pPr>
        <w:rPr>
          <w:b/>
          <w:szCs w:val="20"/>
        </w:rPr>
      </w:pPr>
      <w:r w:rsidRPr="00E155C1">
        <w:rPr>
          <w:szCs w:val="20"/>
        </w:rPr>
        <w:t>Leta 2020 je prišlo tudi do zmanjšanja števila KMG z drobnico, teh je bilo v primerjavi z letom</w:t>
      </w:r>
      <w:r w:rsidR="00A44601">
        <w:rPr>
          <w:szCs w:val="20"/>
        </w:rPr>
        <w:t xml:space="preserve"> </w:t>
      </w:r>
      <w:r w:rsidRPr="00E155C1">
        <w:rPr>
          <w:szCs w:val="20"/>
        </w:rPr>
        <w:t>2010 skoraj za petino manj. Med zadnjima popisoma je pri obeh vrstah drobnice prišlo do</w:t>
      </w:r>
      <w:r w:rsidR="00A44601">
        <w:rPr>
          <w:szCs w:val="20"/>
        </w:rPr>
        <w:t xml:space="preserve"> </w:t>
      </w:r>
      <w:r w:rsidRPr="00E155C1">
        <w:rPr>
          <w:szCs w:val="20"/>
        </w:rPr>
        <w:t>zmanjšanja črede. Ovc je bilo v primerjavi z letom 2010 kar 17 % manj, medtem, ko se je</w:t>
      </w:r>
      <w:r w:rsidR="00A44601">
        <w:rPr>
          <w:szCs w:val="20"/>
        </w:rPr>
        <w:t xml:space="preserve"> </w:t>
      </w:r>
      <w:r w:rsidRPr="00E155C1">
        <w:rPr>
          <w:szCs w:val="20"/>
        </w:rPr>
        <w:t>število koz zmanjšalo za 21 %. Povprečno ovčerejsko gospodarstvo redi 23 ovac,</w:t>
      </w:r>
      <w:r w:rsidR="00A44601">
        <w:rPr>
          <w:szCs w:val="20"/>
        </w:rPr>
        <w:t xml:space="preserve"> </w:t>
      </w:r>
      <w:r w:rsidRPr="00E155C1">
        <w:rPr>
          <w:szCs w:val="20"/>
        </w:rPr>
        <w:t xml:space="preserve">kozjerejsko pa 8 koz, pri tem se </w:t>
      </w:r>
      <w:r w:rsidRPr="00E155C1">
        <w:rPr>
          <w:b/>
          <w:szCs w:val="20"/>
        </w:rPr>
        <w:t>velikost črede z ovcami oziroma kozami na KMG z drobnico</w:t>
      </w:r>
      <w:r w:rsidR="00A44601" w:rsidRPr="00E155C1">
        <w:rPr>
          <w:b/>
          <w:szCs w:val="20"/>
        </w:rPr>
        <w:t xml:space="preserve"> </w:t>
      </w:r>
      <w:r w:rsidRPr="00E155C1">
        <w:rPr>
          <w:b/>
          <w:szCs w:val="20"/>
        </w:rPr>
        <w:t>v zadnjih desetih letih ni bistveno spremenilo.</w:t>
      </w:r>
    </w:p>
    <w:p w14:paraId="15821257" w14:textId="77777777" w:rsidR="00396EB7" w:rsidRPr="00E155C1" w:rsidRDefault="00396EB7">
      <w:pPr>
        <w:rPr>
          <w:b/>
          <w:szCs w:val="20"/>
        </w:rPr>
      </w:pPr>
      <w:r w:rsidRPr="00E155C1">
        <w:rPr>
          <w:b/>
          <w:szCs w:val="20"/>
        </w:rPr>
        <w:t>Delovna sila na kmetijskih gospodarstvih</w:t>
      </w:r>
    </w:p>
    <w:p w14:paraId="3560D467" w14:textId="77777777" w:rsidR="00A44601" w:rsidRPr="00E155C1" w:rsidRDefault="00396EB7">
      <w:pPr>
        <w:rPr>
          <w:b/>
          <w:szCs w:val="20"/>
        </w:rPr>
      </w:pPr>
      <w:r w:rsidRPr="00E155C1">
        <w:rPr>
          <w:szCs w:val="20"/>
        </w:rPr>
        <w:t>Začasni podatki Popisa kmetijstva 2020 o delovni sili kažejo, da skupni vložek dela na</w:t>
      </w:r>
      <w:r w:rsidR="00A44601">
        <w:rPr>
          <w:szCs w:val="20"/>
        </w:rPr>
        <w:t xml:space="preserve"> </w:t>
      </w:r>
      <w:r w:rsidRPr="00E155C1">
        <w:rPr>
          <w:szCs w:val="20"/>
        </w:rPr>
        <w:t xml:space="preserve">kmetijskih gospodarstvih znaša slabih 68 tisoč polnovrednih delovnih moči (PDM). </w:t>
      </w:r>
      <w:r w:rsidRPr="00E155C1">
        <w:rPr>
          <w:b/>
          <w:szCs w:val="20"/>
        </w:rPr>
        <w:t>Več kot</w:t>
      </w:r>
      <w:r w:rsidR="00A44601" w:rsidRPr="00E155C1">
        <w:rPr>
          <w:b/>
          <w:szCs w:val="20"/>
        </w:rPr>
        <w:t xml:space="preserve"> </w:t>
      </w:r>
      <w:r w:rsidRPr="00E155C1">
        <w:rPr>
          <w:b/>
          <w:szCs w:val="20"/>
        </w:rPr>
        <w:t>dve tretjini (69 %) vseh PDM v kmetijstvu se nahaja na KMG, ki obdelujejo do 10 ha KZU.</w:t>
      </w:r>
      <w:r w:rsidR="00A44601">
        <w:rPr>
          <w:szCs w:val="20"/>
        </w:rPr>
        <w:t xml:space="preserve"> </w:t>
      </w:r>
    </w:p>
    <w:p w14:paraId="631DB037" w14:textId="70F9F1F7" w:rsidR="00396EB7" w:rsidRPr="00E155C1" w:rsidRDefault="00396EB7">
      <w:pPr>
        <w:rPr>
          <w:szCs w:val="20"/>
        </w:rPr>
      </w:pPr>
      <w:r w:rsidRPr="00E155C1">
        <w:rPr>
          <w:b/>
          <w:szCs w:val="20"/>
        </w:rPr>
        <w:t>Produktivnost dela v kmetijstvu se z velikostjo kmetijskih gospodarstev izboljšuje</w:t>
      </w:r>
      <w:r w:rsidRPr="00E155C1">
        <w:rPr>
          <w:szCs w:val="20"/>
        </w:rPr>
        <w:t>. Leta 2020</w:t>
      </w:r>
      <w:r w:rsidR="00A44601">
        <w:rPr>
          <w:szCs w:val="20"/>
        </w:rPr>
        <w:t xml:space="preserve"> </w:t>
      </w:r>
      <w:r w:rsidRPr="00E155C1">
        <w:rPr>
          <w:szCs w:val="20"/>
        </w:rPr>
        <w:t>je ena PDM obdelovala 7 ha KZU. Na tistih gospodarstvih, ki obdelujejo do 5 ha KZU, je ena</w:t>
      </w:r>
      <w:r w:rsidR="00A44601">
        <w:rPr>
          <w:szCs w:val="20"/>
        </w:rPr>
        <w:t xml:space="preserve"> </w:t>
      </w:r>
      <w:r w:rsidRPr="00E155C1">
        <w:rPr>
          <w:szCs w:val="20"/>
        </w:rPr>
        <w:t>PDM obdelala 3,6 ha KZU, medtem ko je na gospodarstvih, ki obdelujejo več kot 30 ha KZU</w:t>
      </w:r>
      <w:r w:rsidR="00A44601">
        <w:rPr>
          <w:szCs w:val="20"/>
        </w:rPr>
        <w:t xml:space="preserve"> </w:t>
      </w:r>
      <w:r w:rsidRPr="00E155C1">
        <w:rPr>
          <w:szCs w:val="20"/>
        </w:rPr>
        <w:t>1 PDM obdelovala skoraj 22 ha KZU. Zaradi drugačne metodologije zbiranja podatki o</w:t>
      </w:r>
      <w:r w:rsidR="00A44601">
        <w:rPr>
          <w:szCs w:val="20"/>
        </w:rPr>
        <w:t xml:space="preserve"> </w:t>
      </w:r>
      <w:r w:rsidRPr="00E155C1">
        <w:rPr>
          <w:szCs w:val="20"/>
        </w:rPr>
        <w:t>delovni sili niso primerljivi s podatki iz preteklih raziskovanj.</w:t>
      </w:r>
    </w:p>
    <w:p w14:paraId="06A2827E" w14:textId="49996363" w:rsidR="00396EB7" w:rsidRPr="00E155C1" w:rsidRDefault="00396EB7" w:rsidP="00E155C1">
      <w:r w:rsidRPr="00E155C1">
        <w:rPr>
          <w:b/>
          <w:szCs w:val="20"/>
        </w:rPr>
        <w:t>Spremembe velikostne strukture kažejo, da se tako pri kmetijskih zemljiščih, kot tudi v</w:t>
      </w:r>
      <w:r w:rsidR="00A44601" w:rsidRPr="00E155C1">
        <w:rPr>
          <w:b/>
          <w:szCs w:val="20"/>
        </w:rPr>
        <w:t xml:space="preserve"> </w:t>
      </w:r>
      <w:r w:rsidRPr="00E155C1">
        <w:rPr>
          <w:b/>
          <w:szCs w:val="20"/>
        </w:rPr>
        <w:t>živinoreji še naprej dogajajo procesi koncentracije proizvodnje, kar pozitivno vpliva na</w:t>
      </w:r>
      <w:r w:rsidR="00A44601" w:rsidRPr="00E155C1">
        <w:rPr>
          <w:b/>
          <w:szCs w:val="20"/>
        </w:rPr>
        <w:t xml:space="preserve"> </w:t>
      </w:r>
      <w:r w:rsidRPr="00E155C1">
        <w:rPr>
          <w:b/>
          <w:szCs w:val="20"/>
        </w:rPr>
        <w:t>produktivnost dela v kmetijstvu.</w:t>
      </w:r>
    </w:p>
    <w:p w14:paraId="2BEF6198" w14:textId="77777777" w:rsidR="00D74C01" w:rsidRDefault="00D74C01" w:rsidP="00E155C1"/>
    <w:p w14:paraId="3BDDA079" w14:textId="010B5CAF" w:rsidR="00D74C01" w:rsidRPr="00E155C1" w:rsidRDefault="00D74C01" w:rsidP="00E155C1">
      <w:r>
        <w:rPr>
          <w:szCs w:val="20"/>
        </w:rPr>
        <w:t>V nadaljevanju sledi podrobnejša razčlenitev produktivnosti po proizvodnih faktorjih.</w:t>
      </w:r>
    </w:p>
    <w:p w14:paraId="3096932C" w14:textId="77777777" w:rsidR="00396EB7" w:rsidRDefault="00396EB7" w:rsidP="00E155C1">
      <w:pPr>
        <w:pStyle w:val="Naslov2"/>
        <w:numPr>
          <w:ilvl w:val="0"/>
          <w:numId w:val="0"/>
        </w:numPr>
        <w:ind w:left="576"/>
      </w:pPr>
    </w:p>
    <w:p w14:paraId="2DA2A423" w14:textId="77777777" w:rsidR="00396EB7" w:rsidRDefault="00396EB7" w:rsidP="00E155C1">
      <w:pPr>
        <w:pStyle w:val="Naslov2"/>
        <w:numPr>
          <w:ilvl w:val="0"/>
          <w:numId w:val="0"/>
        </w:numPr>
        <w:ind w:left="576"/>
      </w:pPr>
    </w:p>
    <w:p w14:paraId="23FA1BA4" w14:textId="21A7638C" w:rsidR="00574589" w:rsidRPr="009755A8" w:rsidRDefault="00574589" w:rsidP="005B2A49">
      <w:pPr>
        <w:pStyle w:val="Naslov2"/>
      </w:pPr>
      <w:bookmarkStart w:id="37" w:name="_Toc90462211"/>
      <w:r w:rsidRPr="00C80370">
        <w:t>Skupna faktorska produktivnost</w:t>
      </w:r>
      <w:r w:rsidR="000F3F43" w:rsidRPr="00C80370">
        <w:t xml:space="preserve"> </w:t>
      </w:r>
      <w:r w:rsidR="00AF3297">
        <w:t>kmetijstv</w:t>
      </w:r>
      <w:r w:rsidR="00275988">
        <w:t>a</w:t>
      </w:r>
      <w:r w:rsidR="00AF3297">
        <w:t xml:space="preserve"> </w:t>
      </w:r>
      <w:r w:rsidR="000F3F43" w:rsidRPr="00C80370">
        <w:t>(C.28)</w:t>
      </w:r>
      <w:bookmarkEnd w:id="37"/>
    </w:p>
    <w:p w14:paraId="4D0322DE" w14:textId="77777777" w:rsidR="00574589" w:rsidRDefault="00574589" w:rsidP="009F3567">
      <w:pPr>
        <w:spacing w:before="0" w:line="276" w:lineRule="auto"/>
        <w:rPr>
          <w:sz w:val="20"/>
          <w:szCs w:val="20"/>
        </w:rPr>
      </w:pPr>
    </w:p>
    <w:p w14:paraId="75D483FE" w14:textId="77777777" w:rsidR="00803EB8" w:rsidRDefault="00803EB8" w:rsidP="00DD616B">
      <w:pPr>
        <w:pStyle w:val="Odstavek1"/>
      </w:pPr>
    </w:p>
    <w:p w14:paraId="0C5D72A6" w14:textId="701DA822" w:rsidR="001A6307" w:rsidRPr="004C5161" w:rsidRDefault="001A6307" w:rsidP="00DD616B">
      <w:pPr>
        <w:pStyle w:val="Odstavek1"/>
      </w:pPr>
      <w:r w:rsidRPr="0047652B">
        <w:t xml:space="preserve">Za spremljanje napredka pri doseganju večje produktivnosti v kmetijstvu se uporablja kazalnik skupna faktorska produktivnost proizvodnih faktorjev (delo, zemlja in kapital) v določenem časovnem obdobju </w:t>
      </w:r>
      <w:r w:rsidR="0061009E">
        <w:t>(</w:t>
      </w:r>
      <w:r w:rsidRPr="004C5161">
        <w:t>TFP)</w:t>
      </w:r>
      <w:r w:rsidRPr="0047652B">
        <w:t>.</w:t>
      </w:r>
      <w:r w:rsidR="00574589">
        <w:t xml:space="preserve"> </w:t>
      </w:r>
      <w:r w:rsidRPr="0047652B">
        <w:t xml:space="preserve">Povečanje kazalnika TFP odraža povečanje obsega proizvodnje, ki ne izvira iz povečanega obsega vhodnih virov oz. porabe, temveč kaže skupne učinke številnih dejavnikov, vključno z novimi tehnologijami, povečanjem učinkovitosti, ekonomičnostjo obsega, učinkovitostjo upravljavskih procesov in spremembami v organizaciji proizvodnje, na rast obsega proizvodnje. Povečanje produktivnosti v kmetijstvu pomeni učinkovitejšo porazdelitev omejenih virov, kar se lahko doseže z uvajanjem novih (tehnološki napredek) oziroma boljšo uporabo obstoječih tehnologij (povečanje tehnološke učinkovitosti) ali z ekonomijo obsega. </w:t>
      </w:r>
      <w:r w:rsidR="00AF4287">
        <w:t>(Evropska komisija, 2016)</w:t>
      </w:r>
    </w:p>
    <w:p w14:paraId="7803EF2B" w14:textId="77777777" w:rsidR="001A6307" w:rsidRPr="004C5161" w:rsidRDefault="001A6307" w:rsidP="00DD616B">
      <w:pPr>
        <w:pStyle w:val="Odstavek1"/>
      </w:pPr>
    </w:p>
    <w:p w14:paraId="49FB2C8C" w14:textId="461FF7A3" w:rsidR="00981D38" w:rsidRPr="004C5161" w:rsidRDefault="001A6307" w:rsidP="00DD616B">
      <w:pPr>
        <w:pStyle w:val="Odstavek1"/>
      </w:pPr>
      <w:r w:rsidRPr="004C5161">
        <w:t xml:space="preserve">Gledano z vidika rasti produktivnosti </w:t>
      </w:r>
      <w:r w:rsidR="00FA1F9C" w:rsidRPr="004C5161">
        <w:t xml:space="preserve">celotnega </w:t>
      </w:r>
      <w:r w:rsidR="00AF4287" w:rsidRPr="004C5161">
        <w:t>kmetijstva v EU</w:t>
      </w:r>
      <w:r w:rsidR="00F20823">
        <w:t>-28</w:t>
      </w:r>
      <w:r w:rsidRPr="004C5161">
        <w:t xml:space="preserve"> kazalnik TFP kaže na stalno rast produktivnosti</w:t>
      </w:r>
      <w:r w:rsidR="00E2277E" w:rsidRPr="004C5161">
        <w:t>: med letoma 1995 in 20</w:t>
      </w:r>
      <w:r w:rsidR="00BE7929">
        <w:t>0</w:t>
      </w:r>
      <w:r w:rsidR="00E2277E" w:rsidRPr="004C5161">
        <w:t xml:space="preserve">5 je stopnja rasti TFP presegala </w:t>
      </w:r>
      <w:r w:rsidRPr="004C5161">
        <w:t>1 % letno</w:t>
      </w:r>
      <w:r w:rsidR="00E2277E" w:rsidRPr="004C5161">
        <w:t xml:space="preserve">, kasneje, v obdobju 2005 in 2015 pa je znašala </w:t>
      </w:r>
      <w:r w:rsidRPr="004C5161">
        <w:t xml:space="preserve">okoli 0,8 %. </w:t>
      </w:r>
      <w:r w:rsidR="00E2277E" w:rsidRPr="004C5161">
        <w:t xml:space="preserve">Rast skupne faktorske produktivnosti temelji pretežno na rasti produktivnosti dela oziroma zmanjševanju delovne sile v kmetijstvu. </w:t>
      </w:r>
      <w:r w:rsidR="00687B16" w:rsidRPr="004C5161">
        <w:t>(Evropska komisija, 2016a)</w:t>
      </w:r>
    </w:p>
    <w:p w14:paraId="43E8CE4D" w14:textId="77777777" w:rsidR="00981D38" w:rsidRDefault="00981D38" w:rsidP="00DD616B">
      <w:pPr>
        <w:pStyle w:val="Odstavek1"/>
        <w:rPr>
          <w:szCs w:val="16"/>
        </w:rPr>
      </w:pPr>
    </w:p>
    <w:p w14:paraId="553F38D6" w14:textId="7169A6D3" w:rsidR="00E2277E" w:rsidRPr="004C5161" w:rsidRDefault="00E2277E" w:rsidP="00DD616B">
      <w:pPr>
        <w:pStyle w:val="Odstavek1"/>
      </w:pPr>
      <w:r w:rsidRPr="004C5161">
        <w:t>Vložek dela v kmetijstvu EU-28 je bil v velikem obsegu nadomeščen z vloženim kapitalom. Investicije v</w:t>
      </w:r>
      <w:r w:rsidR="00CC1637">
        <w:t xml:space="preserve"> </w:t>
      </w:r>
      <w:r w:rsidRPr="004C5161">
        <w:t>mehanizacijo, zgradbe in podobno so odigrale ključno vlogo pri realizaciji rasti kmetijske proizvodnje in pri nadomeščanju dela.</w:t>
      </w:r>
      <w:r w:rsidR="00AF4287" w:rsidRPr="004C5161">
        <w:t xml:space="preserve"> (Evropska komisija, 2018) </w:t>
      </w:r>
      <w:r w:rsidRPr="004C5161">
        <w:t xml:space="preserve"> </w:t>
      </w:r>
    </w:p>
    <w:p w14:paraId="757453EA" w14:textId="77777777" w:rsidR="00E2277E" w:rsidRDefault="00E2277E" w:rsidP="00DD616B">
      <w:pPr>
        <w:pStyle w:val="Odstavek1"/>
      </w:pPr>
    </w:p>
    <w:p w14:paraId="0AC4209C" w14:textId="1719A3E7" w:rsidR="00F318FE" w:rsidRPr="00E155C1" w:rsidRDefault="00F318FE" w:rsidP="002E5901">
      <w:pPr>
        <w:pStyle w:val="SCSlika0"/>
        <w:rPr>
          <w:sz w:val="20"/>
        </w:rPr>
      </w:pPr>
      <w:bookmarkStart w:id="38" w:name="_Toc89851046"/>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sidRPr="00E155C1">
        <w:rPr>
          <w:noProof/>
          <w:sz w:val="20"/>
          <w:szCs w:val="16"/>
        </w:rPr>
        <w:t>4</w:t>
      </w:r>
      <w:r w:rsidRPr="00E155C1">
        <w:rPr>
          <w:noProof/>
          <w:sz w:val="20"/>
          <w:szCs w:val="16"/>
        </w:rPr>
        <w:fldChar w:fldCharType="end"/>
      </w:r>
      <w:r w:rsidRPr="00E155C1">
        <w:rPr>
          <w:sz w:val="20"/>
          <w:szCs w:val="16"/>
        </w:rPr>
        <w:t xml:space="preserve">: </w:t>
      </w:r>
      <w:r w:rsidRPr="00E155C1">
        <w:rPr>
          <w:sz w:val="20"/>
        </w:rPr>
        <w:t>Rast skupne faktorske produktivnosti v EU-28, 2005–2015, indeks, 2005=100</w:t>
      </w:r>
      <w:bookmarkEnd w:id="38"/>
      <w:r w:rsidRPr="00E155C1">
        <w:rPr>
          <w:sz w:val="20"/>
        </w:rPr>
        <w:t xml:space="preserve"> </w:t>
      </w:r>
    </w:p>
    <w:p w14:paraId="2123CA07" w14:textId="77777777" w:rsidR="00981D38" w:rsidRPr="0047652B" w:rsidRDefault="00981D38" w:rsidP="009F3567">
      <w:pPr>
        <w:spacing w:before="0" w:line="276" w:lineRule="auto"/>
        <w:rPr>
          <w:sz w:val="20"/>
        </w:rPr>
      </w:pPr>
      <w:r w:rsidRPr="0047652B">
        <w:rPr>
          <w:noProof/>
          <w:sz w:val="20"/>
          <w:lang w:eastAsia="sl-SI"/>
        </w:rPr>
        <w:drawing>
          <wp:inline distT="0" distB="0" distL="0" distR="0" wp14:anchorId="76857BD7" wp14:editId="79ECD240">
            <wp:extent cx="3821210" cy="2135875"/>
            <wp:effectExtent l="0" t="0" r="825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25556" cy="2138304"/>
                    </a:xfrm>
                    <a:prstGeom prst="rect">
                      <a:avLst/>
                    </a:prstGeom>
                    <a:noFill/>
                    <a:ln>
                      <a:noFill/>
                    </a:ln>
                  </pic:spPr>
                </pic:pic>
              </a:graphicData>
            </a:graphic>
          </wp:inline>
        </w:drawing>
      </w:r>
    </w:p>
    <w:p w14:paraId="750A41B6" w14:textId="7C6774BF" w:rsidR="00674F17" w:rsidRDefault="00981D38" w:rsidP="009F3567">
      <w:pPr>
        <w:spacing w:before="0" w:line="276" w:lineRule="auto"/>
        <w:rPr>
          <w:sz w:val="16"/>
          <w:szCs w:val="16"/>
        </w:rPr>
      </w:pPr>
      <w:r w:rsidRPr="0047652B">
        <w:rPr>
          <w:sz w:val="16"/>
          <w:szCs w:val="16"/>
        </w:rPr>
        <w:t>Vir</w:t>
      </w:r>
      <w:r w:rsidR="00F318FE">
        <w:rPr>
          <w:sz w:val="16"/>
          <w:szCs w:val="16"/>
        </w:rPr>
        <w:t xml:space="preserve">: </w:t>
      </w:r>
      <w:r w:rsidR="00674F17">
        <w:rPr>
          <w:sz w:val="16"/>
          <w:szCs w:val="16"/>
        </w:rPr>
        <w:t xml:space="preserve">Evropska komisija, </w:t>
      </w:r>
      <w:r w:rsidR="00F318FE" w:rsidRPr="0047652B">
        <w:rPr>
          <w:sz w:val="16"/>
          <w:szCs w:val="16"/>
        </w:rPr>
        <w:t>DG AGRI</w:t>
      </w:r>
      <w:r w:rsidR="00674F17">
        <w:rPr>
          <w:sz w:val="16"/>
          <w:szCs w:val="16"/>
        </w:rPr>
        <w:t>.</w:t>
      </w:r>
      <w:r w:rsidRPr="0047652B">
        <w:rPr>
          <w:sz w:val="16"/>
          <w:szCs w:val="16"/>
        </w:rPr>
        <w:t xml:space="preserve"> </w:t>
      </w:r>
      <w:r w:rsidR="00674F17">
        <w:rPr>
          <w:sz w:val="16"/>
          <w:szCs w:val="16"/>
        </w:rPr>
        <w:t>D</w:t>
      </w:r>
      <w:r w:rsidRPr="0047652B">
        <w:rPr>
          <w:sz w:val="16"/>
          <w:szCs w:val="16"/>
        </w:rPr>
        <w:t>ostopno na:</w:t>
      </w:r>
    </w:p>
    <w:p w14:paraId="2587D4C9" w14:textId="77777777" w:rsidR="00981D38" w:rsidRPr="0047652B" w:rsidRDefault="00FB6BEC" w:rsidP="009F3567">
      <w:pPr>
        <w:spacing w:before="0" w:line="276" w:lineRule="auto"/>
        <w:rPr>
          <w:sz w:val="16"/>
          <w:szCs w:val="16"/>
        </w:rPr>
      </w:pPr>
      <w:hyperlink r:id="rId17" w:history="1">
        <w:r w:rsidR="00F318FE" w:rsidRPr="00554B53">
          <w:rPr>
            <w:rStyle w:val="Hiperpovezava"/>
            <w:sz w:val="16"/>
            <w:szCs w:val="16"/>
          </w:rPr>
          <w:t>https://ec.europa.eu/agriculture/sites/agriculture/files/statistics/facts-figures/production-yields-productivity.pdf</w:t>
        </w:r>
      </w:hyperlink>
      <w:r w:rsidR="00F318FE">
        <w:rPr>
          <w:sz w:val="16"/>
          <w:szCs w:val="16"/>
        </w:rPr>
        <w:t xml:space="preserve"> </w:t>
      </w:r>
    </w:p>
    <w:p w14:paraId="66FAEB9F" w14:textId="77777777" w:rsidR="00981D38" w:rsidRDefault="00981D38" w:rsidP="00DD616B">
      <w:pPr>
        <w:pStyle w:val="Odstavek1"/>
      </w:pPr>
    </w:p>
    <w:p w14:paraId="432E3357" w14:textId="4A01AD17" w:rsidR="001A6307" w:rsidRDefault="001A6307" w:rsidP="00DD616B">
      <w:pPr>
        <w:pStyle w:val="Odstavek1"/>
      </w:pPr>
      <w:r w:rsidRPr="004C5161">
        <w:t xml:space="preserve">Med letoma 2005 in 2015 se je </w:t>
      </w:r>
      <w:r w:rsidR="00E2277E" w:rsidRPr="004C5161">
        <w:t xml:space="preserve">tako </w:t>
      </w:r>
      <w:r w:rsidRPr="004C5161">
        <w:t>obseg kmetijske proizvodnje povečal za okoli 6 %</w:t>
      </w:r>
      <w:r w:rsidR="00FA1F9C" w:rsidRPr="004C5161">
        <w:t>, medtem ko se je s</w:t>
      </w:r>
      <w:r w:rsidRPr="004C5161">
        <w:t>kupna zaposlenost v kmetijstvu v istem obdobju zmanjšala za okoli 2</w:t>
      </w:r>
      <w:r w:rsidR="00AF4287" w:rsidRPr="004C5161">
        <w:t>5</w:t>
      </w:r>
      <w:r w:rsidRPr="004C5161">
        <w:t xml:space="preserve"> % </w:t>
      </w:r>
      <w:r w:rsidR="00E2277E" w:rsidRPr="004C5161">
        <w:t>(</w:t>
      </w:r>
      <w:r w:rsidRPr="004C5161">
        <w:t>na okoli 9,</w:t>
      </w:r>
      <w:r w:rsidR="00AF4287" w:rsidRPr="004C5161">
        <w:t>6</w:t>
      </w:r>
      <w:r w:rsidRPr="004C5161">
        <w:t xml:space="preserve"> milijona polnovrednih moči na ravni EU</w:t>
      </w:r>
      <w:r w:rsidR="00E2277E" w:rsidRPr="004C5161">
        <w:t xml:space="preserve">). Vse navedeno je </w:t>
      </w:r>
      <w:r w:rsidRPr="004C5161">
        <w:t>povezano s procesi prestrukturiranja kmetijstva (v smeri večjih kmetij z višjo stopnjo mehanizacije).</w:t>
      </w:r>
      <w:r w:rsidR="00AF4287" w:rsidRPr="004C5161">
        <w:t xml:space="preserve"> (Evropska komisija, 2018) </w:t>
      </w:r>
      <w:r w:rsidR="00F20823">
        <w:t xml:space="preserve">V nadaljevanju bo prikazano, da je v Sloveniji ta upad skupne zaposlenosti v kmetijstvu počasnejši. Se pa, podobno kot drugod v EU, tudi v Sloveniji kaže nadomeščanje delovne sile s kapitalom oz. s povečanimi vložki v nakup strojev, mehanizacije. </w:t>
      </w:r>
      <w:r w:rsidR="00AF4287" w:rsidRPr="004C5161">
        <w:t xml:space="preserve"> </w:t>
      </w:r>
      <w:r w:rsidR="00FA1F9C" w:rsidRPr="004C5161">
        <w:t xml:space="preserve"> </w:t>
      </w:r>
    </w:p>
    <w:p w14:paraId="5E745EC1" w14:textId="77777777" w:rsidR="001A6307" w:rsidRDefault="001A6307" w:rsidP="00DD616B">
      <w:pPr>
        <w:pStyle w:val="Odstavek1"/>
      </w:pPr>
    </w:p>
    <w:p w14:paraId="3163FD43" w14:textId="520977E1" w:rsidR="00AF4287" w:rsidRPr="00E155C1" w:rsidRDefault="00AF4287" w:rsidP="002E5901">
      <w:pPr>
        <w:pStyle w:val="SCSlika0"/>
        <w:rPr>
          <w:sz w:val="20"/>
        </w:rPr>
      </w:pPr>
      <w:bookmarkStart w:id="39" w:name="_Toc89851047"/>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sidRPr="00E155C1">
        <w:rPr>
          <w:noProof/>
          <w:sz w:val="20"/>
          <w:szCs w:val="16"/>
        </w:rPr>
        <w:t>5</w:t>
      </w:r>
      <w:r w:rsidRPr="00E155C1">
        <w:rPr>
          <w:noProof/>
          <w:sz w:val="20"/>
          <w:szCs w:val="16"/>
        </w:rPr>
        <w:fldChar w:fldCharType="end"/>
      </w:r>
      <w:r w:rsidRPr="00E155C1">
        <w:rPr>
          <w:sz w:val="20"/>
          <w:szCs w:val="16"/>
        </w:rPr>
        <w:t xml:space="preserve">: </w:t>
      </w:r>
      <w:r w:rsidRPr="00E155C1">
        <w:rPr>
          <w:sz w:val="20"/>
        </w:rPr>
        <w:t>Povprečna letna rast TFP v državah članicah EU med letoma 2005 in 2015</w:t>
      </w:r>
      <w:bookmarkEnd w:id="39"/>
      <w:r w:rsidRPr="00E155C1">
        <w:rPr>
          <w:sz w:val="20"/>
        </w:rPr>
        <w:t xml:space="preserve"> </w:t>
      </w:r>
    </w:p>
    <w:p w14:paraId="63F7C370" w14:textId="77777777" w:rsidR="00FA1F9C" w:rsidRPr="0047652B" w:rsidRDefault="00FA1F9C" w:rsidP="009F3567">
      <w:pPr>
        <w:spacing w:before="0" w:line="276" w:lineRule="auto"/>
        <w:rPr>
          <w:sz w:val="16"/>
        </w:rPr>
      </w:pPr>
      <w:r w:rsidRPr="0047652B">
        <w:rPr>
          <w:noProof/>
          <w:sz w:val="20"/>
          <w:lang w:eastAsia="sl-SI"/>
        </w:rPr>
        <w:drawing>
          <wp:inline distT="0" distB="0" distL="0" distR="0" wp14:anchorId="0D4AD7DD" wp14:editId="0B480172">
            <wp:extent cx="4097547" cy="2379398"/>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97547" cy="2379398"/>
                    </a:xfrm>
                    <a:prstGeom prst="rect">
                      <a:avLst/>
                    </a:prstGeom>
                    <a:noFill/>
                    <a:ln>
                      <a:noFill/>
                    </a:ln>
                  </pic:spPr>
                </pic:pic>
              </a:graphicData>
            </a:graphic>
          </wp:inline>
        </w:drawing>
      </w:r>
    </w:p>
    <w:p w14:paraId="33118032" w14:textId="77777777" w:rsidR="00FA1F9C" w:rsidRPr="0047652B" w:rsidRDefault="00FA1F9C" w:rsidP="009F3567">
      <w:pPr>
        <w:spacing w:before="0" w:line="276" w:lineRule="auto"/>
        <w:rPr>
          <w:sz w:val="16"/>
          <w:szCs w:val="16"/>
        </w:rPr>
      </w:pPr>
      <w:r w:rsidRPr="0047652B">
        <w:rPr>
          <w:sz w:val="16"/>
          <w:szCs w:val="16"/>
        </w:rPr>
        <w:t xml:space="preserve">Vir: </w:t>
      </w:r>
      <w:r w:rsidR="00674F17">
        <w:rPr>
          <w:sz w:val="16"/>
          <w:szCs w:val="16"/>
        </w:rPr>
        <w:t xml:space="preserve">Evropska komisija, </w:t>
      </w:r>
      <w:r w:rsidRPr="0047652B">
        <w:rPr>
          <w:sz w:val="16"/>
          <w:szCs w:val="16"/>
        </w:rPr>
        <w:t xml:space="preserve">DG AGRI (2016): Productivity in EU agriculture - slowly but steadily growing. Dostopno na: </w:t>
      </w:r>
      <w:hyperlink r:id="rId19" w:history="1">
        <w:r w:rsidR="00AF4287" w:rsidRPr="00554B53">
          <w:rPr>
            <w:rStyle w:val="Hiperpovezava"/>
            <w:sz w:val="16"/>
            <w:szCs w:val="16"/>
          </w:rPr>
          <w:t>https://ec.europa.eu/agriculture/sites/agriculture/files/mp-mb-010_en.pdf</w:t>
        </w:r>
      </w:hyperlink>
      <w:r w:rsidR="00AF4287">
        <w:rPr>
          <w:sz w:val="16"/>
          <w:szCs w:val="16"/>
        </w:rPr>
        <w:t xml:space="preserve"> </w:t>
      </w:r>
      <w:r w:rsidRPr="0047652B">
        <w:rPr>
          <w:sz w:val="16"/>
          <w:szCs w:val="16"/>
        </w:rPr>
        <w:t xml:space="preserve"> </w:t>
      </w:r>
    </w:p>
    <w:p w14:paraId="416FD634" w14:textId="435DA268" w:rsidR="001A6307" w:rsidRDefault="001A6307" w:rsidP="00DD616B">
      <w:pPr>
        <w:pStyle w:val="Odstavek1"/>
      </w:pPr>
    </w:p>
    <w:p w14:paraId="019EF31D" w14:textId="77777777" w:rsidR="00F20823" w:rsidRDefault="00F20823" w:rsidP="00F20823">
      <w:pPr>
        <w:pStyle w:val="Odstavek1"/>
      </w:pPr>
      <w:r w:rsidRPr="004C5161">
        <w:t>Skupna faktorska produktivnost v Sloveniji je bila v obdobju 2005–2016 večinoma pod povprečjem EU</w:t>
      </w:r>
      <w:r>
        <w:t>.</w:t>
      </w:r>
    </w:p>
    <w:p w14:paraId="6E70A3BD" w14:textId="52869DDF" w:rsidR="00E43FFB" w:rsidRDefault="00E43FFB" w:rsidP="00DD616B">
      <w:pPr>
        <w:pStyle w:val="Odstavek1"/>
      </w:pPr>
    </w:p>
    <w:p w14:paraId="7A797323" w14:textId="058B64D6" w:rsidR="00AF4287" w:rsidRPr="00E155C1" w:rsidRDefault="00AF4287" w:rsidP="002E5901">
      <w:pPr>
        <w:pStyle w:val="SCSlika0"/>
        <w:rPr>
          <w:sz w:val="14"/>
        </w:rPr>
      </w:pPr>
      <w:bookmarkStart w:id="40" w:name="_Toc89851048"/>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360802" w:rsidRPr="00E155C1">
        <w:rPr>
          <w:noProof/>
          <w:sz w:val="20"/>
        </w:rPr>
        <w:t>6</w:t>
      </w:r>
      <w:r w:rsidR="009F2591" w:rsidRPr="00E155C1">
        <w:rPr>
          <w:noProof/>
          <w:sz w:val="20"/>
        </w:rPr>
        <w:fldChar w:fldCharType="end"/>
      </w:r>
      <w:r w:rsidRPr="00E155C1">
        <w:rPr>
          <w:sz w:val="20"/>
        </w:rPr>
        <w:t>: Povprečna letna rast produktivnosti dela v državah članicah EU med letoma 2005–2015</w:t>
      </w:r>
      <w:bookmarkEnd w:id="40"/>
      <w:r w:rsidRPr="00E155C1">
        <w:rPr>
          <w:sz w:val="20"/>
        </w:rPr>
        <w:t xml:space="preserve"> </w:t>
      </w:r>
    </w:p>
    <w:p w14:paraId="2042F549" w14:textId="77777777" w:rsidR="00FA1F9C" w:rsidRPr="0047652B" w:rsidRDefault="00FA1F9C" w:rsidP="009F3567">
      <w:pPr>
        <w:spacing w:before="0" w:line="276" w:lineRule="auto"/>
        <w:rPr>
          <w:b/>
          <w:sz w:val="20"/>
        </w:rPr>
      </w:pPr>
      <w:r w:rsidRPr="0047652B">
        <w:rPr>
          <w:b/>
          <w:noProof/>
          <w:sz w:val="20"/>
          <w:lang w:eastAsia="sl-SI"/>
        </w:rPr>
        <w:drawing>
          <wp:inline distT="0" distB="0" distL="0" distR="0" wp14:anchorId="646C22D1" wp14:editId="2678D0EF">
            <wp:extent cx="4010025" cy="2329839"/>
            <wp:effectExtent l="19050" t="19050" r="9525" b="133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l="2106" t="-3447" r="-1"/>
                    <a:stretch/>
                  </pic:blipFill>
                  <pic:spPr bwMode="auto">
                    <a:xfrm>
                      <a:off x="0" y="0"/>
                      <a:ext cx="4028977" cy="23408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3C8B6D4" w14:textId="77777777" w:rsidR="00FA1F9C" w:rsidRPr="00852E36" w:rsidRDefault="00FA1F9C" w:rsidP="009F3567">
      <w:pPr>
        <w:spacing w:before="0" w:line="276" w:lineRule="auto"/>
        <w:rPr>
          <w:sz w:val="16"/>
          <w:szCs w:val="16"/>
        </w:rPr>
      </w:pPr>
      <w:r w:rsidRPr="009C2866">
        <w:rPr>
          <w:sz w:val="16"/>
          <w:szCs w:val="16"/>
        </w:rPr>
        <w:t>Vir</w:t>
      </w:r>
      <w:r w:rsidRPr="00852E36">
        <w:rPr>
          <w:sz w:val="16"/>
          <w:szCs w:val="16"/>
        </w:rPr>
        <w:t xml:space="preserve">: Evropska komisija, DG AGRI (2016): Productivity in EU agriculture – slowly but steadily growing. Dostopno na: </w:t>
      </w:r>
      <w:hyperlink r:id="rId21" w:history="1">
        <w:r w:rsidR="00AF4287" w:rsidRPr="00554B53">
          <w:rPr>
            <w:rStyle w:val="Hiperpovezava"/>
            <w:sz w:val="16"/>
            <w:szCs w:val="16"/>
          </w:rPr>
          <w:t>https://ec.europa.eu/agriculture/sites/agriculture/files/mp-mb-010_en.pdf</w:t>
        </w:r>
      </w:hyperlink>
      <w:r w:rsidR="00AF4287">
        <w:rPr>
          <w:sz w:val="16"/>
          <w:szCs w:val="16"/>
        </w:rPr>
        <w:t xml:space="preserve"> </w:t>
      </w:r>
      <w:r w:rsidRPr="00852E36">
        <w:rPr>
          <w:sz w:val="16"/>
          <w:szCs w:val="16"/>
        </w:rPr>
        <w:t xml:space="preserve"> </w:t>
      </w:r>
    </w:p>
    <w:p w14:paraId="664B780A" w14:textId="01591130" w:rsidR="00E43FFB" w:rsidRDefault="00E43FFB" w:rsidP="00744A13">
      <w:pPr>
        <w:pStyle w:val="Odstavek1"/>
      </w:pPr>
    </w:p>
    <w:p w14:paraId="633C3DB4" w14:textId="44564779" w:rsidR="00674F17" w:rsidRPr="00E155C1" w:rsidRDefault="00674F17" w:rsidP="002E5901">
      <w:pPr>
        <w:pStyle w:val="SCSlika0"/>
        <w:rPr>
          <w:sz w:val="20"/>
        </w:rPr>
      </w:pPr>
      <w:bookmarkStart w:id="41" w:name="_Ref54878199"/>
      <w:bookmarkStart w:id="42" w:name="_Toc89851049"/>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sidRPr="00E155C1">
        <w:rPr>
          <w:noProof/>
          <w:sz w:val="20"/>
          <w:szCs w:val="16"/>
        </w:rPr>
        <w:t>7</w:t>
      </w:r>
      <w:r w:rsidRPr="00E155C1">
        <w:rPr>
          <w:noProof/>
          <w:sz w:val="20"/>
          <w:szCs w:val="16"/>
        </w:rPr>
        <w:fldChar w:fldCharType="end"/>
      </w:r>
      <w:bookmarkEnd w:id="41"/>
      <w:r w:rsidRPr="00E155C1">
        <w:rPr>
          <w:sz w:val="20"/>
          <w:szCs w:val="16"/>
        </w:rPr>
        <w:t xml:space="preserve">: </w:t>
      </w:r>
      <w:r w:rsidR="00BE730B" w:rsidRPr="00E155C1">
        <w:rPr>
          <w:sz w:val="20"/>
          <w:szCs w:val="16"/>
        </w:rPr>
        <w:t xml:space="preserve">Letna stopnja rasti </w:t>
      </w:r>
      <w:r w:rsidR="00BE730B" w:rsidRPr="00E155C1">
        <w:rPr>
          <w:sz w:val="20"/>
        </w:rPr>
        <w:t>s</w:t>
      </w:r>
      <w:r w:rsidRPr="00E155C1">
        <w:rPr>
          <w:sz w:val="20"/>
        </w:rPr>
        <w:t>kupn</w:t>
      </w:r>
      <w:r w:rsidR="00BE730B" w:rsidRPr="00E155C1">
        <w:rPr>
          <w:sz w:val="20"/>
        </w:rPr>
        <w:t>e</w:t>
      </w:r>
      <w:r w:rsidRPr="00E155C1">
        <w:rPr>
          <w:sz w:val="20"/>
        </w:rPr>
        <w:t xml:space="preserve"> faktorsk</w:t>
      </w:r>
      <w:r w:rsidR="00BE730B" w:rsidRPr="00E155C1">
        <w:rPr>
          <w:sz w:val="20"/>
        </w:rPr>
        <w:t>e</w:t>
      </w:r>
      <w:r w:rsidRPr="00E155C1">
        <w:rPr>
          <w:sz w:val="20"/>
        </w:rPr>
        <w:t xml:space="preserve"> produktivnost</w:t>
      </w:r>
      <w:r w:rsidR="00BE730B" w:rsidRPr="00E155C1">
        <w:rPr>
          <w:sz w:val="20"/>
        </w:rPr>
        <w:t>i</w:t>
      </w:r>
      <w:r w:rsidRPr="00E155C1">
        <w:rPr>
          <w:sz w:val="20"/>
        </w:rPr>
        <w:t xml:space="preserve"> v kmetijstvu v Sloveniji</w:t>
      </w:r>
      <w:r w:rsidR="00203E75" w:rsidRPr="00E155C1">
        <w:rPr>
          <w:sz w:val="20"/>
        </w:rPr>
        <w:t xml:space="preserve"> in EU-27</w:t>
      </w:r>
      <w:r w:rsidRPr="00E155C1">
        <w:rPr>
          <w:sz w:val="20"/>
        </w:rPr>
        <w:t>, 20</w:t>
      </w:r>
      <w:r w:rsidR="00203E75" w:rsidRPr="00E155C1">
        <w:rPr>
          <w:sz w:val="20"/>
        </w:rPr>
        <w:t>10</w:t>
      </w:r>
      <w:r w:rsidRPr="00E155C1">
        <w:rPr>
          <w:sz w:val="20"/>
        </w:rPr>
        <w:t>–201</w:t>
      </w:r>
      <w:r w:rsidR="00203E75" w:rsidRPr="00E155C1">
        <w:rPr>
          <w:sz w:val="20"/>
        </w:rPr>
        <w:t>9</w:t>
      </w:r>
      <w:r w:rsidRPr="00E155C1">
        <w:rPr>
          <w:sz w:val="20"/>
        </w:rPr>
        <w:t xml:space="preserve">, indeks 2005=100 (kazalnik </w:t>
      </w:r>
      <w:r w:rsidR="00C36138" w:rsidRPr="00E155C1">
        <w:rPr>
          <w:sz w:val="20"/>
        </w:rPr>
        <w:t xml:space="preserve">stanja </w:t>
      </w:r>
      <w:r w:rsidRPr="00E155C1">
        <w:rPr>
          <w:sz w:val="20"/>
        </w:rPr>
        <w:t>C.28: Skupna faktorska produktivnost v kmetijstvu)</w:t>
      </w:r>
      <w:bookmarkEnd w:id="42"/>
    </w:p>
    <w:p w14:paraId="0A655B9B" w14:textId="45043F9D" w:rsidR="00203E75" w:rsidRDefault="00203E75" w:rsidP="00744A13">
      <w:pPr>
        <w:pStyle w:val="Odstavek1"/>
      </w:pPr>
      <w:r>
        <w:rPr>
          <w:noProof/>
          <w:lang w:eastAsia="sl-SI"/>
        </w:rPr>
        <w:drawing>
          <wp:inline distT="0" distB="0" distL="0" distR="0" wp14:anchorId="491C5CDC" wp14:editId="47538483">
            <wp:extent cx="4584700" cy="2755900"/>
            <wp:effectExtent l="0" t="0" r="6350" b="6350"/>
            <wp:docPr id="24169617" name="Slika 2416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09338A" w14:textId="4C584719" w:rsidR="00203E75" w:rsidRDefault="00203E75" w:rsidP="00203E75">
      <w:pPr>
        <w:pStyle w:val="Odstavek1"/>
        <w:rPr>
          <w:sz w:val="16"/>
          <w:szCs w:val="16"/>
        </w:rPr>
      </w:pPr>
      <w:r w:rsidRPr="0047652B">
        <w:rPr>
          <w:sz w:val="16"/>
          <w:szCs w:val="16"/>
        </w:rPr>
        <w:t>Vir:</w:t>
      </w:r>
      <w:r>
        <w:rPr>
          <w:sz w:val="16"/>
          <w:szCs w:val="16"/>
        </w:rPr>
        <w:t xml:space="preserve"> DG-AGRI, Indicator Dashboard (</w:t>
      </w:r>
      <w:hyperlink r:id="rId23" w:history="1">
        <w:r w:rsidRPr="00FA476F">
          <w:rPr>
            <w:rStyle w:val="Hiperpovezava"/>
            <w:sz w:val="16"/>
            <w:szCs w:val="16"/>
          </w:rPr>
          <w:t>https://agridata.ec.europa.eu/extensions/DashboardIndicators/DataExplorer.html</w:t>
        </w:r>
      </w:hyperlink>
      <w:r>
        <w:rPr>
          <w:sz w:val="16"/>
          <w:szCs w:val="16"/>
        </w:rPr>
        <w:t>)</w:t>
      </w:r>
    </w:p>
    <w:p w14:paraId="3EA9E237" w14:textId="75FFA326" w:rsidR="00203E75" w:rsidRDefault="00203E75" w:rsidP="00203E75">
      <w:pPr>
        <w:pStyle w:val="Odstavek1"/>
      </w:pPr>
    </w:p>
    <w:p w14:paraId="7A4953FE" w14:textId="456CAB03" w:rsidR="00BE730B" w:rsidRPr="00E155C1" w:rsidRDefault="00BE730B" w:rsidP="002E5901">
      <w:pPr>
        <w:pStyle w:val="SCSlika0"/>
        <w:rPr>
          <w:sz w:val="20"/>
        </w:rPr>
      </w:pPr>
      <w:bookmarkStart w:id="43" w:name="_Toc89851050"/>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Pr>
          <w:noProof/>
          <w:sz w:val="20"/>
          <w:szCs w:val="16"/>
        </w:rPr>
        <w:t>8</w:t>
      </w:r>
      <w:r w:rsidRPr="00E155C1">
        <w:rPr>
          <w:noProof/>
          <w:sz w:val="20"/>
          <w:szCs w:val="16"/>
        </w:rPr>
        <w:fldChar w:fldCharType="end"/>
      </w:r>
      <w:r w:rsidRPr="00E155C1">
        <w:rPr>
          <w:sz w:val="20"/>
          <w:szCs w:val="16"/>
        </w:rPr>
        <w:t xml:space="preserve">: </w:t>
      </w:r>
      <w:r w:rsidRPr="00E155C1">
        <w:rPr>
          <w:sz w:val="20"/>
        </w:rPr>
        <w:t>Skupna faktorska produktivnost v kmetijstvu v Sloveniji in EU-28, 2010–2016, indeks 2005 EU=100</w:t>
      </w:r>
      <w:bookmarkEnd w:id="43"/>
    </w:p>
    <w:p w14:paraId="6B22CCAF" w14:textId="77777777" w:rsidR="00BE730B" w:rsidRPr="00875DD8" w:rsidRDefault="00BE730B" w:rsidP="00203E75">
      <w:pPr>
        <w:pStyle w:val="Odstavek1"/>
      </w:pPr>
    </w:p>
    <w:p w14:paraId="191806CC" w14:textId="7F337E08" w:rsidR="00FA1F9C" w:rsidRPr="0047652B" w:rsidRDefault="002B6669" w:rsidP="009F3567">
      <w:pPr>
        <w:spacing w:before="0" w:line="276" w:lineRule="auto"/>
        <w:rPr>
          <w:sz w:val="20"/>
        </w:rPr>
      </w:pPr>
      <w:r w:rsidRPr="0047652B">
        <w:rPr>
          <w:noProof/>
          <w:sz w:val="20"/>
          <w:lang w:eastAsia="sl-SI"/>
        </w:rPr>
        <w:drawing>
          <wp:inline distT="0" distB="0" distL="0" distR="0" wp14:anchorId="18A43389" wp14:editId="7576F788">
            <wp:extent cx="5184476" cy="1376550"/>
            <wp:effectExtent l="19050" t="19050" r="16510" b="146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87352" cy="1403865"/>
                    </a:xfrm>
                    <a:prstGeom prst="rect">
                      <a:avLst/>
                    </a:prstGeom>
                    <a:noFill/>
                    <a:ln>
                      <a:solidFill>
                        <a:schemeClr val="accent1"/>
                      </a:solidFill>
                    </a:ln>
                  </pic:spPr>
                </pic:pic>
              </a:graphicData>
            </a:graphic>
          </wp:inline>
        </w:drawing>
      </w:r>
    </w:p>
    <w:p w14:paraId="52AE78C8" w14:textId="4E999AE9" w:rsidR="00674F17" w:rsidRDefault="00FA1F9C" w:rsidP="009F3567">
      <w:pPr>
        <w:spacing w:before="0" w:line="276" w:lineRule="auto"/>
        <w:rPr>
          <w:sz w:val="16"/>
          <w:szCs w:val="16"/>
        </w:rPr>
      </w:pPr>
      <w:r w:rsidRPr="0047652B">
        <w:rPr>
          <w:sz w:val="16"/>
          <w:szCs w:val="16"/>
        </w:rPr>
        <w:t xml:space="preserve">Vir: </w:t>
      </w:r>
      <w:r w:rsidR="00674F17" w:rsidRPr="009C2866">
        <w:rPr>
          <w:sz w:val="16"/>
          <w:szCs w:val="16"/>
        </w:rPr>
        <w:t>Evropska komisija (2019</w:t>
      </w:r>
      <w:r w:rsidR="00F5728D">
        <w:rPr>
          <w:sz w:val="16"/>
          <w:szCs w:val="16"/>
        </w:rPr>
        <w:t>a</w:t>
      </w:r>
      <w:r w:rsidR="00674F17" w:rsidRPr="009C2866">
        <w:rPr>
          <w:sz w:val="16"/>
          <w:szCs w:val="16"/>
        </w:rPr>
        <w:t xml:space="preserve">): </w:t>
      </w:r>
      <w:r w:rsidR="00674F17" w:rsidRPr="0047652B">
        <w:rPr>
          <w:sz w:val="16"/>
          <w:szCs w:val="16"/>
          <w:lang w:val="en-GB"/>
        </w:rPr>
        <w:t>Analytical Factsheet for Slovenia: Nine objectives for a future Common Agricultural Policy</w:t>
      </w:r>
      <w:r w:rsidR="00674F17" w:rsidRPr="0047652B">
        <w:rPr>
          <w:sz w:val="16"/>
          <w:szCs w:val="16"/>
        </w:rPr>
        <w:t xml:space="preserve">. Dostopno na: </w:t>
      </w:r>
      <w:hyperlink r:id="rId25" w:history="1">
        <w:r w:rsidR="00674F17" w:rsidRPr="00852E36">
          <w:rPr>
            <w:rStyle w:val="Hiperpovezava"/>
            <w:sz w:val="16"/>
            <w:szCs w:val="16"/>
          </w:rPr>
          <w:t>https://ec.europa.eu/info/sites/info/files/food-farming-fisheries/by_country/documents/analytical_factsheet_sl.pdf</w:t>
        </w:r>
      </w:hyperlink>
      <w:r w:rsidR="00674F17">
        <w:rPr>
          <w:rStyle w:val="Hiperpovezava"/>
          <w:sz w:val="16"/>
          <w:szCs w:val="16"/>
        </w:rPr>
        <w:t xml:space="preserve">. </w:t>
      </w:r>
    </w:p>
    <w:p w14:paraId="0A5C6D59" w14:textId="77777777" w:rsidR="00674F17" w:rsidRDefault="00674F17" w:rsidP="00744A13">
      <w:pPr>
        <w:pStyle w:val="Odstavek1"/>
      </w:pPr>
    </w:p>
    <w:p w14:paraId="16DB96E6" w14:textId="3D7979F2" w:rsidR="00CB2730" w:rsidRPr="004C5161" w:rsidRDefault="00CB2730" w:rsidP="00744A13">
      <w:pPr>
        <w:pStyle w:val="Odstavek1"/>
      </w:pPr>
      <w:r w:rsidRPr="004C5161">
        <w:t>V nadaljevanju so podrobneje analizirani ti posamezni delni vidiki produktivnosti, upoštevajoč strukturne spremembe (po velikosti standardnega outputa, velikosti KZU…)</w:t>
      </w:r>
      <w:r w:rsidR="00EB06AF" w:rsidRPr="004C5161">
        <w:t xml:space="preserve"> </w:t>
      </w:r>
      <w:r w:rsidRPr="004C5161">
        <w:t xml:space="preserve">ter naravne danosti (OMD in </w:t>
      </w:r>
      <w:r w:rsidR="00F977EF" w:rsidRPr="004C5161">
        <w:t>ne</w:t>
      </w:r>
      <w:r w:rsidR="00EB06AF" w:rsidRPr="004C5161">
        <w:t xml:space="preserve"> </w:t>
      </w:r>
      <w:r w:rsidR="00F977EF" w:rsidRPr="004C5161">
        <w:t>OMD</w:t>
      </w:r>
      <w:r w:rsidRPr="004C5161">
        <w:t>).</w:t>
      </w:r>
    </w:p>
    <w:p w14:paraId="0138A570" w14:textId="77777777" w:rsidR="001A6307" w:rsidRDefault="001A6307" w:rsidP="00744A13">
      <w:pPr>
        <w:pStyle w:val="Odstavek1"/>
      </w:pPr>
      <w:bookmarkStart w:id="44" w:name="_Toc31673138"/>
      <w:bookmarkStart w:id="45" w:name="_Toc31673977"/>
      <w:bookmarkStart w:id="46" w:name="_Toc31674819"/>
      <w:bookmarkStart w:id="47" w:name="_Toc31673139"/>
      <w:bookmarkStart w:id="48" w:name="_Toc31673978"/>
      <w:bookmarkStart w:id="49" w:name="_Toc31674820"/>
      <w:bookmarkEnd w:id="44"/>
      <w:bookmarkEnd w:id="45"/>
      <w:bookmarkEnd w:id="46"/>
      <w:bookmarkEnd w:id="47"/>
      <w:bookmarkEnd w:id="48"/>
      <w:bookmarkEnd w:id="49"/>
    </w:p>
    <w:p w14:paraId="752F6FC8" w14:textId="77777777" w:rsidR="00183528" w:rsidRPr="0047652B" w:rsidRDefault="00183528" w:rsidP="00744A13">
      <w:pPr>
        <w:pStyle w:val="Odstavek1"/>
        <w:rPr>
          <w:i/>
          <w:u w:val="single"/>
        </w:rPr>
      </w:pPr>
      <w:bookmarkStart w:id="50" w:name="_Toc31577811"/>
      <w:bookmarkStart w:id="51" w:name="_Toc31578006"/>
      <w:bookmarkStart w:id="52" w:name="_Toc31578071"/>
      <w:bookmarkStart w:id="53" w:name="_Toc31578136"/>
      <w:bookmarkStart w:id="54" w:name="_Toc31673141"/>
      <w:bookmarkStart w:id="55" w:name="_Toc31673980"/>
      <w:bookmarkStart w:id="56" w:name="_Toc31674822"/>
      <w:bookmarkEnd w:id="50"/>
      <w:bookmarkEnd w:id="51"/>
      <w:bookmarkEnd w:id="52"/>
      <w:bookmarkEnd w:id="53"/>
      <w:bookmarkEnd w:id="54"/>
      <w:bookmarkEnd w:id="55"/>
      <w:bookmarkEnd w:id="56"/>
    </w:p>
    <w:p w14:paraId="37E05168" w14:textId="2D6AC9AA" w:rsidR="00812BD6" w:rsidRPr="00875DD8" w:rsidRDefault="005B02D9" w:rsidP="005B2A49">
      <w:pPr>
        <w:pStyle w:val="Naslov2"/>
      </w:pPr>
      <w:bookmarkStart w:id="57" w:name="_Toc90462212"/>
      <w:r w:rsidRPr="00875DD8">
        <w:t>Produktivnost dela</w:t>
      </w:r>
      <w:bookmarkEnd w:id="57"/>
      <w:r w:rsidRPr="00875DD8">
        <w:t xml:space="preserve">  </w:t>
      </w:r>
    </w:p>
    <w:p w14:paraId="339FCAA3" w14:textId="77777777" w:rsidR="00F23299" w:rsidRPr="0047652B" w:rsidRDefault="00F23299" w:rsidP="00875DD8">
      <w:pPr>
        <w:spacing w:before="0" w:line="276" w:lineRule="auto"/>
        <w:rPr>
          <w:sz w:val="20"/>
        </w:rPr>
      </w:pPr>
    </w:p>
    <w:p w14:paraId="142DB07A" w14:textId="4ADCBB5D" w:rsidR="004D40E8" w:rsidRPr="00674F17" w:rsidRDefault="004D40E8" w:rsidP="005B2A49">
      <w:pPr>
        <w:pStyle w:val="Naslov3"/>
      </w:pPr>
      <w:bookmarkStart w:id="58" w:name="_Toc90462213"/>
      <w:r w:rsidRPr="00875DD8">
        <w:t xml:space="preserve">Gibanje obsega delovne sile v kmetijstvu </w:t>
      </w:r>
      <w:r w:rsidR="000F3F43">
        <w:t>(C.13)</w:t>
      </w:r>
      <w:bookmarkEnd w:id="58"/>
    </w:p>
    <w:p w14:paraId="37D7E2F5" w14:textId="77777777" w:rsidR="00674F17" w:rsidRPr="004C5161" w:rsidRDefault="00674F17" w:rsidP="00744A13">
      <w:pPr>
        <w:pStyle w:val="Odstavek1"/>
      </w:pPr>
    </w:p>
    <w:p w14:paraId="702A920A" w14:textId="006AD5C7" w:rsidR="004D40E8" w:rsidRPr="004C5161" w:rsidRDefault="00812BD6" w:rsidP="00744A13">
      <w:pPr>
        <w:pStyle w:val="Odstavek1"/>
      </w:pPr>
      <w:r w:rsidRPr="004C5161">
        <w:t>Slovenija sodi med države, v katerih je bil</w:t>
      </w:r>
      <w:r w:rsidR="00FE12D4" w:rsidRPr="004C5161">
        <w:t>o</w:t>
      </w:r>
      <w:r w:rsidRPr="004C5161">
        <w:t xml:space="preserve"> </w:t>
      </w:r>
      <w:r w:rsidR="00FE12D4" w:rsidRPr="004C5161">
        <w:t xml:space="preserve">zmanjšanje </w:t>
      </w:r>
      <w:r w:rsidR="00247FC1" w:rsidRPr="004C5161">
        <w:t xml:space="preserve">delovne sile </w:t>
      </w:r>
      <w:r w:rsidRPr="004C5161">
        <w:t>v kmetijstvu</w:t>
      </w:r>
      <w:r w:rsidR="00633A6F" w:rsidRPr="004C5161">
        <w:t xml:space="preserve"> v zadnjih letih bistveno</w:t>
      </w:r>
      <w:r w:rsidRPr="004C5161">
        <w:t xml:space="preserve"> manj izrazit</w:t>
      </w:r>
      <w:r w:rsidR="00633A6F" w:rsidRPr="004C5161">
        <w:t>o kot v povprečju na ravni EU kot celote</w:t>
      </w:r>
      <w:r w:rsidRPr="004C5161">
        <w:t xml:space="preserve">. </w:t>
      </w:r>
      <w:r w:rsidR="00247FC1" w:rsidRPr="004C5161">
        <w:t>Delovna sila</w:t>
      </w:r>
      <w:r w:rsidR="00FE12D4" w:rsidRPr="004C5161">
        <w:t xml:space="preserve"> v kmetijstvu, ki se meri z polnovrednimi delovnimi močmi (PDM)</w:t>
      </w:r>
      <w:r w:rsidR="00187524" w:rsidRPr="004C5161">
        <w:t>,</w:t>
      </w:r>
      <w:r w:rsidR="00247FC1" w:rsidRPr="004C5161">
        <w:t xml:space="preserve"> je </w:t>
      </w:r>
      <w:r w:rsidR="00CE55C9" w:rsidRPr="004C5161">
        <w:t xml:space="preserve">bila za </w:t>
      </w:r>
      <w:r w:rsidR="00247FC1" w:rsidRPr="004C5161">
        <w:t>let</w:t>
      </w:r>
      <w:r w:rsidR="00CE55C9" w:rsidRPr="004C5161">
        <w:t>o</w:t>
      </w:r>
      <w:r w:rsidR="00247FC1" w:rsidRPr="004C5161">
        <w:t xml:space="preserve"> 201</w:t>
      </w:r>
      <w:r w:rsidR="00F431B6" w:rsidRPr="004C5161">
        <w:t>9</w:t>
      </w:r>
      <w:r w:rsidR="00247FC1" w:rsidRPr="004C5161">
        <w:t xml:space="preserve"> </w:t>
      </w:r>
      <w:r w:rsidR="00CE55C9" w:rsidRPr="004C5161">
        <w:t xml:space="preserve">ocenjena na 77.600 </w:t>
      </w:r>
      <w:r w:rsidRPr="004C5161">
        <w:t>PDM</w:t>
      </w:r>
      <w:r w:rsidR="00CE55C9" w:rsidRPr="006249A0">
        <w:rPr>
          <w:vertAlign w:val="superscript"/>
        </w:rPr>
        <w:footnoteReference w:id="5"/>
      </w:r>
      <w:r w:rsidR="00CE55C9" w:rsidRPr="004C5161">
        <w:t xml:space="preserve"> (kazalnik </w:t>
      </w:r>
      <w:r w:rsidR="00C36138" w:rsidRPr="004C5161">
        <w:t xml:space="preserve">stanja </w:t>
      </w:r>
      <w:r w:rsidR="00CE55C9" w:rsidRPr="004C5161">
        <w:t>C.13 Delovna sila na kmetiji)</w:t>
      </w:r>
      <w:r w:rsidRPr="004C5161">
        <w:t>. Med letoma 2005 in 201</w:t>
      </w:r>
      <w:r w:rsidR="00D95786" w:rsidRPr="004C5161">
        <w:t>9</w:t>
      </w:r>
      <w:r w:rsidRPr="004C5161">
        <w:t xml:space="preserve"> se je po podatkih Eurostata </w:t>
      </w:r>
      <w:r w:rsidR="00E70D8C" w:rsidRPr="004C5161">
        <w:t xml:space="preserve">število </w:t>
      </w:r>
      <w:r w:rsidR="00247FC1" w:rsidRPr="004C5161">
        <w:t>delovn</w:t>
      </w:r>
      <w:r w:rsidR="00E70D8C" w:rsidRPr="004C5161">
        <w:t>e</w:t>
      </w:r>
      <w:r w:rsidR="00247FC1" w:rsidRPr="004C5161">
        <w:t xml:space="preserve"> </w:t>
      </w:r>
      <w:r w:rsidR="00FE12D4" w:rsidRPr="004C5161">
        <w:t>sil</w:t>
      </w:r>
      <w:r w:rsidR="00E70D8C" w:rsidRPr="004C5161">
        <w:t>e</w:t>
      </w:r>
      <w:r w:rsidRPr="004C5161">
        <w:t xml:space="preserve"> v slovenskem kmetijstvu </w:t>
      </w:r>
      <w:r w:rsidR="00247FC1" w:rsidRPr="004C5161">
        <w:t>zmanjšal</w:t>
      </w:r>
      <w:r w:rsidR="00E70D8C" w:rsidRPr="004C5161">
        <w:t>o</w:t>
      </w:r>
      <w:r w:rsidR="00247FC1" w:rsidRPr="004C5161">
        <w:t xml:space="preserve"> </w:t>
      </w:r>
      <w:r w:rsidRPr="004C5161">
        <w:t>za 1</w:t>
      </w:r>
      <w:r w:rsidR="00D95786" w:rsidRPr="004C5161">
        <w:t>4</w:t>
      </w:r>
      <w:r w:rsidRPr="004C5161">
        <w:t xml:space="preserve"> %, medtem ko se je na ravni EU-28 zmanjšal</w:t>
      </w:r>
      <w:r w:rsidR="00E70D8C" w:rsidRPr="004C5161">
        <w:t>o</w:t>
      </w:r>
      <w:r w:rsidRPr="004C5161">
        <w:t xml:space="preserve"> za </w:t>
      </w:r>
      <w:r w:rsidR="00D95786" w:rsidRPr="004C5161">
        <w:t>29</w:t>
      </w:r>
      <w:r w:rsidRPr="004C5161">
        <w:t xml:space="preserve"> % (z 12,8 mio PDM na 9,</w:t>
      </w:r>
      <w:r w:rsidR="00F431B6" w:rsidRPr="004C5161">
        <w:t>1</w:t>
      </w:r>
      <w:r w:rsidRPr="004C5161">
        <w:t xml:space="preserve"> mio PDM). Med letoma 2010–</w:t>
      </w:r>
      <w:r w:rsidR="00D95786" w:rsidRPr="004C5161">
        <w:t xml:space="preserve">2019 </w:t>
      </w:r>
      <w:r w:rsidR="00FE12D4" w:rsidRPr="004C5161">
        <w:t xml:space="preserve">se število PDM v slovenskem kmetijstvu ni </w:t>
      </w:r>
      <w:r w:rsidR="00D95786" w:rsidRPr="004C5161">
        <w:t xml:space="preserve">bistveno </w:t>
      </w:r>
      <w:r w:rsidR="00FE12D4" w:rsidRPr="004C5161">
        <w:t>spreminjalo</w:t>
      </w:r>
      <w:r w:rsidR="00F431B6" w:rsidRPr="004C5161">
        <w:t xml:space="preserve">. </w:t>
      </w:r>
      <w:r w:rsidR="00E70D8C" w:rsidRPr="004C5161">
        <w:t>Prav tako se v obravnavanem obdobju ni bistveno spreminjalo razm</w:t>
      </w:r>
      <w:r w:rsidR="002F1056" w:rsidRPr="004C5161">
        <w:t>erje med plačano in neplačano d</w:t>
      </w:r>
      <w:r w:rsidR="00E70D8C" w:rsidRPr="004C5161">
        <w:t>e</w:t>
      </w:r>
      <w:r w:rsidR="002F1056" w:rsidRPr="004C5161">
        <w:t>l</w:t>
      </w:r>
      <w:r w:rsidR="00E70D8C" w:rsidRPr="004C5161">
        <w:t>ovno silo</w:t>
      </w:r>
      <w:r w:rsidR="00A1343E" w:rsidRPr="004C5161">
        <w:t>, ki znaša 1</w:t>
      </w:r>
      <w:r w:rsidR="001841A7" w:rsidRPr="004C5161">
        <w:t xml:space="preserve"> </w:t>
      </w:r>
      <w:r w:rsidR="00A1343E" w:rsidRPr="004C5161">
        <w:t xml:space="preserve">: 11. </w:t>
      </w:r>
    </w:p>
    <w:p w14:paraId="2C317CF3" w14:textId="77777777" w:rsidR="00674F17" w:rsidRDefault="00674F17" w:rsidP="00744A13">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462"/>
      </w:tblGrid>
      <w:tr w:rsidR="00674F17" w14:paraId="683698A5" w14:textId="77777777" w:rsidTr="00E764C9">
        <w:trPr>
          <w:trHeight w:val="497"/>
        </w:trPr>
        <w:tc>
          <w:tcPr>
            <w:tcW w:w="2731" w:type="dxa"/>
          </w:tcPr>
          <w:p w14:paraId="01933EBD" w14:textId="69BF80B2" w:rsidR="001D0908" w:rsidRDefault="001D0908" w:rsidP="002E5901">
            <w:pPr>
              <w:pStyle w:val="SCSlika0"/>
            </w:pPr>
            <w:bookmarkStart w:id="59" w:name="_Toc89851051"/>
            <w:r w:rsidRPr="009D387C">
              <w:rPr>
                <w:szCs w:val="16"/>
              </w:rPr>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360802">
              <w:rPr>
                <w:noProof/>
                <w:szCs w:val="16"/>
              </w:rPr>
              <w:t>9</w:t>
            </w:r>
            <w:r w:rsidRPr="009D387C">
              <w:rPr>
                <w:noProof/>
                <w:szCs w:val="16"/>
              </w:rPr>
              <w:fldChar w:fldCharType="end"/>
            </w:r>
            <w:r w:rsidRPr="009D387C">
              <w:rPr>
                <w:szCs w:val="16"/>
              </w:rPr>
              <w:t xml:space="preserve">: </w:t>
            </w:r>
            <w:r w:rsidRPr="009D387C">
              <w:t>Gibanje delovne sile v Sloveniji, EU-27</w:t>
            </w:r>
            <w:bookmarkEnd w:id="59"/>
            <w:r w:rsidRPr="009D387C">
              <w:t xml:space="preserve"> </w:t>
            </w:r>
          </w:p>
          <w:p w14:paraId="08DA7E94" w14:textId="77777777" w:rsidR="00674F17" w:rsidRPr="00875DD8" w:rsidRDefault="001D0908" w:rsidP="00744A13">
            <w:pPr>
              <w:pStyle w:val="Odstavek1"/>
            </w:pPr>
            <w:r w:rsidRPr="009D387C">
              <w:t>(od 2020), indeks 2005=100</w:t>
            </w:r>
          </w:p>
        </w:tc>
        <w:tc>
          <w:tcPr>
            <w:tcW w:w="5162" w:type="dxa"/>
          </w:tcPr>
          <w:p w14:paraId="4136A3CC" w14:textId="167FF01C" w:rsidR="001D0908" w:rsidRPr="00875DD8" w:rsidRDefault="001D0908" w:rsidP="002E5901">
            <w:pPr>
              <w:pStyle w:val="SCSlika0"/>
            </w:pPr>
            <w:bookmarkStart w:id="60" w:name="_Toc89851052"/>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360802">
              <w:rPr>
                <w:noProof/>
                <w:szCs w:val="16"/>
              </w:rPr>
              <w:t>10</w:t>
            </w:r>
            <w:r w:rsidRPr="00875DD8">
              <w:rPr>
                <w:noProof/>
                <w:szCs w:val="16"/>
              </w:rPr>
              <w:fldChar w:fldCharType="end"/>
            </w:r>
            <w:r w:rsidRPr="00875DD8">
              <w:rPr>
                <w:szCs w:val="16"/>
              </w:rPr>
              <w:t xml:space="preserve">: </w:t>
            </w:r>
            <w:r w:rsidRPr="00875DD8">
              <w:t>Gibanje delovne sile v Sloveniji, EU-27 (od 2020), v absolutnih številkah</w:t>
            </w:r>
            <w:bookmarkEnd w:id="60"/>
          </w:p>
        </w:tc>
      </w:tr>
      <w:tr w:rsidR="00674F17" w14:paraId="0434F986" w14:textId="77777777" w:rsidTr="00E764C9">
        <w:tblPrEx>
          <w:tblCellMar>
            <w:left w:w="70" w:type="dxa"/>
            <w:right w:w="70" w:type="dxa"/>
          </w:tblCellMar>
        </w:tblPrEx>
        <w:trPr>
          <w:trHeight w:val="2619"/>
        </w:trPr>
        <w:tc>
          <w:tcPr>
            <w:tcW w:w="2731" w:type="dxa"/>
          </w:tcPr>
          <w:p w14:paraId="118AD7B2" w14:textId="77777777" w:rsidR="00674F17" w:rsidRDefault="00674F17" w:rsidP="008A5FE4">
            <w:pPr>
              <w:spacing w:before="0" w:line="276" w:lineRule="auto"/>
              <w:rPr>
                <w:b/>
                <w:i/>
                <w:u w:val="single"/>
              </w:rPr>
            </w:pPr>
            <w:r>
              <w:rPr>
                <w:noProof/>
                <w:lang w:eastAsia="sl-SI"/>
              </w:rPr>
              <w:drawing>
                <wp:inline distT="0" distB="0" distL="0" distR="0" wp14:anchorId="376A2B1B" wp14:editId="7F048C83">
                  <wp:extent cx="2836333" cy="2454910"/>
                  <wp:effectExtent l="0" t="0" r="2540" b="254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62" w:type="dxa"/>
          </w:tcPr>
          <w:p w14:paraId="168194C5" w14:textId="28DD3A9E" w:rsidR="00674F17" w:rsidRDefault="000E703B" w:rsidP="008A5FE4">
            <w:pPr>
              <w:spacing w:before="0" w:line="276" w:lineRule="auto"/>
              <w:rPr>
                <w:b/>
                <w:i/>
                <w:u w:val="single"/>
              </w:rPr>
            </w:pPr>
            <w:r>
              <w:rPr>
                <w:noProof/>
                <w:lang w:eastAsia="sl-SI"/>
              </w:rPr>
              <w:drawing>
                <wp:inline distT="0" distB="0" distL="0" distR="0" wp14:anchorId="0F6A3403" wp14:editId="1861A006">
                  <wp:extent cx="2687320" cy="2454910"/>
                  <wp:effectExtent l="0" t="0" r="17780" b="2540"/>
                  <wp:docPr id="1631865541" name="Grafikon 163186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Del="000E703B">
              <w:rPr>
                <w:noProof/>
                <w:lang w:eastAsia="sl-SI"/>
              </w:rPr>
              <w:t xml:space="preserve"> </w:t>
            </w:r>
          </w:p>
        </w:tc>
      </w:tr>
      <w:tr w:rsidR="00674F17" w14:paraId="49F50B6F" w14:textId="77777777" w:rsidTr="00E764C9">
        <w:trPr>
          <w:trHeight w:val="402"/>
        </w:trPr>
        <w:tc>
          <w:tcPr>
            <w:tcW w:w="2731" w:type="dxa"/>
          </w:tcPr>
          <w:p w14:paraId="7F5546BE" w14:textId="77777777" w:rsidR="00674F17" w:rsidRPr="009F3567" w:rsidRDefault="001D0908">
            <w:pPr>
              <w:spacing w:before="0" w:line="276" w:lineRule="auto"/>
              <w:rPr>
                <w:sz w:val="16"/>
                <w:szCs w:val="16"/>
              </w:rPr>
            </w:pPr>
            <w:r w:rsidRPr="00CF792B">
              <w:rPr>
                <w:sz w:val="16"/>
                <w:szCs w:val="16"/>
              </w:rPr>
              <w:t>Vir: Eurostat</w:t>
            </w:r>
            <w:r>
              <w:rPr>
                <w:sz w:val="16"/>
                <w:szCs w:val="16"/>
              </w:rPr>
              <w:t>, preračun</w:t>
            </w:r>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5162" w:type="dxa"/>
          </w:tcPr>
          <w:p w14:paraId="0587E8A7" w14:textId="4DF9DB32" w:rsidR="00674F17" w:rsidRDefault="001D0908">
            <w:pPr>
              <w:spacing w:before="0" w:line="276" w:lineRule="auto"/>
              <w:rPr>
                <w:b/>
                <w:i/>
                <w:u w:val="single"/>
              </w:rPr>
            </w:pPr>
            <w:r w:rsidRPr="009F3567">
              <w:rPr>
                <w:sz w:val="16"/>
                <w:szCs w:val="16"/>
              </w:rPr>
              <w:t>Vir: Eurostat</w:t>
            </w:r>
            <w:r w:rsidR="0061009E">
              <w:rPr>
                <w:sz w:val="16"/>
                <w:szCs w:val="16"/>
              </w:rPr>
              <w:t>, preračun MKGP</w:t>
            </w:r>
            <w:r w:rsidRPr="009F3567">
              <w:rPr>
                <w:sz w:val="16"/>
                <w:szCs w:val="16"/>
              </w:rPr>
              <w:t xml:space="preserve"> (Agricultural labour input statistics: absolute figures (1 000 a</w:t>
            </w:r>
            <w:r>
              <w:rPr>
                <w:sz w:val="16"/>
                <w:szCs w:val="16"/>
              </w:rPr>
              <w:t>nnual work units) [aact_ali01])</w:t>
            </w:r>
          </w:p>
        </w:tc>
      </w:tr>
    </w:tbl>
    <w:p w14:paraId="58C48713" w14:textId="77777777" w:rsidR="00674F17" w:rsidRDefault="00674F17" w:rsidP="009F3567">
      <w:pPr>
        <w:spacing w:before="0" w:line="276" w:lineRule="auto"/>
        <w:rPr>
          <w:b/>
          <w:i/>
          <w:sz w:val="20"/>
          <w:u w:val="single"/>
        </w:rPr>
      </w:pPr>
    </w:p>
    <w:p w14:paraId="067ED75F" w14:textId="77777777" w:rsidR="002F1056" w:rsidRDefault="002F1056" w:rsidP="00875DD8">
      <w:pPr>
        <w:spacing w:before="0" w:line="276" w:lineRule="auto"/>
        <w:rPr>
          <w:sz w:val="20"/>
          <w:szCs w:val="20"/>
        </w:rPr>
      </w:pPr>
    </w:p>
    <w:p w14:paraId="4B190777" w14:textId="77777777" w:rsidR="004D40E8" w:rsidRPr="00875DD8" w:rsidRDefault="004D40E8" w:rsidP="005B2A49">
      <w:pPr>
        <w:pStyle w:val="Naslov3"/>
      </w:pPr>
      <w:bookmarkStart w:id="61" w:name="_Toc90462214"/>
      <w:r>
        <w:t>Povprečni v</w:t>
      </w:r>
      <w:r w:rsidRPr="00875DD8">
        <w:t>ložek delovne sile na kmetijskem gospodarstvu</w:t>
      </w:r>
      <w:bookmarkEnd w:id="61"/>
    </w:p>
    <w:p w14:paraId="1A4043AA" w14:textId="77777777" w:rsidR="004D40E8" w:rsidRDefault="004D40E8" w:rsidP="00744A13">
      <w:pPr>
        <w:pStyle w:val="Odstavek1"/>
      </w:pPr>
    </w:p>
    <w:p w14:paraId="2E7085A9" w14:textId="7A9CD447" w:rsidR="001452FB" w:rsidRDefault="00AF640B" w:rsidP="00744A13">
      <w:pPr>
        <w:pStyle w:val="Odstavek1"/>
      </w:pPr>
      <w:r>
        <w:t xml:space="preserve">V Sloveniji ima kmetijsko gospodarstvo v </w:t>
      </w:r>
      <w:r w:rsidRPr="0084403E">
        <w:t xml:space="preserve">povprečju </w:t>
      </w:r>
      <w:r w:rsidR="005D1335" w:rsidRPr="0084403E">
        <w:t>1,1</w:t>
      </w:r>
      <w:r w:rsidRPr="00875DD8">
        <w:t>4</w:t>
      </w:r>
      <w:r w:rsidR="005D1335" w:rsidRPr="0084403E">
        <w:t xml:space="preserve"> PDM</w:t>
      </w:r>
      <w:r w:rsidR="00BD12D0" w:rsidRPr="0084403E">
        <w:t>,</w:t>
      </w:r>
      <w:r w:rsidR="00BD12D0">
        <w:t xml:space="preserve"> kar</w:t>
      </w:r>
      <w:r w:rsidR="00154E7B">
        <w:t xml:space="preserve"> je manj kot v povprečju </w:t>
      </w:r>
      <w:r w:rsidR="005C528B">
        <w:t>EU-27 (</w:t>
      </w:r>
      <w:r w:rsidR="001D0908">
        <w:t>1,31 PDM/KMG</w:t>
      </w:r>
      <w:r w:rsidR="005C528B">
        <w:t>)</w:t>
      </w:r>
      <w:r w:rsidR="001452FB">
        <w:t xml:space="preserve">. </w:t>
      </w:r>
      <w:r w:rsidR="00154E7B">
        <w:t>A</w:t>
      </w:r>
      <w:r w:rsidR="001452FB">
        <w:t xml:space="preserve"> z vidika produktivnosti dela, merjeno s PDM na ha KZU, Slovenija izkazuje bistveno nižjo produktivnost</w:t>
      </w:r>
      <w:r w:rsidR="00BD12D0">
        <w:t>,</w:t>
      </w:r>
      <w:r w:rsidR="005B7D8D">
        <w:t xml:space="preserve"> </w:t>
      </w:r>
      <w:r w:rsidR="001D0908">
        <w:t xml:space="preserve">saj </w:t>
      </w:r>
      <w:r w:rsidR="00BD12D0">
        <w:t xml:space="preserve">po tem kriteriju Slovenija </w:t>
      </w:r>
      <w:r w:rsidR="001D0908">
        <w:t xml:space="preserve">sodi </w:t>
      </w:r>
      <w:r w:rsidR="00B80F61">
        <w:t>v krog držav članic</w:t>
      </w:r>
      <w:r w:rsidR="00BD12D0">
        <w:t xml:space="preserve"> </w:t>
      </w:r>
      <w:r w:rsidR="00B80F61">
        <w:t>z</w:t>
      </w:r>
      <w:r w:rsidR="00BD12D0">
        <w:t xml:space="preserve"> najnižjo produktivnostjo dela v kmetijstvu</w:t>
      </w:r>
      <w:r w:rsidR="005C528B">
        <w:t xml:space="preserve"> (tretja na</w:t>
      </w:r>
      <w:r w:rsidR="007D55B6">
        <w:t>j</w:t>
      </w:r>
      <w:r w:rsidR="005C528B">
        <w:t>slabša v EU-27)</w:t>
      </w:r>
      <w:r w:rsidR="00BD12D0">
        <w:t xml:space="preserve">. </w:t>
      </w:r>
      <w:r w:rsidR="00B80F61">
        <w:t>V Sloveniji 1 PDM obdela 6,11 ha KZU, povprečje EU-27 pa znaša 23,27</w:t>
      </w:r>
      <w:r w:rsidR="001452FB">
        <w:t xml:space="preserve"> </w:t>
      </w:r>
      <w:r w:rsidR="00B80F61">
        <w:t>ha KZU</w:t>
      </w:r>
      <w:r w:rsidR="005C528B">
        <w:t>/PDM</w:t>
      </w:r>
      <w:r w:rsidR="00B80F61">
        <w:t xml:space="preserve">, kar je skoraj štirikrat več.  </w:t>
      </w:r>
    </w:p>
    <w:p w14:paraId="2DC46103" w14:textId="77777777" w:rsidR="001452FB" w:rsidRDefault="001452FB" w:rsidP="00744A13">
      <w:pPr>
        <w:pStyle w:val="Odstavek1"/>
      </w:pPr>
    </w:p>
    <w:p w14:paraId="61CA87E7" w14:textId="71DFA000" w:rsidR="001D0908" w:rsidRPr="00E155C1" w:rsidRDefault="001D0908" w:rsidP="002E5901">
      <w:pPr>
        <w:pStyle w:val="SCSlika0"/>
        <w:rPr>
          <w:sz w:val="20"/>
        </w:rPr>
      </w:pPr>
      <w:bookmarkStart w:id="62" w:name="_Toc89851053"/>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sidRPr="00E155C1">
        <w:rPr>
          <w:noProof/>
          <w:sz w:val="20"/>
          <w:szCs w:val="16"/>
        </w:rPr>
        <w:t>11</w:t>
      </w:r>
      <w:r w:rsidRPr="00E155C1">
        <w:rPr>
          <w:noProof/>
          <w:sz w:val="20"/>
          <w:szCs w:val="16"/>
        </w:rPr>
        <w:fldChar w:fldCharType="end"/>
      </w:r>
      <w:r w:rsidRPr="00E155C1">
        <w:rPr>
          <w:sz w:val="20"/>
          <w:szCs w:val="16"/>
        </w:rPr>
        <w:t xml:space="preserve">: </w:t>
      </w:r>
      <w:r w:rsidRPr="00E155C1">
        <w:rPr>
          <w:sz w:val="20"/>
        </w:rPr>
        <w:t xml:space="preserve"> Povprečno število PDM na kmetijsko gospodarstvo</w:t>
      </w:r>
      <w:r w:rsidR="00FC7B0F" w:rsidRPr="00E155C1">
        <w:rPr>
          <w:sz w:val="20"/>
        </w:rPr>
        <w:t>, 2016</w:t>
      </w:r>
      <w:bookmarkEnd w:id="62"/>
    </w:p>
    <w:p w14:paraId="31CCA4A0" w14:textId="77777777" w:rsidR="004D0D07" w:rsidRDefault="004D0D07" w:rsidP="00875DD8">
      <w:pPr>
        <w:spacing w:before="0" w:line="276" w:lineRule="auto"/>
        <w:rPr>
          <w:sz w:val="20"/>
          <w:szCs w:val="20"/>
        </w:rPr>
      </w:pPr>
      <w:r>
        <w:rPr>
          <w:noProof/>
          <w:lang w:eastAsia="sl-SI"/>
        </w:rPr>
        <w:drawing>
          <wp:inline distT="0" distB="0" distL="0" distR="0" wp14:anchorId="50074814" wp14:editId="3CE5A050">
            <wp:extent cx="5818910" cy="2043430"/>
            <wp:effectExtent l="0" t="0" r="10795" b="13970"/>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D463B2" w14:textId="77777777" w:rsidR="004D0D07" w:rsidRDefault="00B80F61" w:rsidP="00875DD8">
      <w:pPr>
        <w:spacing w:before="0" w:line="276" w:lineRule="auto"/>
        <w:rPr>
          <w:sz w:val="20"/>
          <w:szCs w:val="20"/>
        </w:rPr>
      </w:pPr>
      <w:r w:rsidRPr="001D0908">
        <w:rPr>
          <w:sz w:val="16"/>
          <w:szCs w:val="16"/>
        </w:rPr>
        <w:t>Vir: Eurostat</w:t>
      </w:r>
      <w:r w:rsidR="005C528B" w:rsidRPr="00875DD8">
        <w:rPr>
          <w:sz w:val="16"/>
          <w:szCs w:val="16"/>
        </w:rPr>
        <w:t>, preračun MKGP</w:t>
      </w:r>
      <w:r w:rsidRPr="001D0908">
        <w:rPr>
          <w:sz w:val="16"/>
          <w:szCs w:val="16"/>
        </w:rPr>
        <w:t xml:space="preserve"> (</w:t>
      </w:r>
      <w:r w:rsidR="005C528B" w:rsidRPr="001D0908">
        <w:rPr>
          <w:sz w:val="16"/>
          <w:szCs w:val="16"/>
        </w:rPr>
        <w:t>Farm indicators by agricultural area, type of farm, standard output, legal form and NUTS 2 regions [ef_m_farmleg]</w:t>
      </w:r>
    </w:p>
    <w:p w14:paraId="790167C5" w14:textId="77777777" w:rsidR="004D0D07" w:rsidRDefault="004D0D07" w:rsidP="00744A13">
      <w:pPr>
        <w:pStyle w:val="Odstavek1"/>
      </w:pPr>
    </w:p>
    <w:p w14:paraId="45F6F50A" w14:textId="77777777" w:rsidR="001D0908" w:rsidRDefault="001D0908" w:rsidP="00744A13">
      <w:pPr>
        <w:pStyle w:val="Odstavek1"/>
      </w:pPr>
    </w:p>
    <w:p w14:paraId="1DFD49B4" w14:textId="6B98561D" w:rsidR="006069BE" w:rsidRDefault="001D0908" w:rsidP="00E155C1">
      <w:pPr>
        <w:pStyle w:val="SCSlika0"/>
      </w:pPr>
      <w:bookmarkStart w:id="63" w:name="_Toc89851054"/>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360802" w:rsidRPr="00E155C1">
        <w:rPr>
          <w:noProof/>
          <w:sz w:val="20"/>
          <w:szCs w:val="16"/>
        </w:rPr>
        <w:t>12</w:t>
      </w:r>
      <w:r w:rsidRPr="00E155C1">
        <w:rPr>
          <w:noProof/>
          <w:sz w:val="20"/>
          <w:szCs w:val="16"/>
        </w:rPr>
        <w:fldChar w:fldCharType="end"/>
      </w:r>
      <w:r w:rsidRPr="00E155C1">
        <w:rPr>
          <w:sz w:val="20"/>
          <w:szCs w:val="16"/>
        </w:rPr>
        <w:t xml:space="preserve">: </w:t>
      </w:r>
      <w:r w:rsidRPr="00E155C1">
        <w:rPr>
          <w:sz w:val="20"/>
        </w:rPr>
        <w:t>Povprečna velikost ha/KMG in povprečno število ha</w:t>
      </w:r>
      <w:r w:rsidR="00810909" w:rsidRPr="00E155C1">
        <w:rPr>
          <w:sz w:val="20"/>
        </w:rPr>
        <w:t xml:space="preserve"> KZU v obdelavi</w:t>
      </w:r>
      <w:r w:rsidRPr="00E155C1">
        <w:rPr>
          <w:sz w:val="20"/>
        </w:rPr>
        <w:t xml:space="preserve"> na en PDM</w:t>
      </w:r>
      <w:r w:rsidR="00FC7B0F" w:rsidRPr="00E155C1">
        <w:rPr>
          <w:sz w:val="20"/>
        </w:rPr>
        <w:t>, 2016</w:t>
      </w:r>
      <w:bookmarkEnd w:id="63"/>
      <w:r w:rsidRPr="00E155C1">
        <w:rPr>
          <w:sz w:val="20"/>
        </w:rPr>
        <w:t xml:space="preserve"> </w:t>
      </w:r>
    </w:p>
    <w:p w14:paraId="1E219C52" w14:textId="5EDEF5E9" w:rsidR="008E4177" w:rsidRDefault="00153F6E" w:rsidP="009F3567">
      <w:pPr>
        <w:spacing w:before="0" w:line="276" w:lineRule="auto"/>
        <w:rPr>
          <w:sz w:val="20"/>
          <w:szCs w:val="20"/>
        </w:rPr>
      </w:pPr>
      <w:r>
        <w:rPr>
          <w:noProof/>
          <w:lang w:eastAsia="sl-SI"/>
        </w:rPr>
        <w:drawing>
          <wp:inline distT="0" distB="0" distL="0" distR="0" wp14:anchorId="6E8194E1" wp14:editId="7A6A25CB">
            <wp:extent cx="5760720" cy="2342515"/>
            <wp:effectExtent l="0" t="0" r="11430" b="635"/>
            <wp:docPr id="1631865559" name="Grafikon 1631865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7311E" w14:textId="77777777" w:rsidR="00153F6E" w:rsidRDefault="00153F6E" w:rsidP="00875DD8">
      <w:pPr>
        <w:spacing w:before="0" w:line="276" w:lineRule="auto"/>
        <w:rPr>
          <w:sz w:val="16"/>
          <w:szCs w:val="16"/>
        </w:rPr>
      </w:pPr>
    </w:p>
    <w:p w14:paraId="0A76B302" w14:textId="13936A71" w:rsidR="005C528B" w:rsidRDefault="005C528B" w:rsidP="00875DD8">
      <w:pPr>
        <w:spacing w:before="0" w:line="276" w:lineRule="auto"/>
        <w:rPr>
          <w:sz w:val="16"/>
          <w:szCs w:val="16"/>
        </w:rPr>
      </w:pPr>
      <w:r w:rsidRPr="00875DD8">
        <w:rPr>
          <w:sz w:val="16"/>
          <w:szCs w:val="16"/>
        </w:rPr>
        <w:t>Vir: Eurostat, preračun MKGP (</w:t>
      </w:r>
      <w:r w:rsidRPr="001D0908">
        <w:rPr>
          <w:sz w:val="16"/>
          <w:szCs w:val="16"/>
        </w:rPr>
        <w:t>Farm indicators by agricultural area, type of farm, standard output, legal form and NUTS 2 regions [ef_m_farmleg]</w:t>
      </w:r>
    </w:p>
    <w:p w14:paraId="06BE1691" w14:textId="77777777" w:rsidR="0084403E" w:rsidRDefault="0084403E" w:rsidP="00875DD8">
      <w:pPr>
        <w:spacing w:before="0" w:line="276" w:lineRule="auto"/>
        <w:rPr>
          <w:sz w:val="16"/>
          <w:szCs w:val="16"/>
        </w:rPr>
      </w:pPr>
    </w:p>
    <w:p w14:paraId="45746D0D" w14:textId="77777777" w:rsidR="0084403E" w:rsidRDefault="0084403E" w:rsidP="00875DD8">
      <w:pPr>
        <w:spacing w:before="0" w:line="276" w:lineRule="auto"/>
        <w:rPr>
          <w:sz w:val="20"/>
          <w:szCs w:val="20"/>
        </w:rPr>
      </w:pPr>
    </w:p>
    <w:p w14:paraId="1E88644A" w14:textId="77777777" w:rsidR="004D40E8" w:rsidRPr="005B2A49" w:rsidRDefault="004D40E8" w:rsidP="004C5161">
      <w:pPr>
        <w:spacing w:before="0" w:line="260" w:lineRule="atLeast"/>
        <w:rPr>
          <w:szCs w:val="20"/>
        </w:rPr>
      </w:pPr>
      <w:r w:rsidRPr="005B2A49">
        <w:rPr>
          <w:szCs w:val="20"/>
        </w:rPr>
        <w:t xml:space="preserve">Med delovno silo na kmetiji se štejejo redno zaposlene osebe na kmetijskih gospodarstvih (bodisi v podjetjih bodisi na kmetijah), družinski člani družinskih kmetij, ki karkoli delajo v kmetijstvu ali pridobitnih dejavnostih, ki izhajajo iz kmetije, ter najeta delovna sila (lahko v obliki strojnih storitev, lahko v obliki sezonskega ali priložnostnega dela). </w:t>
      </w:r>
    </w:p>
    <w:p w14:paraId="717C392E" w14:textId="77777777" w:rsidR="004D40E8" w:rsidRPr="005B2A49" w:rsidRDefault="004D40E8" w:rsidP="004C5161">
      <w:pPr>
        <w:spacing w:before="0" w:line="260" w:lineRule="atLeast"/>
        <w:rPr>
          <w:szCs w:val="20"/>
        </w:rPr>
      </w:pPr>
    </w:p>
    <w:p w14:paraId="3BCE63F7" w14:textId="77CB0617" w:rsidR="004D40E8" w:rsidRPr="005B2A49" w:rsidRDefault="004D40E8" w:rsidP="004C5161">
      <w:pPr>
        <w:spacing w:before="0" w:line="260" w:lineRule="atLeast"/>
        <w:rPr>
          <w:szCs w:val="20"/>
        </w:rPr>
      </w:pPr>
      <w:r w:rsidRPr="005B2A49">
        <w:rPr>
          <w:szCs w:val="20"/>
        </w:rPr>
        <w:t xml:space="preserve">Medtem ko v povprečju EU-28 neplačana delovna sila (ang. »non-salaried labour force«) predstavlja okoli 73 % skupne delovne sile v kmetijstvu, ta v Sloveniji predstavlja kar 92 %. Od leta 2010 se je obseg neplačane delovne sile v evropskem kmetijstvu zmanjšal za 35 %, obseg plačane pa le za 3 %. V Sloveniji pa se je nasprotno obseg plačane delovne sile v obdobju 2010–2019 zmanjšal za 25 %, neplačane pa za slabih 13 %. </w:t>
      </w:r>
      <w:r w:rsidR="00AF7492" w:rsidRPr="005B2A49">
        <w:rPr>
          <w:szCs w:val="20"/>
        </w:rPr>
        <w:t xml:space="preserve">To dejstvo je možno povezati s tem, da </w:t>
      </w:r>
      <w:r w:rsidR="00CB61D7" w:rsidRPr="005B2A49">
        <w:rPr>
          <w:szCs w:val="20"/>
        </w:rPr>
        <w:t xml:space="preserve">ima </w:t>
      </w:r>
      <w:r w:rsidR="00104C41" w:rsidRPr="005B2A49">
        <w:rPr>
          <w:szCs w:val="20"/>
        </w:rPr>
        <w:t xml:space="preserve">kmetijstvo v Sloveniji tudi vlogo socialnega blažilca v času gospodarskih kriz. Kadar so v državi neugodne gospodarske razmere, </w:t>
      </w:r>
      <w:r w:rsidR="00CB61D7" w:rsidRPr="005B2A49">
        <w:rPr>
          <w:szCs w:val="20"/>
        </w:rPr>
        <w:t>več ljudi dela</w:t>
      </w:r>
      <w:r w:rsidR="00104C41" w:rsidRPr="005B2A49">
        <w:rPr>
          <w:szCs w:val="20"/>
        </w:rPr>
        <w:t xml:space="preserve"> doma na kmetijah, ko </w:t>
      </w:r>
      <w:r w:rsidR="00CB61D7" w:rsidRPr="005B2A49">
        <w:rPr>
          <w:szCs w:val="20"/>
        </w:rPr>
        <w:t xml:space="preserve">pa </w:t>
      </w:r>
      <w:r w:rsidR="00104C41" w:rsidRPr="005B2A49">
        <w:rPr>
          <w:szCs w:val="20"/>
        </w:rPr>
        <w:t>se razmere izboljšajo</w:t>
      </w:r>
      <w:r w:rsidR="00CB61D7" w:rsidRPr="005B2A49">
        <w:rPr>
          <w:szCs w:val="20"/>
        </w:rPr>
        <w:t>, del te delovne sile poišče</w:t>
      </w:r>
      <w:r w:rsidR="00104C41" w:rsidRPr="005B2A49">
        <w:rPr>
          <w:szCs w:val="20"/>
        </w:rPr>
        <w:t xml:space="preserve"> </w:t>
      </w:r>
      <w:r w:rsidR="00CB61D7" w:rsidRPr="005B2A49">
        <w:rPr>
          <w:szCs w:val="20"/>
        </w:rPr>
        <w:t>(</w:t>
      </w:r>
      <w:r w:rsidR="00104C41" w:rsidRPr="005B2A49">
        <w:rPr>
          <w:szCs w:val="20"/>
        </w:rPr>
        <w:t>dodatno</w:t>
      </w:r>
      <w:r w:rsidR="00CB61D7" w:rsidRPr="005B2A49">
        <w:rPr>
          <w:szCs w:val="20"/>
        </w:rPr>
        <w:t>)</w:t>
      </w:r>
      <w:r w:rsidR="00104C41" w:rsidRPr="005B2A49">
        <w:rPr>
          <w:szCs w:val="20"/>
        </w:rPr>
        <w:t xml:space="preserve"> zaposlitev izven kmetijstva. In temu je naverjetneje pripisati razlog za to, da je upad v obsegu plačane delovne sile večji od upada neplačane delovne sile, saj v okviru slednje osebe kljub redni zaposlitvi izven kmetijstva še vedno delajo tudi na kmetijah. </w:t>
      </w:r>
    </w:p>
    <w:p w14:paraId="1A1D9954" w14:textId="77777777" w:rsidR="00744A13" w:rsidRDefault="00744A13" w:rsidP="004C5161">
      <w:pPr>
        <w:spacing w:before="0" w:line="260" w:lineRule="atLeast"/>
        <w:rPr>
          <w:sz w:val="20"/>
          <w:szCs w:val="20"/>
        </w:rPr>
      </w:pPr>
    </w:p>
    <w:p w14:paraId="77DDDBFC" w14:textId="36CEA9A2" w:rsidR="004D40E8" w:rsidRPr="005B2A49" w:rsidRDefault="004D40E8" w:rsidP="004C5161">
      <w:pPr>
        <w:spacing w:before="0" w:line="260" w:lineRule="atLeast"/>
        <w:rPr>
          <w:szCs w:val="20"/>
        </w:rPr>
      </w:pPr>
      <w:r w:rsidRPr="005B2A49">
        <w:rPr>
          <w:szCs w:val="20"/>
        </w:rPr>
        <w:t>Razlog za večje število PDM</w:t>
      </w:r>
      <w:r w:rsidR="00AF7492" w:rsidRPr="005B2A49">
        <w:rPr>
          <w:szCs w:val="20"/>
        </w:rPr>
        <w:t>, ki obdela en hektar KZU,</w:t>
      </w:r>
      <w:r w:rsidRPr="005B2A49">
        <w:rPr>
          <w:szCs w:val="20"/>
        </w:rPr>
        <w:t xml:space="preserve"> </w:t>
      </w:r>
      <w:r w:rsidR="00AF7492" w:rsidRPr="005B2A49">
        <w:rPr>
          <w:szCs w:val="20"/>
        </w:rPr>
        <w:t>v Sloveniji</w:t>
      </w:r>
      <w:r w:rsidRPr="005B2A49">
        <w:rPr>
          <w:szCs w:val="20"/>
        </w:rPr>
        <w:t xml:space="preserve"> </w:t>
      </w:r>
      <w:r w:rsidR="00AF7492" w:rsidRPr="005B2A49">
        <w:rPr>
          <w:szCs w:val="20"/>
        </w:rPr>
        <w:t>glede na</w:t>
      </w:r>
      <w:r w:rsidRPr="005B2A49">
        <w:rPr>
          <w:szCs w:val="20"/>
        </w:rPr>
        <w:t xml:space="preserve"> </w:t>
      </w:r>
      <w:r w:rsidR="00AF7492" w:rsidRPr="005B2A49">
        <w:rPr>
          <w:szCs w:val="20"/>
        </w:rPr>
        <w:t xml:space="preserve">evropsko </w:t>
      </w:r>
      <w:r w:rsidRPr="005B2A49">
        <w:rPr>
          <w:szCs w:val="20"/>
        </w:rPr>
        <w:t>povprečje</w:t>
      </w:r>
      <w:r w:rsidR="00AF7492" w:rsidRPr="005B2A49">
        <w:rPr>
          <w:szCs w:val="20"/>
        </w:rPr>
        <w:t>,</w:t>
      </w:r>
      <w:r w:rsidRPr="005B2A49">
        <w:rPr>
          <w:szCs w:val="20"/>
        </w:rPr>
        <w:t xml:space="preserve"> lahko iščemo v </w:t>
      </w:r>
      <w:r w:rsidR="00AF7492" w:rsidRPr="005B2A49">
        <w:rPr>
          <w:szCs w:val="20"/>
        </w:rPr>
        <w:t xml:space="preserve">prevladujočem modelu družinskih kmetij, v katerem prevladuje neplačana družinska delovna sila, </w:t>
      </w:r>
      <w:r w:rsidRPr="005B2A49">
        <w:rPr>
          <w:szCs w:val="20"/>
        </w:rPr>
        <w:t>majhni povprečni velikosti slovenskih kmetij</w:t>
      </w:r>
      <w:r w:rsidR="00AF7492" w:rsidRPr="005B2A49">
        <w:rPr>
          <w:szCs w:val="20"/>
        </w:rPr>
        <w:t>skih gospodarstev</w:t>
      </w:r>
      <w:r w:rsidRPr="005B2A49">
        <w:rPr>
          <w:szCs w:val="20"/>
        </w:rPr>
        <w:t xml:space="preserve">, </w:t>
      </w:r>
      <w:r w:rsidR="001D0908" w:rsidRPr="005B2A49">
        <w:rPr>
          <w:szCs w:val="20"/>
        </w:rPr>
        <w:t xml:space="preserve">razdrobljenosti kmetijskih zemljišč, </w:t>
      </w:r>
      <w:r w:rsidRPr="005B2A49">
        <w:rPr>
          <w:szCs w:val="20"/>
        </w:rPr>
        <w:t xml:space="preserve">velikemu deležu kmetijskih zemljišč na </w:t>
      </w:r>
      <w:r w:rsidR="00AF7492" w:rsidRPr="005B2A49">
        <w:rPr>
          <w:szCs w:val="20"/>
        </w:rPr>
        <w:t>OMD</w:t>
      </w:r>
      <w:r w:rsidRPr="005B2A49">
        <w:rPr>
          <w:szCs w:val="20"/>
        </w:rPr>
        <w:t>, ki zahtevajo več ročnega dela, in slabši opremljenosti s specializirano kmetijsko mehanizacijo.</w:t>
      </w:r>
      <w:r w:rsidR="00AF7492" w:rsidRPr="005B2A49">
        <w:rPr>
          <w:szCs w:val="20"/>
        </w:rPr>
        <w:t xml:space="preserve">  </w:t>
      </w:r>
    </w:p>
    <w:p w14:paraId="154D49E9" w14:textId="77777777" w:rsidR="004D40E8" w:rsidRDefault="004D40E8" w:rsidP="00875DD8">
      <w:pPr>
        <w:spacing w:before="0" w:line="276" w:lineRule="auto"/>
        <w:rPr>
          <w:b/>
          <w:i/>
          <w:sz w:val="20"/>
          <w:szCs w:val="20"/>
          <w:u w:val="single"/>
        </w:rPr>
      </w:pPr>
    </w:p>
    <w:p w14:paraId="511930C2" w14:textId="32917617" w:rsidR="004D40E8" w:rsidRPr="005B2A49" w:rsidRDefault="004D40E8" w:rsidP="005B2A49">
      <w:pPr>
        <w:pStyle w:val="Naslov3"/>
        <w:rPr>
          <w:i w:val="0"/>
        </w:rPr>
      </w:pPr>
      <w:bookmarkStart w:id="64" w:name="_Toc90462215"/>
      <w:r w:rsidRPr="005B2A49">
        <w:t>Dodana vrednost na enoto dela</w:t>
      </w:r>
      <w:r w:rsidR="009C194F">
        <w:t xml:space="preserve"> (C.29)</w:t>
      </w:r>
      <w:bookmarkEnd w:id="64"/>
    </w:p>
    <w:p w14:paraId="4E705665" w14:textId="77777777" w:rsidR="004D40E8" w:rsidRDefault="004D40E8" w:rsidP="007613FE">
      <w:pPr>
        <w:pStyle w:val="Odstavek1"/>
      </w:pPr>
    </w:p>
    <w:p w14:paraId="46AF4B50" w14:textId="0610C481" w:rsidR="002B3072" w:rsidRPr="004C5161" w:rsidRDefault="00FB1DE8" w:rsidP="007613FE">
      <w:pPr>
        <w:pStyle w:val="Odstavek1"/>
      </w:pPr>
      <w:r>
        <w:t xml:space="preserve">Merjeno z bruto dodano vrednostjo na enoto dela, se je </w:t>
      </w:r>
      <w:r w:rsidRPr="004C5161">
        <w:t>v</w:t>
      </w:r>
      <w:r w:rsidR="00DD5A55" w:rsidRPr="004C5161">
        <w:t xml:space="preserve"> obdobju 2010–20</w:t>
      </w:r>
      <w:r w:rsidR="001007E3">
        <w:t>20</w:t>
      </w:r>
      <w:r w:rsidR="002B3072" w:rsidRPr="004C5161">
        <w:t xml:space="preserve"> produktivnost dela v kmetijstvu</w:t>
      </w:r>
      <w:r w:rsidRPr="004C5161">
        <w:t xml:space="preserve"> </w:t>
      </w:r>
      <w:r w:rsidR="002B3072" w:rsidRPr="004C5161">
        <w:t>v državah EU–2</w:t>
      </w:r>
      <w:r w:rsidR="001007E3">
        <w:t>7</w:t>
      </w:r>
      <w:r w:rsidR="002B3072" w:rsidRPr="004C5161">
        <w:t xml:space="preserve"> povečala za </w:t>
      </w:r>
      <w:r w:rsidR="001007E3">
        <w:t>55</w:t>
      </w:r>
      <w:r w:rsidR="002B3072" w:rsidRPr="004C5161">
        <w:t xml:space="preserve"> %</w:t>
      </w:r>
      <w:r w:rsidR="00DD5A55" w:rsidRPr="004C5161">
        <w:t xml:space="preserve">, v Sloveniji pa za </w:t>
      </w:r>
      <w:r w:rsidR="001007E3">
        <w:t>57</w:t>
      </w:r>
      <w:r w:rsidR="00DD5A55" w:rsidRPr="004C5161">
        <w:t xml:space="preserve"> %</w:t>
      </w:r>
      <w:r w:rsidR="002B3072" w:rsidRPr="004C5161">
        <w:t xml:space="preserve">. </w:t>
      </w:r>
      <w:r w:rsidR="00DD5A55" w:rsidRPr="004C5161">
        <w:t>Produktivnost dela v kmetijstvu</w:t>
      </w:r>
      <w:r w:rsidR="00F977EF" w:rsidRPr="004C5161">
        <w:t>, izražena kot</w:t>
      </w:r>
      <w:r w:rsidR="00CB61D7">
        <w:t xml:space="preserve"> </w:t>
      </w:r>
      <w:r w:rsidR="00FC7B0F" w:rsidRPr="004C5161">
        <w:t>bruto dodana vrednost na PDM</w:t>
      </w:r>
      <w:r w:rsidR="00F977EF" w:rsidRPr="004C5161">
        <w:t>,</w:t>
      </w:r>
      <w:r w:rsidR="00FC7B0F" w:rsidRPr="004C5161">
        <w:t xml:space="preserve"> </w:t>
      </w:r>
      <w:r w:rsidR="00DD5A55" w:rsidRPr="004C5161">
        <w:t>je v letu 20</w:t>
      </w:r>
      <w:r w:rsidR="00157A41">
        <w:t>20</w:t>
      </w:r>
      <w:r w:rsidR="00DD5A55" w:rsidRPr="004C5161">
        <w:t xml:space="preserve"> v Sloveniji znašala 7.</w:t>
      </w:r>
      <w:r w:rsidR="00157A41">
        <w:t>696</w:t>
      </w:r>
      <w:r w:rsidR="00DD5A55" w:rsidRPr="004C5161">
        <w:t xml:space="preserve"> EUR/PDM</w:t>
      </w:r>
      <w:r w:rsidR="001A447B" w:rsidRPr="004C5161">
        <w:t xml:space="preserve"> </w:t>
      </w:r>
      <w:r w:rsidR="00E24084" w:rsidRPr="004C5161">
        <w:t>in je predstavljala zgolj 3</w:t>
      </w:r>
      <w:r w:rsidR="00157A41">
        <w:t>8</w:t>
      </w:r>
      <w:r w:rsidR="00E24084" w:rsidRPr="004C5161">
        <w:t xml:space="preserve"> % produktivnosti dela v EU-27</w:t>
      </w:r>
      <w:r w:rsidR="00C36138" w:rsidRPr="004C5161">
        <w:t xml:space="preserve"> </w:t>
      </w:r>
      <w:r w:rsidR="00C36138" w:rsidRPr="00251920">
        <w:t>(Kazalnik stanja C.29 Produktivnost dela v kmetijstvu)</w:t>
      </w:r>
      <w:r w:rsidR="00DD5A55" w:rsidRPr="00555F8A">
        <w:t xml:space="preserve">. </w:t>
      </w:r>
      <w:r w:rsidRPr="00251920">
        <w:t xml:space="preserve"> </w:t>
      </w:r>
      <w:r w:rsidR="002B3072" w:rsidRPr="00251920">
        <w:t xml:space="preserve"> </w:t>
      </w:r>
    </w:p>
    <w:p w14:paraId="4DE9281C" w14:textId="77777777" w:rsidR="002B3072" w:rsidRDefault="002B3072" w:rsidP="007613FE">
      <w:pPr>
        <w:pStyle w:val="Odstavek1"/>
      </w:pPr>
    </w:p>
    <w:p w14:paraId="04B4912B" w14:textId="4755FA84" w:rsidR="001D0908" w:rsidRPr="00E155C1" w:rsidRDefault="00E440A2" w:rsidP="002E5901">
      <w:pPr>
        <w:pStyle w:val="SCSlika0"/>
        <w:rPr>
          <w:sz w:val="20"/>
        </w:rPr>
      </w:pPr>
      <w:bookmarkStart w:id="65" w:name="_Toc89851055"/>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sidRPr="00E155C1">
        <w:rPr>
          <w:noProof/>
          <w:sz w:val="20"/>
          <w:szCs w:val="16"/>
        </w:rPr>
        <w:t>13</w:t>
      </w:r>
      <w:r w:rsidRPr="00E155C1">
        <w:rPr>
          <w:noProof/>
          <w:sz w:val="20"/>
          <w:szCs w:val="16"/>
        </w:rPr>
        <w:fldChar w:fldCharType="end"/>
      </w:r>
      <w:r w:rsidR="001D0908" w:rsidRPr="00E155C1">
        <w:rPr>
          <w:sz w:val="20"/>
          <w:szCs w:val="16"/>
        </w:rPr>
        <w:t xml:space="preserve">: </w:t>
      </w:r>
      <w:r w:rsidR="001D0908" w:rsidRPr="00E155C1">
        <w:rPr>
          <w:sz w:val="20"/>
        </w:rPr>
        <w:t>Produktivnost dela v kmetijstvu v letu 20</w:t>
      </w:r>
      <w:r w:rsidR="00157A41" w:rsidRPr="00E155C1">
        <w:rPr>
          <w:sz w:val="20"/>
        </w:rPr>
        <w:t>20</w:t>
      </w:r>
      <w:r w:rsidR="001D0908" w:rsidRPr="00E155C1">
        <w:rPr>
          <w:sz w:val="20"/>
        </w:rPr>
        <w:t>, v EUR/PDM</w:t>
      </w:r>
      <w:bookmarkEnd w:id="65"/>
      <w:r w:rsidR="001D0908" w:rsidRPr="00E155C1">
        <w:rPr>
          <w:sz w:val="20"/>
        </w:rPr>
        <w:t xml:space="preserve"> </w:t>
      </w:r>
    </w:p>
    <w:p w14:paraId="4463CBD5" w14:textId="73D19E92" w:rsidR="00157A41" w:rsidRDefault="00157A41" w:rsidP="005B2A49">
      <w:pPr>
        <w:pStyle w:val="Odstavek1"/>
        <w:jc w:val="center"/>
      </w:pPr>
      <w:r>
        <w:rPr>
          <w:noProof/>
          <w:lang w:eastAsia="sl-SI"/>
        </w:rPr>
        <w:drawing>
          <wp:inline distT="0" distB="0" distL="0" distR="0" wp14:anchorId="2BE566E4" wp14:editId="0F03D047">
            <wp:extent cx="4584700" cy="5157470"/>
            <wp:effectExtent l="0" t="0" r="6350" b="5080"/>
            <wp:docPr id="24169618" name="Slika 2416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5157470"/>
                    </a:xfrm>
                    <a:prstGeom prst="rect">
                      <a:avLst/>
                    </a:prstGeom>
                    <a:noFill/>
                  </pic:spPr>
                </pic:pic>
              </a:graphicData>
            </a:graphic>
          </wp:inline>
        </w:drawing>
      </w:r>
    </w:p>
    <w:p w14:paraId="54B27CEA" w14:textId="77777777" w:rsidR="001007E3" w:rsidRPr="002E5901" w:rsidRDefault="001007E3" w:rsidP="001007E3">
      <w:pPr>
        <w:pStyle w:val="Odstavek1"/>
        <w:rPr>
          <w:sz w:val="16"/>
          <w:szCs w:val="16"/>
        </w:rPr>
      </w:pPr>
      <w:r w:rsidRPr="002E5901">
        <w:rPr>
          <w:sz w:val="16"/>
          <w:szCs w:val="16"/>
        </w:rPr>
        <w:t>Vir: DG-AGRI, Indicator Dashboard (</w:t>
      </w:r>
      <w:hyperlink r:id="rId31" w:history="1">
        <w:r w:rsidRPr="002E5901">
          <w:rPr>
            <w:rStyle w:val="Hiperpovezava"/>
            <w:sz w:val="16"/>
            <w:szCs w:val="16"/>
          </w:rPr>
          <w:t>https://agridata.ec.europa.eu/extensions/DashboardIndicators/DataExplorer.html</w:t>
        </w:r>
      </w:hyperlink>
      <w:r w:rsidRPr="002E5901">
        <w:rPr>
          <w:sz w:val="16"/>
          <w:szCs w:val="16"/>
        </w:rPr>
        <w:t>)</w:t>
      </w:r>
    </w:p>
    <w:p w14:paraId="4BBD497D" w14:textId="77777777" w:rsidR="001007E3" w:rsidRPr="00875DD8" w:rsidRDefault="001007E3" w:rsidP="005B2A49">
      <w:pPr>
        <w:pStyle w:val="Odstavek1"/>
        <w:jc w:val="center"/>
      </w:pPr>
    </w:p>
    <w:p w14:paraId="1E31CDAE" w14:textId="1526FA29" w:rsidR="00CF792B" w:rsidRDefault="00CF792B" w:rsidP="009F3567">
      <w:pPr>
        <w:spacing w:before="0" w:line="276" w:lineRule="auto"/>
        <w:rPr>
          <w:sz w:val="20"/>
          <w:szCs w:val="20"/>
        </w:rPr>
      </w:pPr>
    </w:p>
    <w:p w14:paraId="6D4E6246" w14:textId="360B8A9C" w:rsidR="00BF58C2" w:rsidRDefault="00BF58C2" w:rsidP="007613FE">
      <w:pPr>
        <w:pStyle w:val="Odstavek1"/>
      </w:pPr>
      <w:r>
        <w:t xml:space="preserve">Če prikažemo produktivnost dela še z neto dodano vrednostjo na enoto dela, lahko ugotovimo podobno in sicer, da Slovenija po neto dodani vrednosti na enoto dela </w:t>
      </w:r>
      <w:r w:rsidR="004D40E8">
        <w:t>(</w:t>
      </w:r>
      <w:r w:rsidR="004D40E8" w:rsidRPr="004D40E8">
        <w:t>3.964</w:t>
      </w:r>
      <w:r w:rsidR="004D40E8">
        <w:t xml:space="preserve"> </w:t>
      </w:r>
      <w:r w:rsidR="001A447B">
        <w:t>EUR/PDM</w:t>
      </w:r>
      <w:r w:rsidR="004D40E8">
        <w:t xml:space="preserve">) bistveno </w:t>
      </w:r>
      <w:r>
        <w:t xml:space="preserve">zaostaja </w:t>
      </w:r>
      <w:r w:rsidR="004D40E8">
        <w:t>za povprečjem EU-27 (</w:t>
      </w:r>
      <w:r w:rsidR="004D40E8" w:rsidRPr="00BF58C2">
        <w:rPr>
          <w:lang w:eastAsia="sl-SI"/>
        </w:rPr>
        <w:t>13.192</w:t>
      </w:r>
      <w:r w:rsidR="004D40E8">
        <w:rPr>
          <w:lang w:eastAsia="sl-SI"/>
        </w:rPr>
        <w:t xml:space="preserve"> </w:t>
      </w:r>
      <w:r w:rsidR="00995994">
        <w:rPr>
          <w:lang w:eastAsia="sl-SI"/>
        </w:rPr>
        <w:t>EUR</w:t>
      </w:r>
      <w:r w:rsidR="000B0122">
        <w:rPr>
          <w:lang w:eastAsia="sl-SI"/>
        </w:rPr>
        <w:t>/PDM</w:t>
      </w:r>
      <w:r w:rsidR="004D40E8">
        <w:t xml:space="preserve">). Dosega namreč le dobrih 30 % povprečne neto dodane vrednosti na enoto dela v EU-27. Ob tem pa je vseeno potrebno opozoriti, da je neto dodana vrednost močno odvisna od obsega kmetijske proizvodnje in stroškov vmesne potrošnje, zato lahko medletno zelo niha.   </w:t>
      </w:r>
    </w:p>
    <w:p w14:paraId="731D0113" w14:textId="77777777" w:rsidR="00BF58C2" w:rsidRDefault="00BF58C2" w:rsidP="007613FE">
      <w:pPr>
        <w:pStyle w:val="Odstavek1"/>
      </w:pPr>
    </w:p>
    <w:p w14:paraId="3ABF3A9A" w14:textId="607B6EEE" w:rsidR="00E440A2" w:rsidRPr="00E155C1" w:rsidRDefault="00E440A2" w:rsidP="00515202">
      <w:pPr>
        <w:pStyle w:val="SCSlika0"/>
        <w:rPr>
          <w:sz w:val="20"/>
        </w:rPr>
      </w:pPr>
      <w:bookmarkStart w:id="66" w:name="_Toc89851056"/>
      <w:r w:rsidRPr="00E155C1">
        <w:rPr>
          <w:rStyle w:val="SCSlikaZnak"/>
        </w:rPr>
        <w:t xml:space="preserve">Slika </w:t>
      </w:r>
      <w:r w:rsidRPr="00E155C1">
        <w:rPr>
          <w:rStyle w:val="SCSlikaZnak"/>
        </w:rPr>
        <w:fldChar w:fldCharType="begin"/>
      </w:r>
      <w:r w:rsidRPr="00E155C1">
        <w:rPr>
          <w:rStyle w:val="SCSlikaZnak"/>
        </w:rPr>
        <w:instrText xml:space="preserve"> SEQ Slika \* ARABIC </w:instrText>
      </w:r>
      <w:r w:rsidRPr="00E155C1">
        <w:rPr>
          <w:rStyle w:val="SCSlikaZnak"/>
        </w:rPr>
        <w:fldChar w:fldCharType="separate"/>
      </w:r>
      <w:r w:rsidR="00740F5C" w:rsidRPr="00E155C1">
        <w:rPr>
          <w:rStyle w:val="SCSlikaZnak"/>
          <w:noProof/>
        </w:rPr>
        <w:t>14</w:t>
      </w:r>
      <w:r w:rsidRPr="00E155C1">
        <w:rPr>
          <w:rStyle w:val="SCSlikaZnak"/>
        </w:rPr>
        <w:fldChar w:fldCharType="end"/>
      </w:r>
      <w:r w:rsidRPr="00E155C1">
        <w:rPr>
          <w:rStyle w:val="SCSlikaZnak"/>
        </w:rPr>
        <w:t>: Neto dodana vrednost v kmetijstvu, izraženo na enoto vloženega dela (PDM), leto</w:t>
      </w:r>
      <w:r w:rsidRPr="00E155C1">
        <w:rPr>
          <w:sz w:val="20"/>
        </w:rPr>
        <w:t xml:space="preserve"> 2019, </w:t>
      </w:r>
      <w:r w:rsidR="00C36138" w:rsidRPr="00E155C1">
        <w:rPr>
          <w:sz w:val="20"/>
        </w:rPr>
        <w:t xml:space="preserve">v EUR, v </w:t>
      </w:r>
      <w:r w:rsidRPr="00E155C1">
        <w:rPr>
          <w:sz w:val="20"/>
        </w:rPr>
        <w:t>tekoč</w:t>
      </w:r>
      <w:r w:rsidR="00C36138" w:rsidRPr="00E155C1">
        <w:rPr>
          <w:sz w:val="20"/>
        </w:rPr>
        <w:t>ih</w:t>
      </w:r>
      <w:r w:rsidRPr="00E155C1">
        <w:rPr>
          <w:sz w:val="20"/>
        </w:rPr>
        <w:t xml:space="preserve"> cen</w:t>
      </w:r>
      <w:r w:rsidR="00C36138" w:rsidRPr="00E155C1">
        <w:rPr>
          <w:sz w:val="20"/>
        </w:rPr>
        <w:t>ah</w:t>
      </w:r>
      <w:bookmarkEnd w:id="66"/>
    </w:p>
    <w:p w14:paraId="5537F3CB" w14:textId="77777777" w:rsidR="00BF58C2" w:rsidRDefault="004D40E8" w:rsidP="009F3567">
      <w:pPr>
        <w:spacing w:before="0" w:line="276" w:lineRule="auto"/>
        <w:rPr>
          <w:sz w:val="20"/>
          <w:szCs w:val="20"/>
        </w:rPr>
      </w:pPr>
      <w:r>
        <w:rPr>
          <w:noProof/>
          <w:lang w:eastAsia="sl-SI"/>
        </w:rPr>
        <w:drawing>
          <wp:inline distT="0" distB="0" distL="0" distR="0" wp14:anchorId="0305D49A" wp14:editId="3F674DA8">
            <wp:extent cx="5882640" cy="5588000"/>
            <wp:effectExtent l="0" t="0" r="3810" b="12700"/>
            <wp:docPr id="1631865548" name="Grafikon 1631865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13EE2E" w14:textId="77777777" w:rsidR="00DC0BD7" w:rsidRDefault="004D40E8" w:rsidP="009F3567">
      <w:pPr>
        <w:spacing w:before="0" w:line="276" w:lineRule="auto"/>
        <w:rPr>
          <w:sz w:val="16"/>
          <w:szCs w:val="16"/>
        </w:rPr>
      </w:pPr>
      <w:r w:rsidRPr="002E5901">
        <w:rPr>
          <w:sz w:val="16"/>
          <w:szCs w:val="16"/>
        </w:rPr>
        <w:t>Vir: EUROSTAT, preračun MKGP (Economic accounts for agriculture - values at current prices [aact_eaa01] ter Agricultural labour input statistics: absolute figures (1 000 annual work units) [aact_ali01]</w:t>
      </w:r>
      <w:r w:rsidRPr="002E5901">
        <w:rPr>
          <w:sz w:val="16"/>
          <w:szCs w:val="16"/>
        </w:rPr>
        <w:tab/>
      </w:r>
    </w:p>
    <w:p w14:paraId="048BF0A7" w14:textId="77777777" w:rsidR="00DC0BD7" w:rsidRDefault="00DC0BD7" w:rsidP="009F3567">
      <w:pPr>
        <w:spacing w:before="0" w:line="276" w:lineRule="auto"/>
        <w:rPr>
          <w:sz w:val="16"/>
          <w:szCs w:val="16"/>
        </w:rPr>
      </w:pPr>
    </w:p>
    <w:p w14:paraId="41461F74" w14:textId="77777777" w:rsidR="00DC0BD7" w:rsidRDefault="00DC0BD7" w:rsidP="009F3567">
      <w:pPr>
        <w:spacing w:before="0" w:line="276" w:lineRule="auto"/>
        <w:rPr>
          <w:sz w:val="16"/>
          <w:szCs w:val="16"/>
        </w:rPr>
      </w:pPr>
    </w:p>
    <w:p w14:paraId="191358EE" w14:textId="77777777" w:rsidR="00FC732C" w:rsidRDefault="00FC732C" w:rsidP="009F3567">
      <w:pPr>
        <w:spacing w:before="0" w:line="276" w:lineRule="auto"/>
        <w:rPr>
          <w:sz w:val="16"/>
          <w:szCs w:val="16"/>
        </w:rPr>
      </w:pPr>
    </w:p>
    <w:p w14:paraId="5D31ED11" w14:textId="77777777" w:rsidR="00FC732C" w:rsidRPr="001A32D7" w:rsidRDefault="00FC732C" w:rsidP="00FC732C">
      <w:pPr>
        <w:pStyle w:val="Naslov2"/>
      </w:pPr>
      <w:bookmarkStart w:id="67" w:name="_Toc90462216"/>
      <w:r w:rsidRPr="001A32D7">
        <w:t>Ključne ugotovitve</w:t>
      </w:r>
      <w:bookmarkEnd w:id="67"/>
    </w:p>
    <w:p w14:paraId="155A30A1" w14:textId="77777777" w:rsidR="00FC732C" w:rsidRDefault="00FC732C" w:rsidP="009F3567">
      <w:pPr>
        <w:spacing w:before="0" w:line="276" w:lineRule="auto"/>
        <w:rPr>
          <w:sz w:val="16"/>
          <w:szCs w:val="16"/>
        </w:rPr>
      </w:pPr>
    </w:p>
    <w:p w14:paraId="174B64EC" w14:textId="65CDCEEE" w:rsidR="00FC732C" w:rsidRDefault="004D40E8" w:rsidP="009F3567">
      <w:pPr>
        <w:spacing w:before="0" w:line="276" w:lineRule="auto"/>
        <w:rPr>
          <w:sz w:val="16"/>
          <w:szCs w:val="16"/>
        </w:rPr>
      </w:pPr>
      <w:r w:rsidRPr="002E5901">
        <w:rPr>
          <w:sz w:val="16"/>
          <w:szCs w:val="16"/>
        </w:rPr>
        <w:tab/>
      </w:r>
      <w:r w:rsidRPr="002E5901">
        <w:rPr>
          <w:sz w:val="16"/>
          <w:szCs w:val="16"/>
        </w:rPr>
        <w:tab/>
      </w:r>
    </w:p>
    <w:p w14:paraId="1A01E487" w14:textId="59D36A12" w:rsidR="007D55B6" w:rsidRDefault="007D55B6" w:rsidP="005B2A49">
      <w:pPr>
        <w:pStyle w:val="Odstavekseznama"/>
        <w:numPr>
          <w:ilvl w:val="0"/>
          <w:numId w:val="88"/>
        </w:numPr>
        <w:spacing w:before="0" w:line="260" w:lineRule="atLeast"/>
        <w:ind w:left="426" w:hanging="284"/>
        <w:rPr>
          <w:rFonts w:ascii="Arial" w:hAnsi="Arial"/>
          <w:sz w:val="22"/>
        </w:rPr>
      </w:pPr>
      <w:r>
        <w:rPr>
          <w:rFonts w:ascii="Arial" w:hAnsi="Arial"/>
          <w:sz w:val="22"/>
        </w:rPr>
        <w:t>Za Slovenijo je značilna neugodna agrarna struktura, se pa kažejo določeni trendi povečevanja fizične in ekonomske velikosti kmetijskih gospodarstev.</w:t>
      </w:r>
      <w:r w:rsidR="0078600F">
        <w:rPr>
          <w:rFonts w:ascii="Arial" w:hAnsi="Arial"/>
          <w:sz w:val="22"/>
        </w:rPr>
        <w:t xml:space="preserve"> Glede na strukturni popis kmetijstva v letu 2020 so se v zadnjem desetletju odvijali intenzivni procesi koncentracije in specializacije kmetijskih gospodarstev.</w:t>
      </w:r>
    </w:p>
    <w:p w14:paraId="4B193DBD" w14:textId="238E0B05" w:rsidR="002B3BEC" w:rsidRDefault="007D55B6" w:rsidP="00E155C1">
      <w:pPr>
        <w:pStyle w:val="Odstavekseznama"/>
        <w:numPr>
          <w:ilvl w:val="0"/>
          <w:numId w:val="88"/>
        </w:numPr>
        <w:spacing w:before="0" w:line="260" w:lineRule="atLeast"/>
        <w:ind w:left="426" w:hanging="284"/>
      </w:pPr>
      <w:r>
        <w:rPr>
          <w:rFonts w:ascii="Arial" w:hAnsi="Arial"/>
          <w:sz w:val="22"/>
        </w:rPr>
        <w:t>V strukturi rabe KZU zaradi visokega deleža OMD prevladuje trajno travinje</w:t>
      </w:r>
      <w:r w:rsidR="002B3BEC">
        <w:rPr>
          <w:rFonts w:ascii="Arial" w:hAnsi="Arial"/>
          <w:sz w:val="22"/>
        </w:rPr>
        <w:t xml:space="preserve">, kar je razlika glede na EU-27, kjer je situacija obratna – tam prevladujejo orna zemljišča. </w:t>
      </w:r>
    </w:p>
    <w:p w14:paraId="00C9C07C" w14:textId="377C55E0" w:rsidR="002B3BEC" w:rsidRDefault="002B3BEC" w:rsidP="00E155C1">
      <w:pPr>
        <w:pStyle w:val="Odstavekseznama"/>
        <w:numPr>
          <w:ilvl w:val="0"/>
          <w:numId w:val="88"/>
        </w:numPr>
        <w:spacing w:before="0" w:line="260" w:lineRule="atLeast"/>
        <w:ind w:left="426" w:hanging="284"/>
      </w:pPr>
      <w:r w:rsidRPr="002B3BEC">
        <w:rPr>
          <w:rFonts w:ascii="Arial" w:hAnsi="Arial"/>
          <w:sz w:val="22"/>
        </w:rPr>
        <w:t>Za slovensko kmetijstvo je značilna tudi velika razdrobljenost kmetijskih zemljišč. V povprečju je KMG obdeloval 9,7 GERK-a, povprečna velikost GERK-a pa znaša le 0,56 ha. Tako majhna povprečna velikost vpisanega GERK-a je posledica dejstva, da je kar 86,29 % vseh GERK-ov po površini, manjših od 1 ha.</w:t>
      </w:r>
    </w:p>
    <w:p w14:paraId="37F73DC1" w14:textId="39C464CF" w:rsidR="002B3BEC" w:rsidRPr="002B3BEC" w:rsidRDefault="002B3BEC" w:rsidP="00E155C1">
      <w:pPr>
        <w:pStyle w:val="Odstavekseznama"/>
        <w:numPr>
          <w:ilvl w:val="0"/>
          <w:numId w:val="88"/>
        </w:numPr>
        <w:spacing w:before="0" w:line="260" w:lineRule="atLeast"/>
        <w:ind w:left="426" w:hanging="284"/>
      </w:pPr>
      <w:r>
        <w:rPr>
          <w:rFonts w:ascii="Arial" w:hAnsi="Arial"/>
          <w:sz w:val="22"/>
        </w:rPr>
        <w:t xml:space="preserve">Le majhen delež KZU je namakanih (pod 1,4 % KZU v 2020). </w:t>
      </w:r>
    </w:p>
    <w:p w14:paraId="538B49FB" w14:textId="30EB754D" w:rsidR="002B3BEC" w:rsidRDefault="002B3BEC" w:rsidP="00E155C1">
      <w:pPr>
        <w:pStyle w:val="Odstavekseznama"/>
        <w:numPr>
          <w:ilvl w:val="0"/>
          <w:numId w:val="88"/>
        </w:numPr>
        <w:spacing w:before="0" w:line="260" w:lineRule="atLeast"/>
        <w:ind w:left="426" w:hanging="284"/>
        <w:rPr>
          <w:rFonts w:ascii="Arial" w:hAnsi="Arial"/>
          <w:sz w:val="22"/>
        </w:rPr>
      </w:pPr>
      <w:r>
        <w:rPr>
          <w:rFonts w:ascii="Arial" w:hAnsi="Arial"/>
          <w:sz w:val="22"/>
        </w:rPr>
        <w:t xml:space="preserve">Večina KMG (58 %) je samooskrbnih. </w:t>
      </w:r>
      <w:r w:rsidRPr="002B3BEC">
        <w:rPr>
          <w:rFonts w:ascii="Arial" w:hAnsi="Arial"/>
          <w:sz w:val="22"/>
        </w:rPr>
        <w:t>V slovenskem kmetijstvu</w:t>
      </w:r>
      <w:r>
        <w:rPr>
          <w:rFonts w:ascii="Arial" w:hAnsi="Arial"/>
          <w:sz w:val="22"/>
        </w:rPr>
        <w:t xml:space="preserve"> </w:t>
      </w:r>
      <w:r w:rsidRPr="002B3BEC">
        <w:rPr>
          <w:rFonts w:ascii="Arial" w:hAnsi="Arial"/>
          <w:sz w:val="22"/>
        </w:rPr>
        <w:t>prevladujejo n</w:t>
      </w:r>
      <w:r>
        <w:rPr>
          <w:rFonts w:ascii="Arial" w:hAnsi="Arial"/>
          <w:sz w:val="22"/>
        </w:rPr>
        <w:t>e</w:t>
      </w:r>
      <w:r w:rsidRPr="002B3BEC">
        <w:rPr>
          <w:rFonts w:ascii="Arial" w:hAnsi="Arial"/>
          <w:sz w:val="22"/>
        </w:rPr>
        <w:t>specializirana KMG, ki so manj produktivna in ustvarjajo nižje dohodke</w:t>
      </w:r>
    </w:p>
    <w:p w14:paraId="5F764036" w14:textId="77777777" w:rsidR="002B3BEC" w:rsidRDefault="002B3BEC" w:rsidP="002B3BEC">
      <w:pPr>
        <w:pStyle w:val="Odstavekseznama"/>
        <w:numPr>
          <w:ilvl w:val="0"/>
          <w:numId w:val="88"/>
        </w:numPr>
        <w:spacing w:before="0" w:line="260" w:lineRule="atLeast"/>
        <w:ind w:left="426" w:hanging="284"/>
        <w:rPr>
          <w:rFonts w:ascii="Arial" w:hAnsi="Arial"/>
          <w:sz w:val="22"/>
        </w:rPr>
      </w:pPr>
      <w:r w:rsidRPr="007D55B6">
        <w:rPr>
          <w:rFonts w:ascii="Arial" w:hAnsi="Arial"/>
          <w:sz w:val="22"/>
        </w:rPr>
        <w:t>V Sloveniji je razviden pozitiven trend povečevanja števila kmetijskih gospo</w:t>
      </w:r>
      <w:r>
        <w:rPr>
          <w:rFonts w:ascii="Arial" w:hAnsi="Arial"/>
          <w:sz w:val="22"/>
        </w:rPr>
        <w:t>darstev v kontroli eko pridelave, vendar pa obseg in struktura ekološke pridelave ne ustrezata povpraševanju na trgu</w:t>
      </w:r>
      <w:r w:rsidRPr="007D55B6">
        <w:rPr>
          <w:rFonts w:ascii="Arial" w:hAnsi="Arial"/>
          <w:sz w:val="22"/>
        </w:rPr>
        <w:t>.</w:t>
      </w:r>
    </w:p>
    <w:p w14:paraId="02B1E89D" w14:textId="6B1DF619" w:rsidR="007D55B6" w:rsidRDefault="002B3BEC" w:rsidP="00E155C1">
      <w:pPr>
        <w:pStyle w:val="Odstavekseznama"/>
        <w:numPr>
          <w:ilvl w:val="0"/>
          <w:numId w:val="88"/>
        </w:numPr>
        <w:spacing w:before="0" w:line="260" w:lineRule="atLeast"/>
        <w:ind w:left="426" w:hanging="284"/>
        <w:rPr>
          <w:rFonts w:ascii="Arial" w:hAnsi="Arial"/>
          <w:sz w:val="22"/>
        </w:rPr>
      </w:pPr>
      <w:r>
        <w:rPr>
          <w:rFonts w:ascii="Arial" w:hAnsi="Arial"/>
          <w:sz w:val="22"/>
        </w:rPr>
        <w:t>S</w:t>
      </w:r>
      <w:r w:rsidRPr="002B3BEC">
        <w:rPr>
          <w:rFonts w:ascii="Arial" w:hAnsi="Arial"/>
          <w:sz w:val="22"/>
        </w:rPr>
        <w:t>tarostna in tudi izobrazbena struktura nosilcev KMG</w:t>
      </w:r>
      <w:r>
        <w:rPr>
          <w:rFonts w:ascii="Arial" w:hAnsi="Arial"/>
          <w:sz w:val="22"/>
        </w:rPr>
        <w:t xml:space="preserve"> je še vedno izrazito neugodna. </w:t>
      </w:r>
    </w:p>
    <w:p w14:paraId="7D97EBEF" w14:textId="3F88EE35" w:rsidR="00D25E8B" w:rsidRDefault="00D25E8B" w:rsidP="00E155C1">
      <w:pPr>
        <w:pStyle w:val="Odstavekseznama"/>
        <w:numPr>
          <w:ilvl w:val="0"/>
          <w:numId w:val="88"/>
        </w:numPr>
        <w:spacing w:before="0" w:line="260" w:lineRule="atLeast"/>
        <w:ind w:left="426" w:hanging="284"/>
        <w:rPr>
          <w:rFonts w:ascii="Arial" w:hAnsi="Arial"/>
          <w:sz w:val="22"/>
        </w:rPr>
      </w:pPr>
      <w:r>
        <w:rPr>
          <w:rFonts w:ascii="Arial" w:hAnsi="Arial"/>
          <w:sz w:val="22"/>
        </w:rPr>
        <w:t xml:space="preserve">Med </w:t>
      </w:r>
      <w:r w:rsidR="00EB4F39">
        <w:rPr>
          <w:rFonts w:ascii="Arial" w:hAnsi="Arial"/>
          <w:sz w:val="22"/>
        </w:rPr>
        <w:t>popisoma kmetijstva v letih</w:t>
      </w:r>
      <w:r>
        <w:rPr>
          <w:rFonts w:ascii="Arial" w:hAnsi="Arial"/>
          <w:sz w:val="22"/>
        </w:rPr>
        <w:t xml:space="preserve"> 2010 in 2020 je prišlo do pomembnih strukturnih sprememb v kmetijstvu. </w:t>
      </w:r>
      <w:r w:rsidRPr="00D25E8B">
        <w:rPr>
          <w:rFonts w:ascii="Arial" w:hAnsi="Arial"/>
          <w:sz w:val="22"/>
        </w:rPr>
        <w:t>Spremembe velikostne strukture</w:t>
      </w:r>
      <w:r w:rsidR="00EB4F39">
        <w:rPr>
          <w:rFonts w:ascii="Arial" w:hAnsi="Arial"/>
          <w:sz w:val="22"/>
        </w:rPr>
        <w:t xml:space="preserve"> kmetijskih gospodarstev</w:t>
      </w:r>
      <w:r w:rsidRPr="00D25E8B">
        <w:rPr>
          <w:rFonts w:ascii="Arial" w:hAnsi="Arial"/>
          <w:sz w:val="22"/>
        </w:rPr>
        <w:t xml:space="preserve"> kažejo, da se pri rabi kmetijskih zemljišč in tudi v živinoreji nadaljujejo procesi koncentracije</w:t>
      </w:r>
      <w:r>
        <w:rPr>
          <w:rFonts w:ascii="Arial" w:hAnsi="Arial"/>
          <w:sz w:val="22"/>
        </w:rPr>
        <w:t xml:space="preserve"> in specializacije. </w:t>
      </w:r>
    </w:p>
    <w:p w14:paraId="250F7390" w14:textId="447CAA23"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Skupna faktorska produktivnost je bila v Sloveniji v obdobju 2005–2016 večinoma pod povprečjem EU-28. Glavni razlogi, ki ovirajo hitrejši tehnološki napredek in modernizacijo slovenskega kmetijstva ter s tem dvig skupne produktivnosti proizvodnih faktorjev so za kmetijstvo neugodne naravne danosti, socialno-ekonomski dejavniki, kot so podpovrečna velikost kmetijskih gospodarstev, lastniška struktura kmetijskih zemljišč, izrazito neugodna starostna struktura in še vedno razmeroma nizka stopnja izobrazbe, socio-ekonomski tip kmetij, pa tudi diverzifikacija prihodkovnih virov (dopolnilne dejavnosti na kmetiji, gozdarstvo, zaposlitev izven kmetijskega sektorja ipd.).</w:t>
      </w:r>
    </w:p>
    <w:p w14:paraId="5CD12710"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Produktivnost dela, merjena z bruto dodano vrednostjo na enoto dela, se je v Sloveniji v obdobju 2010-2019 povečala bolj (</w:t>
      </w:r>
      <w:r>
        <w:rPr>
          <w:rFonts w:ascii="Arial" w:hAnsi="Arial"/>
          <w:sz w:val="22"/>
        </w:rPr>
        <w:t>57</w:t>
      </w:r>
      <w:r w:rsidRPr="007E558D">
        <w:rPr>
          <w:rFonts w:ascii="Arial" w:hAnsi="Arial"/>
          <w:sz w:val="22"/>
        </w:rPr>
        <w:t xml:space="preserve"> %) kot v povprečju v EU-2</w:t>
      </w:r>
      <w:r>
        <w:rPr>
          <w:rFonts w:ascii="Arial" w:hAnsi="Arial"/>
          <w:sz w:val="22"/>
        </w:rPr>
        <w:t>7</w:t>
      </w:r>
      <w:r w:rsidRPr="007E558D">
        <w:rPr>
          <w:rFonts w:ascii="Arial" w:hAnsi="Arial"/>
          <w:sz w:val="22"/>
        </w:rPr>
        <w:t xml:space="preserve"> (</w:t>
      </w:r>
      <w:r>
        <w:rPr>
          <w:rFonts w:ascii="Arial" w:hAnsi="Arial"/>
          <w:sz w:val="22"/>
        </w:rPr>
        <w:t>55</w:t>
      </w:r>
      <w:r w:rsidRPr="007E558D">
        <w:rPr>
          <w:rFonts w:ascii="Arial" w:hAnsi="Arial"/>
          <w:sz w:val="22"/>
        </w:rPr>
        <w:t xml:space="preserve"> %), še zmeraj pa krepko zaostaja in predstavlja le 37 % produktivnosti dela v EU. </w:t>
      </w:r>
    </w:p>
    <w:p w14:paraId="5ED48327"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V Sloveniji neplačana delovna sila predstavlja okoli 92 % skupne delovne sile v kmetijstvu, kar je dosti višje kot v povprečju v EU-28 (73 %). </w:t>
      </w:r>
    </w:p>
    <w:p w14:paraId="19B8500E" w14:textId="7A83B1A1" w:rsidR="00FC732C"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Zaradi prevladujočega modela družinskih kmetij, v katerem prevladuje neplačana družinska delovna sila, majhni povprečni velikosti slovenskih kmetijskih gospodarstev, razdrobljenosti kmetijskih zemljišč, velikemu deležu kmetijskih zemljišč na OMD, ki zahtevajo več ročnega dela, in slabši opremljenosti s specializirano kmetijsko mehanizacijo, Slovenija spada v krog držav EU-28, kjer 1 PDM obdela najmanj ha kmetijskih zemljišč v uporabi. </w:t>
      </w:r>
    </w:p>
    <w:p w14:paraId="29426E24" w14:textId="022BBFA4" w:rsidR="007D55B6" w:rsidRPr="007E558D" w:rsidRDefault="007D55B6" w:rsidP="00E155C1">
      <w:pPr>
        <w:pStyle w:val="Odstavekseznama"/>
        <w:spacing w:before="0" w:line="260" w:lineRule="atLeast"/>
        <w:ind w:left="426"/>
        <w:rPr>
          <w:rFonts w:ascii="Arial" w:hAnsi="Arial"/>
          <w:sz w:val="22"/>
        </w:rPr>
      </w:pPr>
    </w:p>
    <w:p w14:paraId="5E90A862" w14:textId="0070262D" w:rsidR="004D40E8" w:rsidRPr="002E5901" w:rsidRDefault="004D40E8" w:rsidP="009F3567">
      <w:pPr>
        <w:spacing w:before="0" w:line="276" w:lineRule="auto"/>
        <w:rPr>
          <w:sz w:val="16"/>
          <w:szCs w:val="16"/>
        </w:rPr>
      </w:pPr>
      <w:r w:rsidRPr="002E5901">
        <w:rPr>
          <w:sz w:val="16"/>
          <w:szCs w:val="16"/>
        </w:rPr>
        <w:tab/>
      </w:r>
      <w:r w:rsidRPr="002E5901">
        <w:rPr>
          <w:sz w:val="16"/>
          <w:szCs w:val="16"/>
        </w:rPr>
        <w:tab/>
      </w:r>
      <w:r w:rsidRPr="002E5901">
        <w:rPr>
          <w:sz w:val="16"/>
          <w:szCs w:val="16"/>
        </w:rPr>
        <w:tab/>
      </w:r>
      <w:r w:rsidRPr="002E5901">
        <w:rPr>
          <w:sz w:val="16"/>
          <w:szCs w:val="16"/>
        </w:rPr>
        <w:tab/>
      </w:r>
    </w:p>
    <w:p w14:paraId="6F132215" w14:textId="22A34F19" w:rsidR="00812BD6" w:rsidRPr="002E5901" w:rsidRDefault="00812BD6" w:rsidP="002E5901">
      <w:pPr>
        <w:pStyle w:val="Naslov1"/>
      </w:pPr>
      <w:bookmarkStart w:id="68" w:name="_Toc82699981"/>
      <w:bookmarkStart w:id="69" w:name="_Toc82700116"/>
      <w:bookmarkStart w:id="70" w:name="_Toc85104377"/>
      <w:bookmarkStart w:id="71" w:name="_Toc85104484"/>
      <w:bookmarkStart w:id="72" w:name="_Toc85104590"/>
      <w:bookmarkStart w:id="73" w:name="_Toc90462217"/>
      <w:bookmarkEnd w:id="68"/>
      <w:bookmarkEnd w:id="69"/>
      <w:bookmarkEnd w:id="70"/>
      <w:bookmarkEnd w:id="71"/>
      <w:bookmarkEnd w:id="72"/>
      <w:r w:rsidRPr="002E5901">
        <w:t>Produktivnost kapitala</w:t>
      </w:r>
      <w:bookmarkEnd w:id="73"/>
      <w:r w:rsidR="00457C62" w:rsidRPr="002E5901">
        <w:t xml:space="preserve"> </w:t>
      </w:r>
      <w:r w:rsidR="005B02D9" w:rsidRPr="002E5901">
        <w:t xml:space="preserve"> </w:t>
      </w:r>
    </w:p>
    <w:p w14:paraId="4C0F65C1" w14:textId="77777777" w:rsidR="00F23299" w:rsidRPr="009C2866" w:rsidRDefault="00F23299" w:rsidP="007613FE">
      <w:pPr>
        <w:pStyle w:val="Odstavek1"/>
        <w:rPr>
          <w:rFonts w:eastAsiaTheme="minorHAnsi"/>
          <w:lang w:eastAsia="en-US"/>
        </w:rPr>
      </w:pPr>
    </w:p>
    <w:p w14:paraId="67E2C2CF" w14:textId="77777777" w:rsidR="00EF5502" w:rsidRDefault="00812BD6" w:rsidP="007613FE">
      <w:pPr>
        <w:pStyle w:val="Odstavek1"/>
        <w:rPr>
          <w:rFonts w:eastAsiaTheme="minorHAnsi"/>
          <w:lang w:eastAsia="en-US"/>
        </w:rPr>
      </w:pPr>
      <w:r w:rsidRPr="0047652B">
        <w:rPr>
          <w:rFonts w:eastAsiaTheme="minorHAnsi"/>
          <w:lang w:eastAsia="en-US"/>
        </w:rPr>
        <w:t>Kapital je proizvodni faktor, tako kot delo ali zemlja</w:t>
      </w:r>
      <w:r w:rsidR="00CB61D7">
        <w:rPr>
          <w:rFonts w:eastAsiaTheme="minorHAnsi"/>
          <w:lang w:eastAsia="en-US"/>
        </w:rPr>
        <w:t>. N</w:t>
      </w:r>
      <w:r w:rsidRPr="0047652B">
        <w:rPr>
          <w:rFonts w:eastAsiaTheme="minorHAnsi"/>
          <w:lang w:eastAsia="en-US"/>
        </w:rPr>
        <w:t xml:space="preserve">anaša </w:t>
      </w:r>
      <w:r w:rsidR="00CB61D7">
        <w:rPr>
          <w:rFonts w:eastAsiaTheme="minorHAnsi"/>
          <w:lang w:eastAsia="en-US"/>
        </w:rPr>
        <w:t xml:space="preserve">se </w:t>
      </w:r>
      <w:r w:rsidRPr="0047652B">
        <w:rPr>
          <w:rFonts w:eastAsiaTheme="minorHAnsi"/>
          <w:lang w:eastAsia="en-US"/>
        </w:rPr>
        <w:t>na osnovna sredstva, ki se neposredno uporabljajo za proizvodnjo v kmetijstvu, kot so infrastruktura, zgradbe, mehanizacija, oprema, trajni nasadi ipd. Kapital je pomemben proizvodni faktor, saj proizvodnje blaga ali storitev ne more biti brez vključenega kapitala (v obliki opreme, zgradb..). Že opisani trendi zmanjševanja obsega vložka dela v kmetijstvu kažejo na to, da je v potekajočih procesih prestrukturiranja v smeri tehnološko intenzivnejših in večjih kmetijskih gospodarstev kapital nadomestil delo</w:t>
      </w:r>
      <w:r w:rsidR="00E440A2">
        <w:rPr>
          <w:rFonts w:eastAsiaTheme="minorHAnsi"/>
          <w:lang w:eastAsia="en-US"/>
        </w:rPr>
        <w:t xml:space="preserve"> (Evropska komisija, 2016</w:t>
      </w:r>
      <w:r w:rsidR="00F5728D">
        <w:rPr>
          <w:rFonts w:eastAsiaTheme="minorHAnsi"/>
          <w:lang w:eastAsia="en-US"/>
        </w:rPr>
        <w:t>a</w:t>
      </w:r>
      <w:r w:rsidR="00E440A2">
        <w:rPr>
          <w:rFonts w:eastAsiaTheme="minorHAnsi"/>
          <w:lang w:eastAsia="en-US"/>
        </w:rPr>
        <w:t>)</w:t>
      </w:r>
      <w:r w:rsidRPr="0047652B">
        <w:rPr>
          <w:rFonts w:eastAsiaTheme="minorHAnsi"/>
          <w:lang w:eastAsia="en-US"/>
        </w:rPr>
        <w:t xml:space="preserve">. </w:t>
      </w:r>
    </w:p>
    <w:p w14:paraId="31F1E27B" w14:textId="77777777" w:rsidR="00EF5502" w:rsidRDefault="00EF5502" w:rsidP="007613FE">
      <w:pPr>
        <w:pStyle w:val="Odstavek1"/>
        <w:rPr>
          <w:rFonts w:eastAsiaTheme="minorHAnsi"/>
          <w:lang w:eastAsia="en-US"/>
        </w:rPr>
      </w:pPr>
    </w:p>
    <w:p w14:paraId="05BF8D23" w14:textId="7586081B" w:rsidR="00812BD6" w:rsidRDefault="00812BD6" w:rsidP="007613FE">
      <w:pPr>
        <w:pStyle w:val="Odstavek1"/>
        <w:rPr>
          <w:rFonts w:eastAsiaTheme="minorHAnsi"/>
          <w:lang w:eastAsia="en-US"/>
        </w:rPr>
      </w:pPr>
      <w:r w:rsidRPr="0047652B">
        <w:rPr>
          <w:rFonts w:eastAsiaTheme="minorHAnsi"/>
          <w:lang w:eastAsia="en-US"/>
        </w:rPr>
        <w:t xml:space="preserve">Produktivnost kapitala meri razmerje med obsegom celotne proizvodnje na enoto kapitala, vloženega v proizvodnjo. Na rezultat produktivnosti kapitala vplivajo cene osnovnih sredstev in amortizacije, pa tudi sprememba količine opreme ali njenega remonta, sprememba razmerja med osnovnimi sredstvi neproizvodne in proizvodne vrednosti, sprememba obsega proizvedenega blaga zaradi tržnih ali drugih dejavnikov idr. </w:t>
      </w:r>
      <w:r w:rsidR="00DF204A" w:rsidRPr="0047652B">
        <w:rPr>
          <w:rFonts w:eastAsiaTheme="minorHAnsi"/>
          <w:lang w:eastAsia="en-US"/>
        </w:rPr>
        <w:t xml:space="preserve">Produktivnost kapitala v kmetijstvu meri donosnost naložb v kmetijstvu. </w:t>
      </w:r>
    </w:p>
    <w:p w14:paraId="069B4ED9" w14:textId="77777777" w:rsidR="00EF5502" w:rsidRPr="0047652B" w:rsidRDefault="00EF5502" w:rsidP="007613FE">
      <w:pPr>
        <w:pStyle w:val="Odstavek1"/>
        <w:rPr>
          <w:rFonts w:eastAsiaTheme="minorHAnsi"/>
          <w:lang w:eastAsia="en-US"/>
        </w:rPr>
      </w:pPr>
    </w:p>
    <w:p w14:paraId="20961A09" w14:textId="77777777" w:rsidR="00F23299" w:rsidRPr="0047652B" w:rsidRDefault="00F23299" w:rsidP="007613FE">
      <w:pPr>
        <w:pStyle w:val="Odstavek1"/>
        <w:rPr>
          <w:rFonts w:eastAsiaTheme="minorHAnsi"/>
          <w:lang w:eastAsia="en-US"/>
        </w:rPr>
      </w:pPr>
    </w:p>
    <w:p w14:paraId="39718617" w14:textId="23886611" w:rsidR="004D40E8" w:rsidRPr="00875DD8" w:rsidRDefault="004D40E8" w:rsidP="005B2A49">
      <w:pPr>
        <w:pStyle w:val="Naslov2"/>
      </w:pPr>
      <w:bookmarkStart w:id="74" w:name="_Toc90462218"/>
      <w:r>
        <w:t xml:space="preserve">Bruto </w:t>
      </w:r>
      <w:r w:rsidR="000F3F43" w:rsidRPr="005B2A49">
        <w:rPr>
          <w:sz w:val="22"/>
        </w:rPr>
        <w:t>naložbe</w:t>
      </w:r>
      <w:r w:rsidRPr="00875DD8">
        <w:t xml:space="preserve"> v osnovna sredstva v kmetijstvu</w:t>
      </w:r>
      <w:r w:rsidR="000F3F43">
        <w:t xml:space="preserve"> (C. 27)</w:t>
      </w:r>
      <w:bookmarkEnd w:id="74"/>
    </w:p>
    <w:p w14:paraId="5331EA62" w14:textId="77777777" w:rsidR="004D40E8" w:rsidRDefault="004D40E8" w:rsidP="007613FE">
      <w:pPr>
        <w:spacing w:before="0" w:line="260" w:lineRule="atLeast"/>
        <w:rPr>
          <w:rFonts w:eastAsiaTheme="minorHAnsi"/>
          <w:sz w:val="20"/>
          <w:szCs w:val="22"/>
          <w:lang w:eastAsia="en-US"/>
        </w:rPr>
      </w:pPr>
    </w:p>
    <w:p w14:paraId="46DD91F4" w14:textId="1DA756F1" w:rsidR="00F20823" w:rsidRPr="00617F7D" w:rsidRDefault="000F3F43" w:rsidP="005B2A49">
      <w:pPr>
        <w:rPr>
          <w:rFonts w:eastAsiaTheme="minorHAnsi"/>
          <w:sz w:val="20"/>
          <w:szCs w:val="22"/>
          <w:lang w:eastAsia="en-US"/>
        </w:rPr>
      </w:pPr>
      <w:r>
        <w:rPr>
          <w:rFonts w:eastAsiaTheme="minorHAnsi"/>
          <w:lang w:eastAsia="en-US"/>
        </w:rPr>
        <w:t>Naložbe</w:t>
      </w:r>
      <w:r w:rsidR="00812BD6" w:rsidRPr="0047652B">
        <w:rPr>
          <w:rFonts w:eastAsiaTheme="minorHAnsi"/>
          <w:lang w:eastAsia="en-US"/>
        </w:rPr>
        <w:t xml:space="preserve"> v osnovna sredstva so pomembna za obnavljanje zastarelih in dotrajanih osnovnih sredstev. Kazalnik bruto investicij v osnovna sredstva</w:t>
      </w:r>
      <w:r w:rsidR="00812BD6" w:rsidRPr="0047652B">
        <w:rPr>
          <w:rStyle w:val="Sprotnaopomba-sklic"/>
        </w:rPr>
        <w:footnoteReference w:id="6"/>
      </w:r>
      <w:r w:rsidR="00812BD6" w:rsidRPr="0047652B">
        <w:t xml:space="preserve"> (GFCF) se nanaša na spremembo v fizičnih sredstvih znotraj določenega časovnega obdobja. Ta kazalnik ne vključuje </w:t>
      </w:r>
      <w:r w:rsidR="004B337F" w:rsidRPr="0047652B">
        <w:t xml:space="preserve">amortizacije </w:t>
      </w:r>
      <w:r w:rsidR="00812BD6" w:rsidRPr="0047652B">
        <w:t>zemlje niti nakupa zemlje. Omenjeni kazalnik tako meri</w:t>
      </w:r>
      <w:r w:rsidR="00812BD6" w:rsidRPr="0047652B">
        <w:rPr>
          <w:rFonts w:eastAsiaTheme="minorHAnsi"/>
          <w:lang w:eastAsia="en-US"/>
        </w:rPr>
        <w:t xml:space="preserve">, koliko dodane vrednosti je investirane namesto potrošene, </w:t>
      </w:r>
      <w:r w:rsidR="00812BD6" w:rsidRPr="0047652B">
        <w:t xml:space="preserve">zato </w:t>
      </w:r>
      <w:r w:rsidR="00812BD6" w:rsidRPr="0047652B">
        <w:rPr>
          <w:rFonts w:eastAsiaTheme="minorHAnsi"/>
          <w:lang w:eastAsia="en-US"/>
        </w:rPr>
        <w:t xml:space="preserve">je eden od ključnih pokazateljev bodoče konkurenčnosti </w:t>
      </w:r>
      <w:r w:rsidR="00812BD6" w:rsidRPr="0047652B">
        <w:t>v kmetijskem sektorju</w:t>
      </w:r>
      <w:r w:rsidR="00812BD6" w:rsidRPr="0047652B">
        <w:rPr>
          <w:rFonts w:eastAsiaTheme="minorHAnsi"/>
          <w:lang w:eastAsia="en-US"/>
        </w:rPr>
        <w:t xml:space="preserve">. </w:t>
      </w:r>
    </w:p>
    <w:p w14:paraId="58EE13CB" w14:textId="38F5229A" w:rsidR="00812BD6" w:rsidRPr="00CB61D7" w:rsidRDefault="000F3F43" w:rsidP="00DA2C5A">
      <w:r>
        <w:t>Naložbe</w:t>
      </w:r>
      <w:r w:rsidR="00617F7D" w:rsidRPr="00617F7D">
        <w:t xml:space="preserve"> pospešuje več dejavnikov, vključno s posodobitvijo opreme in strojev, povečanjem proizvodnje in produktivnosti, nakupom kmetijskih zemljišč in zmanjšanjem oz. prilagajanjem na podnebne spremembe (</w:t>
      </w:r>
      <w:r w:rsidR="00617F7D" w:rsidRPr="00617F7D">
        <w:rPr>
          <w:i/>
          <w:iCs/>
        </w:rPr>
        <w:t>fi-compass</w:t>
      </w:r>
      <w:r w:rsidR="00F977EF">
        <w:rPr>
          <w:i/>
          <w:iCs/>
        </w:rPr>
        <w:t>,</w:t>
      </w:r>
      <w:r w:rsidR="00617F7D" w:rsidRPr="00617F7D">
        <w:t xml:space="preserve"> 2020</w:t>
      </w:r>
      <w:r w:rsidR="00F977EF">
        <w:t>).</w:t>
      </w:r>
      <w:r w:rsidR="00CB61D7">
        <w:t xml:space="preserve"> </w:t>
      </w:r>
      <w:r w:rsidR="004D40E8" w:rsidRPr="00CB61D7">
        <w:t>D</w:t>
      </w:r>
      <w:r w:rsidR="00812BD6" w:rsidRPr="00CB61D7">
        <w:t xml:space="preserve">ržave članice, ki so vstopile v EU leta 2004 in kasneje, </w:t>
      </w:r>
      <w:r w:rsidR="004D40E8" w:rsidRPr="00CB61D7">
        <w:t xml:space="preserve">so </w:t>
      </w:r>
      <w:r w:rsidR="00812BD6" w:rsidRPr="00CB61D7">
        <w:t>v intenzivnejši fazi prestrukturiranja</w:t>
      </w:r>
      <w:r w:rsidR="00995994" w:rsidRPr="00CB61D7">
        <w:t xml:space="preserve"> in</w:t>
      </w:r>
      <w:r w:rsidR="00812BD6" w:rsidRPr="00CB61D7">
        <w:t xml:space="preserve"> modernizacije kmetijskega sektorja kot starejše države članice, kar pojasnjuje </w:t>
      </w:r>
      <w:r w:rsidR="004D40E8" w:rsidRPr="00CB61D7">
        <w:t xml:space="preserve">dejstvo, da imajo </w:t>
      </w:r>
      <w:r w:rsidR="00812BD6" w:rsidRPr="00CB61D7">
        <w:t xml:space="preserve">večji obseg bruto investicij v osnovna sredstva, merjeno v </w:t>
      </w:r>
      <w:r w:rsidR="008F2485" w:rsidRPr="00CB61D7">
        <w:t>odstotku od</w:t>
      </w:r>
      <w:r w:rsidR="00812BD6" w:rsidRPr="00CB61D7">
        <w:t xml:space="preserve"> </w:t>
      </w:r>
      <w:r w:rsidR="00E3018F" w:rsidRPr="00CB61D7">
        <w:t>BDV</w:t>
      </w:r>
      <w:r w:rsidR="00046D4F" w:rsidRPr="00CB61D7">
        <w:t xml:space="preserve"> (slika 1</w:t>
      </w:r>
      <w:r w:rsidR="00463648">
        <w:t>4</w:t>
      </w:r>
      <w:r w:rsidR="00046D4F" w:rsidRPr="00CB61D7">
        <w:t>)</w:t>
      </w:r>
      <w:r w:rsidR="00812BD6" w:rsidRPr="00CB61D7">
        <w:t xml:space="preserve">. </w:t>
      </w:r>
    </w:p>
    <w:p w14:paraId="407A2CA9" w14:textId="77777777" w:rsidR="004D40E8" w:rsidRDefault="004D40E8" w:rsidP="007613FE">
      <w:pPr>
        <w:spacing w:before="0" w:line="260" w:lineRule="atLeast"/>
        <w:rPr>
          <w:sz w:val="20"/>
          <w:szCs w:val="20"/>
        </w:rPr>
      </w:pPr>
    </w:p>
    <w:p w14:paraId="2A102809" w14:textId="58F8A827" w:rsidR="004D40E8" w:rsidRPr="00E155C1" w:rsidRDefault="00E440A2" w:rsidP="00DA2C5A">
      <w:pPr>
        <w:pStyle w:val="SCSlika0"/>
        <w:rPr>
          <w:sz w:val="20"/>
        </w:rPr>
      </w:pPr>
      <w:bookmarkStart w:id="75" w:name="_Ref54806505"/>
      <w:bookmarkStart w:id="76" w:name="_Toc89851057"/>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sidRPr="00E155C1">
        <w:rPr>
          <w:noProof/>
          <w:sz w:val="20"/>
          <w:szCs w:val="16"/>
        </w:rPr>
        <w:t>15</w:t>
      </w:r>
      <w:r w:rsidRPr="00E155C1">
        <w:rPr>
          <w:noProof/>
          <w:sz w:val="20"/>
          <w:szCs w:val="16"/>
        </w:rPr>
        <w:fldChar w:fldCharType="end"/>
      </w:r>
      <w:bookmarkEnd w:id="75"/>
      <w:r w:rsidRPr="00E155C1">
        <w:rPr>
          <w:sz w:val="20"/>
          <w:szCs w:val="16"/>
        </w:rPr>
        <w:t xml:space="preserve">: </w:t>
      </w:r>
      <w:r w:rsidRPr="00E155C1">
        <w:rPr>
          <w:sz w:val="20"/>
        </w:rPr>
        <w:t xml:space="preserve">Bruto </w:t>
      </w:r>
      <w:r w:rsidR="000F3F43" w:rsidRPr="00E155C1">
        <w:rPr>
          <w:sz w:val="20"/>
        </w:rPr>
        <w:t>naložbe</w:t>
      </w:r>
      <w:r w:rsidRPr="00E155C1">
        <w:rPr>
          <w:sz w:val="20"/>
        </w:rPr>
        <w:t xml:space="preserve"> v osnovna sredstva v kmetijstvu, izraženo kot % </w:t>
      </w:r>
      <w:r w:rsidR="00995994" w:rsidRPr="00E155C1">
        <w:rPr>
          <w:sz w:val="20"/>
        </w:rPr>
        <w:t>BDV</w:t>
      </w:r>
      <w:r w:rsidRPr="00E155C1">
        <w:rPr>
          <w:sz w:val="20"/>
        </w:rPr>
        <w:t>, 201</w:t>
      </w:r>
      <w:r w:rsidR="00FA3DF6" w:rsidRPr="00E155C1">
        <w:rPr>
          <w:sz w:val="20"/>
        </w:rPr>
        <w:t>9</w:t>
      </w:r>
      <w:r w:rsidRPr="00E155C1">
        <w:rPr>
          <w:sz w:val="20"/>
        </w:rPr>
        <w:t xml:space="preserve">, </w:t>
      </w:r>
      <w:r w:rsidR="00D7497E" w:rsidRPr="00E155C1">
        <w:rPr>
          <w:sz w:val="20"/>
        </w:rPr>
        <w:t xml:space="preserve">EU, </w:t>
      </w:r>
      <w:r w:rsidRPr="00E155C1">
        <w:rPr>
          <w:sz w:val="20"/>
        </w:rPr>
        <w:t>v tekočih cenah</w:t>
      </w:r>
      <w:bookmarkEnd w:id="76"/>
    </w:p>
    <w:p w14:paraId="50DE34AE" w14:textId="6087AB69" w:rsidR="00FA3DF6" w:rsidRDefault="00FA3DF6" w:rsidP="007613FE">
      <w:pPr>
        <w:spacing w:before="0" w:line="260" w:lineRule="atLeast"/>
        <w:rPr>
          <w:sz w:val="24"/>
          <w:szCs w:val="20"/>
        </w:rPr>
      </w:pPr>
      <w:r>
        <w:rPr>
          <w:noProof/>
          <w:sz w:val="24"/>
          <w:szCs w:val="20"/>
          <w:lang w:eastAsia="sl-SI"/>
        </w:rPr>
        <w:drawing>
          <wp:inline distT="0" distB="0" distL="0" distR="0" wp14:anchorId="56996566" wp14:editId="59B94C96">
            <wp:extent cx="5517515" cy="6102350"/>
            <wp:effectExtent l="0" t="0" r="6985" b="0"/>
            <wp:docPr id="24169619" name="Slika 2416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6102350"/>
                    </a:xfrm>
                    <a:prstGeom prst="rect">
                      <a:avLst/>
                    </a:prstGeom>
                    <a:noFill/>
                  </pic:spPr>
                </pic:pic>
              </a:graphicData>
            </a:graphic>
          </wp:inline>
        </w:drawing>
      </w:r>
    </w:p>
    <w:p w14:paraId="6F5D71D7" w14:textId="77777777" w:rsidR="00FA3DF6" w:rsidRDefault="00FA3DF6" w:rsidP="00FA3DF6">
      <w:pPr>
        <w:pStyle w:val="Odstavek1"/>
        <w:rPr>
          <w:sz w:val="16"/>
          <w:szCs w:val="16"/>
        </w:rPr>
      </w:pPr>
      <w:r w:rsidRPr="0047652B">
        <w:rPr>
          <w:sz w:val="16"/>
          <w:szCs w:val="16"/>
        </w:rPr>
        <w:t>Vir:</w:t>
      </w:r>
      <w:r>
        <w:rPr>
          <w:sz w:val="16"/>
          <w:szCs w:val="16"/>
        </w:rPr>
        <w:t xml:space="preserve"> DG-AGRI, Indicator Dashboard (</w:t>
      </w:r>
      <w:hyperlink r:id="rId34" w:history="1">
        <w:r w:rsidRPr="00FA476F">
          <w:rPr>
            <w:rStyle w:val="Hiperpovezava"/>
            <w:sz w:val="16"/>
            <w:szCs w:val="16"/>
          </w:rPr>
          <w:t>https://agridata.ec.europa.eu/extensions/DashboardIndicators/DataExplorer.html</w:t>
        </w:r>
      </w:hyperlink>
      <w:r>
        <w:rPr>
          <w:sz w:val="16"/>
          <w:szCs w:val="16"/>
        </w:rPr>
        <w:t>)</w:t>
      </w:r>
    </w:p>
    <w:p w14:paraId="4FC7D307" w14:textId="77777777" w:rsidR="00FA3DF6" w:rsidRPr="00875DD8" w:rsidRDefault="00FA3DF6" w:rsidP="007613FE">
      <w:pPr>
        <w:spacing w:before="0" w:line="260" w:lineRule="atLeast"/>
        <w:rPr>
          <w:sz w:val="24"/>
          <w:szCs w:val="20"/>
        </w:rPr>
      </w:pPr>
    </w:p>
    <w:p w14:paraId="5266796F" w14:textId="28336505" w:rsidR="00CB61D7" w:rsidRDefault="004D40E8" w:rsidP="007613FE">
      <w:pPr>
        <w:pStyle w:val="Odstavek1"/>
      </w:pPr>
      <w:r w:rsidRPr="004D40E8">
        <w:tab/>
      </w:r>
    </w:p>
    <w:p w14:paraId="50049FDE" w14:textId="4C2C7221" w:rsidR="00A571FA" w:rsidRDefault="00A34306" w:rsidP="007613FE">
      <w:pPr>
        <w:pStyle w:val="Odstavek1"/>
      </w:pPr>
      <w:r w:rsidRPr="00852E36">
        <w:rPr>
          <w:rFonts w:eastAsiaTheme="minorHAnsi"/>
          <w:szCs w:val="22"/>
          <w:lang w:eastAsia="en-US"/>
        </w:rPr>
        <w:t>Obseg bruto investicij v osnovna sredstva v Sloveniji je v letu 201</w:t>
      </w:r>
      <w:r w:rsidR="00A47768">
        <w:rPr>
          <w:rFonts w:eastAsiaTheme="minorHAnsi"/>
          <w:szCs w:val="22"/>
          <w:lang w:eastAsia="en-US"/>
        </w:rPr>
        <w:t>9</w:t>
      </w:r>
      <w:r w:rsidRPr="00852E36">
        <w:rPr>
          <w:rFonts w:eastAsiaTheme="minorHAnsi"/>
          <w:szCs w:val="22"/>
          <w:lang w:eastAsia="en-US"/>
        </w:rPr>
        <w:t xml:space="preserve"> znašal </w:t>
      </w:r>
      <w:r w:rsidR="00A47768">
        <w:rPr>
          <w:rFonts w:eastAsiaTheme="minorHAnsi"/>
          <w:szCs w:val="22"/>
          <w:lang w:eastAsia="en-US"/>
        </w:rPr>
        <w:t>294</w:t>
      </w:r>
      <w:r w:rsidRPr="00852E36">
        <w:t xml:space="preserve"> mio EUR</w:t>
      </w:r>
      <w:r w:rsidR="002F5526">
        <w:t>, kar</w:t>
      </w:r>
      <w:r w:rsidRPr="00F977EF">
        <w:t xml:space="preserve"> predstavlja </w:t>
      </w:r>
      <w:r w:rsidR="00FA3DF6">
        <w:t>52,4</w:t>
      </w:r>
      <w:r w:rsidRPr="00AD61BB">
        <w:t xml:space="preserve"> % </w:t>
      </w:r>
      <w:r w:rsidR="002F5526" w:rsidRPr="00555F8A">
        <w:t>BDV</w:t>
      </w:r>
      <w:r w:rsidR="00BE7ACF" w:rsidRPr="00E972D4">
        <w:t xml:space="preserve"> (</w:t>
      </w:r>
      <w:r w:rsidR="00BE7ACF" w:rsidRPr="00251920">
        <w:t xml:space="preserve">kazalnik </w:t>
      </w:r>
      <w:r w:rsidR="00C36138" w:rsidRPr="00251920">
        <w:t xml:space="preserve">stanja </w:t>
      </w:r>
      <w:r w:rsidR="00BE7ACF" w:rsidRPr="00251920">
        <w:t>C.27</w:t>
      </w:r>
      <w:r w:rsidR="00CA507C" w:rsidRPr="00251920">
        <w:t xml:space="preserve"> </w:t>
      </w:r>
      <w:r w:rsidR="00CA507C" w:rsidRPr="00251920">
        <w:rPr>
          <w:rFonts w:eastAsia="Arial"/>
          <w:lang w:eastAsia="en-US"/>
        </w:rPr>
        <w:t>Bruto naložbe v osnovna sredstva v kmetijstvu</w:t>
      </w:r>
      <w:r w:rsidR="00BE7ACF" w:rsidRPr="00555F8A">
        <w:t>)</w:t>
      </w:r>
      <w:r w:rsidRPr="00E972D4">
        <w:t xml:space="preserve"> </w:t>
      </w:r>
      <w:r w:rsidR="002F5526" w:rsidRPr="00E972D4">
        <w:t>in</w:t>
      </w:r>
      <w:r w:rsidRPr="00E972D4">
        <w:t xml:space="preserve"> je nad</w:t>
      </w:r>
      <w:r w:rsidRPr="00852E36">
        <w:t xml:space="preserve"> povprečjem EU-</w:t>
      </w:r>
      <w:r w:rsidR="004D40E8" w:rsidRPr="00852E36">
        <w:t>2</w:t>
      </w:r>
      <w:r w:rsidR="004D40E8">
        <w:t>7</w:t>
      </w:r>
      <w:r w:rsidR="004D40E8" w:rsidRPr="00852E36">
        <w:t xml:space="preserve"> </w:t>
      </w:r>
      <w:r w:rsidRPr="00852E36">
        <w:t>(</w:t>
      </w:r>
      <w:r w:rsidR="00FA3DF6">
        <w:t>30,97</w:t>
      </w:r>
      <w:r w:rsidR="004D40E8" w:rsidRPr="00852E36">
        <w:t xml:space="preserve"> </w:t>
      </w:r>
      <w:r w:rsidRPr="00852E36">
        <w:t xml:space="preserve">%). </w:t>
      </w:r>
    </w:p>
    <w:p w14:paraId="23883CF7" w14:textId="77777777" w:rsidR="00A571FA" w:rsidRDefault="00A571FA" w:rsidP="007613FE">
      <w:pPr>
        <w:pStyle w:val="Odstavek1"/>
      </w:pPr>
    </w:p>
    <w:p w14:paraId="6063E687" w14:textId="66E481F5" w:rsidR="00F44D98" w:rsidRPr="00852E36" w:rsidRDefault="00A34306" w:rsidP="007613FE">
      <w:pPr>
        <w:pStyle w:val="Odstavek1"/>
      </w:pPr>
      <w:r w:rsidRPr="00852E36">
        <w:t>Obseg bruto investicij v osnovna sredstva v Sloveniji se je povečeval v obdobju  2005</w:t>
      </w:r>
      <w:r w:rsidR="002F5526">
        <w:t>-</w:t>
      </w:r>
      <w:r w:rsidRPr="00852E36">
        <w:t xml:space="preserve">2008 (ko je znašal 312,79 mio EUR) in se nato v času finančne krize zmanjšal na 203,72 mio EUR v letu 2011. V obdobju 2012–2018 se </w:t>
      </w:r>
      <w:r w:rsidR="002F5526">
        <w:t xml:space="preserve">je </w:t>
      </w:r>
      <w:r w:rsidRPr="00852E36">
        <w:t xml:space="preserve">obseg </w:t>
      </w:r>
      <w:r w:rsidRPr="00852E36">
        <w:rPr>
          <w:rFonts w:eastAsiaTheme="minorHAnsi"/>
          <w:szCs w:val="22"/>
          <w:lang w:eastAsia="en-US"/>
        </w:rPr>
        <w:t xml:space="preserve">bruto investicij v osnovna sredstva </w:t>
      </w:r>
      <w:r w:rsidRPr="00852E36">
        <w:t>relativno stabilno poveč</w:t>
      </w:r>
      <w:r w:rsidR="002F5526">
        <w:t>eval</w:t>
      </w:r>
      <w:r w:rsidRPr="00852E36">
        <w:t xml:space="preserve"> in se približ</w:t>
      </w:r>
      <w:r w:rsidR="002F5526">
        <w:t>al</w:t>
      </w:r>
      <w:r w:rsidRPr="00852E36">
        <w:t xml:space="preserve"> vrednosti pred finančno krizo, pri čemer je </w:t>
      </w:r>
      <w:r w:rsidR="002F5526">
        <w:t xml:space="preserve">bila </w:t>
      </w:r>
      <w:r w:rsidRPr="00852E36">
        <w:t xml:space="preserve">stopnja rasti v </w:t>
      </w:r>
      <w:r w:rsidR="00FC7B0F">
        <w:t xml:space="preserve"> </w:t>
      </w:r>
      <w:r w:rsidRPr="00852E36">
        <w:t xml:space="preserve">2018 glede na </w:t>
      </w:r>
      <w:r w:rsidR="002F5526">
        <w:t>2017</w:t>
      </w:r>
      <w:r w:rsidRPr="00852E36">
        <w:t xml:space="preserve"> najvišja (</w:t>
      </w:r>
      <w:r w:rsidR="00FC16DF">
        <w:t>44</w:t>
      </w:r>
      <w:r w:rsidRPr="00852E36">
        <w:t xml:space="preserve"> %) od leta 2005</w:t>
      </w:r>
      <w:r w:rsidR="00D7497E">
        <w:t xml:space="preserve"> (slika </w:t>
      </w:r>
      <w:r w:rsidR="00D57868">
        <w:t>16</w:t>
      </w:r>
      <w:r w:rsidR="00D7497E">
        <w:t>)</w:t>
      </w:r>
      <w:r w:rsidRPr="00852E36">
        <w:t xml:space="preserve">. </w:t>
      </w:r>
    </w:p>
    <w:p w14:paraId="738FA6C7" w14:textId="77777777" w:rsidR="00F23299" w:rsidRDefault="00F23299" w:rsidP="007613FE">
      <w:pPr>
        <w:pStyle w:val="Odstavek1"/>
      </w:pPr>
    </w:p>
    <w:p w14:paraId="68FE030C" w14:textId="7F74094E" w:rsidR="004439B1" w:rsidRPr="00E155C1" w:rsidRDefault="00E440A2" w:rsidP="00DA2C5A">
      <w:pPr>
        <w:pStyle w:val="SCSlika0"/>
      </w:pPr>
      <w:bookmarkStart w:id="77" w:name="_Toc89851058"/>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Pr>
          <w:noProof/>
          <w:sz w:val="20"/>
          <w:szCs w:val="16"/>
        </w:rPr>
        <w:t>16</w:t>
      </w:r>
      <w:r w:rsidRPr="00E155C1">
        <w:rPr>
          <w:noProof/>
          <w:sz w:val="20"/>
          <w:szCs w:val="16"/>
        </w:rPr>
        <w:fldChar w:fldCharType="end"/>
      </w:r>
      <w:r w:rsidRPr="00E155C1">
        <w:rPr>
          <w:sz w:val="20"/>
          <w:szCs w:val="16"/>
        </w:rPr>
        <w:t xml:space="preserve">: </w:t>
      </w:r>
      <w:r w:rsidRPr="00E155C1">
        <w:rPr>
          <w:sz w:val="20"/>
        </w:rPr>
        <w:t xml:space="preserve">Bruto investicije v osnovna sredstva v kmetijstvu, izraženo kot % </w:t>
      </w:r>
      <w:r w:rsidR="00D16D9B" w:rsidRPr="00E155C1">
        <w:rPr>
          <w:sz w:val="20"/>
        </w:rPr>
        <w:t>BDV</w:t>
      </w:r>
      <w:r w:rsidRPr="00E155C1">
        <w:rPr>
          <w:sz w:val="20"/>
        </w:rPr>
        <w:t xml:space="preserve">, leta 2005, 2010, 2018, </w:t>
      </w:r>
      <w:r w:rsidR="00D16D9B" w:rsidRPr="00E155C1">
        <w:rPr>
          <w:sz w:val="20"/>
        </w:rPr>
        <w:t xml:space="preserve">EU, </w:t>
      </w:r>
      <w:r w:rsidRPr="00E155C1">
        <w:rPr>
          <w:sz w:val="20"/>
        </w:rPr>
        <w:t>tekoč</w:t>
      </w:r>
      <w:r w:rsidR="00D16D9B" w:rsidRPr="00E155C1">
        <w:rPr>
          <w:sz w:val="20"/>
        </w:rPr>
        <w:t>e</w:t>
      </w:r>
      <w:r w:rsidRPr="00E155C1">
        <w:rPr>
          <w:sz w:val="20"/>
        </w:rPr>
        <w:t xml:space="preserve"> cen</w:t>
      </w:r>
      <w:r w:rsidR="00D16D9B" w:rsidRPr="00E155C1">
        <w:rPr>
          <w:sz w:val="20"/>
        </w:rPr>
        <w:t>e</w:t>
      </w:r>
      <w:bookmarkEnd w:id="77"/>
    </w:p>
    <w:p w14:paraId="73C7CCC8" w14:textId="77777777" w:rsidR="004439B1" w:rsidRDefault="00FF4D80" w:rsidP="009F3567">
      <w:pPr>
        <w:spacing w:before="0" w:line="276" w:lineRule="auto"/>
        <w:rPr>
          <w:sz w:val="20"/>
          <w:szCs w:val="20"/>
        </w:rPr>
      </w:pPr>
      <w:r>
        <w:rPr>
          <w:noProof/>
          <w:lang w:eastAsia="sl-SI"/>
        </w:rPr>
        <w:drawing>
          <wp:inline distT="0" distB="0" distL="0" distR="0" wp14:anchorId="286696B4" wp14:editId="5164954A">
            <wp:extent cx="5742305" cy="2394857"/>
            <wp:effectExtent l="0" t="0" r="10795" b="5715"/>
            <wp:docPr id="1631865557" name="Grafikon 1631865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08044C" w14:textId="77777777" w:rsidR="004439B1" w:rsidRDefault="00FF4D80" w:rsidP="00875DD8">
      <w:pPr>
        <w:spacing w:before="0" w:line="276" w:lineRule="auto"/>
        <w:rPr>
          <w:sz w:val="20"/>
          <w:szCs w:val="20"/>
        </w:rPr>
      </w:pPr>
      <w:r w:rsidRPr="0047652B">
        <w:rPr>
          <w:sz w:val="16"/>
          <w:szCs w:val="16"/>
        </w:rPr>
        <w:t>Vir: EUROSTAT</w:t>
      </w:r>
      <w:r>
        <w:rPr>
          <w:sz w:val="16"/>
          <w:szCs w:val="16"/>
        </w:rPr>
        <w:t>, preračun MKGP (</w:t>
      </w:r>
      <w:r w:rsidRPr="004D40E8">
        <w:rPr>
          <w:sz w:val="16"/>
          <w:szCs w:val="16"/>
        </w:rPr>
        <w:t>Economic accounts for agriculture - values at current prices [aact_eaa01]</w:t>
      </w:r>
      <w:r w:rsidRPr="004D40E8">
        <w:rPr>
          <w:sz w:val="16"/>
          <w:szCs w:val="16"/>
        </w:rPr>
        <w:tab/>
      </w:r>
    </w:p>
    <w:p w14:paraId="7599CA52" w14:textId="77777777" w:rsidR="004439B1" w:rsidRPr="00852E36" w:rsidRDefault="004439B1" w:rsidP="007613FE">
      <w:pPr>
        <w:pStyle w:val="Odstavek1"/>
      </w:pPr>
    </w:p>
    <w:p w14:paraId="27F3AF84" w14:textId="61D30E5A" w:rsidR="008443C5" w:rsidRDefault="00A34306" w:rsidP="007613FE">
      <w:pPr>
        <w:pStyle w:val="Odstavek1"/>
      </w:pPr>
      <w:r w:rsidRPr="00852E36">
        <w:t xml:space="preserve">Glede na vrsto bruto investicij v osnovna sredstva za leto 2018 prevladujejo investicije v stroje in opremo (42 %), v prevozna sredstva (26 %) in v kmetijske (nestanovanjske) zgradbe (20 %). Delež investicij v trajne nasade in osnovno čredo znaša 11 %. </w:t>
      </w:r>
      <w:r w:rsidR="001F2345">
        <w:t>Manj kot 1 % predstavljajo investicije v neopredmetena osnovna sredstva (kot je računalniška programska oprema) in v izboljšave zemljišč. V primerjavi z letom 2005 se povečuje delež vlaganj v stroje in opremo, ki so v letu 2005 predstavljala 32 % vseh bruto investicij v osnovna sredstva, v letu 2018 pa že 42 %. Zmanjšal se je delež investicij v kmetijske nestanovanjske zgradbe (v letu 2005</w:t>
      </w:r>
      <w:r w:rsidR="00A571FA">
        <w:t>:</w:t>
      </w:r>
      <w:r w:rsidR="001F2345">
        <w:t xml:space="preserve"> 26 %, v letu 2018</w:t>
      </w:r>
      <w:r w:rsidR="00A571FA">
        <w:t>:</w:t>
      </w:r>
      <w:r w:rsidR="001F2345">
        <w:t xml:space="preserve"> 20 %) in delež investicij v prevozna sredstva (v letu 2005: 29 %; v letu 2018: 26 %). </w:t>
      </w:r>
    </w:p>
    <w:p w14:paraId="4AA11B04" w14:textId="77777777" w:rsidR="00E440A2" w:rsidRPr="00852E36" w:rsidRDefault="00E440A2" w:rsidP="007613FE">
      <w:pPr>
        <w:pStyle w:val="Odstavek1"/>
      </w:pPr>
    </w:p>
    <w:p w14:paraId="21964DE9" w14:textId="50DA95B4" w:rsidR="008443C5" w:rsidRPr="00E155C1" w:rsidRDefault="00E440A2" w:rsidP="00DA2C5A">
      <w:pPr>
        <w:pStyle w:val="SCSlika0"/>
        <w:rPr>
          <w:rFonts w:eastAsiaTheme="minorHAnsi"/>
          <w:sz w:val="20"/>
          <w:szCs w:val="22"/>
          <w:lang w:eastAsia="en-US"/>
        </w:rPr>
      </w:pPr>
      <w:bookmarkStart w:id="78" w:name="_Toc89851059"/>
      <w:r w:rsidRPr="00E155C1">
        <w:rPr>
          <w:sz w:val="20"/>
        </w:rPr>
        <w:t xml:space="preserve">Slika </w:t>
      </w:r>
      <w:r w:rsidR="00072AFA" w:rsidRPr="00E155C1">
        <w:rPr>
          <w:noProof/>
          <w:sz w:val="20"/>
        </w:rPr>
        <w:fldChar w:fldCharType="begin"/>
      </w:r>
      <w:r w:rsidR="00072AFA" w:rsidRPr="00E155C1">
        <w:rPr>
          <w:noProof/>
          <w:sz w:val="20"/>
        </w:rPr>
        <w:instrText xml:space="preserve"> SEQ Slika \* ARABIC </w:instrText>
      </w:r>
      <w:r w:rsidR="00072AFA" w:rsidRPr="00E155C1">
        <w:rPr>
          <w:noProof/>
          <w:sz w:val="20"/>
        </w:rPr>
        <w:fldChar w:fldCharType="separate"/>
      </w:r>
      <w:r w:rsidR="00740F5C">
        <w:rPr>
          <w:noProof/>
          <w:sz w:val="20"/>
        </w:rPr>
        <w:t>17</w:t>
      </w:r>
      <w:r w:rsidR="00072AFA" w:rsidRPr="00E155C1">
        <w:rPr>
          <w:noProof/>
          <w:sz w:val="20"/>
        </w:rPr>
        <w:fldChar w:fldCharType="end"/>
      </w:r>
      <w:r w:rsidRPr="00E155C1">
        <w:rPr>
          <w:sz w:val="20"/>
        </w:rPr>
        <w:t>: Struktura bruto investicij v osnovna sredstva v kmetijstvu v SIoveniji v obdobju 2005–2018 glede na vrsto investicije</w:t>
      </w:r>
      <w:r w:rsidRPr="00E155C1">
        <w:rPr>
          <w:bCs/>
          <w:sz w:val="20"/>
        </w:rPr>
        <w:t>, v mio EUR</w:t>
      </w:r>
      <w:bookmarkEnd w:id="78"/>
    </w:p>
    <w:p w14:paraId="1E3794E0" w14:textId="77777777" w:rsidR="00812BD6" w:rsidRPr="0047652B" w:rsidRDefault="001507D8" w:rsidP="009F3567">
      <w:pPr>
        <w:pStyle w:val="Navadensplet"/>
        <w:spacing w:before="0" w:beforeAutospacing="0" w:after="0" w:afterAutospacing="0" w:line="276" w:lineRule="auto"/>
        <w:rPr>
          <w:rFonts w:ascii="Arial" w:eastAsiaTheme="minorHAnsi" w:hAnsi="Arial"/>
          <w:sz w:val="20"/>
          <w:szCs w:val="22"/>
          <w:highlight w:val="yellow"/>
          <w:lang w:eastAsia="en-US"/>
        </w:rPr>
      </w:pPr>
      <w:r>
        <w:rPr>
          <w:noProof/>
        </w:rPr>
        <w:drawing>
          <wp:inline distT="0" distB="0" distL="0" distR="0" wp14:anchorId="3FBEE667" wp14:editId="1999C4FB">
            <wp:extent cx="5747385" cy="3930650"/>
            <wp:effectExtent l="0" t="0" r="5715" b="1270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5715D0" w14:textId="77777777" w:rsidR="00652EFE" w:rsidRPr="00852E36" w:rsidRDefault="004D40E8" w:rsidP="00875DD8">
      <w:pPr>
        <w:spacing w:before="0" w:line="276" w:lineRule="auto"/>
        <w:rPr>
          <w:rFonts w:eastAsiaTheme="minorHAnsi"/>
          <w:bCs/>
          <w:sz w:val="16"/>
          <w:szCs w:val="16"/>
        </w:rPr>
      </w:pPr>
      <w:r>
        <w:rPr>
          <w:rFonts w:eastAsiaTheme="minorHAnsi"/>
          <w:bCs/>
          <w:sz w:val="16"/>
          <w:szCs w:val="16"/>
        </w:rPr>
        <w:t>V</w:t>
      </w:r>
      <w:r w:rsidR="00057B59" w:rsidRPr="00852E36">
        <w:rPr>
          <w:rFonts w:eastAsiaTheme="minorHAnsi"/>
          <w:bCs/>
          <w:sz w:val="16"/>
          <w:szCs w:val="16"/>
        </w:rPr>
        <w:t>ir</w:t>
      </w:r>
      <w:r w:rsidR="00652EFE" w:rsidRPr="00852E36">
        <w:rPr>
          <w:rFonts w:eastAsiaTheme="minorHAnsi"/>
          <w:bCs/>
          <w:sz w:val="16"/>
          <w:szCs w:val="16"/>
        </w:rPr>
        <w:t>: EUROSTAT</w:t>
      </w:r>
    </w:p>
    <w:p w14:paraId="08ECAE7F" w14:textId="77777777" w:rsidR="00652EFE" w:rsidRDefault="00652EFE" w:rsidP="007613FE">
      <w:pPr>
        <w:pStyle w:val="Pripombabesedilo"/>
        <w:spacing w:before="0" w:line="260" w:lineRule="atLeast"/>
        <w:rPr>
          <w:rFonts w:ascii="Arial" w:eastAsiaTheme="minorHAnsi" w:hAnsi="Arial"/>
        </w:rPr>
      </w:pPr>
    </w:p>
    <w:p w14:paraId="7AEF011F" w14:textId="29DC0A28" w:rsidR="000D0896" w:rsidRDefault="004C482A" w:rsidP="00DA2C5A">
      <w:pPr>
        <w:rPr>
          <w:rFonts w:eastAsiaTheme="minorHAnsi"/>
          <w:lang w:eastAsia="en-US"/>
        </w:rPr>
      </w:pPr>
      <w:r>
        <w:rPr>
          <w:rFonts w:eastAsiaTheme="minorHAnsi"/>
          <w:lang w:eastAsia="en-US"/>
        </w:rPr>
        <w:t>Kapitalska intenzivnost v slovenskem kmetijstvu se izboljšuje</w:t>
      </w:r>
      <w:r w:rsidR="00D91D65">
        <w:rPr>
          <w:rFonts w:eastAsiaTheme="minorHAnsi"/>
          <w:lang w:eastAsia="en-US"/>
        </w:rPr>
        <w:t>, kar je razvidno tako iz bruto investicij v osnovna sredstva</w:t>
      </w:r>
      <w:r w:rsidR="005E398A">
        <w:rPr>
          <w:rFonts w:eastAsiaTheme="minorHAnsi"/>
          <w:lang w:eastAsia="en-US"/>
        </w:rPr>
        <w:t xml:space="preserve"> na </w:t>
      </w:r>
      <w:r w:rsidR="00D91D65">
        <w:rPr>
          <w:rFonts w:eastAsiaTheme="minorHAnsi"/>
          <w:lang w:eastAsia="en-US"/>
        </w:rPr>
        <w:t>ha KZU, kot bruto investicij v osnovna sredstva</w:t>
      </w:r>
      <w:r w:rsidR="005E398A">
        <w:rPr>
          <w:rFonts w:eastAsiaTheme="minorHAnsi"/>
          <w:lang w:eastAsia="en-US"/>
        </w:rPr>
        <w:t xml:space="preserve"> na </w:t>
      </w:r>
      <w:r w:rsidR="00D91D65">
        <w:rPr>
          <w:rFonts w:eastAsiaTheme="minorHAnsi"/>
          <w:lang w:eastAsia="en-US"/>
        </w:rPr>
        <w:t>PDM</w:t>
      </w:r>
      <w:r>
        <w:rPr>
          <w:rFonts w:eastAsiaTheme="minorHAnsi"/>
          <w:lang w:eastAsia="en-US"/>
        </w:rPr>
        <w:t xml:space="preserve">. </w:t>
      </w:r>
      <w:r w:rsidR="00EB3B48" w:rsidRPr="00852E36">
        <w:rPr>
          <w:rFonts w:eastAsiaTheme="minorHAnsi"/>
          <w:lang w:eastAsia="en-US"/>
        </w:rPr>
        <w:t xml:space="preserve">Bruto </w:t>
      </w:r>
      <w:r w:rsidR="002A0E60">
        <w:rPr>
          <w:rFonts w:eastAsiaTheme="minorHAnsi"/>
          <w:lang w:eastAsia="en-US"/>
        </w:rPr>
        <w:t>investicije v osnovna sredstva</w:t>
      </w:r>
      <w:r w:rsidR="00EB3B48" w:rsidRPr="00852E36">
        <w:rPr>
          <w:rFonts w:eastAsiaTheme="minorHAnsi"/>
          <w:lang w:eastAsia="en-US"/>
        </w:rPr>
        <w:t xml:space="preserve"> na hektar </w:t>
      </w:r>
      <w:r w:rsidR="00047BAB">
        <w:rPr>
          <w:rFonts w:eastAsiaTheme="minorHAnsi"/>
          <w:lang w:eastAsia="en-US"/>
        </w:rPr>
        <w:t xml:space="preserve">kmetijskih zemljišč v uporabi </w:t>
      </w:r>
      <w:r w:rsidR="00EB3B48" w:rsidRPr="00852E36">
        <w:rPr>
          <w:rFonts w:eastAsiaTheme="minorHAnsi"/>
          <w:lang w:eastAsia="en-US"/>
        </w:rPr>
        <w:t>so v 201</w:t>
      </w:r>
      <w:r w:rsidR="00047BAB">
        <w:rPr>
          <w:rFonts w:eastAsiaTheme="minorHAnsi"/>
          <w:lang w:eastAsia="en-US"/>
        </w:rPr>
        <w:t>6</w:t>
      </w:r>
      <w:r w:rsidR="004D40E8">
        <w:rPr>
          <w:rStyle w:val="Sprotnaopomba-sklic"/>
          <w:rFonts w:eastAsiaTheme="minorHAnsi"/>
          <w:lang w:eastAsia="en-US"/>
        </w:rPr>
        <w:footnoteReference w:id="7"/>
      </w:r>
      <w:r w:rsidR="004D40E8">
        <w:rPr>
          <w:rFonts w:eastAsiaTheme="minorHAnsi"/>
          <w:lang w:eastAsia="en-US"/>
        </w:rPr>
        <w:t xml:space="preserve"> </w:t>
      </w:r>
      <w:r w:rsidR="00EB3B48" w:rsidRPr="00852E36">
        <w:rPr>
          <w:rFonts w:eastAsiaTheme="minorHAnsi"/>
          <w:lang w:eastAsia="en-US"/>
        </w:rPr>
        <w:t>v Sloveniji znašal</w:t>
      </w:r>
      <w:r w:rsidR="00CB61D7">
        <w:rPr>
          <w:rFonts w:eastAsiaTheme="minorHAnsi"/>
          <w:lang w:eastAsia="en-US"/>
        </w:rPr>
        <w:t>e</w:t>
      </w:r>
      <w:r w:rsidR="00EB3B48" w:rsidRPr="00852E36">
        <w:rPr>
          <w:rFonts w:eastAsiaTheme="minorHAnsi"/>
          <w:lang w:eastAsia="en-US"/>
        </w:rPr>
        <w:t xml:space="preserve"> </w:t>
      </w:r>
      <w:r w:rsidR="000D0896">
        <w:rPr>
          <w:rFonts w:eastAsiaTheme="minorHAnsi"/>
          <w:lang w:eastAsia="en-US"/>
        </w:rPr>
        <w:t>474</w:t>
      </w:r>
      <w:r w:rsidR="00EB3B48" w:rsidRPr="00852E36">
        <w:rPr>
          <w:rFonts w:eastAsiaTheme="minorHAnsi"/>
          <w:lang w:eastAsia="en-US"/>
        </w:rPr>
        <w:t xml:space="preserve"> EUR/ha</w:t>
      </w:r>
      <w:r w:rsidR="00E440A2">
        <w:rPr>
          <w:rFonts w:eastAsiaTheme="minorHAnsi"/>
          <w:lang w:eastAsia="en-US"/>
        </w:rPr>
        <w:t xml:space="preserve"> </w:t>
      </w:r>
      <w:r w:rsidR="00D91D65">
        <w:rPr>
          <w:rFonts w:eastAsiaTheme="minorHAnsi"/>
          <w:lang w:eastAsia="en-US"/>
        </w:rPr>
        <w:t>KZU</w:t>
      </w:r>
      <w:r w:rsidR="000D0896">
        <w:rPr>
          <w:rFonts w:eastAsiaTheme="minorHAnsi"/>
          <w:lang w:eastAsia="en-US"/>
        </w:rPr>
        <w:t xml:space="preserve"> </w:t>
      </w:r>
      <w:r w:rsidR="00047BAB">
        <w:rPr>
          <w:rFonts w:eastAsiaTheme="minorHAnsi"/>
          <w:lang w:eastAsia="en-US"/>
        </w:rPr>
        <w:t>in so bil</w:t>
      </w:r>
      <w:r w:rsidR="00E440A2">
        <w:rPr>
          <w:rFonts w:eastAsiaTheme="minorHAnsi"/>
          <w:lang w:eastAsia="en-US"/>
        </w:rPr>
        <w:t xml:space="preserve">a </w:t>
      </w:r>
      <w:r w:rsidR="00047BAB">
        <w:rPr>
          <w:rFonts w:eastAsiaTheme="minorHAnsi"/>
          <w:lang w:eastAsia="en-US"/>
        </w:rPr>
        <w:t xml:space="preserve">za </w:t>
      </w:r>
      <w:r w:rsidR="000D0896">
        <w:rPr>
          <w:rFonts w:eastAsiaTheme="minorHAnsi"/>
          <w:lang w:eastAsia="en-US"/>
        </w:rPr>
        <w:t>2,7</w:t>
      </w:r>
      <w:r w:rsidR="00047BAB">
        <w:rPr>
          <w:rFonts w:eastAsiaTheme="minorHAnsi"/>
          <w:lang w:eastAsia="en-US"/>
        </w:rPr>
        <w:t xml:space="preserve"> % višj</w:t>
      </w:r>
      <w:r w:rsidR="00CB61D7">
        <w:rPr>
          <w:rFonts w:eastAsiaTheme="minorHAnsi"/>
          <w:lang w:eastAsia="en-US"/>
        </w:rPr>
        <w:t xml:space="preserve">e </w:t>
      </w:r>
      <w:r w:rsidR="00047BAB">
        <w:rPr>
          <w:rFonts w:eastAsiaTheme="minorHAnsi"/>
          <w:lang w:eastAsia="en-US"/>
        </w:rPr>
        <w:t>kot v 20</w:t>
      </w:r>
      <w:r w:rsidR="000D0896">
        <w:rPr>
          <w:rFonts w:eastAsiaTheme="minorHAnsi"/>
          <w:lang w:eastAsia="en-US"/>
        </w:rPr>
        <w:t>13</w:t>
      </w:r>
      <w:r w:rsidR="00EB3B48" w:rsidRPr="00852E36">
        <w:rPr>
          <w:rFonts w:eastAsiaTheme="minorHAnsi"/>
          <w:lang w:eastAsia="en-US"/>
        </w:rPr>
        <w:t xml:space="preserve">. </w:t>
      </w:r>
      <w:r w:rsidR="00EB6CC3">
        <w:rPr>
          <w:rFonts w:eastAsiaTheme="minorHAnsi"/>
          <w:lang w:eastAsia="en-US"/>
        </w:rPr>
        <w:t>V primerjavi</w:t>
      </w:r>
      <w:r>
        <w:rPr>
          <w:rFonts w:eastAsiaTheme="minorHAnsi"/>
          <w:lang w:eastAsia="en-US"/>
        </w:rPr>
        <w:t xml:space="preserve"> s povprečjem EU-28 je kapitalska intenzivnost na hektar KZU v Sloveniji višja, Slovenija pa glede na vrednost tega kazalnika spada v prvo tretjino držav EU.</w:t>
      </w:r>
      <w:r>
        <w:rPr>
          <w:rStyle w:val="Sprotnaopomba-sklic"/>
          <w:rFonts w:eastAsiaTheme="minorHAnsi"/>
          <w:lang w:eastAsia="en-US"/>
        </w:rPr>
        <w:footnoteReference w:id="8"/>
      </w:r>
      <w:r>
        <w:rPr>
          <w:rFonts w:eastAsiaTheme="minorHAnsi"/>
          <w:lang w:eastAsia="en-US"/>
        </w:rPr>
        <w:t xml:space="preserve">   </w:t>
      </w:r>
    </w:p>
    <w:p w14:paraId="3E0AEAF0" w14:textId="77777777" w:rsidR="000D0896" w:rsidRDefault="000D0896" w:rsidP="007613FE">
      <w:pPr>
        <w:spacing w:before="0" w:line="260" w:lineRule="atLeast"/>
        <w:rPr>
          <w:rFonts w:eastAsiaTheme="minorHAnsi"/>
          <w:sz w:val="20"/>
          <w:szCs w:val="22"/>
          <w:lang w:eastAsia="en-US"/>
        </w:rPr>
      </w:pPr>
    </w:p>
    <w:p w14:paraId="43E3C996" w14:textId="122B1D8F" w:rsidR="00E440A2" w:rsidRPr="00E155C1" w:rsidRDefault="00E440A2" w:rsidP="00DA2C5A">
      <w:pPr>
        <w:pStyle w:val="SCSlika0"/>
        <w:rPr>
          <w:rFonts w:eastAsiaTheme="minorHAnsi"/>
          <w:szCs w:val="22"/>
          <w:lang w:eastAsia="en-US"/>
        </w:rPr>
      </w:pPr>
      <w:bookmarkStart w:id="79" w:name="_Toc89851060"/>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Pr>
          <w:noProof/>
          <w:sz w:val="20"/>
          <w:szCs w:val="16"/>
        </w:rPr>
        <w:t>18</w:t>
      </w:r>
      <w:r w:rsidRPr="00E155C1">
        <w:rPr>
          <w:noProof/>
          <w:sz w:val="20"/>
          <w:szCs w:val="16"/>
        </w:rPr>
        <w:fldChar w:fldCharType="end"/>
      </w:r>
      <w:r w:rsidRPr="00E155C1">
        <w:rPr>
          <w:sz w:val="20"/>
          <w:szCs w:val="16"/>
        </w:rPr>
        <w:t>: B</w:t>
      </w:r>
      <w:r w:rsidRPr="00E155C1">
        <w:rPr>
          <w:sz w:val="20"/>
        </w:rPr>
        <w:t xml:space="preserve">ruto investicije v osnovna sredstva v kmetijstvu (GFCF) na hektar kmetijskih zemljišč v uporabi (KZU), SIovenija in EU-28, 2013 in 2016, </w:t>
      </w:r>
      <w:r w:rsidRPr="00E155C1">
        <w:rPr>
          <w:bCs/>
          <w:sz w:val="20"/>
          <w:lang w:eastAsia="en-US"/>
        </w:rPr>
        <w:t xml:space="preserve">v </w:t>
      </w:r>
      <w:r w:rsidRPr="00E155C1">
        <w:rPr>
          <w:bCs/>
          <w:sz w:val="20"/>
        </w:rPr>
        <w:t>EUR</w:t>
      </w:r>
      <w:bookmarkEnd w:id="79"/>
      <w:r w:rsidRPr="00E155C1">
        <w:rPr>
          <w:bCs/>
          <w:sz w:val="20"/>
        </w:rPr>
        <w:t xml:space="preserve"> </w:t>
      </w:r>
    </w:p>
    <w:p w14:paraId="14B95583" w14:textId="77777777" w:rsidR="004C482A" w:rsidRDefault="004C482A" w:rsidP="009F3567">
      <w:pPr>
        <w:spacing w:before="0" w:line="276" w:lineRule="auto"/>
        <w:rPr>
          <w:rFonts w:eastAsiaTheme="minorHAnsi"/>
          <w:sz w:val="20"/>
          <w:szCs w:val="22"/>
          <w:lang w:eastAsia="en-US"/>
        </w:rPr>
      </w:pPr>
      <w:r>
        <w:rPr>
          <w:noProof/>
          <w:lang w:eastAsia="sl-SI"/>
        </w:rPr>
        <w:drawing>
          <wp:inline distT="0" distB="0" distL="0" distR="0" wp14:anchorId="3B268735" wp14:editId="4BAB1175">
            <wp:extent cx="5713840" cy="2176922"/>
            <wp:effectExtent l="0" t="0" r="1270" b="13970"/>
            <wp:docPr id="1631865547" name="Grafikon 1631865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124A26" w14:textId="77777777" w:rsidR="00D52EC6" w:rsidRPr="00852E36" w:rsidRDefault="00D52EC6" w:rsidP="00875DD8">
      <w:pPr>
        <w:spacing w:before="0" w:line="276" w:lineRule="auto"/>
        <w:rPr>
          <w:rFonts w:eastAsiaTheme="minorHAnsi"/>
          <w:bCs/>
          <w:sz w:val="16"/>
          <w:szCs w:val="16"/>
        </w:rPr>
      </w:pPr>
      <w:r>
        <w:rPr>
          <w:rFonts w:eastAsiaTheme="minorHAnsi"/>
          <w:bCs/>
          <w:sz w:val="16"/>
          <w:szCs w:val="16"/>
        </w:rPr>
        <w:t>V</w:t>
      </w:r>
      <w:r w:rsidRPr="00852E36">
        <w:rPr>
          <w:rFonts w:eastAsiaTheme="minorHAnsi"/>
          <w:bCs/>
          <w:sz w:val="16"/>
          <w:szCs w:val="16"/>
        </w:rPr>
        <w:t>ir: EUROSTAT</w:t>
      </w:r>
      <w:r>
        <w:rPr>
          <w:rFonts w:eastAsiaTheme="minorHAnsi"/>
          <w:bCs/>
          <w:sz w:val="16"/>
          <w:szCs w:val="16"/>
        </w:rPr>
        <w:t xml:space="preserve">, preračun MKGP </w:t>
      </w:r>
      <w:r w:rsidRPr="00D52EC6">
        <w:rPr>
          <w:rFonts w:eastAsiaTheme="minorHAnsi"/>
          <w:bCs/>
          <w:sz w:val="16"/>
          <w:szCs w:val="16"/>
        </w:rPr>
        <w:t>[aact_eaa01]</w:t>
      </w:r>
      <w:r>
        <w:rPr>
          <w:rFonts w:eastAsiaTheme="minorHAnsi"/>
          <w:bCs/>
          <w:sz w:val="16"/>
          <w:szCs w:val="16"/>
        </w:rPr>
        <w:t xml:space="preserve">, </w:t>
      </w:r>
      <w:r w:rsidRPr="00D52EC6">
        <w:rPr>
          <w:rFonts w:eastAsiaTheme="minorHAnsi"/>
          <w:bCs/>
          <w:sz w:val="16"/>
          <w:szCs w:val="16"/>
        </w:rPr>
        <w:t>[ef_lus_main]</w:t>
      </w:r>
      <w:r>
        <w:rPr>
          <w:rStyle w:val="Sprotnaopomba-sklic"/>
          <w:rFonts w:eastAsiaTheme="minorHAnsi"/>
          <w:bCs/>
        </w:rPr>
        <w:footnoteReference w:id="9"/>
      </w:r>
      <w:r>
        <w:rPr>
          <w:rFonts w:eastAsiaTheme="minorHAnsi"/>
          <w:bCs/>
          <w:sz w:val="16"/>
          <w:szCs w:val="16"/>
        </w:rPr>
        <w:t>.</w:t>
      </w:r>
    </w:p>
    <w:p w14:paraId="49B35930" w14:textId="77777777" w:rsidR="004C482A" w:rsidRDefault="004C482A" w:rsidP="007613FE">
      <w:pPr>
        <w:pStyle w:val="Odstavek1"/>
        <w:rPr>
          <w:rFonts w:eastAsiaTheme="minorHAnsi"/>
          <w:lang w:eastAsia="en-US"/>
        </w:rPr>
      </w:pPr>
    </w:p>
    <w:p w14:paraId="007167EC" w14:textId="516A924F" w:rsidR="00405E4E" w:rsidRDefault="00D91D65" w:rsidP="005B2A49">
      <w:pPr>
        <w:rPr>
          <w:rFonts w:eastAsiaTheme="minorHAnsi"/>
          <w:lang w:eastAsia="en-US"/>
        </w:rPr>
      </w:pPr>
      <w:r>
        <w:rPr>
          <w:rFonts w:eastAsiaTheme="minorHAnsi"/>
          <w:lang w:eastAsia="en-US"/>
        </w:rPr>
        <w:t>Bruto investicij</w:t>
      </w:r>
      <w:r w:rsidR="00D13ED1">
        <w:rPr>
          <w:rFonts w:eastAsiaTheme="minorHAnsi"/>
          <w:lang w:eastAsia="en-US"/>
        </w:rPr>
        <w:t>e</w:t>
      </w:r>
      <w:r>
        <w:rPr>
          <w:rFonts w:eastAsiaTheme="minorHAnsi"/>
          <w:lang w:eastAsia="en-US"/>
        </w:rPr>
        <w:t xml:space="preserve"> v osnovna sredstva</w:t>
      </w:r>
      <w:r w:rsidR="005E398A">
        <w:rPr>
          <w:rFonts w:eastAsiaTheme="minorHAnsi"/>
          <w:lang w:eastAsia="en-US"/>
        </w:rPr>
        <w:t xml:space="preserve"> na </w:t>
      </w:r>
      <w:r w:rsidR="00CA507C">
        <w:rPr>
          <w:rFonts w:eastAsiaTheme="minorHAnsi"/>
          <w:lang w:eastAsia="en-US"/>
        </w:rPr>
        <w:t>PDM</w:t>
      </w:r>
      <w:r w:rsidR="00405E4E">
        <w:rPr>
          <w:rFonts w:eastAsiaTheme="minorHAnsi"/>
          <w:lang w:eastAsia="en-US"/>
        </w:rPr>
        <w:t xml:space="preserve"> </w:t>
      </w:r>
      <w:r w:rsidR="00EB3B48" w:rsidRPr="00852E36">
        <w:rPr>
          <w:rFonts w:eastAsiaTheme="minorHAnsi"/>
          <w:lang w:eastAsia="en-US"/>
        </w:rPr>
        <w:t>so v 201</w:t>
      </w:r>
      <w:r w:rsidR="004A3DCE">
        <w:rPr>
          <w:rFonts w:eastAsiaTheme="minorHAnsi"/>
          <w:lang w:eastAsia="en-US"/>
        </w:rPr>
        <w:t>8</w:t>
      </w:r>
      <w:r w:rsidR="00EB3B48" w:rsidRPr="00852E36">
        <w:rPr>
          <w:rFonts w:eastAsiaTheme="minorHAnsi"/>
          <w:lang w:eastAsia="en-US"/>
        </w:rPr>
        <w:t xml:space="preserve"> v Sloveniji znašal</w:t>
      </w:r>
      <w:r>
        <w:rPr>
          <w:rFonts w:eastAsiaTheme="minorHAnsi"/>
          <w:lang w:eastAsia="en-US"/>
        </w:rPr>
        <w:t>e</w:t>
      </w:r>
      <w:r w:rsidR="00EB3B48" w:rsidRPr="00852E36">
        <w:rPr>
          <w:rFonts w:eastAsiaTheme="minorHAnsi"/>
          <w:lang w:eastAsia="en-US"/>
        </w:rPr>
        <w:t xml:space="preserve"> </w:t>
      </w:r>
      <w:r w:rsidR="004A3DCE">
        <w:rPr>
          <w:rFonts w:eastAsiaTheme="minorHAnsi"/>
          <w:lang w:eastAsia="en-US"/>
        </w:rPr>
        <w:t>3.913</w:t>
      </w:r>
      <w:r w:rsidR="00EB3B48" w:rsidRPr="00852E36">
        <w:rPr>
          <w:rFonts w:eastAsiaTheme="minorHAnsi"/>
          <w:lang w:eastAsia="en-US"/>
        </w:rPr>
        <w:t xml:space="preserve"> EUR</w:t>
      </w:r>
      <w:r w:rsidR="00047BAB">
        <w:rPr>
          <w:rFonts w:eastAsiaTheme="minorHAnsi"/>
          <w:lang w:eastAsia="en-US"/>
        </w:rPr>
        <w:t xml:space="preserve"> in so bil</w:t>
      </w:r>
      <w:r>
        <w:rPr>
          <w:rFonts w:eastAsiaTheme="minorHAnsi"/>
          <w:lang w:eastAsia="en-US"/>
        </w:rPr>
        <w:t>e</w:t>
      </w:r>
      <w:r w:rsidR="00047BAB">
        <w:rPr>
          <w:rFonts w:eastAsiaTheme="minorHAnsi"/>
          <w:lang w:eastAsia="en-US"/>
        </w:rPr>
        <w:t xml:space="preserve"> za </w:t>
      </w:r>
      <w:r w:rsidR="004A3DCE">
        <w:rPr>
          <w:rFonts w:eastAsiaTheme="minorHAnsi"/>
          <w:lang w:eastAsia="en-US"/>
        </w:rPr>
        <w:t>62</w:t>
      </w:r>
      <w:r w:rsidR="00047BAB">
        <w:rPr>
          <w:rFonts w:eastAsiaTheme="minorHAnsi"/>
          <w:lang w:eastAsia="en-US"/>
        </w:rPr>
        <w:t xml:space="preserve"> % višj</w:t>
      </w:r>
      <w:r>
        <w:rPr>
          <w:rFonts w:eastAsiaTheme="minorHAnsi"/>
          <w:lang w:eastAsia="en-US"/>
        </w:rPr>
        <w:t>e</w:t>
      </w:r>
      <w:r w:rsidR="00047BAB">
        <w:rPr>
          <w:rFonts w:eastAsiaTheme="minorHAnsi"/>
          <w:lang w:eastAsia="en-US"/>
        </w:rPr>
        <w:t xml:space="preserve"> </w:t>
      </w:r>
      <w:r w:rsidR="004A3DCE">
        <w:rPr>
          <w:rFonts w:eastAsiaTheme="minorHAnsi"/>
          <w:lang w:eastAsia="en-US"/>
        </w:rPr>
        <w:t xml:space="preserve">glede na </w:t>
      </w:r>
      <w:r w:rsidR="00047BAB">
        <w:rPr>
          <w:rFonts w:eastAsiaTheme="minorHAnsi"/>
          <w:lang w:eastAsia="en-US"/>
        </w:rPr>
        <w:t>2005.</w:t>
      </w:r>
      <w:r w:rsidR="00EB3B48" w:rsidRPr="00852E36">
        <w:rPr>
          <w:rFonts w:eastAsiaTheme="minorHAnsi"/>
          <w:lang w:eastAsia="en-US"/>
        </w:rPr>
        <w:t xml:space="preserve"> </w:t>
      </w:r>
      <w:r w:rsidR="005E398A">
        <w:rPr>
          <w:rFonts w:eastAsiaTheme="minorHAnsi"/>
          <w:lang w:eastAsia="en-US"/>
        </w:rPr>
        <w:t xml:space="preserve">Iz </w:t>
      </w:r>
      <w:r w:rsidR="00905930">
        <w:rPr>
          <w:rFonts w:eastAsiaTheme="minorHAnsi"/>
          <w:lang w:eastAsia="en-US"/>
        </w:rPr>
        <w:t>ponazoritve (</w:t>
      </w:r>
      <w:r w:rsidR="000150AF">
        <w:rPr>
          <w:rFonts w:eastAsiaTheme="minorHAnsi"/>
          <w:lang w:eastAsia="en-US"/>
        </w:rPr>
        <w:fldChar w:fldCharType="begin"/>
      </w:r>
      <w:r w:rsidR="000150AF">
        <w:rPr>
          <w:rFonts w:eastAsiaTheme="minorHAnsi"/>
          <w:lang w:eastAsia="en-US"/>
        </w:rPr>
        <w:instrText xml:space="preserve"> REF _Ref54806519 \h </w:instrText>
      </w:r>
      <w:r w:rsidR="007613FE">
        <w:rPr>
          <w:rFonts w:eastAsiaTheme="minorHAnsi"/>
          <w:lang w:eastAsia="en-US"/>
        </w:rPr>
        <w:instrText xml:space="preserve"> \* MERGEFORMAT </w:instrText>
      </w:r>
      <w:r w:rsidR="000150AF">
        <w:rPr>
          <w:rFonts w:eastAsiaTheme="minorHAnsi"/>
          <w:lang w:eastAsia="en-US"/>
        </w:rPr>
      </w:r>
      <w:r w:rsidR="000150AF">
        <w:rPr>
          <w:rFonts w:eastAsiaTheme="minorHAnsi"/>
          <w:lang w:eastAsia="en-US"/>
        </w:rPr>
        <w:fldChar w:fldCharType="separate"/>
      </w:r>
      <w:r w:rsidR="0088117A" w:rsidRPr="0088117A">
        <w:rPr>
          <w:szCs w:val="16"/>
        </w:rPr>
        <w:t>Slika</w:t>
      </w:r>
      <w:r w:rsidR="0088117A" w:rsidRPr="0088117A">
        <w:rPr>
          <w:noProof/>
          <w:szCs w:val="16"/>
        </w:rPr>
        <w:t xml:space="preserve"> 18</w:t>
      </w:r>
      <w:r w:rsidR="000150AF">
        <w:rPr>
          <w:rFonts w:eastAsiaTheme="minorHAnsi"/>
          <w:lang w:eastAsia="en-US"/>
        </w:rPr>
        <w:fldChar w:fldCharType="end"/>
      </w:r>
      <w:r w:rsidR="00905930">
        <w:rPr>
          <w:rFonts w:eastAsiaTheme="minorHAnsi"/>
          <w:lang w:eastAsia="en-US"/>
        </w:rPr>
        <w:t>)</w:t>
      </w:r>
      <w:r w:rsidR="005E398A">
        <w:rPr>
          <w:rFonts w:eastAsiaTheme="minorHAnsi"/>
          <w:lang w:eastAsia="en-US"/>
        </w:rPr>
        <w:t xml:space="preserve"> je razvidno,</w:t>
      </w:r>
      <w:r w:rsidR="00405E4E">
        <w:rPr>
          <w:rFonts w:eastAsiaTheme="minorHAnsi"/>
          <w:lang w:eastAsia="en-US"/>
        </w:rPr>
        <w:t xml:space="preserve"> </w:t>
      </w:r>
      <w:r w:rsidR="005E398A">
        <w:rPr>
          <w:rFonts w:eastAsiaTheme="minorHAnsi"/>
          <w:lang w:eastAsia="en-US"/>
        </w:rPr>
        <w:t xml:space="preserve">da </w:t>
      </w:r>
      <w:r w:rsidR="00405E4E">
        <w:rPr>
          <w:rFonts w:eastAsiaTheme="minorHAnsi"/>
          <w:lang w:eastAsia="en-US"/>
        </w:rPr>
        <w:t xml:space="preserve">so </w:t>
      </w:r>
      <w:r w:rsidR="005E398A">
        <w:rPr>
          <w:rFonts w:eastAsiaTheme="minorHAnsi"/>
          <w:lang w:eastAsia="en-US"/>
        </w:rPr>
        <w:t>b</w:t>
      </w:r>
      <w:r w:rsidR="005E398A" w:rsidRPr="005E398A">
        <w:rPr>
          <w:rFonts w:eastAsiaTheme="minorHAnsi"/>
          <w:lang w:eastAsia="en-US"/>
        </w:rPr>
        <w:t>ruto investicij</w:t>
      </w:r>
      <w:r w:rsidR="005E398A">
        <w:rPr>
          <w:rFonts w:eastAsiaTheme="minorHAnsi"/>
          <w:lang w:eastAsia="en-US"/>
        </w:rPr>
        <w:t>e</w:t>
      </w:r>
      <w:r w:rsidR="005E398A" w:rsidRPr="005E398A">
        <w:rPr>
          <w:rFonts w:eastAsiaTheme="minorHAnsi"/>
          <w:lang w:eastAsia="en-US"/>
        </w:rPr>
        <w:t xml:space="preserve"> v osnovna sredstva</w:t>
      </w:r>
      <w:r w:rsidR="005E398A">
        <w:rPr>
          <w:rFonts w:eastAsiaTheme="minorHAnsi"/>
          <w:lang w:eastAsia="en-US"/>
        </w:rPr>
        <w:t xml:space="preserve"> na PDM</w:t>
      </w:r>
      <w:r w:rsidR="005E398A" w:rsidRPr="005E398A">
        <w:rPr>
          <w:rFonts w:eastAsiaTheme="minorHAnsi"/>
          <w:lang w:eastAsia="en-US"/>
        </w:rPr>
        <w:t xml:space="preserve"> </w:t>
      </w:r>
      <w:r w:rsidR="00405E4E">
        <w:rPr>
          <w:rFonts w:eastAsiaTheme="minorHAnsi"/>
          <w:lang w:eastAsia="en-US"/>
        </w:rPr>
        <w:t xml:space="preserve">od 2005 do 2008 sledile trendom rasti na nivoju EU, ob </w:t>
      </w:r>
      <w:r w:rsidR="00CF3225">
        <w:rPr>
          <w:rFonts w:eastAsiaTheme="minorHAnsi"/>
          <w:lang w:eastAsia="en-US"/>
        </w:rPr>
        <w:t xml:space="preserve">izbruhu </w:t>
      </w:r>
      <w:r w:rsidR="00405E4E">
        <w:rPr>
          <w:rFonts w:eastAsiaTheme="minorHAnsi"/>
          <w:lang w:eastAsia="en-US"/>
        </w:rPr>
        <w:t xml:space="preserve">in po krizi pa padale do leta 2012. V obdobju 2005–2018 je stopnja rasti </w:t>
      </w:r>
      <w:r w:rsidR="00CF3225">
        <w:rPr>
          <w:rFonts w:eastAsiaTheme="minorHAnsi"/>
          <w:lang w:eastAsia="en-US"/>
        </w:rPr>
        <w:t>investicijskih vlaganj na PDM v slovenskem in v evropskem kmetijstvu približno enaka (62 % za Slovenijo; 60 % za EU-28), je pa v Sloveniji v zadnjih 3 letih opazna bolj strma</w:t>
      </w:r>
      <w:r w:rsidR="00405E4E">
        <w:rPr>
          <w:rFonts w:eastAsiaTheme="minorHAnsi"/>
          <w:lang w:eastAsia="en-US"/>
        </w:rPr>
        <w:t xml:space="preserve"> rast </w:t>
      </w:r>
      <w:r w:rsidR="00CF3225">
        <w:rPr>
          <w:rFonts w:eastAsiaTheme="minorHAnsi"/>
          <w:lang w:eastAsia="en-US"/>
        </w:rPr>
        <w:t xml:space="preserve">tega </w:t>
      </w:r>
      <w:r w:rsidR="00405E4E">
        <w:rPr>
          <w:rFonts w:eastAsiaTheme="minorHAnsi"/>
          <w:lang w:eastAsia="en-US"/>
        </w:rPr>
        <w:t xml:space="preserve">kazalnika </w:t>
      </w:r>
      <w:r w:rsidR="00CF3225">
        <w:rPr>
          <w:rFonts w:eastAsiaTheme="minorHAnsi"/>
          <w:lang w:eastAsia="en-US"/>
        </w:rPr>
        <w:t xml:space="preserve">kot </w:t>
      </w:r>
      <w:r w:rsidR="00405E4E">
        <w:rPr>
          <w:rFonts w:eastAsiaTheme="minorHAnsi"/>
          <w:lang w:eastAsia="en-US"/>
        </w:rPr>
        <w:t>v povprečju EU-28</w:t>
      </w:r>
      <w:r w:rsidR="00CF3225">
        <w:rPr>
          <w:rFonts w:eastAsiaTheme="minorHAnsi"/>
          <w:lang w:eastAsia="en-US"/>
        </w:rPr>
        <w:t xml:space="preserve">, na podlagi česar lahko sklepamo na postopno približevanje povprečju EU, čeprav je zaostanek Slovenije na tem področju še </w:t>
      </w:r>
      <w:r w:rsidR="005E398A">
        <w:rPr>
          <w:rFonts w:eastAsiaTheme="minorHAnsi"/>
          <w:lang w:eastAsia="en-US"/>
        </w:rPr>
        <w:t>vedno</w:t>
      </w:r>
      <w:r w:rsidR="00CF3225">
        <w:rPr>
          <w:rFonts w:eastAsiaTheme="minorHAnsi"/>
          <w:lang w:eastAsia="en-US"/>
        </w:rPr>
        <w:t xml:space="preserve"> precejšen. </w:t>
      </w:r>
      <w:r w:rsidR="00405E4E">
        <w:rPr>
          <w:rFonts w:eastAsiaTheme="minorHAnsi"/>
          <w:lang w:eastAsia="en-US"/>
        </w:rPr>
        <w:t xml:space="preserve"> </w:t>
      </w:r>
    </w:p>
    <w:p w14:paraId="19AC8847" w14:textId="77777777" w:rsidR="00E440A2" w:rsidRPr="00E155C1" w:rsidRDefault="00E440A2" w:rsidP="007613FE">
      <w:pPr>
        <w:pStyle w:val="Odstavek1"/>
        <w:rPr>
          <w:rFonts w:eastAsiaTheme="minorHAnsi"/>
          <w:sz w:val="20"/>
          <w:lang w:eastAsia="en-US"/>
        </w:rPr>
      </w:pPr>
    </w:p>
    <w:p w14:paraId="0AF4C079" w14:textId="6639A580" w:rsidR="00E440A2" w:rsidRPr="00E155C1" w:rsidRDefault="00E440A2" w:rsidP="00DA2C5A">
      <w:pPr>
        <w:pStyle w:val="SCSlika0"/>
        <w:rPr>
          <w:sz w:val="20"/>
        </w:rPr>
      </w:pPr>
      <w:bookmarkStart w:id="80" w:name="_Ref54806519"/>
      <w:bookmarkStart w:id="81" w:name="_Toc89851061"/>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740F5C">
        <w:rPr>
          <w:noProof/>
          <w:sz w:val="20"/>
        </w:rPr>
        <w:t>19</w:t>
      </w:r>
      <w:r w:rsidR="009F2591" w:rsidRPr="00E155C1">
        <w:rPr>
          <w:noProof/>
          <w:sz w:val="20"/>
        </w:rPr>
        <w:fldChar w:fldCharType="end"/>
      </w:r>
      <w:bookmarkEnd w:id="80"/>
      <w:r w:rsidRPr="00E155C1">
        <w:rPr>
          <w:sz w:val="20"/>
        </w:rPr>
        <w:t>: Bruto investicije v osnovna sredstva na polnovredno delovno moč</w:t>
      </w:r>
      <w:r w:rsidR="008829B9" w:rsidRPr="00E155C1">
        <w:rPr>
          <w:sz w:val="20"/>
        </w:rPr>
        <w:t xml:space="preserve"> v obdobju 2005–2018</w:t>
      </w:r>
      <w:r w:rsidRPr="00E155C1">
        <w:rPr>
          <w:sz w:val="20"/>
        </w:rPr>
        <w:t>, Slovenija, EU-28 in EU-27, v tekočih cenah, v EUR</w:t>
      </w:r>
      <w:bookmarkEnd w:id="81"/>
    </w:p>
    <w:p w14:paraId="6A88952B" w14:textId="77777777" w:rsidR="004A3DCE" w:rsidRDefault="00405E4E" w:rsidP="009F3567">
      <w:pPr>
        <w:spacing w:before="0" w:line="276" w:lineRule="auto"/>
        <w:rPr>
          <w:rFonts w:eastAsiaTheme="minorHAnsi"/>
          <w:sz w:val="20"/>
          <w:szCs w:val="22"/>
          <w:lang w:eastAsia="en-US"/>
        </w:rPr>
      </w:pPr>
      <w:r>
        <w:rPr>
          <w:noProof/>
          <w:lang w:eastAsia="sl-SI"/>
        </w:rPr>
        <w:drawing>
          <wp:inline distT="0" distB="0" distL="0" distR="0" wp14:anchorId="23748ADA" wp14:editId="6996B7A9">
            <wp:extent cx="5439335" cy="2339788"/>
            <wp:effectExtent l="0" t="0" r="9525" b="3810"/>
            <wp:docPr id="1631865556" name="Grafikon 1631865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CF8574" w14:textId="77777777" w:rsidR="004A3DCE" w:rsidRPr="00875DD8" w:rsidRDefault="00493350" w:rsidP="00875DD8">
      <w:pPr>
        <w:spacing w:before="0" w:line="276" w:lineRule="auto"/>
        <w:rPr>
          <w:rFonts w:eastAsiaTheme="minorHAnsi"/>
          <w:sz w:val="16"/>
          <w:szCs w:val="22"/>
          <w:lang w:eastAsia="en-US"/>
        </w:rPr>
      </w:pPr>
      <w:r w:rsidRPr="00875DD8">
        <w:rPr>
          <w:rFonts w:eastAsiaTheme="minorHAnsi"/>
          <w:sz w:val="16"/>
          <w:szCs w:val="22"/>
          <w:lang w:eastAsia="en-US"/>
        </w:rPr>
        <w:t>Vir: Eurostat, preračun MKGP</w:t>
      </w:r>
    </w:p>
    <w:p w14:paraId="783F6171" w14:textId="77777777" w:rsidR="004A3DCE" w:rsidRDefault="004A3DCE" w:rsidP="00875DD8">
      <w:pPr>
        <w:spacing w:before="0" w:line="276" w:lineRule="auto"/>
        <w:rPr>
          <w:rFonts w:eastAsiaTheme="minorHAnsi"/>
          <w:sz w:val="20"/>
          <w:szCs w:val="22"/>
          <w:lang w:eastAsia="en-US"/>
        </w:rPr>
      </w:pPr>
    </w:p>
    <w:p w14:paraId="328A35FF" w14:textId="606CF650" w:rsidR="004D40E8" w:rsidRDefault="004D40E8" w:rsidP="007613FE">
      <w:pPr>
        <w:pStyle w:val="Pripombabesedilo"/>
        <w:spacing w:before="0" w:line="260" w:lineRule="atLeast"/>
        <w:rPr>
          <w:rFonts w:ascii="Arial" w:eastAsiaTheme="minorHAnsi" w:hAnsi="Arial"/>
          <w:b/>
          <w:i/>
          <w:u w:val="single"/>
        </w:rPr>
      </w:pPr>
    </w:p>
    <w:p w14:paraId="4F325113" w14:textId="77777777" w:rsidR="00DC0BD7" w:rsidRPr="00875DD8" w:rsidRDefault="00DC0BD7" w:rsidP="007613FE">
      <w:pPr>
        <w:pStyle w:val="Pripombabesedilo"/>
        <w:spacing w:before="0" w:line="260" w:lineRule="atLeast"/>
        <w:rPr>
          <w:rFonts w:ascii="Arial" w:eastAsiaTheme="minorHAnsi" w:hAnsi="Arial"/>
          <w:b/>
          <w:i/>
          <w:u w:val="single"/>
        </w:rPr>
      </w:pPr>
    </w:p>
    <w:p w14:paraId="7B463A8B" w14:textId="77777777" w:rsidR="004D40E8" w:rsidRDefault="004D40E8" w:rsidP="005B2A49">
      <w:pPr>
        <w:pStyle w:val="Naslov3"/>
        <w:rPr>
          <w:rFonts w:eastAsiaTheme="minorHAnsi"/>
        </w:rPr>
      </w:pPr>
      <w:bookmarkStart w:id="82" w:name="_Toc90462219"/>
      <w:r w:rsidRPr="00875DD8">
        <w:rPr>
          <w:rFonts w:eastAsiaTheme="minorHAnsi"/>
        </w:rPr>
        <w:t>Investicije v kmetijstvu preko PRP 2007–2013 in PRP 2014-2020</w:t>
      </w:r>
      <w:bookmarkEnd w:id="82"/>
    </w:p>
    <w:p w14:paraId="5040EE91" w14:textId="77777777" w:rsidR="00236ED0" w:rsidRDefault="00236ED0" w:rsidP="007613FE">
      <w:pPr>
        <w:pStyle w:val="Pripombabesedilo"/>
        <w:spacing w:before="0" w:line="260" w:lineRule="atLeast"/>
        <w:rPr>
          <w:rFonts w:ascii="Arial" w:eastAsiaTheme="minorHAnsi" w:hAnsi="Arial"/>
          <w:b/>
          <w:i/>
          <w:u w:val="single"/>
        </w:rPr>
      </w:pPr>
    </w:p>
    <w:p w14:paraId="5625E538" w14:textId="56A22A29" w:rsidR="00617F7D" w:rsidRDefault="00617F7D" w:rsidP="00DA2C5A">
      <w:pPr>
        <w:rPr>
          <w:rFonts w:eastAsiaTheme="minorHAnsi"/>
        </w:rPr>
      </w:pPr>
      <w:r>
        <w:rPr>
          <w:rFonts w:eastAsiaTheme="minorHAnsi"/>
        </w:rPr>
        <w:t xml:space="preserve">Naložbe </w:t>
      </w:r>
      <w:r w:rsidR="00922149">
        <w:rPr>
          <w:rFonts w:eastAsiaTheme="minorHAnsi"/>
        </w:rPr>
        <w:t xml:space="preserve">v osnovna sredstva v kmetijstvu so bila v zadnjih dveh programskih obdobjih 2007–2013 in 2014–2020 močno </w:t>
      </w:r>
      <w:r w:rsidR="00905930">
        <w:rPr>
          <w:rFonts w:eastAsiaTheme="minorHAnsi"/>
        </w:rPr>
        <w:t xml:space="preserve">spodbujene </w:t>
      </w:r>
      <w:r w:rsidR="00922149">
        <w:rPr>
          <w:rFonts w:eastAsiaTheme="minorHAnsi"/>
        </w:rPr>
        <w:t xml:space="preserve">tudi zaradi nepovratnih sredstev programa razvoja podeželja. </w:t>
      </w:r>
    </w:p>
    <w:p w14:paraId="1A135801" w14:textId="77777777" w:rsidR="008551AD" w:rsidRDefault="008551AD" w:rsidP="007613FE">
      <w:pPr>
        <w:pStyle w:val="Pripombabesedilo"/>
        <w:spacing w:before="0" w:line="260" w:lineRule="atLeast"/>
        <w:rPr>
          <w:rFonts w:ascii="Arial" w:eastAsiaTheme="minorHAnsi" w:hAnsi="Arial"/>
        </w:rPr>
      </w:pPr>
    </w:p>
    <w:p w14:paraId="39FA71CA" w14:textId="58161FA5" w:rsidR="00A87628" w:rsidRDefault="00A87628" w:rsidP="007613FE">
      <w:pPr>
        <w:pStyle w:val="Odstavek1"/>
        <w:rPr>
          <w:rFonts w:eastAsiaTheme="minorHAnsi"/>
        </w:rPr>
      </w:pPr>
      <w:r w:rsidRPr="00975BEC">
        <w:rPr>
          <w:rFonts w:eastAsiaTheme="minorHAnsi"/>
        </w:rPr>
        <w:t>V okviru raziskav (</w:t>
      </w:r>
      <w:r w:rsidR="00546EBF" w:rsidRPr="00975BEC">
        <w:rPr>
          <w:rFonts w:eastAsia="Calibri"/>
          <w:lang w:val="en"/>
        </w:rPr>
        <w:t>Hlavsa</w:t>
      </w:r>
      <w:r w:rsidR="008551AD" w:rsidRPr="00975BEC">
        <w:rPr>
          <w:rFonts w:eastAsia="Calibri"/>
        </w:rPr>
        <w:t xml:space="preserve"> Tomáš</w:t>
      </w:r>
      <w:r w:rsidR="008551AD" w:rsidRPr="00975BEC">
        <w:rPr>
          <w:lang w:val="en"/>
        </w:rPr>
        <w:t xml:space="preserve">; </w:t>
      </w:r>
      <w:r w:rsidR="008551AD" w:rsidRPr="00975BEC">
        <w:rPr>
          <w:rFonts w:eastAsia="Calibri"/>
        </w:rPr>
        <w:t>Hruška Martin</w:t>
      </w:r>
      <w:r w:rsidR="008551AD" w:rsidRPr="00975BEC">
        <w:rPr>
          <w:lang w:val="en"/>
        </w:rPr>
        <w:t xml:space="preserve">; </w:t>
      </w:r>
      <w:r w:rsidR="008551AD" w:rsidRPr="00975BEC">
        <w:rPr>
          <w:rFonts w:eastAsia="Calibri"/>
        </w:rPr>
        <w:t>Turková Edita</w:t>
      </w:r>
      <w:r w:rsidR="008551AD" w:rsidRPr="00975BEC">
        <w:rPr>
          <w:lang w:val="en"/>
        </w:rPr>
        <w:t>, 2017)</w:t>
      </w:r>
      <w:r w:rsidRPr="00975BEC">
        <w:rPr>
          <w:rFonts w:eastAsiaTheme="minorHAnsi"/>
        </w:rPr>
        <w:t>, ki so proučevale vpliv javne podpore investicijam na povečanje učinkovitosti kmetijske proizvodnje ter produktivnosti dela v kmetijstvu, je bilo ugotovljeno, da obstaja pozitivno razmerje med investicij</w:t>
      </w:r>
      <w:r w:rsidR="008551AD" w:rsidRPr="00975BEC">
        <w:rPr>
          <w:rFonts w:eastAsiaTheme="minorHAnsi"/>
        </w:rPr>
        <w:t xml:space="preserve">sko podporo (v okviru kmetijske politike) </w:t>
      </w:r>
      <w:r w:rsidRPr="00975BEC">
        <w:rPr>
          <w:rFonts w:eastAsiaTheme="minorHAnsi"/>
        </w:rPr>
        <w:t>ter p</w:t>
      </w:r>
      <w:r w:rsidR="008551AD" w:rsidRPr="00975BEC">
        <w:rPr>
          <w:rFonts w:eastAsiaTheme="minorHAnsi"/>
        </w:rPr>
        <w:t>ovečanjem kmetijske proizvodnje</w:t>
      </w:r>
      <w:r w:rsidR="00546EBF" w:rsidRPr="00975BEC">
        <w:rPr>
          <w:rFonts w:eastAsiaTheme="minorHAnsi"/>
        </w:rPr>
        <w:t xml:space="preserve"> oz.</w:t>
      </w:r>
      <w:r w:rsidR="008551AD" w:rsidRPr="00975BEC">
        <w:rPr>
          <w:rFonts w:eastAsiaTheme="minorHAnsi"/>
        </w:rPr>
        <w:t xml:space="preserve"> </w:t>
      </w:r>
      <w:r w:rsidRPr="00975BEC">
        <w:rPr>
          <w:rFonts w:eastAsiaTheme="minorHAnsi"/>
        </w:rPr>
        <w:t>produktivnosti dela</w:t>
      </w:r>
      <w:r w:rsidR="008551AD" w:rsidRPr="00975BEC">
        <w:rPr>
          <w:rFonts w:eastAsiaTheme="minorHAnsi"/>
        </w:rPr>
        <w:t xml:space="preserve"> pa tudi dobičkonosnosti kmetij</w:t>
      </w:r>
      <w:r w:rsidRPr="00975BEC">
        <w:rPr>
          <w:rFonts w:eastAsiaTheme="minorHAnsi"/>
        </w:rPr>
        <w:t xml:space="preserve">. </w:t>
      </w:r>
    </w:p>
    <w:p w14:paraId="5FA287EA" w14:textId="475193D0" w:rsidR="00617F7D" w:rsidRDefault="00617F7D" w:rsidP="007613FE">
      <w:pPr>
        <w:pStyle w:val="Odstavek1"/>
        <w:rPr>
          <w:rFonts w:eastAsiaTheme="minorHAnsi"/>
        </w:rPr>
      </w:pPr>
    </w:p>
    <w:p w14:paraId="5DEE4BF3" w14:textId="29B09BD8" w:rsidR="00617F7D" w:rsidRDefault="00617F7D" w:rsidP="007613FE">
      <w:pPr>
        <w:pStyle w:val="Odstavek1"/>
        <w:rPr>
          <w:rFonts w:eastAsiaTheme="minorHAnsi"/>
          <w:szCs w:val="22"/>
          <w:lang w:eastAsia="en-US"/>
        </w:rPr>
      </w:pPr>
      <w:r w:rsidRPr="00A72F80">
        <w:rPr>
          <w:rFonts w:eastAsiaTheme="minorHAnsi"/>
          <w:szCs w:val="22"/>
          <w:lang w:eastAsia="en-US"/>
        </w:rPr>
        <w:t xml:space="preserve">V programskem obdobju 2007-2013 je bilo s sredstvi </w:t>
      </w:r>
      <w:r w:rsidR="008B387B">
        <w:rPr>
          <w:rFonts w:eastAsiaTheme="minorHAnsi"/>
          <w:szCs w:val="22"/>
          <w:lang w:eastAsia="en-US"/>
        </w:rPr>
        <w:t>PRP</w:t>
      </w:r>
      <w:r w:rsidRPr="00A72F80">
        <w:rPr>
          <w:rFonts w:eastAsiaTheme="minorHAnsi"/>
          <w:szCs w:val="22"/>
          <w:lang w:eastAsia="en-US"/>
        </w:rPr>
        <w:t xml:space="preserve"> 2007–2013 sofinanciranih 3.086 naložb v osnovna sredstva, in sicer višini 125.785.536 evrov, pri čemer je povprečen izplačan znesek na odobreno vlogo znašal 40.760 evrov. </w:t>
      </w:r>
    </w:p>
    <w:p w14:paraId="19E49973" w14:textId="77777777" w:rsidR="00617F7D" w:rsidRDefault="00617F7D" w:rsidP="007613FE">
      <w:pPr>
        <w:pStyle w:val="Odstavek1"/>
        <w:rPr>
          <w:rFonts w:eastAsiaTheme="minorHAnsi"/>
          <w:szCs w:val="22"/>
          <w:lang w:eastAsia="en-US"/>
        </w:rPr>
      </w:pPr>
    </w:p>
    <w:p w14:paraId="71DF8107" w14:textId="77777777" w:rsidR="00617F7D" w:rsidRDefault="00617F7D" w:rsidP="007613FE">
      <w:pPr>
        <w:pStyle w:val="Odstavek1"/>
        <w:rPr>
          <w:rFonts w:eastAsiaTheme="minorHAnsi"/>
          <w:szCs w:val="22"/>
          <w:lang w:eastAsia="en-US"/>
        </w:rPr>
      </w:pPr>
      <w:r w:rsidRPr="00875DD8">
        <w:rPr>
          <w:rFonts w:eastAsiaTheme="minorHAnsi"/>
          <w:szCs w:val="22"/>
          <w:lang w:eastAsia="en-US"/>
        </w:rPr>
        <w:t xml:space="preserve">Glede na </w:t>
      </w:r>
      <w:r>
        <w:rPr>
          <w:rFonts w:eastAsiaTheme="minorHAnsi"/>
          <w:szCs w:val="22"/>
          <w:lang w:eastAsia="en-US"/>
        </w:rPr>
        <w:t xml:space="preserve">celotno </w:t>
      </w:r>
      <w:r w:rsidRPr="00875DD8">
        <w:rPr>
          <w:rFonts w:eastAsiaTheme="minorHAnsi"/>
          <w:szCs w:val="22"/>
          <w:lang w:eastAsia="en-US"/>
        </w:rPr>
        <w:t xml:space="preserve">vrednost </w:t>
      </w:r>
      <w:r>
        <w:rPr>
          <w:rFonts w:eastAsiaTheme="minorHAnsi"/>
          <w:szCs w:val="22"/>
          <w:lang w:eastAsia="en-US"/>
        </w:rPr>
        <w:t xml:space="preserve">podprtih </w:t>
      </w:r>
      <w:r w:rsidRPr="00875DD8">
        <w:rPr>
          <w:rFonts w:eastAsiaTheme="minorHAnsi"/>
          <w:szCs w:val="22"/>
          <w:lang w:eastAsia="en-US"/>
        </w:rPr>
        <w:t>naložb je bilo n</w:t>
      </w:r>
      <w:r w:rsidRPr="00A72F80">
        <w:rPr>
          <w:rFonts w:eastAsiaTheme="minorHAnsi"/>
          <w:szCs w:val="22"/>
          <w:lang w:eastAsia="en-US"/>
        </w:rPr>
        <w:t>ajveč</w:t>
      </w:r>
      <w:r w:rsidRPr="00875DD8">
        <w:rPr>
          <w:rFonts w:eastAsiaTheme="minorHAnsi"/>
          <w:szCs w:val="22"/>
          <w:lang w:eastAsia="en-US"/>
        </w:rPr>
        <w:t xml:space="preserve"> naložb</w:t>
      </w:r>
      <w:r w:rsidRPr="00A72F80">
        <w:rPr>
          <w:rFonts w:eastAsiaTheme="minorHAnsi"/>
          <w:szCs w:val="22"/>
          <w:lang w:eastAsia="en-US"/>
        </w:rPr>
        <w:t xml:space="preserve">, </w:t>
      </w:r>
      <w:r w:rsidRPr="00875DD8">
        <w:rPr>
          <w:rFonts w:eastAsiaTheme="minorHAnsi"/>
          <w:szCs w:val="22"/>
          <w:lang w:eastAsia="en-US"/>
        </w:rPr>
        <w:t xml:space="preserve">tj. </w:t>
      </w:r>
      <w:r w:rsidRPr="00A72F80">
        <w:rPr>
          <w:rFonts w:eastAsiaTheme="minorHAnsi"/>
          <w:szCs w:val="22"/>
          <w:lang w:eastAsia="en-US"/>
        </w:rPr>
        <w:t>5</w:t>
      </w:r>
      <w:r w:rsidRPr="00875DD8">
        <w:rPr>
          <w:rFonts w:eastAsiaTheme="minorHAnsi"/>
          <w:szCs w:val="22"/>
          <w:lang w:eastAsia="en-US"/>
        </w:rPr>
        <w:t>3</w:t>
      </w:r>
      <w:r w:rsidRPr="00A72F80">
        <w:rPr>
          <w:rFonts w:eastAsiaTheme="minorHAnsi"/>
          <w:szCs w:val="22"/>
          <w:lang w:eastAsia="en-US"/>
        </w:rPr>
        <w:t xml:space="preserve"> % vseh podprtih naložb v programskem obdobju 2007-2013</w:t>
      </w:r>
      <w:r>
        <w:rPr>
          <w:rFonts w:eastAsiaTheme="minorHAnsi"/>
          <w:szCs w:val="22"/>
          <w:lang w:eastAsia="en-US"/>
        </w:rPr>
        <w:t>,</w:t>
      </w:r>
      <w:r w:rsidRPr="00A72F80">
        <w:rPr>
          <w:rFonts w:eastAsiaTheme="minorHAnsi"/>
          <w:szCs w:val="22"/>
          <w:lang w:eastAsia="en-US"/>
        </w:rPr>
        <w:t xml:space="preserve"> </w:t>
      </w:r>
      <w:r w:rsidRPr="00875DD8">
        <w:rPr>
          <w:rFonts w:eastAsiaTheme="minorHAnsi"/>
          <w:szCs w:val="22"/>
          <w:lang w:eastAsia="en-US"/>
        </w:rPr>
        <w:t xml:space="preserve">v zgradbe in kmetijske objekte (gospodarska poslopja, prodajni prostori za neposredno prodajo, rastlinjaki, trajni nasadi, mreže proti toči, pašniki in obore), sledijo naložbe v </w:t>
      </w:r>
      <w:r w:rsidRPr="00A72F80">
        <w:rPr>
          <w:rFonts w:eastAsiaTheme="minorHAnsi"/>
          <w:szCs w:val="22"/>
          <w:lang w:eastAsia="en-US"/>
        </w:rPr>
        <w:t>nakup kmetijske mehanizacije in opreme</w:t>
      </w:r>
      <w:r w:rsidRPr="00875DD8">
        <w:rPr>
          <w:rFonts w:eastAsiaTheme="minorHAnsi"/>
          <w:szCs w:val="22"/>
          <w:lang w:eastAsia="en-US"/>
        </w:rPr>
        <w:t xml:space="preserve"> (31 %) in ostale vrste naložb (npr. infrastruktura na kmetijskih gospodarstvih).</w:t>
      </w:r>
      <w:r w:rsidRPr="00A72F80">
        <w:rPr>
          <w:rFonts w:eastAsiaTheme="minorHAnsi"/>
          <w:szCs w:val="22"/>
          <w:lang w:eastAsia="en-US"/>
        </w:rPr>
        <w:t xml:space="preserve"> </w:t>
      </w:r>
      <w:r w:rsidRPr="00875DD8">
        <w:rPr>
          <w:rFonts w:eastAsiaTheme="minorHAnsi"/>
          <w:szCs w:val="22"/>
          <w:lang w:eastAsia="en-US"/>
        </w:rPr>
        <w:t>Podprtih naložb v</w:t>
      </w:r>
      <w:r w:rsidRPr="00A72F80">
        <w:rPr>
          <w:rFonts w:eastAsiaTheme="minorHAnsi"/>
          <w:szCs w:val="22"/>
          <w:lang w:eastAsia="en-US"/>
        </w:rPr>
        <w:t xml:space="preserve"> izboljšanje kmetijskih zemljišč</w:t>
      </w:r>
      <w:r w:rsidRPr="00875DD8">
        <w:rPr>
          <w:rFonts w:eastAsiaTheme="minorHAnsi"/>
          <w:szCs w:val="22"/>
          <w:lang w:eastAsia="en-US"/>
        </w:rPr>
        <w:t xml:space="preserve"> je bilo glede na njihovo vrednost le 2 %. </w:t>
      </w:r>
    </w:p>
    <w:p w14:paraId="2665E8D9" w14:textId="77777777" w:rsidR="00617F7D" w:rsidRDefault="00617F7D" w:rsidP="007613FE">
      <w:pPr>
        <w:pStyle w:val="Odstavek1"/>
        <w:rPr>
          <w:rFonts w:eastAsiaTheme="minorHAnsi"/>
          <w:szCs w:val="22"/>
          <w:lang w:eastAsia="en-US"/>
        </w:rPr>
      </w:pPr>
    </w:p>
    <w:p w14:paraId="17E7ABCA" w14:textId="5F393CAF" w:rsidR="00617F7D" w:rsidRPr="00E155C1" w:rsidRDefault="00617F7D" w:rsidP="00DA2C5A">
      <w:pPr>
        <w:pStyle w:val="SCSlika0"/>
        <w:rPr>
          <w:rFonts w:eastAsiaTheme="minorHAnsi"/>
          <w:bCs/>
          <w:sz w:val="20"/>
        </w:rPr>
      </w:pPr>
      <w:bookmarkStart w:id="83" w:name="_Toc89851062"/>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Pr>
          <w:noProof/>
          <w:sz w:val="20"/>
          <w:szCs w:val="16"/>
        </w:rPr>
        <w:t>20</w:t>
      </w:r>
      <w:r w:rsidRPr="00E155C1">
        <w:rPr>
          <w:noProof/>
          <w:sz w:val="20"/>
          <w:szCs w:val="16"/>
        </w:rPr>
        <w:fldChar w:fldCharType="end"/>
      </w:r>
      <w:r w:rsidRPr="00E155C1">
        <w:rPr>
          <w:sz w:val="20"/>
          <w:szCs w:val="16"/>
        </w:rPr>
        <w:t>: Število odobrenih vlog in celotna vrednost podpr</w:t>
      </w:r>
      <w:r w:rsidRPr="00E155C1">
        <w:rPr>
          <w:sz w:val="20"/>
        </w:rPr>
        <w:t xml:space="preserve">tih naložb v osnovna sredstva </w:t>
      </w:r>
      <w:r w:rsidR="00E86ECB" w:rsidRPr="00E155C1">
        <w:rPr>
          <w:sz w:val="20"/>
        </w:rPr>
        <w:t xml:space="preserve">(v EUR) </w:t>
      </w:r>
      <w:r w:rsidRPr="00E155C1">
        <w:rPr>
          <w:sz w:val="20"/>
        </w:rPr>
        <w:t>v okviru ukrepa 121 PRP 2007-2013</w:t>
      </w:r>
      <w:r w:rsidRPr="00E155C1">
        <w:rPr>
          <w:bCs/>
          <w:sz w:val="20"/>
          <w:lang w:eastAsia="en-US"/>
        </w:rPr>
        <w:t>, stanje 31. 12. 2015</w:t>
      </w:r>
      <w:bookmarkEnd w:id="83"/>
    </w:p>
    <w:p w14:paraId="2DB63468" w14:textId="77777777" w:rsidR="00617F7D" w:rsidRDefault="00617F7D" w:rsidP="00DA2C5A">
      <w:pPr>
        <w:rPr>
          <w:rFonts w:eastAsiaTheme="minorHAnsi"/>
          <w:bCs/>
        </w:rPr>
      </w:pPr>
      <w:r>
        <w:rPr>
          <w:noProof/>
          <w:lang w:eastAsia="sl-SI"/>
        </w:rPr>
        <w:drawing>
          <wp:inline distT="0" distB="0" distL="0" distR="0" wp14:anchorId="615A4CF3" wp14:editId="6046F026">
            <wp:extent cx="5892800" cy="3234266"/>
            <wp:effectExtent l="0" t="0" r="12700" b="444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055352" w14:textId="7B0EDABC" w:rsidR="00617F7D" w:rsidRPr="00852E36" w:rsidRDefault="00C37C3E" w:rsidP="00617F7D">
      <w:pPr>
        <w:pStyle w:val="Pripombabesedilo"/>
        <w:spacing w:before="0" w:line="276" w:lineRule="auto"/>
        <w:rPr>
          <w:rFonts w:eastAsiaTheme="minorHAnsi"/>
          <w:bCs/>
          <w:sz w:val="16"/>
          <w:szCs w:val="16"/>
        </w:rPr>
      </w:pPr>
      <w:r>
        <w:rPr>
          <w:rFonts w:ascii="Arial" w:eastAsiaTheme="minorHAnsi" w:hAnsi="Arial"/>
          <w:bCs/>
          <w:sz w:val="16"/>
          <w:szCs w:val="16"/>
        </w:rPr>
        <w:t xml:space="preserve">Vir: </w:t>
      </w:r>
      <w:r w:rsidR="00617F7D">
        <w:rPr>
          <w:rFonts w:ascii="Arial" w:eastAsiaTheme="minorHAnsi" w:hAnsi="Arial"/>
          <w:bCs/>
          <w:sz w:val="16"/>
          <w:szCs w:val="16"/>
        </w:rPr>
        <w:t>MKGP</w:t>
      </w:r>
      <w:r>
        <w:rPr>
          <w:rFonts w:ascii="Arial" w:eastAsiaTheme="minorHAnsi" w:hAnsi="Arial"/>
          <w:bCs/>
          <w:sz w:val="16"/>
          <w:szCs w:val="16"/>
        </w:rPr>
        <w:t>.</w:t>
      </w:r>
    </w:p>
    <w:p w14:paraId="4E48A2B6" w14:textId="77777777" w:rsidR="00617F7D" w:rsidRDefault="00617F7D" w:rsidP="007613FE">
      <w:pPr>
        <w:pStyle w:val="Odstavek1"/>
        <w:rPr>
          <w:rFonts w:eastAsiaTheme="minorHAnsi"/>
        </w:rPr>
      </w:pPr>
    </w:p>
    <w:p w14:paraId="405A475D" w14:textId="110CD77B" w:rsidR="00FC7B0F" w:rsidRDefault="00A34306" w:rsidP="007613FE">
      <w:pPr>
        <w:pStyle w:val="Odstavek1"/>
        <w:rPr>
          <w:rFonts w:eastAsiaTheme="minorHAnsi"/>
          <w:bCs/>
        </w:rPr>
      </w:pPr>
      <w:r w:rsidRPr="005E4397">
        <w:rPr>
          <w:rFonts w:eastAsiaTheme="minorHAnsi"/>
        </w:rPr>
        <w:t>V programskem obdobju 2014</w:t>
      </w:r>
      <w:r w:rsidR="008B387B">
        <w:rPr>
          <w:rFonts w:eastAsiaTheme="minorHAnsi"/>
        </w:rPr>
        <w:t>–</w:t>
      </w:r>
      <w:r w:rsidRPr="005E4397">
        <w:rPr>
          <w:rFonts w:eastAsiaTheme="minorHAnsi"/>
        </w:rPr>
        <w:t xml:space="preserve">2020 je bilo v okviru podukrepa </w:t>
      </w:r>
      <w:r w:rsidR="00821CEE">
        <w:rPr>
          <w:rFonts w:eastAsiaTheme="minorHAnsi"/>
        </w:rPr>
        <w:t>M0</w:t>
      </w:r>
      <w:r w:rsidRPr="005E4397">
        <w:rPr>
          <w:rFonts w:eastAsiaTheme="minorHAnsi"/>
        </w:rPr>
        <w:t xml:space="preserve">4.1 </w:t>
      </w:r>
      <w:r w:rsidRPr="00F93A0D">
        <w:rPr>
          <w:rFonts w:eastAsiaTheme="minorHAnsi"/>
          <w:bCs/>
        </w:rPr>
        <w:t>Naložbe v osnovna sredstva</w:t>
      </w:r>
      <w:r w:rsidRPr="00F93A0D">
        <w:rPr>
          <w:rFonts w:eastAsiaTheme="minorHAnsi"/>
        </w:rPr>
        <w:t xml:space="preserve"> do 3</w:t>
      </w:r>
      <w:r w:rsidR="0080308B" w:rsidRPr="00875DD8">
        <w:rPr>
          <w:rFonts w:eastAsiaTheme="minorHAnsi"/>
        </w:rPr>
        <w:t>0</w:t>
      </w:r>
      <w:r w:rsidRPr="005E4397">
        <w:rPr>
          <w:rFonts w:eastAsiaTheme="minorHAnsi"/>
        </w:rPr>
        <w:t xml:space="preserve">. </w:t>
      </w:r>
      <w:r w:rsidR="0080308B" w:rsidRPr="00875DD8">
        <w:rPr>
          <w:rFonts w:eastAsiaTheme="minorHAnsi"/>
        </w:rPr>
        <w:t>4</w:t>
      </w:r>
      <w:r w:rsidRPr="005E4397">
        <w:rPr>
          <w:rFonts w:eastAsiaTheme="minorHAnsi"/>
        </w:rPr>
        <w:t xml:space="preserve">. </w:t>
      </w:r>
      <w:r w:rsidRPr="00875DD8">
        <w:rPr>
          <w:rFonts w:eastAsiaTheme="minorHAnsi"/>
        </w:rPr>
        <w:t>20</w:t>
      </w:r>
      <w:r w:rsidR="0080308B" w:rsidRPr="00875DD8">
        <w:rPr>
          <w:rFonts w:eastAsiaTheme="minorHAnsi"/>
        </w:rPr>
        <w:t>20</w:t>
      </w:r>
      <w:r w:rsidRPr="005E4397">
        <w:rPr>
          <w:rFonts w:eastAsiaTheme="minorHAnsi"/>
        </w:rPr>
        <w:t xml:space="preserve"> odobrenih 1.</w:t>
      </w:r>
      <w:r w:rsidR="0080308B" w:rsidRPr="00875DD8">
        <w:rPr>
          <w:rFonts w:eastAsiaTheme="minorHAnsi"/>
        </w:rPr>
        <w:t>435</w:t>
      </w:r>
      <w:r w:rsidRPr="005E4397">
        <w:rPr>
          <w:rFonts w:eastAsiaTheme="minorHAnsi"/>
        </w:rPr>
        <w:t xml:space="preserve"> vlog za </w:t>
      </w:r>
      <w:r w:rsidRPr="00A72F80">
        <w:rPr>
          <w:rFonts w:eastAsiaTheme="minorHAnsi"/>
        </w:rPr>
        <w:t xml:space="preserve">naložbe, katerih celotna vrednost znaša </w:t>
      </w:r>
      <w:r w:rsidR="0080308B" w:rsidRPr="00A72F80">
        <w:rPr>
          <w:rFonts w:eastAsiaTheme="minorHAnsi"/>
        </w:rPr>
        <w:t>259.571.988</w:t>
      </w:r>
      <w:r w:rsidR="0080308B" w:rsidRPr="00875DD8" w:rsidDel="0080308B">
        <w:rPr>
          <w:rFonts w:eastAsiaTheme="minorHAnsi"/>
        </w:rPr>
        <w:t xml:space="preserve"> </w:t>
      </w:r>
      <w:r w:rsidRPr="00A72F80">
        <w:rPr>
          <w:rFonts w:eastAsiaTheme="minorHAnsi"/>
        </w:rPr>
        <w:t>evrov</w:t>
      </w:r>
      <w:r w:rsidR="0080308B" w:rsidRPr="00A72F80">
        <w:rPr>
          <w:rFonts w:eastAsiaTheme="minorHAnsi"/>
        </w:rPr>
        <w:t xml:space="preserve">, </w:t>
      </w:r>
      <w:r w:rsidRPr="00A72F80">
        <w:rPr>
          <w:rFonts w:eastAsiaTheme="minorHAnsi"/>
          <w:bCs/>
        </w:rPr>
        <w:t>povpreč</w:t>
      </w:r>
      <w:r w:rsidR="0080308B" w:rsidRPr="00A72F80">
        <w:rPr>
          <w:rFonts w:eastAsiaTheme="minorHAnsi"/>
          <w:bCs/>
        </w:rPr>
        <w:t xml:space="preserve">na </w:t>
      </w:r>
      <w:r w:rsidR="00FB5251">
        <w:rPr>
          <w:rFonts w:eastAsiaTheme="minorHAnsi"/>
          <w:bCs/>
        </w:rPr>
        <w:t xml:space="preserve">višina odobrenih sredstev </w:t>
      </w:r>
      <w:r w:rsidR="0080308B" w:rsidRPr="00A72F80">
        <w:rPr>
          <w:rFonts w:eastAsiaTheme="minorHAnsi"/>
          <w:bCs/>
        </w:rPr>
        <w:t xml:space="preserve"> </w:t>
      </w:r>
      <w:r w:rsidR="00E51039">
        <w:rPr>
          <w:rFonts w:eastAsiaTheme="minorHAnsi"/>
          <w:bCs/>
        </w:rPr>
        <w:t>znaša</w:t>
      </w:r>
      <w:r w:rsidRPr="00A72F80">
        <w:rPr>
          <w:rFonts w:eastAsiaTheme="minorHAnsi"/>
          <w:bCs/>
        </w:rPr>
        <w:t xml:space="preserve"> </w:t>
      </w:r>
      <w:r w:rsidR="00FB5251" w:rsidRPr="00FB5251">
        <w:rPr>
          <w:rFonts w:eastAsiaTheme="minorHAnsi"/>
          <w:bCs/>
        </w:rPr>
        <w:t>65.475</w:t>
      </w:r>
      <w:r w:rsidR="00786879" w:rsidRPr="00A72F80">
        <w:rPr>
          <w:rFonts w:eastAsiaTheme="minorHAnsi"/>
          <w:bCs/>
        </w:rPr>
        <w:t>evrov.</w:t>
      </w:r>
      <w:r w:rsidR="00E51039">
        <w:rPr>
          <w:rFonts w:eastAsiaTheme="minorHAnsi"/>
          <w:bCs/>
        </w:rPr>
        <w:t xml:space="preserve"> </w:t>
      </w:r>
      <w:r w:rsidR="00FC7B0F">
        <w:rPr>
          <w:rFonts w:eastAsiaTheme="minorHAnsi"/>
          <w:bCs/>
        </w:rPr>
        <w:t xml:space="preserve">Na razpisih za sofinanciranje investicij v okviru podukrepa </w:t>
      </w:r>
      <w:r w:rsidR="00821CEE">
        <w:rPr>
          <w:rFonts w:eastAsiaTheme="minorHAnsi"/>
          <w:bCs/>
        </w:rPr>
        <w:t>M0</w:t>
      </w:r>
      <w:r w:rsidR="00FC7B0F">
        <w:rPr>
          <w:rFonts w:eastAsiaTheme="minorHAnsi"/>
          <w:bCs/>
        </w:rPr>
        <w:t xml:space="preserve">4.1 so podprta večja KMG, ki </w:t>
      </w:r>
      <w:r w:rsidR="00CA507C">
        <w:rPr>
          <w:rFonts w:eastAsiaTheme="minorHAnsi"/>
          <w:bCs/>
        </w:rPr>
        <w:t xml:space="preserve">imajo </w:t>
      </w:r>
      <w:r w:rsidR="00FC7B0F">
        <w:rPr>
          <w:rFonts w:eastAsiaTheme="minorHAnsi"/>
          <w:bCs/>
        </w:rPr>
        <w:t xml:space="preserve">v primerjavi z manjšimi </w:t>
      </w:r>
      <w:r w:rsidR="00CA507C">
        <w:rPr>
          <w:rFonts w:eastAsiaTheme="minorHAnsi"/>
          <w:bCs/>
        </w:rPr>
        <w:t>KMG</w:t>
      </w:r>
      <w:r w:rsidR="00DA2BBA">
        <w:rPr>
          <w:rFonts w:eastAsiaTheme="minorHAnsi"/>
          <w:bCs/>
        </w:rPr>
        <w:t xml:space="preserve"> praviloma </w:t>
      </w:r>
      <w:r w:rsidR="00AD61BB">
        <w:rPr>
          <w:rFonts w:eastAsiaTheme="minorHAnsi"/>
          <w:bCs/>
        </w:rPr>
        <w:t>večji pozitivni</w:t>
      </w:r>
      <w:r w:rsidR="00DA2BBA">
        <w:rPr>
          <w:rFonts w:eastAsiaTheme="minorHAnsi"/>
          <w:bCs/>
        </w:rPr>
        <w:t xml:space="preserve"> denarni tok in tudi</w:t>
      </w:r>
      <w:r w:rsidR="00CA507C">
        <w:rPr>
          <w:rFonts w:eastAsiaTheme="minorHAnsi"/>
          <w:bCs/>
        </w:rPr>
        <w:t xml:space="preserve"> več </w:t>
      </w:r>
      <w:r w:rsidR="003C3CAB">
        <w:rPr>
          <w:rFonts w:eastAsiaTheme="minorHAnsi"/>
          <w:bCs/>
        </w:rPr>
        <w:t xml:space="preserve">možnosti za pridobitev potrebnih </w:t>
      </w:r>
      <w:r w:rsidR="00CA507C">
        <w:rPr>
          <w:rFonts w:eastAsiaTheme="minorHAnsi"/>
          <w:bCs/>
        </w:rPr>
        <w:t>finančnih sredstev za izvedbo investicij</w:t>
      </w:r>
      <w:r w:rsidR="00CA507C">
        <w:rPr>
          <w:rStyle w:val="Sprotnaopomba-sklic"/>
          <w:rFonts w:eastAsiaTheme="minorHAnsi"/>
          <w:bCs/>
        </w:rPr>
        <w:footnoteReference w:id="10"/>
      </w:r>
      <w:r w:rsidR="00FC7B0F">
        <w:rPr>
          <w:rFonts w:eastAsiaTheme="minorHAnsi"/>
          <w:bCs/>
        </w:rPr>
        <w:t xml:space="preserve">. </w:t>
      </w:r>
      <w:r w:rsidR="00CA507C">
        <w:rPr>
          <w:rFonts w:eastAsiaTheme="minorHAnsi"/>
          <w:bCs/>
        </w:rPr>
        <w:t>Povprečno</w:t>
      </w:r>
      <w:r w:rsidR="00FC7B0F">
        <w:rPr>
          <w:rFonts w:eastAsiaTheme="minorHAnsi"/>
          <w:bCs/>
        </w:rPr>
        <w:t xml:space="preserve"> podprto KMG v okviru podukrepa </w:t>
      </w:r>
      <w:r w:rsidR="00821CEE">
        <w:rPr>
          <w:rFonts w:eastAsiaTheme="minorHAnsi"/>
          <w:bCs/>
        </w:rPr>
        <w:t>M0</w:t>
      </w:r>
      <w:r w:rsidR="00FC7B0F">
        <w:rPr>
          <w:rFonts w:eastAsiaTheme="minorHAnsi"/>
          <w:bCs/>
        </w:rPr>
        <w:t xml:space="preserve">4.1 </w:t>
      </w:r>
      <w:r w:rsidR="00CA507C">
        <w:rPr>
          <w:rFonts w:eastAsiaTheme="minorHAnsi"/>
          <w:bCs/>
        </w:rPr>
        <w:t>redi 54 GVŽ in</w:t>
      </w:r>
      <w:r w:rsidR="00FC7B0F">
        <w:rPr>
          <w:rFonts w:eastAsiaTheme="minorHAnsi"/>
          <w:bCs/>
        </w:rPr>
        <w:t xml:space="preserve"> obdeluje 55 ha KZU s 6 PDM. </w:t>
      </w:r>
    </w:p>
    <w:p w14:paraId="0175B9CC" w14:textId="77777777" w:rsidR="00FC7B0F" w:rsidRDefault="00FC7B0F" w:rsidP="007613FE">
      <w:pPr>
        <w:pStyle w:val="Odstavek1"/>
        <w:rPr>
          <w:rFonts w:eastAsiaTheme="minorHAnsi"/>
          <w:bCs/>
          <w:highlight w:val="yellow"/>
        </w:rPr>
      </w:pPr>
    </w:p>
    <w:p w14:paraId="1292A05B" w14:textId="6CDC37D8" w:rsidR="00FC7B0F" w:rsidRPr="00E155C1" w:rsidRDefault="00FC7B0F" w:rsidP="00DA2C5A">
      <w:pPr>
        <w:pStyle w:val="SCSlika0"/>
        <w:rPr>
          <w:rFonts w:eastAsiaTheme="minorHAnsi"/>
          <w:bCs/>
          <w:sz w:val="20"/>
          <w:highlight w:val="yellow"/>
        </w:rPr>
      </w:pPr>
      <w:bookmarkStart w:id="84" w:name="_Toc89851063"/>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740F5C">
        <w:rPr>
          <w:noProof/>
          <w:sz w:val="20"/>
        </w:rPr>
        <w:t>21</w:t>
      </w:r>
      <w:r w:rsidR="009F2591" w:rsidRPr="00E155C1">
        <w:rPr>
          <w:noProof/>
          <w:sz w:val="20"/>
        </w:rPr>
        <w:fldChar w:fldCharType="end"/>
      </w:r>
      <w:r w:rsidRPr="00E155C1">
        <w:rPr>
          <w:sz w:val="20"/>
        </w:rPr>
        <w:t>: Povprečno število KZU (ha), PDM in GVŽ podpr</w:t>
      </w:r>
      <w:r w:rsidRPr="00E155C1">
        <w:rPr>
          <w:sz w:val="20"/>
          <w:szCs w:val="20"/>
        </w:rPr>
        <w:t xml:space="preserve">tih </w:t>
      </w:r>
      <w:r w:rsidR="001C472D" w:rsidRPr="00E155C1">
        <w:rPr>
          <w:sz w:val="20"/>
          <w:szCs w:val="20"/>
        </w:rPr>
        <w:t>KMG</w:t>
      </w:r>
      <w:r w:rsidRPr="00E155C1">
        <w:rPr>
          <w:sz w:val="20"/>
          <w:szCs w:val="20"/>
        </w:rPr>
        <w:t xml:space="preserve"> v okviru podukrepa </w:t>
      </w:r>
      <w:r w:rsidR="00821CEE" w:rsidRPr="00E155C1">
        <w:rPr>
          <w:rFonts w:eastAsiaTheme="minorHAnsi"/>
          <w:bCs/>
          <w:sz w:val="20"/>
        </w:rPr>
        <w:t>M0</w:t>
      </w:r>
      <w:r w:rsidRPr="00E155C1">
        <w:rPr>
          <w:sz w:val="20"/>
          <w:szCs w:val="20"/>
        </w:rPr>
        <w:t>4.1 PRP 2014</w:t>
      </w:r>
      <w:r w:rsidR="00E86ECB" w:rsidRPr="00E155C1">
        <w:rPr>
          <w:sz w:val="20"/>
          <w:szCs w:val="20"/>
        </w:rPr>
        <w:t>–</w:t>
      </w:r>
      <w:r w:rsidRPr="00E155C1">
        <w:rPr>
          <w:sz w:val="20"/>
          <w:szCs w:val="20"/>
        </w:rPr>
        <w:t>2020</w:t>
      </w:r>
      <w:r w:rsidRPr="00E155C1">
        <w:rPr>
          <w:bCs/>
          <w:sz w:val="20"/>
          <w:szCs w:val="20"/>
          <w:lang w:eastAsia="en-US"/>
        </w:rPr>
        <w:t>, stanje 30. 4. 2020</w:t>
      </w:r>
      <w:bookmarkEnd w:id="84"/>
      <w:r w:rsidRPr="00E155C1">
        <w:rPr>
          <w:bCs/>
          <w:sz w:val="20"/>
          <w:szCs w:val="20"/>
          <w:lang w:eastAsia="en-US"/>
        </w:rPr>
        <w:t xml:space="preserve"> </w:t>
      </w:r>
    </w:p>
    <w:p w14:paraId="1E1E6C7F" w14:textId="77777777" w:rsidR="00FC7B0F" w:rsidRDefault="00FC7B0F" w:rsidP="00DA2C5A">
      <w:pPr>
        <w:rPr>
          <w:rFonts w:eastAsiaTheme="minorHAnsi"/>
          <w:bCs/>
          <w:highlight w:val="yellow"/>
        </w:rPr>
      </w:pPr>
      <w:r>
        <w:rPr>
          <w:noProof/>
          <w:lang w:eastAsia="sl-SI"/>
        </w:rPr>
        <w:drawing>
          <wp:inline distT="0" distB="0" distL="0" distR="0" wp14:anchorId="5D9E5617" wp14:editId="2C4BAD51">
            <wp:extent cx="5686425" cy="2743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0D051E" w14:textId="048F67E3" w:rsidR="00E51039" w:rsidRPr="00875DD8" w:rsidRDefault="00FC7B0F" w:rsidP="00FC7B0F">
      <w:pPr>
        <w:pStyle w:val="Pripombabesedilo"/>
        <w:spacing w:before="0" w:line="276" w:lineRule="auto"/>
        <w:rPr>
          <w:rFonts w:ascii="Arial" w:eastAsiaTheme="minorHAnsi" w:hAnsi="Arial"/>
          <w:bCs/>
        </w:rPr>
      </w:pPr>
      <w:r>
        <w:rPr>
          <w:rFonts w:ascii="Arial" w:eastAsiaTheme="minorHAnsi" w:hAnsi="Arial"/>
          <w:bCs/>
          <w:sz w:val="16"/>
          <w:szCs w:val="16"/>
        </w:rPr>
        <w:t>Vir: MKGP.</w:t>
      </w:r>
    </w:p>
    <w:p w14:paraId="1C8A44F0" w14:textId="77777777" w:rsidR="00BA2D4F" w:rsidRDefault="00BA2D4F" w:rsidP="007613FE">
      <w:pPr>
        <w:pStyle w:val="Odstavek1"/>
        <w:rPr>
          <w:rFonts w:eastAsiaTheme="minorHAnsi"/>
          <w:highlight w:val="yellow"/>
        </w:rPr>
      </w:pPr>
    </w:p>
    <w:p w14:paraId="7F837A62" w14:textId="77777777" w:rsidR="00EE3362" w:rsidRPr="009F3567" w:rsidRDefault="00EE3362" w:rsidP="007613FE">
      <w:pPr>
        <w:pStyle w:val="Odstavek1"/>
        <w:rPr>
          <w:rFonts w:eastAsiaTheme="minorHAnsi"/>
        </w:rPr>
      </w:pPr>
      <w:r w:rsidRPr="009F3567">
        <w:rPr>
          <w:rFonts w:eastAsiaTheme="minorHAnsi"/>
        </w:rPr>
        <w:t>Številčno in vrednostno je največ podprtih naložb v živinorejo - 49 % celotne vrednosti podprtih naložb predstavljajo naložbe v živinorejo, sledij</w:t>
      </w:r>
      <w:r w:rsidRPr="00EE3362">
        <w:rPr>
          <w:rFonts w:eastAsiaTheme="minorHAnsi"/>
        </w:rPr>
        <w:t>o naložbe v rastlinsko pr</w:t>
      </w:r>
      <w:r>
        <w:rPr>
          <w:rFonts w:eastAsiaTheme="minorHAnsi"/>
        </w:rPr>
        <w:t>oizvodnjo</w:t>
      </w:r>
      <w:r w:rsidRPr="009F3567">
        <w:rPr>
          <w:rFonts w:eastAsiaTheme="minorHAnsi"/>
        </w:rPr>
        <w:t xml:space="preserve"> (29 %), naložbe v mešano proizvodnjo s prevladujočo živalsko proizvodnjo predstavljajo 16 % celotne vrednosti podprtih naložb in naložbe v mešano proizvodnjo s prevladujočo rastlinsko proizvodnjo 5 %.  </w:t>
      </w:r>
    </w:p>
    <w:p w14:paraId="71FB0194" w14:textId="77777777" w:rsidR="00EE3362" w:rsidRPr="009F3567" w:rsidRDefault="00EE3362" w:rsidP="007613FE">
      <w:pPr>
        <w:pStyle w:val="Odstavek1"/>
        <w:rPr>
          <w:rFonts w:eastAsiaTheme="minorHAnsi"/>
        </w:rPr>
      </w:pPr>
    </w:p>
    <w:p w14:paraId="45786DE5" w14:textId="77777777" w:rsidR="00BA2D4F" w:rsidRDefault="00F01F4B" w:rsidP="007613FE">
      <w:pPr>
        <w:pStyle w:val="Odstavek1"/>
        <w:rPr>
          <w:rFonts w:eastAsiaTheme="minorHAnsi"/>
        </w:rPr>
      </w:pPr>
      <w:r>
        <w:rPr>
          <w:rFonts w:eastAsiaTheme="minorHAnsi"/>
        </w:rPr>
        <w:t>Po vrsti naložbe jih je g</w:t>
      </w:r>
      <w:r w:rsidR="00597226" w:rsidRPr="009F3567">
        <w:rPr>
          <w:rFonts w:eastAsiaTheme="minorHAnsi"/>
        </w:rPr>
        <w:t xml:space="preserve">lede na </w:t>
      </w:r>
      <w:r>
        <w:rPr>
          <w:rFonts w:eastAsiaTheme="minorHAnsi"/>
        </w:rPr>
        <w:t xml:space="preserve">njihovo </w:t>
      </w:r>
      <w:r w:rsidR="00597226" w:rsidRPr="009F3567">
        <w:rPr>
          <w:rFonts w:eastAsiaTheme="minorHAnsi"/>
        </w:rPr>
        <w:t>celotno vrednost 50 % namenjenih</w:t>
      </w:r>
      <w:r w:rsidR="00597226" w:rsidRPr="00EE3362">
        <w:rPr>
          <w:rFonts w:eastAsiaTheme="minorHAnsi"/>
        </w:rPr>
        <w:t xml:space="preserve"> ureditvi ali vzdrževanju</w:t>
      </w:r>
      <w:r w:rsidR="00597226">
        <w:rPr>
          <w:rFonts w:eastAsiaTheme="minorHAnsi"/>
        </w:rPr>
        <w:t xml:space="preserve"> nepremičnin za kmetijsko</w:t>
      </w:r>
      <w:r w:rsidR="00597226" w:rsidRPr="00597226">
        <w:rPr>
          <w:rFonts w:eastAsiaTheme="minorHAnsi"/>
        </w:rPr>
        <w:t xml:space="preserve"> dejavnost, nakup</w:t>
      </w:r>
      <w:r w:rsidR="00597226">
        <w:rPr>
          <w:rFonts w:eastAsiaTheme="minorHAnsi"/>
        </w:rPr>
        <w:t>u pripadajoče opreme za kmetijsko proizvodnjo, uredit</w:t>
      </w:r>
      <w:r w:rsidR="00597226" w:rsidRPr="00597226">
        <w:rPr>
          <w:rFonts w:eastAsiaTheme="minorHAnsi"/>
        </w:rPr>
        <w:t>v</w:t>
      </w:r>
      <w:r w:rsidR="00597226">
        <w:rPr>
          <w:rFonts w:eastAsiaTheme="minorHAnsi"/>
        </w:rPr>
        <w:t>i</w:t>
      </w:r>
      <w:r w:rsidR="00597226" w:rsidRPr="00597226">
        <w:rPr>
          <w:rFonts w:eastAsiaTheme="minorHAnsi"/>
        </w:rPr>
        <w:t xml:space="preserve"> greznic in čistilnih naprav, nakup</w:t>
      </w:r>
      <w:r w:rsidR="00597226">
        <w:rPr>
          <w:rFonts w:eastAsiaTheme="minorHAnsi"/>
        </w:rPr>
        <w:t>u</w:t>
      </w:r>
      <w:r w:rsidR="00597226" w:rsidRPr="00597226">
        <w:rPr>
          <w:rFonts w:eastAsiaTheme="minorHAnsi"/>
        </w:rPr>
        <w:t xml:space="preserve"> IKT in strojne opreme</w:t>
      </w:r>
      <w:r w:rsidR="00597226">
        <w:rPr>
          <w:rFonts w:eastAsiaTheme="minorHAnsi"/>
        </w:rPr>
        <w:t>. Sledijo naložbe v n</w:t>
      </w:r>
      <w:r w:rsidR="00597226" w:rsidRPr="00597226">
        <w:rPr>
          <w:rFonts w:eastAsiaTheme="minorHAnsi"/>
        </w:rPr>
        <w:t>akup nove kmetijske mehanizacije ter strojne in transportne opreme za prevoz živali in surovin</w:t>
      </w:r>
      <w:r w:rsidR="00597226">
        <w:rPr>
          <w:rFonts w:eastAsiaTheme="minorHAnsi"/>
        </w:rPr>
        <w:t xml:space="preserve"> (ki sicer predstavljajo polovico vseh odobrenih vlog) s 30 % celotne vrednosti podprtih naložb, naložbe v </w:t>
      </w:r>
      <w:r w:rsidR="00597226" w:rsidRPr="00597226">
        <w:rPr>
          <w:rFonts w:eastAsiaTheme="minorHAnsi"/>
        </w:rPr>
        <w:t>postavit</w:t>
      </w:r>
      <w:r w:rsidR="00597226">
        <w:rPr>
          <w:rFonts w:eastAsiaTheme="minorHAnsi"/>
        </w:rPr>
        <w:t>e</w:t>
      </w:r>
      <w:r w:rsidR="00597226" w:rsidRPr="00597226">
        <w:rPr>
          <w:rFonts w:eastAsiaTheme="minorHAnsi"/>
        </w:rPr>
        <w:t>v oziroma obnov</w:t>
      </w:r>
      <w:r w:rsidR="00597226">
        <w:rPr>
          <w:rFonts w:eastAsiaTheme="minorHAnsi"/>
        </w:rPr>
        <w:t>o</w:t>
      </w:r>
      <w:r w:rsidR="00597226" w:rsidRPr="00597226">
        <w:rPr>
          <w:rFonts w:eastAsiaTheme="minorHAnsi"/>
        </w:rPr>
        <w:t xml:space="preserve"> sadovnjakov in oljčnikov vključno s postavitvijo jagodišč</w:t>
      </w:r>
      <w:r w:rsidR="00597226">
        <w:rPr>
          <w:rFonts w:eastAsiaTheme="minorHAnsi"/>
        </w:rPr>
        <w:t xml:space="preserve"> (6 %) in naložbe v n</w:t>
      </w:r>
      <w:r w:rsidR="00597226" w:rsidRPr="00597226">
        <w:rPr>
          <w:rFonts w:eastAsiaTheme="minorHAnsi"/>
        </w:rPr>
        <w:t>akup in postavitev rastlinjakov ter pripadajoče opreme</w:t>
      </w:r>
      <w:r w:rsidR="00597226">
        <w:rPr>
          <w:rFonts w:eastAsiaTheme="minorHAnsi"/>
        </w:rPr>
        <w:t xml:space="preserve"> (5 %). </w:t>
      </w:r>
    </w:p>
    <w:p w14:paraId="381CD005" w14:textId="77777777" w:rsidR="00BA2D4F" w:rsidRDefault="00BA2D4F" w:rsidP="007613FE">
      <w:pPr>
        <w:pStyle w:val="Odstavek1"/>
        <w:rPr>
          <w:rFonts w:eastAsiaTheme="minorHAnsi"/>
          <w:highlight w:val="yellow"/>
        </w:rPr>
      </w:pPr>
    </w:p>
    <w:p w14:paraId="446523E3" w14:textId="3B80E538" w:rsidR="00967996" w:rsidRDefault="0080571E" w:rsidP="007613FE">
      <w:pPr>
        <w:pStyle w:val="Odstavek1"/>
        <w:rPr>
          <w:rFonts w:eastAsiaTheme="minorHAnsi"/>
        </w:rPr>
      </w:pPr>
      <w:r>
        <w:rPr>
          <w:rFonts w:eastAsiaTheme="minorHAnsi"/>
        </w:rPr>
        <w:t>Poleg investicij, financiranih iz PRP, je bilo i</w:t>
      </w:r>
      <w:r w:rsidR="00BA2D4F" w:rsidRPr="00A72F80">
        <w:rPr>
          <w:rFonts w:eastAsiaTheme="minorHAnsi"/>
        </w:rPr>
        <w:t xml:space="preserve">z nacionalne ovojnice za vino za namene naložbe v prestrukturiranje vinogradov v obdobju 2014-2019 izplačanih </w:t>
      </w:r>
      <w:r w:rsidR="00AC0C12">
        <w:rPr>
          <w:rFonts w:eastAsiaTheme="minorHAnsi"/>
        </w:rPr>
        <w:t>26.533.957 evrov sredstev za 2.</w:t>
      </w:r>
      <w:r w:rsidR="00BA2D4F" w:rsidRPr="00A72F80">
        <w:rPr>
          <w:rFonts w:eastAsiaTheme="minorHAnsi"/>
        </w:rPr>
        <w:t>536 naložb, katerih celotna vrednost je znašala 53.656.809 evrov.</w:t>
      </w:r>
    </w:p>
    <w:p w14:paraId="771E8DA8" w14:textId="0E25E194" w:rsidR="001A447B" w:rsidRDefault="001A447B" w:rsidP="007613FE">
      <w:pPr>
        <w:pStyle w:val="Odstavek1"/>
        <w:rPr>
          <w:rFonts w:eastAsiaTheme="minorHAnsi"/>
        </w:rPr>
      </w:pPr>
    </w:p>
    <w:p w14:paraId="5E4B922D" w14:textId="77777777" w:rsidR="00DA2C5A" w:rsidRDefault="00DA2C5A" w:rsidP="007613FE">
      <w:pPr>
        <w:pStyle w:val="Odstavek1"/>
        <w:rPr>
          <w:rFonts w:eastAsiaTheme="minorHAnsi"/>
        </w:rPr>
      </w:pPr>
    </w:p>
    <w:p w14:paraId="2395D8C0" w14:textId="5737733F" w:rsidR="00DA2C5A" w:rsidRPr="00E155C1" w:rsidRDefault="00967996" w:rsidP="00DA2C5A">
      <w:pPr>
        <w:pStyle w:val="SCSlika0"/>
        <w:rPr>
          <w:sz w:val="20"/>
          <w:lang w:eastAsia="en-US"/>
        </w:rPr>
      </w:pPr>
      <w:bookmarkStart w:id="85" w:name="_Toc89851064"/>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740F5C">
        <w:rPr>
          <w:noProof/>
          <w:sz w:val="20"/>
        </w:rPr>
        <w:t>22</w:t>
      </w:r>
      <w:r w:rsidR="009F2591" w:rsidRPr="00E155C1">
        <w:rPr>
          <w:noProof/>
          <w:sz w:val="20"/>
        </w:rPr>
        <w:fldChar w:fldCharType="end"/>
      </w:r>
      <w:r w:rsidRPr="00E155C1">
        <w:rPr>
          <w:sz w:val="20"/>
        </w:rPr>
        <w:t xml:space="preserve">: Število odobrenih vlog in celotna vrednost podprtih naložb (v EUR) v okviru podukrepa </w:t>
      </w:r>
      <w:r w:rsidR="00821CEE" w:rsidRPr="00E155C1">
        <w:rPr>
          <w:rFonts w:eastAsiaTheme="minorHAnsi"/>
          <w:sz w:val="20"/>
        </w:rPr>
        <w:t>M0</w:t>
      </w:r>
      <w:r w:rsidRPr="00E155C1">
        <w:rPr>
          <w:sz w:val="20"/>
        </w:rPr>
        <w:t>4.1 PRP 2014</w:t>
      </w:r>
      <w:r w:rsidR="00E86ECB" w:rsidRPr="00E155C1">
        <w:rPr>
          <w:sz w:val="20"/>
        </w:rPr>
        <w:t>–</w:t>
      </w:r>
      <w:r w:rsidRPr="00E155C1">
        <w:rPr>
          <w:sz w:val="20"/>
        </w:rPr>
        <w:t>2020</w:t>
      </w:r>
      <w:r w:rsidRPr="00E155C1">
        <w:rPr>
          <w:sz w:val="20"/>
          <w:lang w:eastAsia="en-US"/>
        </w:rPr>
        <w:t>, stanje 30. 4. 2020</w:t>
      </w:r>
      <w:bookmarkEnd w:id="85"/>
    </w:p>
    <w:p w14:paraId="754D2170" w14:textId="5B032B02" w:rsidR="00493350" w:rsidRPr="0047652B" w:rsidRDefault="00BA2D4F" w:rsidP="00DA2C5A">
      <w:pPr>
        <w:rPr>
          <w:rFonts w:eastAsiaTheme="minorHAnsi"/>
          <w:bCs/>
        </w:rPr>
      </w:pPr>
      <w:r w:rsidRPr="00A72F80">
        <w:rPr>
          <w:rFonts w:eastAsiaTheme="minorHAnsi"/>
        </w:rPr>
        <w:t xml:space="preserve"> </w:t>
      </w:r>
      <w:r w:rsidR="00967996">
        <w:rPr>
          <w:noProof/>
          <w:lang w:eastAsia="sl-SI"/>
        </w:rPr>
        <w:drawing>
          <wp:inline distT="0" distB="0" distL="0" distR="0" wp14:anchorId="0D233638" wp14:editId="7B21B1CB">
            <wp:extent cx="5724525" cy="4205605"/>
            <wp:effectExtent l="0" t="0" r="9525" b="4445"/>
            <wp:docPr id="1631865589" name="Grafikon 1631865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08C5E4" w14:textId="17DCF115" w:rsidR="00BA2D4F" w:rsidRPr="00852E36" w:rsidRDefault="00BA2D4F" w:rsidP="009F3567">
      <w:pPr>
        <w:pStyle w:val="Pripombabesedilo"/>
        <w:spacing w:before="0" w:line="276" w:lineRule="auto"/>
        <w:rPr>
          <w:rFonts w:eastAsiaTheme="minorHAnsi"/>
          <w:bCs/>
          <w:sz w:val="16"/>
          <w:szCs w:val="16"/>
        </w:rPr>
      </w:pPr>
      <w:r w:rsidRPr="009F3567">
        <w:rPr>
          <w:rFonts w:ascii="Arial" w:eastAsiaTheme="minorHAnsi" w:hAnsi="Arial"/>
          <w:bCs/>
          <w:sz w:val="16"/>
          <w:szCs w:val="16"/>
        </w:rPr>
        <w:t xml:space="preserve">Vir: </w:t>
      </w:r>
      <w:r w:rsidR="00967996">
        <w:rPr>
          <w:rFonts w:ascii="Arial" w:eastAsiaTheme="minorHAnsi" w:hAnsi="Arial"/>
          <w:bCs/>
          <w:sz w:val="16"/>
          <w:szCs w:val="16"/>
        </w:rPr>
        <w:t>MKGP</w:t>
      </w:r>
      <w:r w:rsidR="003618DA">
        <w:rPr>
          <w:rFonts w:ascii="Arial" w:eastAsiaTheme="minorHAnsi" w:hAnsi="Arial"/>
          <w:bCs/>
          <w:sz w:val="16"/>
          <w:szCs w:val="16"/>
        </w:rPr>
        <w:t>.</w:t>
      </w:r>
    </w:p>
    <w:p w14:paraId="0A9C8D94" w14:textId="1B309CD8" w:rsidR="00E51039" w:rsidRDefault="00E51039" w:rsidP="007613FE">
      <w:pPr>
        <w:pStyle w:val="Odstavek1"/>
        <w:rPr>
          <w:rFonts w:eastAsiaTheme="minorHAnsi"/>
          <w:highlight w:val="yellow"/>
        </w:rPr>
      </w:pPr>
    </w:p>
    <w:p w14:paraId="43029816" w14:textId="15E13CEB" w:rsidR="009C36E7" w:rsidRDefault="009C36E7" w:rsidP="007613FE">
      <w:pPr>
        <w:pStyle w:val="Odstavek1"/>
        <w:rPr>
          <w:rFonts w:eastAsiaTheme="minorHAnsi"/>
        </w:rPr>
      </w:pPr>
      <w:r>
        <w:rPr>
          <w:rFonts w:eastAsiaTheme="minorHAnsi"/>
        </w:rPr>
        <w:t xml:space="preserve">Med odobrenimi vlogami v okviru podukrepa M04.1 je 23 % </w:t>
      </w:r>
      <w:r w:rsidR="00E94325">
        <w:rPr>
          <w:rFonts w:eastAsiaTheme="minorHAnsi"/>
        </w:rPr>
        <w:t>vlog</w:t>
      </w:r>
      <w:r>
        <w:rPr>
          <w:rFonts w:eastAsiaTheme="minorHAnsi"/>
        </w:rPr>
        <w:t xml:space="preserve"> KMG, ki so vključena v sheme ekološke proizvodnje</w:t>
      </w:r>
      <w:r w:rsidR="00E94325">
        <w:rPr>
          <w:rFonts w:eastAsiaTheme="minorHAnsi"/>
        </w:rPr>
        <w:t>, kar je za 10 odstotnih točk manj kot pri podukrepu M04.2. P</w:t>
      </w:r>
      <w:r>
        <w:rPr>
          <w:rFonts w:eastAsiaTheme="minorHAnsi"/>
        </w:rPr>
        <w:t xml:space="preserve">ovprečna vrednost </w:t>
      </w:r>
      <w:r w:rsidR="00E94325">
        <w:rPr>
          <w:rFonts w:eastAsiaTheme="minorHAnsi"/>
        </w:rPr>
        <w:t xml:space="preserve">podprte </w:t>
      </w:r>
      <w:r>
        <w:rPr>
          <w:rFonts w:eastAsiaTheme="minorHAnsi"/>
        </w:rPr>
        <w:t xml:space="preserve">naložbe v ekološko proizvodnjo je 40 % nižja od povprečne vrednosti </w:t>
      </w:r>
      <w:r w:rsidR="00E94325">
        <w:rPr>
          <w:rFonts w:eastAsiaTheme="minorHAnsi"/>
        </w:rPr>
        <w:t xml:space="preserve">podprte </w:t>
      </w:r>
      <w:r>
        <w:rPr>
          <w:rFonts w:eastAsiaTheme="minorHAnsi"/>
        </w:rPr>
        <w:t xml:space="preserve">naložbe KMG, ki niso vključena v sheme ekološke proizvodnje. </w:t>
      </w:r>
    </w:p>
    <w:p w14:paraId="70CCBD9F" w14:textId="77777777" w:rsidR="009C36E7" w:rsidRDefault="009C36E7" w:rsidP="007613FE">
      <w:pPr>
        <w:pStyle w:val="Odstavek1"/>
        <w:rPr>
          <w:szCs w:val="16"/>
        </w:rPr>
      </w:pPr>
    </w:p>
    <w:p w14:paraId="32FDD207" w14:textId="2436CC6D" w:rsidR="00875637" w:rsidRPr="00E155C1" w:rsidRDefault="009C36E7" w:rsidP="00DA2C5A">
      <w:pPr>
        <w:pStyle w:val="SCSlika0"/>
        <w:rPr>
          <w:rFonts w:eastAsiaTheme="minorHAnsi"/>
          <w:sz w:val="20"/>
          <w:highlight w:val="yellow"/>
        </w:rPr>
      </w:pPr>
      <w:bookmarkStart w:id="86" w:name="_Toc89851065"/>
      <w:r w:rsidRPr="00E155C1">
        <w:rPr>
          <w:sz w:val="20"/>
          <w:szCs w:val="16"/>
        </w:rPr>
        <w:t xml:space="preserve">Slika </w:t>
      </w:r>
      <w:r w:rsidRPr="00E155C1">
        <w:rPr>
          <w:sz w:val="20"/>
          <w:szCs w:val="16"/>
        </w:rPr>
        <w:fldChar w:fldCharType="begin"/>
      </w:r>
      <w:r w:rsidRPr="00E155C1">
        <w:rPr>
          <w:sz w:val="20"/>
          <w:szCs w:val="16"/>
        </w:rPr>
        <w:instrText xml:space="preserve"> SEQ Slika \* ARABIC </w:instrText>
      </w:r>
      <w:r w:rsidRPr="00E155C1">
        <w:rPr>
          <w:sz w:val="20"/>
          <w:szCs w:val="16"/>
        </w:rPr>
        <w:fldChar w:fldCharType="separate"/>
      </w:r>
      <w:r w:rsidR="00740F5C">
        <w:rPr>
          <w:noProof/>
          <w:sz w:val="20"/>
          <w:szCs w:val="16"/>
        </w:rPr>
        <w:t>23</w:t>
      </w:r>
      <w:r w:rsidRPr="00E155C1">
        <w:rPr>
          <w:noProof/>
          <w:sz w:val="20"/>
          <w:szCs w:val="16"/>
        </w:rPr>
        <w:fldChar w:fldCharType="end"/>
      </w:r>
      <w:r w:rsidRPr="00E155C1">
        <w:rPr>
          <w:sz w:val="20"/>
          <w:szCs w:val="16"/>
        </w:rPr>
        <w:t>: Število odobrenih vlog in povprečna vrednost podpr</w:t>
      </w:r>
      <w:r w:rsidR="00E94325" w:rsidRPr="00E155C1">
        <w:rPr>
          <w:sz w:val="20"/>
        </w:rPr>
        <w:t>te</w:t>
      </w:r>
      <w:r w:rsidRPr="00E155C1">
        <w:rPr>
          <w:sz w:val="20"/>
        </w:rPr>
        <w:t xml:space="preserve"> naložb</w:t>
      </w:r>
      <w:r w:rsidR="00E94325" w:rsidRPr="00E155C1">
        <w:rPr>
          <w:sz w:val="20"/>
        </w:rPr>
        <w:t>e</w:t>
      </w:r>
      <w:r w:rsidRPr="00E155C1">
        <w:rPr>
          <w:sz w:val="20"/>
        </w:rPr>
        <w:t xml:space="preserve"> (v EUR) v okviru podukrepa </w:t>
      </w:r>
      <w:r w:rsidRPr="00E155C1">
        <w:rPr>
          <w:rFonts w:eastAsiaTheme="minorHAnsi"/>
          <w:sz w:val="20"/>
        </w:rPr>
        <w:t>M0</w:t>
      </w:r>
      <w:r w:rsidRPr="00E155C1">
        <w:rPr>
          <w:sz w:val="20"/>
        </w:rPr>
        <w:t>4.1 PRP 2014–2020 glede na vključenost v sheme ekološke proizvodnje</w:t>
      </w:r>
      <w:r w:rsidRPr="00E155C1">
        <w:rPr>
          <w:sz w:val="20"/>
          <w:lang w:eastAsia="en-US"/>
        </w:rPr>
        <w:t>, stanje 30. 4. 2020</w:t>
      </w:r>
      <w:bookmarkEnd w:id="86"/>
    </w:p>
    <w:p w14:paraId="308BD9EB" w14:textId="11DD44A7" w:rsidR="002D6D3B" w:rsidRDefault="002D6D3B" w:rsidP="00DA2C5A">
      <w:pPr>
        <w:rPr>
          <w:rFonts w:eastAsiaTheme="minorHAnsi"/>
          <w:bCs/>
          <w:highlight w:val="yellow"/>
        </w:rPr>
      </w:pPr>
      <w:r>
        <w:rPr>
          <w:noProof/>
          <w:lang w:eastAsia="sl-SI"/>
        </w:rPr>
        <w:drawing>
          <wp:inline distT="0" distB="0" distL="0" distR="0" wp14:anchorId="709F7842" wp14:editId="67980511">
            <wp:extent cx="5585460" cy="2225040"/>
            <wp:effectExtent l="0" t="0" r="15240" b="3810"/>
            <wp:docPr id="1631865546" name="Grafikon 1631865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4B1086" w14:textId="29E193B1" w:rsidR="00003336" w:rsidRPr="00E155C1" w:rsidRDefault="009C36E7" w:rsidP="009F3567">
      <w:pPr>
        <w:pStyle w:val="Pripombabesedilo"/>
        <w:spacing w:before="0" w:line="276" w:lineRule="auto"/>
        <w:rPr>
          <w:rFonts w:ascii="Arial" w:eastAsiaTheme="minorHAnsi" w:hAnsi="Arial"/>
          <w:b/>
          <w:bCs/>
          <w:sz w:val="22"/>
          <w:szCs w:val="16"/>
        </w:rPr>
      </w:pPr>
      <w:r w:rsidRPr="00251920">
        <w:rPr>
          <w:rFonts w:ascii="Arial" w:eastAsiaTheme="minorHAnsi" w:hAnsi="Arial"/>
          <w:bCs/>
          <w:sz w:val="16"/>
          <w:szCs w:val="16"/>
        </w:rPr>
        <w:t>Vir: MKGP</w:t>
      </w:r>
    </w:p>
    <w:p w14:paraId="43405C18" w14:textId="6CBED451" w:rsidR="00C52DAA" w:rsidRPr="00E53EB6" w:rsidRDefault="00C52DAA" w:rsidP="00E155C1">
      <w:pPr>
        <w:pStyle w:val="Naslov3"/>
        <w:spacing w:before="0" w:line="276" w:lineRule="auto"/>
        <w:rPr>
          <w:rFonts w:eastAsiaTheme="minorHAnsi"/>
          <w:bCs/>
          <w:szCs w:val="16"/>
        </w:rPr>
      </w:pPr>
      <w:bookmarkStart w:id="87" w:name="_Toc90462220"/>
      <w:r w:rsidRPr="00E53EB6">
        <w:rPr>
          <w:rFonts w:eastAsiaTheme="minorHAnsi"/>
        </w:rPr>
        <w:t>Kolektivn</w:t>
      </w:r>
      <w:r w:rsidR="00602857">
        <w:rPr>
          <w:rFonts w:eastAsiaTheme="minorHAnsi"/>
        </w:rPr>
        <w:t>e naložbe v kmetijstvu</w:t>
      </w:r>
      <w:bookmarkEnd w:id="87"/>
    </w:p>
    <w:p w14:paraId="3A3CDE6B" w14:textId="77777777" w:rsidR="00C52DAA" w:rsidRDefault="00C52DAA" w:rsidP="00E155C1">
      <w:pPr>
        <w:pStyle w:val="Naslov2"/>
        <w:numPr>
          <w:ilvl w:val="0"/>
          <w:numId w:val="0"/>
        </w:numPr>
      </w:pPr>
    </w:p>
    <w:p w14:paraId="168D3164" w14:textId="4A0D13D9" w:rsidR="00C52DAA" w:rsidRDefault="00C52DAA" w:rsidP="00E155C1">
      <w:pPr>
        <w:rPr>
          <w:lang w:eastAsia="en-US"/>
        </w:rPr>
      </w:pPr>
      <w:r>
        <w:rPr>
          <w:lang w:eastAsia="en-US"/>
        </w:rPr>
        <w:t>V okviru PRP 2014–2020 smo ob individualnih naložbah prvič uvedli tudi kolektivna vlaganja. Namen uvedbe tovrstne posebne »investicijske linije« je bil zagotoviti večjo racionalnost in ekonomičnost vlaganj, večje kapacitete oz. ekonomije obsega, krepitev povezovanja primarnega sektorja kot prvega člena v verigi vrednosti. Do tovrstnih kolektivnih naložb so bile upravičene skupine kmetov,</w:t>
      </w:r>
      <w:r w:rsidR="004B1310">
        <w:rPr>
          <w:lang w:eastAsia="en-US"/>
        </w:rPr>
        <w:t xml:space="preserve"> vzpostavljene na podlagi pogodbe o sodelovanju pri izvedbi kolektivne naložbe ter</w:t>
      </w:r>
      <w:r>
        <w:rPr>
          <w:lang w:eastAsia="en-US"/>
        </w:rPr>
        <w:t xml:space="preserve"> skupin</w:t>
      </w:r>
      <w:r w:rsidR="004B1310">
        <w:rPr>
          <w:lang w:eastAsia="en-US"/>
        </w:rPr>
        <w:t>e</w:t>
      </w:r>
      <w:r>
        <w:rPr>
          <w:lang w:eastAsia="en-US"/>
        </w:rPr>
        <w:t xml:space="preserve"> in organizacije proizvajalcev ter zadruge, ki so </w:t>
      </w:r>
      <w:r w:rsidR="004B1310">
        <w:rPr>
          <w:lang w:eastAsia="en-US"/>
        </w:rPr>
        <w:t>kolektivne naložbe izvedle</w:t>
      </w:r>
      <w:r>
        <w:rPr>
          <w:lang w:eastAsia="en-US"/>
        </w:rPr>
        <w:t xml:space="preserve"> v imenu svojih članov – </w:t>
      </w:r>
      <w:r w:rsidR="004B1310">
        <w:rPr>
          <w:lang w:eastAsia="en-US"/>
        </w:rPr>
        <w:t xml:space="preserve">t.j. </w:t>
      </w:r>
      <w:r>
        <w:rPr>
          <w:lang w:eastAsia="en-US"/>
        </w:rPr>
        <w:t xml:space="preserve">kmetijskih gospodarstev. </w:t>
      </w:r>
    </w:p>
    <w:p w14:paraId="3718BBC5" w14:textId="27F3AEDB" w:rsidR="002E0D2A" w:rsidRDefault="002E0D2A" w:rsidP="00E155C1">
      <w:pPr>
        <w:rPr>
          <w:lang w:eastAsia="en-US"/>
        </w:rPr>
      </w:pPr>
      <w:r>
        <w:rPr>
          <w:lang w:eastAsia="en-US"/>
        </w:rPr>
        <w:t>Iz spodnje tabele je razvidno, da prevladuje predvsem interes za skupni nakup mehanizacije in strojne/transportne opreme in surovin. Bistveno manjši interes je za skupna vlaganja v objekte. Glede usmerjenosti kolektivnih naložb v posamezni sektor prevladuje sektor mleka (govedoreja – krave molznice) in m</w:t>
      </w:r>
      <w:r w:rsidRPr="002E0D2A">
        <w:rPr>
          <w:lang w:eastAsia="en-US"/>
        </w:rPr>
        <w:t>ešana proizvodnja s prevladujočo živalsko proizvodnjo</w:t>
      </w:r>
      <w:r>
        <w:rPr>
          <w:lang w:eastAsia="en-US"/>
        </w:rPr>
        <w:t xml:space="preserve">.    </w:t>
      </w:r>
    </w:p>
    <w:p w14:paraId="4A87CF7D" w14:textId="77777777" w:rsidR="002E0D2A" w:rsidRDefault="002E0D2A" w:rsidP="00E155C1">
      <w:pPr>
        <w:rPr>
          <w:b/>
          <w:lang w:eastAsia="en-US"/>
        </w:rPr>
      </w:pPr>
    </w:p>
    <w:p w14:paraId="0FDF2A2C" w14:textId="55AA4D4A" w:rsidR="0012257F" w:rsidRDefault="002E0D2A" w:rsidP="00E155C1">
      <w:pPr>
        <w:rPr>
          <w:color w:val="000000"/>
          <w:sz w:val="18"/>
          <w:lang w:eastAsia="sl-SI"/>
        </w:rPr>
      </w:pPr>
      <w:bookmarkStart w:id="88" w:name="_Toc89860998"/>
      <w:r w:rsidRPr="00351291">
        <w:t xml:space="preserve">Tabela </w:t>
      </w:r>
      <w:r w:rsidRPr="00EF50B8">
        <w:rPr>
          <w:noProof/>
        </w:rPr>
        <w:fldChar w:fldCharType="begin"/>
      </w:r>
      <w:r w:rsidRPr="00EF50B8">
        <w:rPr>
          <w:noProof/>
        </w:rPr>
        <w:instrText xml:space="preserve"> SEQ Tabela \* ARABIC </w:instrText>
      </w:r>
      <w:r w:rsidRPr="00EF50B8">
        <w:rPr>
          <w:noProof/>
        </w:rPr>
        <w:fldChar w:fldCharType="separate"/>
      </w:r>
      <w:r>
        <w:rPr>
          <w:noProof/>
        </w:rPr>
        <w:t>6</w:t>
      </w:r>
      <w:r w:rsidRPr="00EF50B8">
        <w:rPr>
          <w:noProof/>
        </w:rPr>
        <w:fldChar w:fldCharType="end"/>
      </w:r>
      <w:r w:rsidRPr="00351291">
        <w:t>:</w:t>
      </w:r>
      <w:r w:rsidR="0012257F" w:rsidRPr="00E155C1">
        <w:rPr>
          <w:color w:val="000000"/>
          <w:sz w:val="20"/>
          <w:szCs w:val="20"/>
          <w:lang w:eastAsia="sl-SI"/>
        </w:rPr>
        <w:t xml:space="preserve"> Kolektivne naložbe v okviru podukrepa 4.1 Podpora za naložbe v kmetijska gospodarstva iz PRP 2014-2020 (stanje odobrenih vlog na dan 30. 6. 2021) – </w:t>
      </w:r>
      <w:r w:rsidR="0012257F">
        <w:rPr>
          <w:color w:val="000000"/>
          <w:sz w:val="20"/>
          <w:szCs w:val="20"/>
          <w:lang w:eastAsia="sl-SI"/>
        </w:rPr>
        <w:t>po vrednosti, vrsti, sektorju in regiji</w:t>
      </w:r>
      <w:bookmarkEnd w:id="88"/>
      <w:r w:rsidR="0012257F">
        <w:rPr>
          <w:color w:val="000000"/>
          <w:sz w:val="20"/>
          <w:szCs w:val="20"/>
          <w:lang w:eastAsia="sl-SI"/>
        </w:rPr>
        <w:t xml:space="preserve">  </w:t>
      </w:r>
    </w:p>
    <w:tbl>
      <w:tblPr>
        <w:tblW w:w="5000" w:type="pct"/>
        <w:tblLayout w:type="fixed"/>
        <w:tblCellMar>
          <w:left w:w="70" w:type="dxa"/>
          <w:right w:w="70" w:type="dxa"/>
        </w:tblCellMar>
        <w:tblLook w:val="04A0" w:firstRow="1" w:lastRow="0" w:firstColumn="1" w:lastColumn="0" w:noHBand="0" w:noVBand="1"/>
      </w:tblPr>
      <w:tblGrid>
        <w:gridCol w:w="2123"/>
        <w:gridCol w:w="1133"/>
        <w:gridCol w:w="1274"/>
        <w:gridCol w:w="1510"/>
        <w:gridCol w:w="1510"/>
        <w:gridCol w:w="1512"/>
      </w:tblGrid>
      <w:tr w:rsidR="0012257F" w:rsidRPr="0012257F" w14:paraId="2BC6BBC0" w14:textId="77777777" w:rsidTr="00E155C1">
        <w:trPr>
          <w:trHeight w:val="480"/>
        </w:trPr>
        <w:tc>
          <w:tcPr>
            <w:tcW w:w="1171"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6FCA4A9"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Vrsta naložb</w:t>
            </w:r>
          </w:p>
        </w:tc>
        <w:tc>
          <w:tcPr>
            <w:tcW w:w="625" w:type="pct"/>
            <w:tcBorders>
              <w:top w:val="single" w:sz="4" w:space="0" w:color="auto"/>
              <w:left w:val="nil"/>
              <w:bottom w:val="single" w:sz="4" w:space="0" w:color="auto"/>
              <w:right w:val="single" w:sz="4" w:space="0" w:color="auto"/>
            </w:tcBorders>
            <w:shd w:val="clear" w:color="000000" w:fill="92D050"/>
            <w:vAlign w:val="center"/>
            <w:hideMark/>
          </w:tcPr>
          <w:p w14:paraId="1545AC4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Št.naložb</w:t>
            </w:r>
          </w:p>
        </w:tc>
        <w:tc>
          <w:tcPr>
            <w:tcW w:w="703" w:type="pct"/>
            <w:tcBorders>
              <w:top w:val="single" w:sz="4" w:space="0" w:color="auto"/>
              <w:left w:val="nil"/>
              <w:bottom w:val="single" w:sz="4" w:space="0" w:color="auto"/>
              <w:right w:val="single" w:sz="4" w:space="0" w:color="auto"/>
            </w:tcBorders>
            <w:shd w:val="clear" w:color="000000" w:fill="92D050"/>
            <w:vAlign w:val="center"/>
            <w:hideMark/>
          </w:tcPr>
          <w:p w14:paraId="2CEE10A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Celotna vrednost odobrenih naložb (EUR)</w:t>
            </w:r>
          </w:p>
        </w:tc>
        <w:tc>
          <w:tcPr>
            <w:tcW w:w="833" w:type="pct"/>
            <w:tcBorders>
              <w:top w:val="single" w:sz="4" w:space="0" w:color="auto"/>
              <w:left w:val="nil"/>
              <w:bottom w:val="single" w:sz="4" w:space="0" w:color="auto"/>
              <w:right w:val="single" w:sz="4" w:space="0" w:color="auto"/>
            </w:tcBorders>
            <w:shd w:val="clear" w:color="000000" w:fill="92D050"/>
            <w:vAlign w:val="center"/>
            <w:hideMark/>
          </w:tcPr>
          <w:p w14:paraId="4402BF9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Odobrena sredstva (EUR)</w:t>
            </w:r>
          </w:p>
        </w:tc>
        <w:tc>
          <w:tcPr>
            <w:tcW w:w="833" w:type="pct"/>
            <w:tcBorders>
              <w:top w:val="single" w:sz="4" w:space="0" w:color="auto"/>
              <w:left w:val="nil"/>
              <w:bottom w:val="single" w:sz="4" w:space="0" w:color="auto"/>
              <w:right w:val="single" w:sz="4" w:space="0" w:color="auto"/>
            </w:tcBorders>
            <w:shd w:val="clear" w:color="000000" w:fill="92D050"/>
            <w:vAlign w:val="center"/>
            <w:hideMark/>
          </w:tcPr>
          <w:p w14:paraId="387D290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Izplačana sredstva (EUR)</w:t>
            </w:r>
          </w:p>
        </w:tc>
        <w:tc>
          <w:tcPr>
            <w:tcW w:w="834" w:type="pct"/>
            <w:tcBorders>
              <w:top w:val="single" w:sz="4" w:space="0" w:color="auto"/>
              <w:left w:val="nil"/>
              <w:bottom w:val="single" w:sz="4" w:space="0" w:color="auto"/>
              <w:right w:val="single" w:sz="4" w:space="0" w:color="auto"/>
            </w:tcBorders>
            <w:shd w:val="clear" w:color="000000" w:fill="92D050"/>
            <w:vAlign w:val="center"/>
            <w:hideMark/>
          </w:tcPr>
          <w:p w14:paraId="349AA55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 vseh članov</w:t>
            </w:r>
          </w:p>
        </w:tc>
      </w:tr>
      <w:tr w:rsidR="0012257F" w:rsidRPr="0012257F" w14:paraId="7D8A9684"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21D7BDC"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Kolektivne naložbe</w:t>
            </w:r>
          </w:p>
        </w:tc>
        <w:tc>
          <w:tcPr>
            <w:tcW w:w="625" w:type="pct"/>
            <w:tcBorders>
              <w:top w:val="nil"/>
              <w:left w:val="nil"/>
              <w:bottom w:val="single" w:sz="4" w:space="0" w:color="auto"/>
              <w:right w:val="single" w:sz="4" w:space="0" w:color="auto"/>
            </w:tcBorders>
            <w:shd w:val="clear" w:color="auto" w:fill="auto"/>
            <w:noWrap/>
            <w:vAlign w:val="center"/>
            <w:hideMark/>
          </w:tcPr>
          <w:p w14:paraId="402568D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143</w:t>
            </w:r>
          </w:p>
        </w:tc>
        <w:tc>
          <w:tcPr>
            <w:tcW w:w="703" w:type="pct"/>
            <w:tcBorders>
              <w:top w:val="nil"/>
              <w:left w:val="nil"/>
              <w:bottom w:val="single" w:sz="4" w:space="0" w:color="auto"/>
              <w:right w:val="single" w:sz="4" w:space="0" w:color="auto"/>
            </w:tcBorders>
            <w:shd w:val="clear" w:color="auto" w:fill="auto"/>
            <w:noWrap/>
            <w:vAlign w:val="center"/>
            <w:hideMark/>
          </w:tcPr>
          <w:p w14:paraId="763493C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36.193.146</w:t>
            </w:r>
          </w:p>
        </w:tc>
        <w:tc>
          <w:tcPr>
            <w:tcW w:w="833" w:type="pct"/>
            <w:tcBorders>
              <w:top w:val="nil"/>
              <w:left w:val="nil"/>
              <w:bottom w:val="single" w:sz="4" w:space="0" w:color="auto"/>
              <w:right w:val="single" w:sz="4" w:space="0" w:color="auto"/>
            </w:tcBorders>
            <w:shd w:val="clear" w:color="auto" w:fill="auto"/>
            <w:noWrap/>
            <w:vAlign w:val="center"/>
            <w:hideMark/>
          </w:tcPr>
          <w:p w14:paraId="5A15C0D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13.574.803</w:t>
            </w:r>
          </w:p>
        </w:tc>
        <w:tc>
          <w:tcPr>
            <w:tcW w:w="833" w:type="pct"/>
            <w:tcBorders>
              <w:top w:val="nil"/>
              <w:left w:val="nil"/>
              <w:bottom w:val="single" w:sz="4" w:space="0" w:color="auto"/>
              <w:right w:val="single" w:sz="4" w:space="0" w:color="auto"/>
            </w:tcBorders>
            <w:shd w:val="clear" w:color="auto" w:fill="auto"/>
            <w:noWrap/>
            <w:vAlign w:val="center"/>
            <w:hideMark/>
          </w:tcPr>
          <w:p w14:paraId="0F949F1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13.320.201</w:t>
            </w:r>
          </w:p>
        </w:tc>
        <w:tc>
          <w:tcPr>
            <w:tcW w:w="834" w:type="pct"/>
            <w:tcBorders>
              <w:top w:val="nil"/>
              <w:left w:val="nil"/>
              <w:bottom w:val="single" w:sz="4" w:space="0" w:color="auto"/>
              <w:right w:val="single" w:sz="4" w:space="0" w:color="auto"/>
            </w:tcBorders>
            <w:shd w:val="clear" w:color="auto" w:fill="auto"/>
            <w:noWrap/>
            <w:vAlign w:val="center"/>
            <w:hideMark/>
          </w:tcPr>
          <w:p w14:paraId="53A8607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325</w:t>
            </w:r>
          </w:p>
        </w:tc>
      </w:tr>
      <w:tr w:rsidR="0012257F" w:rsidRPr="0012257F" w14:paraId="0076FB55"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8BD3080" w14:textId="52D5A000" w:rsidR="0012257F" w:rsidRPr="0012257F" w:rsidRDefault="0012257F" w:rsidP="00E53EB6">
            <w:pPr>
              <w:spacing w:before="0" w:line="240" w:lineRule="auto"/>
              <w:jc w:val="left"/>
              <w:rPr>
                <w:color w:val="000000"/>
                <w:sz w:val="18"/>
                <w:szCs w:val="18"/>
                <w:lang w:eastAsia="sl-SI"/>
              </w:rPr>
            </w:pPr>
            <w:r w:rsidRPr="0012257F">
              <w:rPr>
                <w:color w:val="000000"/>
                <w:sz w:val="18"/>
                <w:szCs w:val="18"/>
                <w:lang w:eastAsia="sl-SI"/>
              </w:rPr>
              <w:t xml:space="preserve">Skupaj naložbe (brez </w:t>
            </w:r>
            <w:r w:rsidR="002E0D2A">
              <w:rPr>
                <w:color w:val="000000"/>
                <w:sz w:val="18"/>
                <w:szCs w:val="18"/>
                <w:lang w:eastAsia="sl-SI"/>
              </w:rPr>
              <w:t>overcommittmenta</w:t>
            </w:r>
            <w:r w:rsidRPr="0012257F">
              <w:rPr>
                <w:color w:val="000000"/>
                <w:sz w:val="18"/>
                <w:szCs w:val="18"/>
                <w:lang w:eastAsia="sl-SI"/>
              </w:rPr>
              <w:t>)</w:t>
            </w:r>
          </w:p>
        </w:tc>
        <w:tc>
          <w:tcPr>
            <w:tcW w:w="625" w:type="pct"/>
            <w:tcBorders>
              <w:top w:val="nil"/>
              <w:left w:val="nil"/>
              <w:bottom w:val="single" w:sz="4" w:space="0" w:color="auto"/>
              <w:right w:val="single" w:sz="4" w:space="0" w:color="auto"/>
            </w:tcBorders>
            <w:shd w:val="clear" w:color="auto" w:fill="auto"/>
            <w:noWrap/>
            <w:vAlign w:val="center"/>
            <w:hideMark/>
          </w:tcPr>
          <w:p w14:paraId="1CFA83B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1.478</w:t>
            </w:r>
          </w:p>
        </w:tc>
        <w:tc>
          <w:tcPr>
            <w:tcW w:w="703" w:type="pct"/>
            <w:tcBorders>
              <w:top w:val="nil"/>
              <w:left w:val="nil"/>
              <w:bottom w:val="single" w:sz="4" w:space="0" w:color="auto"/>
              <w:right w:val="single" w:sz="4" w:space="0" w:color="auto"/>
            </w:tcBorders>
            <w:shd w:val="clear" w:color="auto" w:fill="auto"/>
            <w:noWrap/>
            <w:vAlign w:val="center"/>
            <w:hideMark/>
          </w:tcPr>
          <w:p w14:paraId="519C5F9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296.593.777</w:t>
            </w:r>
          </w:p>
        </w:tc>
        <w:tc>
          <w:tcPr>
            <w:tcW w:w="833" w:type="pct"/>
            <w:tcBorders>
              <w:top w:val="nil"/>
              <w:left w:val="nil"/>
              <w:bottom w:val="single" w:sz="4" w:space="0" w:color="auto"/>
              <w:right w:val="single" w:sz="4" w:space="0" w:color="auto"/>
            </w:tcBorders>
            <w:shd w:val="clear" w:color="auto" w:fill="auto"/>
            <w:noWrap/>
            <w:vAlign w:val="center"/>
            <w:hideMark/>
          </w:tcPr>
          <w:p w14:paraId="770D238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110.997.316</w:t>
            </w:r>
          </w:p>
        </w:tc>
        <w:tc>
          <w:tcPr>
            <w:tcW w:w="833" w:type="pct"/>
            <w:tcBorders>
              <w:top w:val="nil"/>
              <w:left w:val="nil"/>
              <w:bottom w:val="single" w:sz="4" w:space="0" w:color="auto"/>
              <w:right w:val="single" w:sz="4" w:space="0" w:color="auto"/>
            </w:tcBorders>
            <w:shd w:val="clear" w:color="auto" w:fill="auto"/>
            <w:noWrap/>
            <w:vAlign w:val="center"/>
            <w:hideMark/>
          </w:tcPr>
          <w:p w14:paraId="4E1A2C1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62.757.744</w:t>
            </w:r>
          </w:p>
        </w:tc>
        <w:tc>
          <w:tcPr>
            <w:tcW w:w="834" w:type="pct"/>
            <w:tcBorders>
              <w:top w:val="nil"/>
              <w:left w:val="nil"/>
              <w:bottom w:val="single" w:sz="4" w:space="0" w:color="auto"/>
              <w:right w:val="single" w:sz="4" w:space="0" w:color="auto"/>
            </w:tcBorders>
            <w:shd w:val="clear" w:color="auto" w:fill="auto"/>
            <w:noWrap/>
            <w:vAlign w:val="center"/>
            <w:hideMark/>
          </w:tcPr>
          <w:p w14:paraId="5D1B6ED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w:t>
            </w:r>
          </w:p>
        </w:tc>
      </w:tr>
      <w:tr w:rsidR="0012257F" w:rsidRPr="0012257F" w14:paraId="7F7977C1"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F949037" w14:textId="77777777" w:rsidR="0012257F" w:rsidRPr="0012257F" w:rsidRDefault="0012257F" w:rsidP="0012257F">
            <w:pPr>
              <w:spacing w:before="0" w:line="240" w:lineRule="auto"/>
              <w:jc w:val="left"/>
              <w:rPr>
                <w:i/>
                <w:iCs/>
                <w:color w:val="000000"/>
                <w:sz w:val="18"/>
                <w:szCs w:val="18"/>
                <w:lang w:eastAsia="sl-SI"/>
              </w:rPr>
            </w:pPr>
            <w:r w:rsidRPr="0012257F">
              <w:rPr>
                <w:i/>
                <w:iCs/>
                <w:color w:val="000000"/>
                <w:sz w:val="18"/>
                <w:szCs w:val="18"/>
                <w:lang w:eastAsia="sl-SI"/>
              </w:rPr>
              <w:t>Delež kolektivnih naložb</w:t>
            </w:r>
          </w:p>
        </w:tc>
        <w:tc>
          <w:tcPr>
            <w:tcW w:w="625" w:type="pct"/>
            <w:tcBorders>
              <w:top w:val="nil"/>
              <w:left w:val="nil"/>
              <w:bottom w:val="single" w:sz="4" w:space="0" w:color="auto"/>
              <w:right w:val="single" w:sz="4" w:space="0" w:color="auto"/>
            </w:tcBorders>
            <w:shd w:val="clear" w:color="auto" w:fill="auto"/>
            <w:noWrap/>
            <w:vAlign w:val="center"/>
            <w:hideMark/>
          </w:tcPr>
          <w:p w14:paraId="316D91DB" w14:textId="77777777" w:rsidR="0012257F" w:rsidRPr="0012257F" w:rsidRDefault="0012257F" w:rsidP="0012257F">
            <w:pPr>
              <w:spacing w:before="0" w:line="240" w:lineRule="auto"/>
              <w:jc w:val="right"/>
              <w:rPr>
                <w:i/>
                <w:iCs/>
                <w:color w:val="000000"/>
                <w:sz w:val="18"/>
                <w:szCs w:val="18"/>
                <w:lang w:eastAsia="sl-SI"/>
              </w:rPr>
            </w:pPr>
            <w:r w:rsidRPr="0012257F">
              <w:rPr>
                <w:i/>
                <w:iCs/>
                <w:color w:val="000000"/>
                <w:sz w:val="18"/>
                <w:szCs w:val="18"/>
                <w:lang w:eastAsia="sl-SI"/>
              </w:rPr>
              <w:t>9,7%</w:t>
            </w:r>
          </w:p>
        </w:tc>
        <w:tc>
          <w:tcPr>
            <w:tcW w:w="703" w:type="pct"/>
            <w:tcBorders>
              <w:top w:val="nil"/>
              <w:left w:val="nil"/>
              <w:bottom w:val="single" w:sz="4" w:space="0" w:color="auto"/>
              <w:right w:val="single" w:sz="4" w:space="0" w:color="auto"/>
            </w:tcBorders>
            <w:shd w:val="clear" w:color="auto" w:fill="auto"/>
            <w:noWrap/>
            <w:vAlign w:val="center"/>
            <w:hideMark/>
          </w:tcPr>
          <w:p w14:paraId="538157F2" w14:textId="77777777" w:rsidR="0012257F" w:rsidRPr="0012257F" w:rsidRDefault="0012257F" w:rsidP="0012257F">
            <w:pPr>
              <w:spacing w:before="0" w:line="240" w:lineRule="auto"/>
              <w:jc w:val="right"/>
              <w:rPr>
                <w:i/>
                <w:iCs/>
                <w:color w:val="000000"/>
                <w:sz w:val="18"/>
                <w:szCs w:val="18"/>
                <w:lang w:eastAsia="sl-SI"/>
              </w:rPr>
            </w:pPr>
            <w:r w:rsidRPr="0012257F">
              <w:rPr>
                <w:i/>
                <w:iCs/>
                <w:color w:val="000000"/>
                <w:sz w:val="18"/>
                <w:szCs w:val="18"/>
                <w:lang w:eastAsia="sl-SI"/>
              </w:rPr>
              <w:t>12,2%</w:t>
            </w:r>
          </w:p>
        </w:tc>
        <w:tc>
          <w:tcPr>
            <w:tcW w:w="833" w:type="pct"/>
            <w:tcBorders>
              <w:top w:val="nil"/>
              <w:left w:val="nil"/>
              <w:bottom w:val="single" w:sz="4" w:space="0" w:color="auto"/>
              <w:right w:val="single" w:sz="4" w:space="0" w:color="auto"/>
            </w:tcBorders>
            <w:shd w:val="clear" w:color="auto" w:fill="auto"/>
            <w:noWrap/>
            <w:vAlign w:val="center"/>
            <w:hideMark/>
          </w:tcPr>
          <w:p w14:paraId="2417D381" w14:textId="77777777" w:rsidR="0012257F" w:rsidRPr="0012257F" w:rsidRDefault="0012257F" w:rsidP="0012257F">
            <w:pPr>
              <w:spacing w:before="0" w:line="240" w:lineRule="auto"/>
              <w:jc w:val="right"/>
              <w:rPr>
                <w:i/>
                <w:iCs/>
                <w:color w:val="000000"/>
                <w:sz w:val="18"/>
                <w:szCs w:val="18"/>
                <w:lang w:eastAsia="sl-SI"/>
              </w:rPr>
            </w:pPr>
            <w:r w:rsidRPr="0012257F">
              <w:rPr>
                <w:i/>
                <w:iCs/>
                <w:color w:val="000000"/>
                <w:sz w:val="18"/>
                <w:szCs w:val="18"/>
                <w:lang w:eastAsia="sl-SI"/>
              </w:rPr>
              <w:t>12,2%</w:t>
            </w:r>
          </w:p>
        </w:tc>
        <w:tc>
          <w:tcPr>
            <w:tcW w:w="833" w:type="pct"/>
            <w:tcBorders>
              <w:top w:val="nil"/>
              <w:left w:val="nil"/>
              <w:bottom w:val="single" w:sz="4" w:space="0" w:color="auto"/>
              <w:right w:val="single" w:sz="4" w:space="0" w:color="auto"/>
            </w:tcBorders>
            <w:shd w:val="clear" w:color="auto" w:fill="auto"/>
            <w:noWrap/>
            <w:vAlign w:val="center"/>
            <w:hideMark/>
          </w:tcPr>
          <w:p w14:paraId="4119C79E" w14:textId="77777777" w:rsidR="0012257F" w:rsidRPr="0012257F" w:rsidRDefault="0012257F" w:rsidP="0012257F">
            <w:pPr>
              <w:spacing w:before="0" w:line="240" w:lineRule="auto"/>
              <w:jc w:val="right"/>
              <w:rPr>
                <w:i/>
                <w:iCs/>
                <w:color w:val="000000"/>
                <w:sz w:val="18"/>
                <w:szCs w:val="18"/>
                <w:lang w:eastAsia="sl-SI"/>
              </w:rPr>
            </w:pPr>
            <w:r w:rsidRPr="0012257F">
              <w:rPr>
                <w:i/>
                <w:iCs/>
                <w:color w:val="000000"/>
                <w:sz w:val="18"/>
                <w:szCs w:val="18"/>
                <w:lang w:eastAsia="sl-SI"/>
              </w:rPr>
              <w:t>21,2%</w:t>
            </w:r>
          </w:p>
        </w:tc>
        <w:tc>
          <w:tcPr>
            <w:tcW w:w="834" w:type="pct"/>
            <w:tcBorders>
              <w:top w:val="nil"/>
              <w:left w:val="nil"/>
              <w:bottom w:val="single" w:sz="4" w:space="0" w:color="auto"/>
              <w:right w:val="single" w:sz="4" w:space="0" w:color="auto"/>
            </w:tcBorders>
            <w:shd w:val="clear" w:color="auto" w:fill="auto"/>
            <w:noWrap/>
            <w:vAlign w:val="center"/>
            <w:hideMark/>
          </w:tcPr>
          <w:p w14:paraId="150BC46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 </w:t>
            </w:r>
          </w:p>
        </w:tc>
      </w:tr>
      <w:tr w:rsidR="0012257F" w:rsidRPr="0012257F" w14:paraId="09913B90" w14:textId="77777777" w:rsidTr="00E155C1">
        <w:trPr>
          <w:trHeight w:val="480"/>
        </w:trPr>
        <w:tc>
          <w:tcPr>
            <w:tcW w:w="1171" w:type="pct"/>
            <w:tcBorders>
              <w:top w:val="nil"/>
              <w:left w:val="single" w:sz="4" w:space="0" w:color="auto"/>
              <w:bottom w:val="single" w:sz="4" w:space="0" w:color="auto"/>
              <w:right w:val="single" w:sz="4" w:space="0" w:color="auto"/>
            </w:tcBorders>
            <w:shd w:val="clear" w:color="000000" w:fill="92D050"/>
            <w:vAlign w:val="center"/>
            <w:hideMark/>
          </w:tcPr>
          <w:p w14:paraId="71F421FE"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Kolektivne naložbe: VRSTA PREVLADUJOCE NALOZBE</w:t>
            </w:r>
          </w:p>
        </w:tc>
        <w:tc>
          <w:tcPr>
            <w:tcW w:w="625" w:type="pct"/>
            <w:tcBorders>
              <w:top w:val="nil"/>
              <w:left w:val="nil"/>
              <w:bottom w:val="single" w:sz="4" w:space="0" w:color="auto"/>
              <w:right w:val="single" w:sz="4" w:space="0" w:color="auto"/>
            </w:tcBorders>
            <w:shd w:val="clear" w:color="000000" w:fill="92D050"/>
            <w:vAlign w:val="center"/>
            <w:hideMark/>
          </w:tcPr>
          <w:p w14:paraId="3DC9094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Št.naložb</w:t>
            </w:r>
          </w:p>
        </w:tc>
        <w:tc>
          <w:tcPr>
            <w:tcW w:w="703" w:type="pct"/>
            <w:tcBorders>
              <w:top w:val="nil"/>
              <w:left w:val="nil"/>
              <w:bottom w:val="single" w:sz="4" w:space="0" w:color="auto"/>
              <w:right w:val="single" w:sz="4" w:space="0" w:color="auto"/>
            </w:tcBorders>
            <w:shd w:val="clear" w:color="000000" w:fill="92D050"/>
            <w:vAlign w:val="center"/>
            <w:hideMark/>
          </w:tcPr>
          <w:p w14:paraId="6475DA4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Celotna vrednost odobrenih naložb (EUR)</w:t>
            </w:r>
          </w:p>
        </w:tc>
        <w:tc>
          <w:tcPr>
            <w:tcW w:w="833" w:type="pct"/>
            <w:tcBorders>
              <w:top w:val="nil"/>
              <w:left w:val="nil"/>
              <w:bottom w:val="single" w:sz="4" w:space="0" w:color="auto"/>
              <w:right w:val="single" w:sz="4" w:space="0" w:color="auto"/>
            </w:tcBorders>
            <w:shd w:val="clear" w:color="000000" w:fill="92D050"/>
            <w:vAlign w:val="center"/>
            <w:hideMark/>
          </w:tcPr>
          <w:p w14:paraId="1844E9A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Odobrena sredstva (EUR)</w:t>
            </w:r>
          </w:p>
        </w:tc>
        <w:tc>
          <w:tcPr>
            <w:tcW w:w="833" w:type="pct"/>
            <w:tcBorders>
              <w:top w:val="nil"/>
              <w:left w:val="nil"/>
              <w:bottom w:val="single" w:sz="4" w:space="0" w:color="auto"/>
              <w:right w:val="single" w:sz="4" w:space="0" w:color="auto"/>
            </w:tcBorders>
            <w:shd w:val="clear" w:color="000000" w:fill="92D050"/>
            <w:vAlign w:val="center"/>
            <w:hideMark/>
          </w:tcPr>
          <w:p w14:paraId="26C4AD8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Izplačana sredstva (EUR)</w:t>
            </w:r>
          </w:p>
        </w:tc>
        <w:tc>
          <w:tcPr>
            <w:tcW w:w="834" w:type="pct"/>
            <w:tcBorders>
              <w:top w:val="nil"/>
              <w:left w:val="nil"/>
              <w:bottom w:val="single" w:sz="4" w:space="0" w:color="auto"/>
              <w:right w:val="single" w:sz="4" w:space="0" w:color="auto"/>
            </w:tcBorders>
            <w:shd w:val="clear" w:color="000000" w:fill="92D050"/>
            <w:vAlign w:val="center"/>
            <w:hideMark/>
          </w:tcPr>
          <w:p w14:paraId="624198D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 vseh članov</w:t>
            </w:r>
          </w:p>
        </w:tc>
      </w:tr>
      <w:tr w:rsidR="0012257F" w:rsidRPr="0012257F" w14:paraId="67EB3B05" w14:textId="77777777" w:rsidTr="00E155C1">
        <w:trPr>
          <w:trHeight w:val="8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23A6B36B"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Nakup in postavitev rastlinjakov ter pripadajoče opreme</w:t>
            </w:r>
          </w:p>
        </w:tc>
        <w:tc>
          <w:tcPr>
            <w:tcW w:w="625" w:type="pct"/>
            <w:tcBorders>
              <w:top w:val="nil"/>
              <w:left w:val="nil"/>
              <w:bottom w:val="single" w:sz="4" w:space="0" w:color="auto"/>
              <w:right w:val="single" w:sz="4" w:space="0" w:color="auto"/>
            </w:tcBorders>
            <w:shd w:val="clear" w:color="auto" w:fill="auto"/>
            <w:noWrap/>
            <w:vAlign w:val="center"/>
            <w:hideMark/>
          </w:tcPr>
          <w:p w14:paraId="4D3DDAE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w:t>
            </w:r>
          </w:p>
        </w:tc>
        <w:tc>
          <w:tcPr>
            <w:tcW w:w="703" w:type="pct"/>
            <w:tcBorders>
              <w:top w:val="nil"/>
              <w:left w:val="nil"/>
              <w:bottom w:val="single" w:sz="4" w:space="0" w:color="auto"/>
              <w:right w:val="single" w:sz="4" w:space="0" w:color="auto"/>
            </w:tcBorders>
            <w:shd w:val="clear" w:color="auto" w:fill="auto"/>
            <w:noWrap/>
            <w:vAlign w:val="center"/>
            <w:hideMark/>
          </w:tcPr>
          <w:p w14:paraId="5902966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557.702</w:t>
            </w:r>
          </w:p>
        </w:tc>
        <w:tc>
          <w:tcPr>
            <w:tcW w:w="833" w:type="pct"/>
            <w:tcBorders>
              <w:top w:val="nil"/>
              <w:left w:val="nil"/>
              <w:bottom w:val="single" w:sz="4" w:space="0" w:color="auto"/>
              <w:right w:val="single" w:sz="4" w:space="0" w:color="auto"/>
            </w:tcBorders>
            <w:shd w:val="clear" w:color="auto" w:fill="auto"/>
            <w:noWrap/>
            <w:vAlign w:val="center"/>
            <w:hideMark/>
          </w:tcPr>
          <w:p w14:paraId="5350846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416.198</w:t>
            </w:r>
          </w:p>
        </w:tc>
        <w:tc>
          <w:tcPr>
            <w:tcW w:w="833" w:type="pct"/>
            <w:tcBorders>
              <w:top w:val="nil"/>
              <w:left w:val="nil"/>
              <w:bottom w:val="single" w:sz="4" w:space="0" w:color="auto"/>
              <w:right w:val="single" w:sz="4" w:space="0" w:color="auto"/>
            </w:tcBorders>
            <w:shd w:val="clear" w:color="auto" w:fill="auto"/>
            <w:noWrap/>
            <w:vAlign w:val="center"/>
            <w:hideMark/>
          </w:tcPr>
          <w:p w14:paraId="52F4F40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416.198</w:t>
            </w:r>
          </w:p>
        </w:tc>
        <w:tc>
          <w:tcPr>
            <w:tcW w:w="834" w:type="pct"/>
            <w:tcBorders>
              <w:top w:val="nil"/>
              <w:left w:val="nil"/>
              <w:bottom w:val="single" w:sz="4" w:space="0" w:color="auto"/>
              <w:right w:val="single" w:sz="4" w:space="0" w:color="auto"/>
            </w:tcBorders>
            <w:shd w:val="clear" w:color="auto" w:fill="auto"/>
            <w:noWrap/>
            <w:vAlign w:val="center"/>
            <w:hideMark/>
          </w:tcPr>
          <w:p w14:paraId="1A41C33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r>
      <w:tr w:rsidR="0012257F" w:rsidRPr="0012257F" w14:paraId="1C2E896E" w14:textId="77777777" w:rsidTr="00E155C1">
        <w:trPr>
          <w:trHeight w:val="11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46441C70"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Nakup nove kmetijske mehanizacije ter strojne in transportne opreme za prevoz živali in surovin</w:t>
            </w:r>
          </w:p>
        </w:tc>
        <w:tc>
          <w:tcPr>
            <w:tcW w:w="625" w:type="pct"/>
            <w:tcBorders>
              <w:top w:val="nil"/>
              <w:left w:val="nil"/>
              <w:bottom w:val="single" w:sz="4" w:space="0" w:color="auto"/>
              <w:right w:val="single" w:sz="4" w:space="0" w:color="auto"/>
            </w:tcBorders>
            <w:shd w:val="clear" w:color="auto" w:fill="auto"/>
            <w:noWrap/>
            <w:vAlign w:val="center"/>
            <w:hideMark/>
          </w:tcPr>
          <w:p w14:paraId="3E03C49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140</w:t>
            </w:r>
          </w:p>
        </w:tc>
        <w:tc>
          <w:tcPr>
            <w:tcW w:w="703" w:type="pct"/>
            <w:tcBorders>
              <w:top w:val="nil"/>
              <w:left w:val="nil"/>
              <w:bottom w:val="single" w:sz="4" w:space="0" w:color="auto"/>
              <w:right w:val="single" w:sz="4" w:space="0" w:color="auto"/>
            </w:tcBorders>
            <w:shd w:val="clear" w:color="auto" w:fill="auto"/>
            <w:noWrap/>
            <w:vAlign w:val="center"/>
            <w:hideMark/>
          </w:tcPr>
          <w:p w14:paraId="319893E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35.342.625</w:t>
            </w:r>
          </w:p>
        </w:tc>
        <w:tc>
          <w:tcPr>
            <w:tcW w:w="833" w:type="pct"/>
            <w:tcBorders>
              <w:top w:val="nil"/>
              <w:left w:val="nil"/>
              <w:bottom w:val="single" w:sz="4" w:space="0" w:color="auto"/>
              <w:right w:val="single" w:sz="4" w:space="0" w:color="auto"/>
            </w:tcBorders>
            <w:shd w:val="clear" w:color="auto" w:fill="auto"/>
            <w:noWrap/>
            <w:vAlign w:val="center"/>
            <w:hideMark/>
          </w:tcPr>
          <w:p w14:paraId="456F5C6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13.051.317</w:t>
            </w:r>
          </w:p>
        </w:tc>
        <w:tc>
          <w:tcPr>
            <w:tcW w:w="833" w:type="pct"/>
            <w:tcBorders>
              <w:top w:val="nil"/>
              <w:left w:val="nil"/>
              <w:bottom w:val="single" w:sz="4" w:space="0" w:color="auto"/>
              <w:right w:val="single" w:sz="4" w:space="0" w:color="auto"/>
            </w:tcBorders>
            <w:shd w:val="clear" w:color="auto" w:fill="auto"/>
            <w:noWrap/>
            <w:vAlign w:val="center"/>
            <w:hideMark/>
          </w:tcPr>
          <w:p w14:paraId="5C39114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12.797.160</w:t>
            </w:r>
          </w:p>
        </w:tc>
        <w:tc>
          <w:tcPr>
            <w:tcW w:w="834" w:type="pct"/>
            <w:tcBorders>
              <w:top w:val="nil"/>
              <w:left w:val="nil"/>
              <w:bottom w:val="single" w:sz="4" w:space="0" w:color="auto"/>
              <w:right w:val="single" w:sz="4" w:space="0" w:color="auto"/>
            </w:tcBorders>
            <w:shd w:val="clear" w:color="auto" w:fill="auto"/>
            <w:noWrap/>
            <w:vAlign w:val="center"/>
            <w:hideMark/>
          </w:tcPr>
          <w:p w14:paraId="145857D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318</w:t>
            </w:r>
          </w:p>
        </w:tc>
      </w:tr>
      <w:tr w:rsidR="0012257F" w:rsidRPr="0012257F" w14:paraId="05EC48B8" w14:textId="77777777" w:rsidTr="00E155C1">
        <w:trPr>
          <w:trHeight w:val="144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405B0EE3"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Stroški ureditve ali vzdrževanje nepremičnin za kmet. dejavnost, nakup pripadajoče opreme za kmet. proizvodnjo, ureditev greznic in čistilnih naprav, nakup informacijsko-komunikacijske tehnologije (IKT) in strojne opreme</w:t>
            </w:r>
          </w:p>
        </w:tc>
        <w:tc>
          <w:tcPr>
            <w:tcW w:w="625" w:type="pct"/>
            <w:tcBorders>
              <w:top w:val="nil"/>
              <w:left w:val="nil"/>
              <w:bottom w:val="single" w:sz="4" w:space="0" w:color="auto"/>
              <w:right w:val="single" w:sz="4" w:space="0" w:color="auto"/>
            </w:tcBorders>
            <w:shd w:val="clear" w:color="auto" w:fill="auto"/>
            <w:noWrap/>
            <w:vAlign w:val="center"/>
            <w:hideMark/>
          </w:tcPr>
          <w:p w14:paraId="0056F0B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c>
          <w:tcPr>
            <w:tcW w:w="703" w:type="pct"/>
            <w:tcBorders>
              <w:top w:val="nil"/>
              <w:left w:val="nil"/>
              <w:bottom w:val="single" w:sz="4" w:space="0" w:color="auto"/>
              <w:right w:val="single" w:sz="4" w:space="0" w:color="auto"/>
            </w:tcBorders>
            <w:shd w:val="clear" w:color="auto" w:fill="auto"/>
            <w:noWrap/>
            <w:vAlign w:val="center"/>
            <w:hideMark/>
          </w:tcPr>
          <w:p w14:paraId="225D2C3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292.819</w:t>
            </w:r>
          </w:p>
        </w:tc>
        <w:tc>
          <w:tcPr>
            <w:tcW w:w="833" w:type="pct"/>
            <w:tcBorders>
              <w:top w:val="nil"/>
              <w:left w:val="nil"/>
              <w:bottom w:val="single" w:sz="4" w:space="0" w:color="auto"/>
              <w:right w:val="single" w:sz="4" w:space="0" w:color="auto"/>
            </w:tcBorders>
            <w:shd w:val="clear" w:color="auto" w:fill="auto"/>
            <w:noWrap/>
            <w:vAlign w:val="center"/>
            <w:hideMark/>
          </w:tcPr>
          <w:p w14:paraId="6B76195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107.289</w:t>
            </w:r>
          </w:p>
        </w:tc>
        <w:tc>
          <w:tcPr>
            <w:tcW w:w="833" w:type="pct"/>
            <w:tcBorders>
              <w:top w:val="nil"/>
              <w:left w:val="nil"/>
              <w:bottom w:val="single" w:sz="4" w:space="0" w:color="auto"/>
              <w:right w:val="single" w:sz="4" w:space="0" w:color="auto"/>
            </w:tcBorders>
            <w:shd w:val="clear" w:color="auto" w:fill="auto"/>
            <w:noWrap/>
            <w:vAlign w:val="center"/>
            <w:hideMark/>
          </w:tcPr>
          <w:p w14:paraId="2CB7F5C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106.844</w:t>
            </w:r>
          </w:p>
        </w:tc>
        <w:tc>
          <w:tcPr>
            <w:tcW w:w="834" w:type="pct"/>
            <w:tcBorders>
              <w:top w:val="nil"/>
              <w:left w:val="nil"/>
              <w:bottom w:val="single" w:sz="4" w:space="0" w:color="auto"/>
              <w:right w:val="single" w:sz="4" w:space="0" w:color="auto"/>
            </w:tcBorders>
            <w:shd w:val="clear" w:color="auto" w:fill="auto"/>
            <w:noWrap/>
            <w:vAlign w:val="center"/>
            <w:hideMark/>
          </w:tcPr>
          <w:p w14:paraId="285CA9D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w:t>
            </w:r>
          </w:p>
        </w:tc>
      </w:tr>
      <w:tr w:rsidR="0012257F" w:rsidRPr="0012257F" w14:paraId="2142D7B4" w14:textId="77777777" w:rsidTr="00E155C1">
        <w:trPr>
          <w:trHeight w:val="255"/>
        </w:trPr>
        <w:tc>
          <w:tcPr>
            <w:tcW w:w="1171" w:type="pct"/>
            <w:tcBorders>
              <w:top w:val="nil"/>
              <w:left w:val="single" w:sz="4" w:space="0" w:color="auto"/>
              <w:bottom w:val="single" w:sz="4" w:space="0" w:color="auto"/>
              <w:right w:val="single" w:sz="4" w:space="0" w:color="auto"/>
            </w:tcBorders>
            <w:shd w:val="clear" w:color="000000" w:fill="92D050"/>
            <w:vAlign w:val="center"/>
            <w:hideMark/>
          </w:tcPr>
          <w:p w14:paraId="54AE6361"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Skupaj</w:t>
            </w:r>
          </w:p>
        </w:tc>
        <w:tc>
          <w:tcPr>
            <w:tcW w:w="625" w:type="pct"/>
            <w:tcBorders>
              <w:top w:val="nil"/>
              <w:left w:val="nil"/>
              <w:bottom w:val="single" w:sz="4" w:space="0" w:color="auto"/>
              <w:right w:val="single" w:sz="4" w:space="0" w:color="auto"/>
            </w:tcBorders>
            <w:shd w:val="clear" w:color="000000" w:fill="92D050"/>
            <w:noWrap/>
            <w:vAlign w:val="center"/>
            <w:hideMark/>
          </w:tcPr>
          <w:p w14:paraId="4127645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143</w:t>
            </w:r>
          </w:p>
        </w:tc>
        <w:tc>
          <w:tcPr>
            <w:tcW w:w="703" w:type="pct"/>
            <w:tcBorders>
              <w:top w:val="nil"/>
              <w:left w:val="nil"/>
              <w:bottom w:val="single" w:sz="4" w:space="0" w:color="auto"/>
              <w:right w:val="single" w:sz="4" w:space="0" w:color="auto"/>
            </w:tcBorders>
            <w:shd w:val="clear" w:color="000000" w:fill="92D050"/>
            <w:noWrap/>
            <w:vAlign w:val="center"/>
            <w:hideMark/>
          </w:tcPr>
          <w:p w14:paraId="1F41513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36.193.146</w:t>
            </w:r>
          </w:p>
        </w:tc>
        <w:tc>
          <w:tcPr>
            <w:tcW w:w="833" w:type="pct"/>
            <w:tcBorders>
              <w:top w:val="nil"/>
              <w:left w:val="nil"/>
              <w:bottom w:val="single" w:sz="4" w:space="0" w:color="auto"/>
              <w:right w:val="single" w:sz="4" w:space="0" w:color="auto"/>
            </w:tcBorders>
            <w:shd w:val="clear" w:color="000000" w:fill="92D050"/>
            <w:noWrap/>
            <w:vAlign w:val="center"/>
            <w:hideMark/>
          </w:tcPr>
          <w:p w14:paraId="27D5B59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13.574.803</w:t>
            </w:r>
          </w:p>
        </w:tc>
        <w:tc>
          <w:tcPr>
            <w:tcW w:w="833" w:type="pct"/>
            <w:tcBorders>
              <w:top w:val="nil"/>
              <w:left w:val="nil"/>
              <w:bottom w:val="single" w:sz="4" w:space="0" w:color="auto"/>
              <w:right w:val="single" w:sz="4" w:space="0" w:color="auto"/>
            </w:tcBorders>
            <w:shd w:val="clear" w:color="000000" w:fill="92D050"/>
            <w:noWrap/>
            <w:vAlign w:val="center"/>
            <w:hideMark/>
          </w:tcPr>
          <w:p w14:paraId="4CA489C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13.320.201</w:t>
            </w:r>
          </w:p>
        </w:tc>
        <w:tc>
          <w:tcPr>
            <w:tcW w:w="834" w:type="pct"/>
            <w:tcBorders>
              <w:top w:val="nil"/>
              <w:left w:val="nil"/>
              <w:bottom w:val="single" w:sz="4" w:space="0" w:color="auto"/>
              <w:right w:val="single" w:sz="4" w:space="0" w:color="auto"/>
            </w:tcBorders>
            <w:shd w:val="clear" w:color="000000" w:fill="92D050"/>
            <w:noWrap/>
            <w:vAlign w:val="center"/>
            <w:hideMark/>
          </w:tcPr>
          <w:p w14:paraId="5F46269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325</w:t>
            </w:r>
          </w:p>
        </w:tc>
      </w:tr>
      <w:tr w:rsidR="0012257F" w:rsidRPr="0012257F" w14:paraId="0A9331B6" w14:textId="77777777" w:rsidTr="00E155C1">
        <w:trPr>
          <w:trHeight w:val="480"/>
        </w:trPr>
        <w:tc>
          <w:tcPr>
            <w:tcW w:w="1171" w:type="pct"/>
            <w:tcBorders>
              <w:top w:val="nil"/>
              <w:left w:val="single" w:sz="4" w:space="0" w:color="auto"/>
              <w:bottom w:val="single" w:sz="4" w:space="0" w:color="auto"/>
              <w:right w:val="single" w:sz="4" w:space="0" w:color="auto"/>
            </w:tcBorders>
            <w:shd w:val="clear" w:color="000000" w:fill="92D050"/>
            <w:vAlign w:val="center"/>
            <w:hideMark/>
          </w:tcPr>
          <w:p w14:paraId="1C59E95D"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Kolektivne naložbe: SEKTOR</w:t>
            </w:r>
          </w:p>
        </w:tc>
        <w:tc>
          <w:tcPr>
            <w:tcW w:w="625" w:type="pct"/>
            <w:tcBorders>
              <w:top w:val="nil"/>
              <w:left w:val="nil"/>
              <w:bottom w:val="single" w:sz="4" w:space="0" w:color="auto"/>
              <w:right w:val="single" w:sz="4" w:space="0" w:color="auto"/>
            </w:tcBorders>
            <w:shd w:val="clear" w:color="000000" w:fill="92D050"/>
            <w:vAlign w:val="center"/>
            <w:hideMark/>
          </w:tcPr>
          <w:p w14:paraId="405A478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Št.naložb</w:t>
            </w:r>
          </w:p>
        </w:tc>
        <w:tc>
          <w:tcPr>
            <w:tcW w:w="703" w:type="pct"/>
            <w:tcBorders>
              <w:top w:val="nil"/>
              <w:left w:val="nil"/>
              <w:bottom w:val="single" w:sz="4" w:space="0" w:color="auto"/>
              <w:right w:val="single" w:sz="4" w:space="0" w:color="auto"/>
            </w:tcBorders>
            <w:shd w:val="clear" w:color="000000" w:fill="92D050"/>
            <w:vAlign w:val="center"/>
            <w:hideMark/>
          </w:tcPr>
          <w:p w14:paraId="6276454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Celotna vrednost odobrenih naložb (EUR)</w:t>
            </w:r>
          </w:p>
        </w:tc>
        <w:tc>
          <w:tcPr>
            <w:tcW w:w="833" w:type="pct"/>
            <w:tcBorders>
              <w:top w:val="nil"/>
              <w:left w:val="nil"/>
              <w:bottom w:val="single" w:sz="4" w:space="0" w:color="auto"/>
              <w:right w:val="single" w:sz="4" w:space="0" w:color="auto"/>
            </w:tcBorders>
            <w:shd w:val="clear" w:color="000000" w:fill="92D050"/>
            <w:vAlign w:val="center"/>
            <w:hideMark/>
          </w:tcPr>
          <w:p w14:paraId="6E4D9D9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Odobrena sredstva (EUR)</w:t>
            </w:r>
          </w:p>
        </w:tc>
        <w:tc>
          <w:tcPr>
            <w:tcW w:w="833" w:type="pct"/>
            <w:tcBorders>
              <w:top w:val="nil"/>
              <w:left w:val="nil"/>
              <w:bottom w:val="single" w:sz="4" w:space="0" w:color="auto"/>
              <w:right w:val="single" w:sz="4" w:space="0" w:color="auto"/>
            </w:tcBorders>
            <w:shd w:val="clear" w:color="000000" w:fill="92D050"/>
            <w:vAlign w:val="center"/>
            <w:hideMark/>
          </w:tcPr>
          <w:p w14:paraId="32A2DAE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Izplačana sredstva (EUR)</w:t>
            </w:r>
          </w:p>
        </w:tc>
        <w:tc>
          <w:tcPr>
            <w:tcW w:w="834" w:type="pct"/>
            <w:tcBorders>
              <w:top w:val="nil"/>
              <w:left w:val="nil"/>
              <w:bottom w:val="single" w:sz="4" w:space="0" w:color="auto"/>
              <w:right w:val="single" w:sz="4" w:space="0" w:color="auto"/>
            </w:tcBorders>
            <w:shd w:val="clear" w:color="000000" w:fill="92D050"/>
            <w:vAlign w:val="center"/>
            <w:hideMark/>
          </w:tcPr>
          <w:p w14:paraId="2CB3D8D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 vseh članov</w:t>
            </w:r>
          </w:p>
        </w:tc>
      </w:tr>
      <w:tr w:rsidR="0012257F" w:rsidRPr="0012257F" w14:paraId="2CECE34A"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BE6D906"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Drugo - govedoreja - meso - pitanci</w:t>
            </w:r>
          </w:p>
        </w:tc>
        <w:tc>
          <w:tcPr>
            <w:tcW w:w="625" w:type="pct"/>
            <w:tcBorders>
              <w:top w:val="nil"/>
              <w:left w:val="nil"/>
              <w:bottom w:val="single" w:sz="4" w:space="0" w:color="auto"/>
              <w:right w:val="single" w:sz="4" w:space="0" w:color="auto"/>
            </w:tcBorders>
            <w:shd w:val="clear" w:color="auto" w:fill="auto"/>
            <w:noWrap/>
            <w:vAlign w:val="center"/>
            <w:hideMark/>
          </w:tcPr>
          <w:p w14:paraId="7220A71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w:t>
            </w:r>
          </w:p>
        </w:tc>
        <w:tc>
          <w:tcPr>
            <w:tcW w:w="703" w:type="pct"/>
            <w:tcBorders>
              <w:top w:val="nil"/>
              <w:left w:val="nil"/>
              <w:bottom w:val="single" w:sz="4" w:space="0" w:color="auto"/>
              <w:right w:val="single" w:sz="4" w:space="0" w:color="auto"/>
            </w:tcBorders>
            <w:shd w:val="clear" w:color="auto" w:fill="auto"/>
            <w:noWrap/>
            <w:vAlign w:val="center"/>
            <w:hideMark/>
          </w:tcPr>
          <w:p w14:paraId="69B6735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980.210</w:t>
            </w:r>
          </w:p>
        </w:tc>
        <w:tc>
          <w:tcPr>
            <w:tcW w:w="833" w:type="pct"/>
            <w:tcBorders>
              <w:top w:val="nil"/>
              <w:left w:val="nil"/>
              <w:bottom w:val="single" w:sz="4" w:space="0" w:color="auto"/>
              <w:right w:val="single" w:sz="4" w:space="0" w:color="auto"/>
            </w:tcBorders>
            <w:shd w:val="clear" w:color="auto" w:fill="auto"/>
            <w:noWrap/>
            <w:vAlign w:val="center"/>
            <w:hideMark/>
          </w:tcPr>
          <w:p w14:paraId="1772EE8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358.780</w:t>
            </w:r>
          </w:p>
        </w:tc>
        <w:tc>
          <w:tcPr>
            <w:tcW w:w="833" w:type="pct"/>
            <w:tcBorders>
              <w:top w:val="nil"/>
              <w:left w:val="nil"/>
              <w:bottom w:val="single" w:sz="4" w:space="0" w:color="auto"/>
              <w:right w:val="single" w:sz="4" w:space="0" w:color="auto"/>
            </w:tcBorders>
            <w:shd w:val="clear" w:color="auto" w:fill="auto"/>
            <w:noWrap/>
            <w:vAlign w:val="center"/>
            <w:hideMark/>
          </w:tcPr>
          <w:p w14:paraId="2F356D7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358.681</w:t>
            </w:r>
          </w:p>
        </w:tc>
        <w:tc>
          <w:tcPr>
            <w:tcW w:w="834" w:type="pct"/>
            <w:tcBorders>
              <w:top w:val="nil"/>
              <w:left w:val="nil"/>
              <w:bottom w:val="single" w:sz="4" w:space="0" w:color="auto"/>
              <w:right w:val="single" w:sz="4" w:space="0" w:color="auto"/>
            </w:tcBorders>
            <w:shd w:val="clear" w:color="auto" w:fill="auto"/>
            <w:noWrap/>
            <w:vAlign w:val="center"/>
            <w:hideMark/>
          </w:tcPr>
          <w:p w14:paraId="2FB4249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w:t>
            </w:r>
          </w:p>
        </w:tc>
      </w:tr>
      <w:tr w:rsidR="0012257F" w:rsidRPr="0012257F" w14:paraId="6C826E30"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6D86254"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Mešana proizvodnja s prevladujočo rastlinsko proizvodnjo</w:t>
            </w:r>
          </w:p>
        </w:tc>
        <w:tc>
          <w:tcPr>
            <w:tcW w:w="625" w:type="pct"/>
            <w:tcBorders>
              <w:top w:val="nil"/>
              <w:left w:val="nil"/>
              <w:bottom w:val="single" w:sz="4" w:space="0" w:color="auto"/>
              <w:right w:val="single" w:sz="4" w:space="0" w:color="auto"/>
            </w:tcBorders>
            <w:shd w:val="clear" w:color="auto" w:fill="auto"/>
            <w:noWrap/>
            <w:vAlign w:val="center"/>
            <w:hideMark/>
          </w:tcPr>
          <w:p w14:paraId="0640FF3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15</w:t>
            </w:r>
          </w:p>
        </w:tc>
        <w:tc>
          <w:tcPr>
            <w:tcW w:w="703" w:type="pct"/>
            <w:tcBorders>
              <w:top w:val="nil"/>
              <w:left w:val="nil"/>
              <w:bottom w:val="single" w:sz="4" w:space="0" w:color="auto"/>
              <w:right w:val="single" w:sz="4" w:space="0" w:color="auto"/>
            </w:tcBorders>
            <w:shd w:val="clear" w:color="auto" w:fill="auto"/>
            <w:noWrap/>
            <w:vAlign w:val="center"/>
            <w:hideMark/>
          </w:tcPr>
          <w:p w14:paraId="068ACA0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2.601.824</w:t>
            </w:r>
          </w:p>
        </w:tc>
        <w:tc>
          <w:tcPr>
            <w:tcW w:w="833" w:type="pct"/>
            <w:tcBorders>
              <w:top w:val="nil"/>
              <w:left w:val="nil"/>
              <w:bottom w:val="single" w:sz="4" w:space="0" w:color="auto"/>
              <w:right w:val="single" w:sz="4" w:space="0" w:color="auto"/>
            </w:tcBorders>
            <w:shd w:val="clear" w:color="auto" w:fill="auto"/>
            <w:noWrap/>
            <w:vAlign w:val="center"/>
            <w:hideMark/>
          </w:tcPr>
          <w:p w14:paraId="15743B9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903.578</w:t>
            </w:r>
          </w:p>
        </w:tc>
        <w:tc>
          <w:tcPr>
            <w:tcW w:w="833" w:type="pct"/>
            <w:tcBorders>
              <w:top w:val="nil"/>
              <w:left w:val="nil"/>
              <w:bottom w:val="single" w:sz="4" w:space="0" w:color="auto"/>
              <w:right w:val="single" w:sz="4" w:space="0" w:color="auto"/>
            </w:tcBorders>
            <w:shd w:val="clear" w:color="auto" w:fill="auto"/>
            <w:noWrap/>
            <w:vAlign w:val="center"/>
            <w:hideMark/>
          </w:tcPr>
          <w:p w14:paraId="271FD92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835.413</w:t>
            </w:r>
          </w:p>
        </w:tc>
        <w:tc>
          <w:tcPr>
            <w:tcW w:w="834" w:type="pct"/>
            <w:tcBorders>
              <w:top w:val="nil"/>
              <w:left w:val="nil"/>
              <w:bottom w:val="single" w:sz="4" w:space="0" w:color="auto"/>
              <w:right w:val="single" w:sz="4" w:space="0" w:color="auto"/>
            </w:tcBorders>
            <w:shd w:val="clear" w:color="auto" w:fill="auto"/>
            <w:noWrap/>
            <w:vAlign w:val="center"/>
            <w:hideMark/>
          </w:tcPr>
          <w:p w14:paraId="0BDB060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35</w:t>
            </w:r>
          </w:p>
        </w:tc>
      </w:tr>
      <w:tr w:rsidR="0012257F" w:rsidRPr="0012257F" w14:paraId="47C94026"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2CA241E"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Mešana proizvodnja s prevladujočo živalsko proizvodnjo</w:t>
            </w:r>
          </w:p>
        </w:tc>
        <w:tc>
          <w:tcPr>
            <w:tcW w:w="625" w:type="pct"/>
            <w:tcBorders>
              <w:top w:val="nil"/>
              <w:left w:val="nil"/>
              <w:bottom w:val="single" w:sz="4" w:space="0" w:color="auto"/>
              <w:right w:val="single" w:sz="4" w:space="0" w:color="auto"/>
            </w:tcBorders>
            <w:shd w:val="clear" w:color="auto" w:fill="auto"/>
            <w:noWrap/>
            <w:vAlign w:val="center"/>
            <w:hideMark/>
          </w:tcPr>
          <w:p w14:paraId="7FD8765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33</w:t>
            </w:r>
          </w:p>
        </w:tc>
        <w:tc>
          <w:tcPr>
            <w:tcW w:w="703" w:type="pct"/>
            <w:tcBorders>
              <w:top w:val="nil"/>
              <w:left w:val="nil"/>
              <w:bottom w:val="single" w:sz="4" w:space="0" w:color="auto"/>
              <w:right w:val="single" w:sz="4" w:space="0" w:color="auto"/>
            </w:tcBorders>
            <w:shd w:val="clear" w:color="auto" w:fill="auto"/>
            <w:noWrap/>
            <w:vAlign w:val="center"/>
            <w:hideMark/>
          </w:tcPr>
          <w:p w14:paraId="2E404FC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9.904.470</w:t>
            </w:r>
          </w:p>
        </w:tc>
        <w:tc>
          <w:tcPr>
            <w:tcW w:w="833" w:type="pct"/>
            <w:tcBorders>
              <w:top w:val="nil"/>
              <w:left w:val="nil"/>
              <w:bottom w:val="single" w:sz="4" w:space="0" w:color="auto"/>
              <w:right w:val="single" w:sz="4" w:space="0" w:color="auto"/>
            </w:tcBorders>
            <w:shd w:val="clear" w:color="auto" w:fill="auto"/>
            <w:noWrap/>
            <w:vAlign w:val="center"/>
            <w:hideMark/>
          </w:tcPr>
          <w:p w14:paraId="7441686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3.528.194</w:t>
            </w:r>
          </w:p>
        </w:tc>
        <w:tc>
          <w:tcPr>
            <w:tcW w:w="833" w:type="pct"/>
            <w:tcBorders>
              <w:top w:val="nil"/>
              <w:left w:val="nil"/>
              <w:bottom w:val="single" w:sz="4" w:space="0" w:color="auto"/>
              <w:right w:val="single" w:sz="4" w:space="0" w:color="auto"/>
            </w:tcBorders>
            <w:shd w:val="clear" w:color="auto" w:fill="auto"/>
            <w:noWrap/>
            <w:vAlign w:val="center"/>
            <w:hideMark/>
          </w:tcPr>
          <w:p w14:paraId="0C4FDCF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3.468.076</w:t>
            </w:r>
          </w:p>
        </w:tc>
        <w:tc>
          <w:tcPr>
            <w:tcW w:w="834" w:type="pct"/>
            <w:tcBorders>
              <w:top w:val="nil"/>
              <w:left w:val="nil"/>
              <w:bottom w:val="single" w:sz="4" w:space="0" w:color="auto"/>
              <w:right w:val="single" w:sz="4" w:space="0" w:color="auto"/>
            </w:tcBorders>
            <w:shd w:val="clear" w:color="auto" w:fill="auto"/>
            <w:noWrap/>
            <w:vAlign w:val="center"/>
            <w:hideMark/>
          </w:tcPr>
          <w:p w14:paraId="6EDDA32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73</w:t>
            </w:r>
          </w:p>
        </w:tc>
      </w:tr>
      <w:tr w:rsidR="0012257F" w:rsidRPr="0012257F" w14:paraId="06B2FE74"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EAECD2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Mleko - govedoreja: krave molznice</w:t>
            </w:r>
          </w:p>
        </w:tc>
        <w:tc>
          <w:tcPr>
            <w:tcW w:w="625" w:type="pct"/>
            <w:tcBorders>
              <w:top w:val="nil"/>
              <w:left w:val="nil"/>
              <w:bottom w:val="single" w:sz="4" w:space="0" w:color="auto"/>
              <w:right w:val="single" w:sz="4" w:space="0" w:color="auto"/>
            </w:tcBorders>
            <w:shd w:val="clear" w:color="auto" w:fill="auto"/>
            <w:noWrap/>
            <w:vAlign w:val="center"/>
            <w:hideMark/>
          </w:tcPr>
          <w:p w14:paraId="6300C80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45</w:t>
            </w:r>
          </w:p>
        </w:tc>
        <w:tc>
          <w:tcPr>
            <w:tcW w:w="703" w:type="pct"/>
            <w:tcBorders>
              <w:top w:val="nil"/>
              <w:left w:val="nil"/>
              <w:bottom w:val="single" w:sz="4" w:space="0" w:color="auto"/>
              <w:right w:val="single" w:sz="4" w:space="0" w:color="auto"/>
            </w:tcBorders>
            <w:shd w:val="clear" w:color="auto" w:fill="auto"/>
            <w:noWrap/>
            <w:vAlign w:val="center"/>
            <w:hideMark/>
          </w:tcPr>
          <w:p w14:paraId="3006883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10.067.219</w:t>
            </w:r>
          </w:p>
        </w:tc>
        <w:tc>
          <w:tcPr>
            <w:tcW w:w="833" w:type="pct"/>
            <w:tcBorders>
              <w:top w:val="nil"/>
              <w:left w:val="nil"/>
              <w:bottom w:val="single" w:sz="4" w:space="0" w:color="auto"/>
              <w:right w:val="single" w:sz="4" w:space="0" w:color="auto"/>
            </w:tcBorders>
            <w:shd w:val="clear" w:color="auto" w:fill="auto"/>
            <w:noWrap/>
            <w:vAlign w:val="center"/>
            <w:hideMark/>
          </w:tcPr>
          <w:p w14:paraId="05A561E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3.833.425</w:t>
            </w:r>
          </w:p>
        </w:tc>
        <w:tc>
          <w:tcPr>
            <w:tcW w:w="833" w:type="pct"/>
            <w:tcBorders>
              <w:top w:val="nil"/>
              <w:left w:val="nil"/>
              <w:bottom w:val="single" w:sz="4" w:space="0" w:color="auto"/>
              <w:right w:val="single" w:sz="4" w:space="0" w:color="auto"/>
            </w:tcBorders>
            <w:shd w:val="clear" w:color="auto" w:fill="auto"/>
            <w:noWrap/>
            <w:vAlign w:val="center"/>
            <w:hideMark/>
          </w:tcPr>
          <w:p w14:paraId="34A8C6C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3.790.004</w:t>
            </w:r>
          </w:p>
        </w:tc>
        <w:tc>
          <w:tcPr>
            <w:tcW w:w="834" w:type="pct"/>
            <w:tcBorders>
              <w:top w:val="nil"/>
              <w:left w:val="nil"/>
              <w:bottom w:val="single" w:sz="4" w:space="0" w:color="auto"/>
              <w:right w:val="single" w:sz="4" w:space="0" w:color="auto"/>
            </w:tcBorders>
            <w:shd w:val="clear" w:color="auto" w:fill="auto"/>
            <w:noWrap/>
            <w:vAlign w:val="center"/>
            <w:hideMark/>
          </w:tcPr>
          <w:p w14:paraId="49DEE2E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98</w:t>
            </w:r>
          </w:p>
        </w:tc>
      </w:tr>
      <w:tr w:rsidR="0012257F" w:rsidRPr="0012257F" w14:paraId="5144017F"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BD84F68"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Pašna živina - govedoreja: krave dojilje, goveji pitanci, reja telet</w:t>
            </w:r>
          </w:p>
        </w:tc>
        <w:tc>
          <w:tcPr>
            <w:tcW w:w="625" w:type="pct"/>
            <w:tcBorders>
              <w:top w:val="nil"/>
              <w:left w:val="nil"/>
              <w:bottom w:val="single" w:sz="4" w:space="0" w:color="auto"/>
              <w:right w:val="single" w:sz="4" w:space="0" w:color="auto"/>
            </w:tcBorders>
            <w:shd w:val="clear" w:color="auto" w:fill="auto"/>
            <w:noWrap/>
            <w:vAlign w:val="center"/>
            <w:hideMark/>
          </w:tcPr>
          <w:p w14:paraId="546B032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w:t>
            </w:r>
          </w:p>
        </w:tc>
        <w:tc>
          <w:tcPr>
            <w:tcW w:w="703" w:type="pct"/>
            <w:tcBorders>
              <w:top w:val="nil"/>
              <w:left w:val="nil"/>
              <w:bottom w:val="single" w:sz="4" w:space="0" w:color="auto"/>
              <w:right w:val="single" w:sz="4" w:space="0" w:color="auto"/>
            </w:tcBorders>
            <w:shd w:val="clear" w:color="auto" w:fill="auto"/>
            <w:noWrap/>
            <w:vAlign w:val="center"/>
            <w:hideMark/>
          </w:tcPr>
          <w:p w14:paraId="2864B5C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1.069.306</w:t>
            </w:r>
          </w:p>
        </w:tc>
        <w:tc>
          <w:tcPr>
            <w:tcW w:w="833" w:type="pct"/>
            <w:tcBorders>
              <w:top w:val="nil"/>
              <w:left w:val="nil"/>
              <w:bottom w:val="single" w:sz="4" w:space="0" w:color="auto"/>
              <w:right w:val="single" w:sz="4" w:space="0" w:color="auto"/>
            </w:tcBorders>
            <w:shd w:val="clear" w:color="auto" w:fill="auto"/>
            <w:noWrap/>
            <w:vAlign w:val="center"/>
            <w:hideMark/>
          </w:tcPr>
          <w:p w14:paraId="3A9D64A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434.041</w:t>
            </w:r>
          </w:p>
        </w:tc>
        <w:tc>
          <w:tcPr>
            <w:tcW w:w="833" w:type="pct"/>
            <w:tcBorders>
              <w:top w:val="nil"/>
              <w:left w:val="nil"/>
              <w:bottom w:val="single" w:sz="4" w:space="0" w:color="auto"/>
              <w:right w:val="single" w:sz="4" w:space="0" w:color="auto"/>
            </w:tcBorders>
            <w:shd w:val="clear" w:color="auto" w:fill="auto"/>
            <w:noWrap/>
            <w:vAlign w:val="center"/>
            <w:hideMark/>
          </w:tcPr>
          <w:p w14:paraId="432A8B8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430.987</w:t>
            </w:r>
          </w:p>
        </w:tc>
        <w:tc>
          <w:tcPr>
            <w:tcW w:w="834" w:type="pct"/>
            <w:tcBorders>
              <w:top w:val="nil"/>
              <w:left w:val="nil"/>
              <w:bottom w:val="single" w:sz="4" w:space="0" w:color="auto"/>
              <w:right w:val="single" w:sz="4" w:space="0" w:color="auto"/>
            </w:tcBorders>
            <w:shd w:val="clear" w:color="auto" w:fill="auto"/>
            <w:noWrap/>
            <w:vAlign w:val="center"/>
            <w:hideMark/>
          </w:tcPr>
          <w:p w14:paraId="5238348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16</w:t>
            </w:r>
          </w:p>
        </w:tc>
      </w:tr>
      <w:tr w:rsidR="0012257F" w:rsidRPr="0012257F" w14:paraId="5CA8544E"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8FA58E7"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Perutnina - mesna reja: piščančji pitanci, pitani purani, pitani noji, gojena divjad perjadi</w:t>
            </w:r>
          </w:p>
        </w:tc>
        <w:tc>
          <w:tcPr>
            <w:tcW w:w="625" w:type="pct"/>
            <w:tcBorders>
              <w:top w:val="nil"/>
              <w:left w:val="nil"/>
              <w:bottom w:val="single" w:sz="4" w:space="0" w:color="auto"/>
              <w:right w:val="single" w:sz="4" w:space="0" w:color="auto"/>
            </w:tcBorders>
            <w:shd w:val="clear" w:color="auto" w:fill="auto"/>
            <w:noWrap/>
            <w:vAlign w:val="center"/>
            <w:hideMark/>
          </w:tcPr>
          <w:p w14:paraId="773161B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w:t>
            </w:r>
          </w:p>
        </w:tc>
        <w:tc>
          <w:tcPr>
            <w:tcW w:w="703" w:type="pct"/>
            <w:tcBorders>
              <w:top w:val="nil"/>
              <w:left w:val="nil"/>
              <w:bottom w:val="single" w:sz="4" w:space="0" w:color="auto"/>
              <w:right w:val="single" w:sz="4" w:space="0" w:color="auto"/>
            </w:tcBorders>
            <w:shd w:val="clear" w:color="auto" w:fill="auto"/>
            <w:noWrap/>
            <w:vAlign w:val="center"/>
            <w:hideMark/>
          </w:tcPr>
          <w:p w14:paraId="3C7FAF5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129.495</w:t>
            </w:r>
          </w:p>
        </w:tc>
        <w:tc>
          <w:tcPr>
            <w:tcW w:w="833" w:type="pct"/>
            <w:tcBorders>
              <w:top w:val="nil"/>
              <w:left w:val="nil"/>
              <w:bottom w:val="single" w:sz="4" w:space="0" w:color="auto"/>
              <w:right w:val="single" w:sz="4" w:space="0" w:color="auto"/>
            </w:tcBorders>
            <w:shd w:val="clear" w:color="auto" w:fill="auto"/>
            <w:noWrap/>
            <w:vAlign w:val="center"/>
            <w:hideMark/>
          </w:tcPr>
          <w:p w14:paraId="09762CB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52.974</w:t>
            </w:r>
          </w:p>
        </w:tc>
        <w:tc>
          <w:tcPr>
            <w:tcW w:w="833" w:type="pct"/>
            <w:tcBorders>
              <w:top w:val="nil"/>
              <w:left w:val="nil"/>
              <w:bottom w:val="single" w:sz="4" w:space="0" w:color="auto"/>
              <w:right w:val="single" w:sz="4" w:space="0" w:color="auto"/>
            </w:tcBorders>
            <w:shd w:val="clear" w:color="auto" w:fill="auto"/>
            <w:noWrap/>
            <w:vAlign w:val="center"/>
            <w:hideMark/>
          </w:tcPr>
          <w:p w14:paraId="159E445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48.237</w:t>
            </w:r>
          </w:p>
        </w:tc>
        <w:tc>
          <w:tcPr>
            <w:tcW w:w="834" w:type="pct"/>
            <w:tcBorders>
              <w:top w:val="nil"/>
              <w:left w:val="nil"/>
              <w:bottom w:val="single" w:sz="4" w:space="0" w:color="auto"/>
              <w:right w:val="single" w:sz="4" w:space="0" w:color="auto"/>
            </w:tcBorders>
            <w:shd w:val="clear" w:color="auto" w:fill="auto"/>
            <w:noWrap/>
            <w:vAlign w:val="center"/>
            <w:hideMark/>
          </w:tcPr>
          <w:p w14:paraId="73B0B1F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r>
      <w:tr w:rsidR="0012257F" w:rsidRPr="0012257F" w14:paraId="54F9F78D"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0B70CAD"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Poljščine</w:t>
            </w:r>
          </w:p>
        </w:tc>
        <w:tc>
          <w:tcPr>
            <w:tcW w:w="625" w:type="pct"/>
            <w:tcBorders>
              <w:top w:val="nil"/>
              <w:left w:val="nil"/>
              <w:bottom w:val="single" w:sz="4" w:space="0" w:color="auto"/>
              <w:right w:val="single" w:sz="4" w:space="0" w:color="auto"/>
            </w:tcBorders>
            <w:shd w:val="clear" w:color="auto" w:fill="auto"/>
            <w:noWrap/>
            <w:vAlign w:val="center"/>
            <w:hideMark/>
          </w:tcPr>
          <w:p w14:paraId="496E289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w:t>
            </w:r>
          </w:p>
        </w:tc>
        <w:tc>
          <w:tcPr>
            <w:tcW w:w="703" w:type="pct"/>
            <w:tcBorders>
              <w:top w:val="nil"/>
              <w:left w:val="nil"/>
              <w:bottom w:val="single" w:sz="4" w:space="0" w:color="auto"/>
              <w:right w:val="single" w:sz="4" w:space="0" w:color="auto"/>
            </w:tcBorders>
            <w:shd w:val="clear" w:color="auto" w:fill="auto"/>
            <w:noWrap/>
            <w:vAlign w:val="center"/>
            <w:hideMark/>
          </w:tcPr>
          <w:p w14:paraId="2218A16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3.115.892</w:t>
            </w:r>
          </w:p>
        </w:tc>
        <w:tc>
          <w:tcPr>
            <w:tcW w:w="833" w:type="pct"/>
            <w:tcBorders>
              <w:top w:val="nil"/>
              <w:left w:val="nil"/>
              <w:bottom w:val="single" w:sz="4" w:space="0" w:color="auto"/>
              <w:right w:val="single" w:sz="4" w:space="0" w:color="auto"/>
            </w:tcBorders>
            <w:shd w:val="clear" w:color="auto" w:fill="auto"/>
            <w:noWrap/>
            <w:vAlign w:val="center"/>
            <w:hideMark/>
          </w:tcPr>
          <w:p w14:paraId="25F4666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1.153.850</w:t>
            </w:r>
          </w:p>
        </w:tc>
        <w:tc>
          <w:tcPr>
            <w:tcW w:w="833" w:type="pct"/>
            <w:tcBorders>
              <w:top w:val="nil"/>
              <w:left w:val="nil"/>
              <w:bottom w:val="single" w:sz="4" w:space="0" w:color="auto"/>
              <w:right w:val="single" w:sz="4" w:space="0" w:color="auto"/>
            </w:tcBorders>
            <w:shd w:val="clear" w:color="auto" w:fill="auto"/>
            <w:noWrap/>
            <w:vAlign w:val="center"/>
            <w:hideMark/>
          </w:tcPr>
          <w:p w14:paraId="2C0A290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1.120.310</w:t>
            </w:r>
          </w:p>
        </w:tc>
        <w:tc>
          <w:tcPr>
            <w:tcW w:w="834" w:type="pct"/>
            <w:tcBorders>
              <w:top w:val="nil"/>
              <w:left w:val="nil"/>
              <w:bottom w:val="single" w:sz="4" w:space="0" w:color="auto"/>
              <w:right w:val="single" w:sz="4" w:space="0" w:color="auto"/>
            </w:tcBorders>
            <w:shd w:val="clear" w:color="auto" w:fill="auto"/>
            <w:noWrap/>
            <w:vAlign w:val="center"/>
            <w:hideMark/>
          </w:tcPr>
          <w:p w14:paraId="1CD5E68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26</w:t>
            </w:r>
          </w:p>
        </w:tc>
      </w:tr>
      <w:tr w:rsidR="0012257F" w:rsidRPr="0012257F" w14:paraId="4025FCF1"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49AB7A3"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Prašiči - plemenske svinje in mladice</w:t>
            </w:r>
          </w:p>
        </w:tc>
        <w:tc>
          <w:tcPr>
            <w:tcW w:w="625" w:type="pct"/>
            <w:tcBorders>
              <w:top w:val="nil"/>
              <w:left w:val="nil"/>
              <w:bottom w:val="single" w:sz="4" w:space="0" w:color="auto"/>
              <w:right w:val="single" w:sz="4" w:space="0" w:color="auto"/>
            </w:tcBorders>
            <w:shd w:val="clear" w:color="auto" w:fill="auto"/>
            <w:noWrap/>
            <w:vAlign w:val="center"/>
            <w:hideMark/>
          </w:tcPr>
          <w:p w14:paraId="0E83B2C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w:t>
            </w:r>
          </w:p>
        </w:tc>
        <w:tc>
          <w:tcPr>
            <w:tcW w:w="703" w:type="pct"/>
            <w:tcBorders>
              <w:top w:val="nil"/>
              <w:left w:val="nil"/>
              <w:bottom w:val="single" w:sz="4" w:space="0" w:color="auto"/>
              <w:right w:val="single" w:sz="4" w:space="0" w:color="auto"/>
            </w:tcBorders>
            <w:shd w:val="clear" w:color="auto" w:fill="auto"/>
            <w:noWrap/>
            <w:vAlign w:val="center"/>
            <w:hideMark/>
          </w:tcPr>
          <w:p w14:paraId="6D6DFF2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506.872</w:t>
            </w:r>
          </w:p>
        </w:tc>
        <w:tc>
          <w:tcPr>
            <w:tcW w:w="833" w:type="pct"/>
            <w:tcBorders>
              <w:top w:val="nil"/>
              <w:left w:val="nil"/>
              <w:bottom w:val="single" w:sz="4" w:space="0" w:color="auto"/>
              <w:right w:val="single" w:sz="4" w:space="0" w:color="auto"/>
            </w:tcBorders>
            <w:shd w:val="clear" w:color="auto" w:fill="auto"/>
            <w:noWrap/>
            <w:vAlign w:val="center"/>
            <w:hideMark/>
          </w:tcPr>
          <w:p w14:paraId="2FE1DE2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176.214</w:t>
            </w:r>
          </w:p>
        </w:tc>
        <w:tc>
          <w:tcPr>
            <w:tcW w:w="833" w:type="pct"/>
            <w:tcBorders>
              <w:top w:val="nil"/>
              <w:left w:val="nil"/>
              <w:bottom w:val="single" w:sz="4" w:space="0" w:color="auto"/>
              <w:right w:val="single" w:sz="4" w:space="0" w:color="auto"/>
            </w:tcBorders>
            <w:shd w:val="clear" w:color="auto" w:fill="auto"/>
            <w:noWrap/>
            <w:vAlign w:val="center"/>
            <w:hideMark/>
          </w:tcPr>
          <w:p w14:paraId="07150C9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176.039</w:t>
            </w:r>
          </w:p>
        </w:tc>
        <w:tc>
          <w:tcPr>
            <w:tcW w:w="834" w:type="pct"/>
            <w:tcBorders>
              <w:top w:val="nil"/>
              <w:left w:val="nil"/>
              <w:bottom w:val="single" w:sz="4" w:space="0" w:color="auto"/>
              <w:right w:val="single" w:sz="4" w:space="0" w:color="auto"/>
            </w:tcBorders>
            <w:shd w:val="clear" w:color="auto" w:fill="auto"/>
            <w:noWrap/>
            <w:vAlign w:val="center"/>
            <w:hideMark/>
          </w:tcPr>
          <w:p w14:paraId="4D909EB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w:t>
            </w:r>
          </w:p>
        </w:tc>
      </w:tr>
      <w:tr w:rsidR="0012257F" w:rsidRPr="0012257F" w14:paraId="06176F65"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C658C4F"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Prašiči - prašiči pitanci</w:t>
            </w:r>
          </w:p>
        </w:tc>
        <w:tc>
          <w:tcPr>
            <w:tcW w:w="625" w:type="pct"/>
            <w:tcBorders>
              <w:top w:val="nil"/>
              <w:left w:val="nil"/>
              <w:bottom w:val="single" w:sz="4" w:space="0" w:color="auto"/>
              <w:right w:val="single" w:sz="4" w:space="0" w:color="auto"/>
            </w:tcBorders>
            <w:shd w:val="clear" w:color="auto" w:fill="auto"/>
            <w:noWrap/>
            <w:vAlign w:val="center"/>
            <w:hideMark/>
          </w:tcPr>
          <w:p w14:paraId="2EC4759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w:t>
            </w:r>
          </w:p>
        </w:tc>
        <w:tc>
          <w:tcPr>
            <w:tcW w:w="703" w:type="pct"/>
            <w:tcBorders>
              <w:top w:val="nil"/>
              <w:left w:val="nil"/>
              <w:bottom w:val="single" w:sz="4" w:space="0" w:color="auto"/>
              <w:right w:val="single" w:sz="4" w:space="0" w:color="auto"/>
            </w:tcBorders>
            <w:shd w:val="clear" w:color="auto" w:fill="auto"/>
            <w:noWrap/>
            <w:vAlign w:val="center"/>
            <w:hideMark/>
          </w:tcPr>
          <w:p w14:paraId="41E0C36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2.159.861</w:t>
            </w:r>
          </w:p>
        </w:tc>
        <w:tc>
          <w:tcPr>
            <w:tcW w:w="833" w:type="pct"/>
            <w:tcBorders>
              <w:top w:val="nil"/>
              <w:left w:val="nil"/>
              <w:bottom w:val="single" w:sz="4" w:space="0" w:color="auto"/>
              <w:right w:val="single" w:sz="4" w:space="0" w:color="auto"/>
            </w:tcBorders>
            <w:shd w:val="clear" w:color="auto" w:fill="auto"/>
            <w:noWrap/>
            <w:vAlign w:val="center"/>
            <w:hideMark/>
          </w:tcPr>
          <w:p w14:paraId="66B434A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781.962</w:t>
            </w:r>
          </w:p>
        </w:tc>
        <w:tc>
          <w:tcPr>
            <w:tcW w:w="833" w:type="pct"/>
            <w:tcBorders>
              <w:top w:val="nil"/>
              <w:left w:val="nil"/>
              <w:bottom w:val="single" w:sz="4" w:space="0" w:color="auto"/>
              <w:right w:val="single" w:sz="4" w:space="0" w:color="auto"/>
            </w:tcBorders>
            <w:shd w:val="clear" w:color="auto" w:fill="auto"/>
            <w:noWrap/>
            <w:vAlign w:val="center"/>
            <w:hideMark/>
          </w:tcPr>
          <w:p w14:paraId="2A55EC4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758.185</w:t>
            </w:r>
          </w:p>
        </w:tc>
        <w:tc>
          <w:tcPr>
            <w:tcW w:w="834" w:type="pct"/>
            <w:tcBorders>
              <w:top w:val="nil"/>
              <w:left w:val="nil"/>
              <w:bottom w:val="single" w:sz="4" w:space="0" w:color="auto"/>
              <w:right w:val="single" w:sz="4" w:space="0" w:color="auto"/>
            </w:tcBorders>
            <w:shd w:val="clear" w:color="auto" w:fill="auto"/>
            <w:noWrap/>
            <w:vAlign w:val="center"/>
            <w:hideMark/>
          </w:tcPr>
          <w:p w14:paraId="3D55227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w:t>
            </w:r>
          </w:p>
        </w:tc>
      </w:tr>
      <w:tr w:rsidR="0012257F" w:rsidRPr="0012257F" w14:paraId="546B60CD"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C19327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Trajni nasadi - hmeljišča</w:t>
            </w:r>
          </w:p>
        </w:tc>
        <w:tc>
          <w:tcPr>
            <w:tcW w:w="625" w:type="pct"/>
            <w:tcBorders>
              <w:top w:val="nil"/>
              <w:left w:val="nil"/>
              <w:bottom w:val="single" w:sz="4" w:space="0" w:color="auto"/>
              <w:right w:val="single" w:sz="4" w:space="0" w:color="auto"/>
            </w:tcBorders>
            <w:shd w:val="clear" w:color="auto" w:fill="auto"/>
            <w:noWrap/>
            <w:vAlign w:val="center"/>
            <w:hideMark/>
          </w:tcPr>
          <w:p w14:paraId="7DB1984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w:t>
            </w:r>
          </w:p>
        </w:tc>
        <w:tc>
          <w:tcPr>
            <w:tcW w:w="703" w:type="pct"/>
            <w:tcBorders>
              <w:top w:val="nil"/>
              <w:left w:val="nil"/>
              <w:bottom w:val="single" w:sz="4" w:space="0" w:color="auto"/>
              <w:right w:val="single" w:sz="4" w:space="0" w:color="auto"/>
            </w:tcBorders>
            <w:shd w:val="clear" w:color="auto" w:fill="auto"/>
            <w:noWrap/>
            <w:vAlign w:val="center"/>
            <w:hideMark/>
          </w:tcPr>
          <w:p w14:paraId="212AE91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240.554</w:t>
            </w:r>
          </w:p>
        </w:tc>
        <w:tc>
          <w:tcPr>
            <w:tcW w:w="833" w:type="pct"/>
            <w:tcBorders>
              <w:top w:val="nil"/>
              <w:left w:val="nil"/>
              <w:bottom w:val="single" w:sz="4" w:space="0" w:color="auto"/>
              <w:right w:val="single" w:sz="4" w:space="0" w:color="auto"/>
            </w:tcBorders>
            <w:shd w:val="clear" w:color="auto" w:fill="auto"/>
            <w:noWrap/>
            <w:vAlign w:val="center"/>
            <w:hideMark/>
          </w:tcPr>
          <w:p w14:paraId="063C7AA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88.875</w:t>
            </w:r>
          </w:p>
        </w:tc>
        <w:tc>
          <w:tcPr>
            <w:tcW w:w="833" w:type="pct"/>
            <w:tcBorders>
              <w:top w:val="nil"/>
              <w:left w:val="nil"/>
              <w:bottom w:val="single" w:sz="4" w:space="0" w:color="auto"/>
              <w:right w:val="single" w:sz="4" w:space="0" w:color="auto"/>
            </w:tcBorders>
            <w:shd w:val="clear" w:color="auto" w:fill="auto"/>
            <w:noWrap/>
            <w:vAlign w:val="center"/>
            <w:hideMark/>
          </w:tcPr>
          <w:p w14:paraId="593A696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87.045</w:t>
            </w:r>
          </w:p>
        </w:tc>
        <w:tc>
          <w:tcPr>
            <w:tcW w:w="834" w:type="pct"/>
            <w:tcBorders>
              <w:top w:val="nil"/>
              <w:left w:val="nil"/>
              <w:bottom w:val="single" w:sz="4" w:space="0" w:color="auto"/>
              <w:right w:val="single" w:sz="4" w:space="0" w:color="auto"/>
            </w:tcBorders>
            <w:shd w:val="clear" w:color="auto" w:fill="auto"/>
            <w:noWrap/>
            <w:vAlign w:val="center"/>
            <w:hideMark/>
          </w:tcPr>
          <w:p w14:paraId="30EB781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r>
      <w:tr w:rsidR="0012257F" w:rsidRPr="0012257F" w14:paraId="78F7867F"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66D6CC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Trajni nasadi - sadovnjaki</w:t>
            </w:r>
          </w:p>
        </w:tc>
        <w:tc>
          <w:tcPr>
            <w:tcW w:w="625" w:type="pct"/>
            <w:tcBorders>
              <w:top w:val="nil"/>
              <w:left w:val="nil"/>
              <w:bottom w:val="single" w:sz="4" w:space="0" w:color="auto"/>
              <w:right w:val="single" w:sz="4" w:space="0" w:color="auto"/>
            </w:tcBorders>
            <w:shd w:val="clear" w:color="auto" w:fill="auto"/>
            <w:noWrap/>
            <w:vAlign w:val="center"/>
            <w:hideMark/>
          </w:tcPr>
          <w:p w14:paraId="1EF2824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w:t>
            </w:r>
          </w:p>
        </w:tc>
        <w:tc>
          <w:tcPr>
            <w:tcW w:w="703" w:type="pct"/>
            <w:tcBorders>
              <w:top w:val="nil"/>
              <w:left w:val="nil"/>
              <w:bottom w:val="single" w:sz="4" w:space="0" w:color="auto"/>
              <w:right w:val="single" w:sz="4" w:space="0" w:color="auto"/>
            </w:tcBorders>
            <w:shd w:val="clear" w:color="auto" w:fill="auto"/>
            <w:noWrap/>
            <w:vAlign w:val="center"/>
            <w:hideMark/>
          </w:tcPr>
          <w:p w14:paraId="587DC1C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1.067.580</w:t>
            </w:r>
          </w:p>
        </w:tc>
        <w:tc>
          <w:tcPr>
            <w:tcW w:w="833" w:type="pct"/>
            <w:tcBorders>
              <w:top w:val="nil"/>
              <w:left w:val="nil"/>
              <w:bottom w:val="single" w:sz="4" w:space="0" w:color="auto"/>
              <w:right w:val="single" w:sz="4" w:space="0" w:color="auto"/>
            </w:tcBorders>
            <w:shd w:val="clear" w:color="auto" w:fill="auto"/>
            <w:noWrap/>
            <w:vAlign w:val="center"/>
            <w:hideMark/>
          </w:tcPr>
          <w:p w14:paraId="6B7FC82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605.930</w:t>
            </w:r>
          </w:p>
        </w:tc>
        <w:tc>
          <w:tcPr>
            <w:tcW w:w="833" w:type="pct"/>
            <w:tcBorders>
              <w:top w:val="nil"/>
              <w:left w:val="nil"/>
              <w:bottom w:val="single" w:sz="4" w:space="0" w:color="auto"/>
              <w:right w:val="single" w:sz="4" w:space="0" w:color="auto"/>
            </w:tcBorders>
            <w:shd w:val="clear" w:color="auto" w:fill="auto"/>
            <w:noWrap/>
            <w:vAlign w:val="center"/>
            <w:hideMark/>
          </w:tcPr>
          <w:p w14:paraId="202E90B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601.408</w:t>
            </w:r>
          </w:p>
        </w:tc>
        <w:tc>
          <w:tcPr>
            <w:tcW w:w="834" w:type="pct"/>
            <w:tcBorders>
              <w:top w:val="nil"/>
              <w:left w:val="nil"/>
              <w:bottom w:val="single" w:sz="4" w:space="0" w:color="auto"/>
              <w:right w:val="single" w:sz="4" w:space="0" w:color="auto"/>
            </w:tcBorders>
            <w:shd w:val="clear" w:color="auto" w:fill="auto"/>
            <w:noWrap/>
            <w:vAlign w:val="center"/>
            <w:hideMark/>
          </w:tcPr>
          <w:p w14:paraId="3572321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w:t>
            </w:r>
          </w:p>
        </w:tc>
      </w:tr>
      <w:tr w:rsidR="0012257F" w:rsidRPr="0012257F" w14:paraId="5D4FB368"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AEFAB8D"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Trajni nasadi - vinogradi</w:t>
            </w:r>
          </w:p>
        </w:tc>
        <w:tc>
          <w:tcPr>
            <w:tcW w:w="625" w:type="pct"/>
            <w:tcBorders>
              <w:top w:val="nil"/>
              <w:left w:val="nil"/>
              <w:bottom w:val="single" w:sz="4" w:space="0" w:color="auto"/>
              <w:right w:val="single" w:sz="4" w:space="0" w:color="auto"/>
            </w:tcBorders>
            <w:shd w:val="clear" w:color="auto" w:fill="auto"/>
            <w:noWrap/>
            <w:vAlign w:val="center"/>
            <w:hideMark/>
          </w:tcPr>
          <w:p w14:paraId="67950BF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w:t>
            </w:r>
          </w:p>
        </w:tc>
        <w:tc>
          <w:tcPr>
            <w:tcW w:w="703" w:type="pct"/>
            <w:tcBorders>
              <w:top w:val="nil"/>
              <w:left w:val="nil"/>
              <w:bottom w:val="single" w:sz="4" w:space="0" w:color="auto"/>
              <w:right w:val="single" w:sz="4" w:space="0" w:color="auto"/>
            </w:tcBorders>
            <w:shd w:val="clear" w:color="auto" w:fill="auto"/>
            <w:noWrap/>
            <w:vAlign w:val="center"/>
            <w:hideMark/>
          </w:tcPr>
          <w:p w14:paraId="5BF941C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766.925</w:t>
            </w:r>
          </w:p>
        </w:tc>
        <w:tc>
          <w:tcPr>
            <w:tcW w:w="833" w:type="pct"/>
            <w:tcBorders>
              <w:top w:val="nil"/>
              <w:left w:val="nil"/>
              <w:bottom w:val="single" w:sz="4" w:space="0" w:color="auto"/>
              <w:right w:val="single" w:sz="4" w:space="0" w:color="auto"/>
            </w:tcBorders>
            <w:shd w:val="clear" w:color="auto" w:fill="auto"/>
            <w:noWrap/>
            <w:vAlign w:val="center"/>
            <w:hideMark/>
          </w:tcPr>
          <w:p w14:paraId="045E0FF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316.732</w:t>
            </w:r>
          </w:p>
        </w:tc>
        <w:tc>
          <w:tcPr>
            <w:tcW w:w="833" w:type="pct"/>
            <w:tcBorders>
              <w:top w:val="nil"/>
              <w:left w:val="nil"/>
              <w:bottom w:val="single" w:sz="4" w:space="0" w:color="auto"/>
              <w:right w:val="single" w:sz="4" w:space="0" w:color="auto"/>
            </w:tcBorders>
            <w:shd w:val="clear" w:color="auto" w:fill="auto"/>
            <w:noWrap/>
            <w:vAlign w:val="center"/>
            <w:hideMark/>
          </w:tcPr>
          <w:p w14:paraId="279857C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315.741</w:t>
            </w:r>
          </w:p>
        </w:tc>
        <w:tc>
          <w:tcPr>
            <w:tcW w:w="834" w:type="pct"/>
            <w:tcBorders>
              <w:top w:val="nil"/>
              <w:left w:val="nil"/>
              <w:bottom w:val="single" w:sz="4" w:space="0" w:color="auto"/>
              <w:right w:val="single" w:sz="4" w:space="0" w:color="auto"/>
            </w:tcBorders>
            <w:shd w:val="clear" w:color="auto" w:fill="auto"/>
            <w:noWrap/>
            <w:vAlign w:val="center"/>
            <w:hideMark/>
          </w:tcPr>
          <w:p w14:paraId="1A6CDC6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w:t>
            </w:r>
          </w:p>
        </w:tc>
      </w:tr>
      <w:tr w:rsidR="0012257F" w:rsidRPr="0012257F" w14:paraId="306321DE"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5A276C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Vrtnine - zelenjadarstvo</w:t>
            </w:r>
          </w:p>
        </w:tc>
        <w:tc>
          <w:tcPr>
            <w:tcW w:w="625" w:type="pct"/>
            <w:tcBorders>
              <w:top w:val="nil"/>
              <w:left w:val="nil"/>
              <w:bottom w:val="single" w:sz="4" w:space="0" w:color="auto"/>
              <w:right w:val="single" w:sz="4" w:space="0" w:color="auto"/>
            </w:tcBorders>
            <w:shd w:val="clear" w:color="auto" w:fill="auto"/>
            <w:noWrap/>
            <w:vAlign w:val="center"/>
            <w:hideMark/>
          </w:tcPr>
          <w:p w14:paraId="54B3432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w:t>
            </w:r>
          </w:p>
        </w:tc>
        <w:tc>
          <w:tcPr>
            <w:tcW w:w="703" w:type="pct"/>
            <w:tcBorders>
              <w:top w:val="nil"/>
              <w:left w:val="nil"/>
              <w:bottom w:val="single" w:sz="4" w:space="0" w:color="auto"/>
              <w:right w:val="single" w:sz="4" w:space="0" w:color="auto"/>
            </w:tcBorders>
            <w:shd w:val="clear" w:color="auto" w:fill="auto"/>
            <w:noWrap/>
            <w:vAlign w:val="center"/>
            <w:hideMark/>
          </w:tcPr>
          <w:p w14:paraId="7C24E67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1.400.694</w:t>
            </w:r>
          </w:p>
        </w:tc>
        <w:tc>
          <w:tcPr>
            <w:tcW w:w="833" w:type="pct"/>
            <w:tcBorders>
              <w:top w:val="nil"/>
              <w:left w:val="nil"/>
              <w:bottom w:val="single" w:sz="4" w:space="0" w:color="auto"/>
              <w:right w:val="single" w:sz="4" w:space="0" w:color="auto"/>
            </w:tcBorders>
            <w:shd w:val="clear" w:color="auto" w:fill="auto"/>
            <w:noWrap/>
            <w:vAlign w:val="center"/>
            <w:hideMark/>
          </w:tcPr>
          <w:p w14:paraId="2EAB651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506.705</w:t>
            </w:r>
          </w:p>
        </w:tc>
        <w:tc>
          <w:tcPr>
            <w:tcW w:w="833" w:type="pct"/>
            <w:tcBorders>
              <w:top w:val="nil"/>
              <w:left w:val="nil"/>
              <w:bottom w:val="single" w:sz="4" w:space="0" w:color="auto"/>
              <w:right w:val="single" w:sz="4" w:space="0" w:color="auto"/>
            </w:tcBorders>
            <w:shd w:val="clear" w:color="auto" w:fill="auto"/>
            <w:noWrap/>
            <w:vAlign w:val="center"/>
            <w:hideMark/>
          </w:tcPr>
          <w:p w14:paraId="0052CE6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506.061</w:t>
            </w:r>
          </w:p>
        </w:tc>
        <w:tc>
          <w:tcPr>
            <w:tcW w:w="834" w:type="pct"/>
            <w:tcBorders>
              <w:top w:val="nil"/>
              <w:left w:val="nil"/>
              <w:bottom w:val="single" w:sz="4" w:space="0" w:color="auto"/>
              <w:right w:val="single" w:sz="4" w:space="0" w:color="auto"/>
            </w:tcBorders>
            <w:shd w:val="clear" w:color="auto" w:fill="auto"/>
            <w:noWrap/>
            <w:vAlign w:val="center"/>
            <w:hideMark/>
          </w:tcPr>
          <w:p w14:paraId="03C4CFC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w:t>
            </w:r>
          </w:p>
        </w:tc>
      </w:tr>
      <w:tr w:rsidR="0012257F" w:rsidRPr="0012257F" w14:paraId="02F61F33"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6170212"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(prazno)</w:t>
            </w:r>
          </w:p>
        </w:tc>
        <w:tc>
          <w:tcPr>
            <w:tcW w:w="625" w:type="pct"/>
            <w:tcBorders>
              <w:top w:val="nil"/>
              <w:left w:val="nil"/>
              <w:bottom w:val="single" w:sz="4" w:space="0" w:color="auto"/>
              <w:right w:val="single" w:sz="4" w:space="0" w:color="auto"/>
            </w:tcBorders>
            <w:shd w:val="clear" w:color="auto" w:fill="auto"/>
            <w:noWrap/>
            <w:vAlign w:val="center"/>
            <w:hideMark/>
          </w:tcPr>
          <w:p w14:paraId="1BB75DF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w:t>
            </w:r>
          </w:p>
        </w:tc>
        <w:tc>
          <w:tcPr>
            <w:tcW w:w="703" w:type="pct"/>
            <w:tcBorders>
              <w:top w:val="nil"/>
              <w:left w:val="nil"/>
              <w:bottom w:val="single" w:sz="4" w:space="0" w:color="auto"/>
              <w:right w:val="single" w:sz="4" w:space="0" w:color="auto"/>
            </w:tcBorders>
            <w:shd w:val="clear" w:color="auto" w:fill="auto"/>
            <w:noWrap/>
            <w:vAlign w:val="center"/>
            <w:hideMark/>
          </w:tcPr>
          <w:p w14:paraId="649BD03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2.182.243</w:t>
            </w:r>
          </w:p>
        </w:tc>
        <w:tc>
          <w:tcPr>
            <w:tcW w:w="833" w:type="pct"/>
            <w:tcBorders>
              <w:top w:val="nil"/>
              <w:left w:val="nil"/>
              <w:bottom w:val="single" w:sz="4" w:space="0" w:color="auto"/>
              <w:right w:val="single" w:sz="4" w:space="0" w:color="auto"/>
            </w:tcBorders>
            <w:shd w:val="clear" w:color="auto" w:fill="auto"/>
            <w:noWrap/>
            <w:vAlign w:val="center"/>
            <w:hideMark/>
          </w:tcPr>
          <w:p w14:paraId="488F12B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833.544</w:t>
            </w:r>
          </w:p>
        </w:tc>
        <w:tc>
          <w:tcPr>
            <w:tcW w:w="833" w:type="pct"/>
            <w:tcBorders>
              <w:top w:val="nil"/>
              <w:left w:val="nil"/>
              <w:bottom w:val="single" w:sz="4" w:space="0" w:color="auto"/>
              <w:right w:val="single" w:sz="4" w:space="0" w:color="auto"/>
            </w:tcBorders>
            <w:shd w:val="clear" w:color="auto" w:fill="auto"/>
            <w:noWrap/>
            <w:vAlign w:val="center"/>
            <w:hideMark/>
          </w:tcPr>
          <w:p w14:paraId="33CDB65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824.013</w:t>
            </w:r>
          </w:p>
        </w:tc>
        <w:tc>
          <w:tcPr>
            <w:tcW w:w="834" w:type="pct"/>
            <w:tcBorders>
              <w:top w:val="nil"/>
              <w:left w:val="nil"/>
              <w:bottom w:val="single" w:sz="4" w:space="0" w:color="auto"/>
              <w:right w:val="single" w:sz="4" w:space="0" w:color="auto"/>
            </w:tcBorders>
            <w:shd w:val="clear" w:color="auto" w:fill="auto"/>
            <w:noWrap/>
            <w:vAlign w:val="center"/>
            <w:hideMark/>
          </w:tcPr>
          <w:p w14:paraId="75D8385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w:t>
            </w:r>
          </w:p>
        </w:tc>
      </w:tr>
      <w:tr w:rsidR="0012257F" w:rsidRPr="0012257F" w14:paraId="6E715A69" w14:textId="77777777" w:rsidTr="00E155C1">
        <w:trPr>
          <w:trHeight w:val="255"/>
        </w:trPr>
        <w:tc>
          <w:tcPr>
            <w:tcW w:w="1171" w:type="pct"/>
            <w:tcBorders>
              <w:top w:val="nil"/>
              <w:left w:val="single" w:sz="4" w:space="0" w:color="auto"/>
              <w:bottom w:val="single" w:sz="4" w:space="0" w:color="auto"/>
              <w:right w:val="single" w:sz="4" w:space="0" w:color="auto"/>
            </w:tcBorders>
            <w:shd w:val="clear" w:color="000000" w:fill="92D050"/>
            <w:vAlign w:val="center"/>
            <w:hideMark/>
          </w:tcPr>
          <w:p w14:paraId="3717A6FE"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Skupaj</w:t>
            </w:r>
          </w:p>
        </w:tc>
        <w:tc>
          <w:tcPr>
            <w:tcW w:w="625" w:type="pct"/>
            <w:tcBorders>
              <w:top w:val="nil"/>
              <w:left w:val="nil"/>
              <w:bottom w:val="single" w:sz="4" w:space="0" w:color="auto"/>
              <w:right w:val="single" w:sz="4" w:space="0" w:color="auto"/>
            </w:tcBorders>
            <w:shd w:val="clear" w:color="000000" w:fill="92D050"/>
            <w:noWrap/>
            <w:vAlign w:val="center"/>
            <w:hideMark/>
          </w:tcPr>
          <w:p w14:paraId="216E325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143</w:t>
            </w:r>
          </w:p>
        </w:tc>
        <w:tc>
          <w:tcPr>
            <w:tcW w:w="703" w:type="pct"/>
            <w:tcBorders>
              <w:top w:val="nil"/>
              <w:left w:val="nil"/>
              <w:bottom w:val="single" w:sz="4" w:space="0" w:color="auto"/>
              <w:right w:val="single" w:sz="4" w:space="0" w:color="auto"/>
            </w:tcBorders>
            <w:shd w:val="clear" w:color="000000" w:fill="92D050"/>
            <w:noWrap/>
            <w:vAlign w:val="center"/>
            <w:hideMark/>
          </w:tcPr>
          <w:p w14:paraId="1B8E432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36.193.146</w:t>
            </w:r>
          </w:p>
        </w:tc>
        <w:tc>
          <w:tcPr>
            <w:tcW w:w="833" w:type="pct"/>
            <w:tcBorders>
              <w:top w:val="nil"/>
              <w:left w:val="nil"/>
              <w:bottom w:val="single" w:sz="4" w:space="0" w:color="auto"/>
              <w:right w:val="single" w:sz="4" w:space="0" w:color="auto"/>
            </w:tcBorders>
            <w:shd w:val="clear" w:color="000000" w:fill="92D050"/>
            <w:noWrap/>
            <w:vAlign w:val="center"/>
            <w:hideMark/>
          </w:tcPr>
          <w:p w14:paraId="3BB3A35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13.574.803</w:t>
            </w:r>
          </w:p>
        </w:tc>
        <w:tc>
          <w:tcPr>
            <w:tcW w:w="833" w:type="pct"/>
            <w:tcBorders>
              <w:top w:val="nil"/>
              <w:left w:val="nil"/>
              <w:bottom w:val="single" w:sz="4" w:space="0" w:color="auto"/>
              <w:right w:val="single" w:sz="4" w:space="0" w:color="auto"/>
            </w:tcBorders>
            <w:shd w:val="clear" w:color="000000" w:fill="92D050"/>
            <w:noWrap/>
            <w:vAlign w:val="center"/>
            <w:hideMark/>
          </w:tcPr>
          <w:p w14:paraId="758ED8F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13.320.201</w:t>
            </w:r>
          </w:p>
        </w:tc>
        <w:tc>
          <w:tcPr>
            <w:tcW w:w="834" w:type="pct"/>
            <w:tcBorders>
              <w:top w:val="nil"/>
              <w:left w:val="nil"/>
              <w:bottom w:val="single" w:sz="4" w:space="0" w:color="auto"/>
              <w:right w:val="single" w:sz="4" w:space="0" w:color="auto"/>
            </w:tcBorders>
            <w:shd w:val="clear" w:color="000000" w:fill="92D050"/>
            <w:noWrap/>
            <w:vAlign w:val="center"/>
            <w:hideMark/>
          </w:tcPr>
          <w:p w14:paraId="0427303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325</w:t>
            </w:r>
          </w:p>
        </w:tc>
      </w:tr>
      <w:tr w:rsidR="0012257F" w:rsidRPr="0012257F" w14:paraId="4E0EC83B" w14:textId="77777777" w:rsidTr="00E155C1">
        <w:trPr>
          <w:trHeight w:val="480"/>
        </w:trPr>
        <w:tc>
          <w:tcPr>
            <w:tcW w:w="1171" w:type="pct"/>
            <w:tcBorders>
              <w:top w:val="nil"/>
              <w:left w:val="single" w:sz="4" w:space="0" w:color="auto"/>
              <w:bottom w:val="single" w:sz="4" w:space="0" w:color="auto"/>
              <w:right w:val="single" w:sz="4" w:space="0" w:color="auto"/>
            </w:tcBorders>
            <w:shd w:val="clear" w:color="000000" w:fill="92D050"/>
            <w:vAlign w:val="center"/>
            <w:hideMark/>
          </w:tcPr>
          <w:p w14:paraId="0DA66356"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Kolektivne naložbe: STATISTICNA REGIJA UPRAVIČENCA</w:t>
            </w:r>
          </w:p>
        </w:tc>
        <w:tc>
          <w:tcPr>
            <w:tcW w:w="625" w:type="pct"/>
            <w:tcBorders>
              <w:top w:val="nil"/>
              <w:left w:val="nil"/>
              <w:bottom w:val="single" w:sz="4" w:space="0" w:color="auto"/>
              <w:right w:val="single" w:sz="4" w:space="0" w:color="auto"/>
            </w:tcBorders>
            <w:shd w:val="clear" w:color="000000" w:fill="92D050"/>
            <w:vAlign w:val="center"/>
            <w:hideMark/>
          </w:tcPr>
          <w:p w14:paraId="433D910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Št.naložb</w:t>
            </w:r>
          </w:p>
        </w:tc>
        <w:tc>
          <w:tcPr>
            <w:tcW w:w="703" w:type="pct"/>
            <w:tcBorders>
              <w:top w:val="nil"/>
              <w:left w:val="nil"/>
              <w:bottom w:val="single" w:sz="4" w:space="0" w:color="auto"/>
              <w:right w:val="single" w:sz="4" w:space="0" w:color="auto"/>
            </w:tcBorders>
            <w:shd w:val="clear" w:color="000000" w:fill="92D050"/>
            <w:vAlign w:val="center"/>
            <w:hideMark/>
          </w:tcPr>
          <w:p w14:paraId="2BF117D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Celotna vrednost odobrenih naložb (EUR)</w:t>
            </w:r>
          </w:p>
        </w:tc>
        <w:tc>
          <w:tcPr>
            <w:tcW w:w="833" w:type="pct"/>
            <w:tcBorders>
              <w:top w:val="nil"/>
              <w:left w:val="nil"/>
              <w:bottom w:val="single" w:sz="4" w:space="0" w:color="auto"/>
              <w:right w:val="single" w:sz="4" w:space="0" w:color="auto"/>
            </w:tcBorders>
            <w:shd w:val="clear" w:color="000000" w:fill="92D050"/>
            <w:vAlign w:val="center"/>
            <w:hideMark/>
          </w:tcPr>
          <w:p w14:paraId="5B2BDD8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Odobrena sredstva (EUR)</w:t>
            </w:r>
          </w:p>
        </w:tc>
        <w:tc>
          <w:tcPr>
            <w:tcW w:w="833" w:type="pct"/>
            <w:tcBorders>
              <w:top w:val="nil"/>
              <w:left w:val="nil"/>
              <w:bottom w:val="single" w:sz="4" w:space="0" w:color="auto"/>
              <w:right w:val="single" w:sz="4" w:space="0" w:color="auto"/>
            </w:tcBorders>
            <w:shd w:val="clear" w:color="000000" w:fill="92D050"/>
            <w:vAlign w:val="center"/>
            <w:hideMark/>
          </w:tcPr>
          <w:p w14:paraId="3CDE891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Izplačana sredstva (EUR)</w:t>
            </w:r>
          </w:p>
        </w:tc>
        <w:tc>
          <w:tcPr>
            <w:tcW w:w="834" w:type="pct"/>
            <w:tcBorders>
              <w:top w:val="nil"/>
              <w:left w:val="nil"/>
              <w:bottom w:val="single" w:sz="4" w:space="0" w:color="auto"/>
              <w:right w:val="single" w:sz="4" w:space="0" w:color="auto"/>
            </w:tcBorders>
            <w:shd w:val="clear" w:color="000000" w:fill="92D050"/>
            <w:vAlign w:val="center"/>
            <w:hideMark/>
          </w:tcPr>
          <w:p w14:paraId="403F0E2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Št. vseh članov</w:t>
            </w:r>
          </w:p>
        </w:tc>
      </w:tr>
      <w:tr w:rsidR="0012257F" w:rsidRPr="0012257F" w14:paraId="050E3A58"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8246603"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Gorenjska</w:t>
            </w:r>
          </w:p>
        </w:tc>
        <w:tc>
          <w:tcPr>
            <w:tcW w:w="625" w:type="pct"/>
            <w:tcBorders>
              <w:top w:val="nil"/>
              <w:left w:val="nil"/>
              <w:bottom w:val="single" w:sz="4" w:space="0" w:color="auto"/>
              <w:right w:val="single" w:sz="4" w:space="0" w:color="auto"/>
            </w:tcBorders>
            <w:shd w:val="clear" w:color="auto" w:fill="auto"/>
            <w:noWrap/>
            <w:vAlign w:val="center"/>
            <w:hideMark/>
          </w:tcPr>
          <w:p w14:paraId="176A4E1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w:t>
            </w:r>
          </w:p>
        </w:tc>
        <w:tc>
          <w:tcPr>
            <w:tcW w:w="703" w:type="pct"/>
            <w:tcBorders>
              <w:top w:val="nil"/>
              <w:left w:val="nil"/>
              <w:bottom w:val="single" w:sz="4" w:space="0" w:color="auto"/>
              <w:right w:val="single" w:sz="4" w:space="0" w:color="auto"/>
            </w:tcBorders>
            <w:shd w:val="clear" w:color="auto" w:fill="auto"/>
            <w:noWrap/>
            <w:vAlign w:val="center"/>
            <w:hideMark/>
          </w:tcPr>
          <w:p w14:paraId="6443A43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2.001.819</w:t>
            </w:r>
          </w:p>
        </w:tc>
        <w:tc>
          <w:tcPr>
            <w:tcW w:w="833" w:type="pct"/>
            <w:tcBorders>
              <w:top w:val="nil"/>
              <w:left w:val="nil"/>
              <w:bottom w:val="single" w:sz="4" w:space="0" w:color="auto"/>
              <w:right w:val="single" w:sz="4" w:space="0" w:color="auto"/>
            </w:tcBorders>
            <w:shd w:val="clear" w:color="auto" w:fill="auto"/>
            <w:noWrap/>
            <w:vAlign w:val="center"/>
            <w:hideMark/>
          </w:tcPr>
          <w:p w14:paraId="1200EC7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717.637</w:t>
            </w:r>
          </w:p>
        </w:tc>
        <w:tc>
          <w:tcPr>
            <w:tcW w:w="833" w:type="pct"/>
            <w:tcBorders>
              <w:top w:val="nil"/>
              <w:left w:val="nil"/>
              <w:bottom w:val="single" w:sz="4" w:space="0" w:color="auto"/>
              <w:right w:val="single" w:sz="4" w:space="0" w:color="auto"/>
            </w:tcBorders>
            <w:shd w:val="clear" w:color="auto" w:fill="auto"/>
            <w:noWrap/>
            <w:vAlign w:val="center"/>
            <w:hideMark/>
          </w:tcPr>
          <w:p w14:paraId="487B5F9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687.582</w:t>
            </w:r>
          </w:p>
        </w:tc>
        <w:tc>
          <w:tcPr>
            <w:tcW w:w="834" w:type="pct"/>
            <w:tcBorders>
              <w:top w:val="nil"/>
              <w:left w:val="nil"/>
              <w:bottom w:val="single" w:sz="4" w:space="0" w:color="auto"/>
              <w:right w:val="single" w:sz="4" w:space="0" w:color="auto"/>
            </w:tcBorders>
            <w:shd w:val="clear" w:color="auto" w:fill="auto"/>
            <w:noWrap/>
            <w:vAlign w:val="center"/>
            <w:hideMark/>
          </w:tcPr>
          <w:p w14:paraId="400E70E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w:t>
            </w:r>
          </w:p>
        </w:tc>
      </w:tr>
      <w:tr w:rsidR="0012257F" w:rsidRPr="0012257F" w14:paraId="4C8DD340"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DE0EF14"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Jugovzhodna Slovenija</w:t>
            </w:r>
          </w:p>
        </w:tc>
        <w:tc>
          <w:tcPr>
            <w:tcW w:w="625" w:type="pct"/>
            <w:tcBorders>
              <w:top w:val="nil"/>
              <w:left w:val="nil"/>
              <w:bottom w:val="single" w:sz="4" w:space="0" w:color="auto"/>
              <w:right w:val="single" w:sz="4" w:space="0" w:color="auto"/>
            </w:tcBorders>
            <w:shd w:val="clear" w:color="auto" w:fill="auto"/>
            <w:noWrap/>
            <w:vAlign w:val="center"/>
            <w:hideMark/>
          </w:tcPr>
          <w:p w14:paraId="0940931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17</w:t>
            </w:r>
          </w:p>
        </w:tc>
        <w:tc>
          <w:tcPr>
            <w:tcW w:w="703" w:type="pct"/>
            <w:tcBorders>
              <w:top w:val="nil"/>
              <w:left w:val="nil"/>
              <w:bottom w:val="single" w:sz="4" w:space="0" w:color="auto"/>
              <w:right w:val="single" w:sz="4" w:space="0" w:color="auto"/>
            </w:tcBorders>
            <w:shd w:val="clear" w:color="auto" w:fill="auto"/>
            <w:noWrap/>
            <w:vAlign w:val="center"/>
            <w:hideMark/>
          </w:tcPr>
          <w:p w14:paraId="0D5744A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4.319.497</w:t>
            </w:r>
          </w:p>
        </w:tc>
        <w:tc>
          <w:tcPr>
            <w:tcW w:w="833" w:type="pct"/>
            <w:tcBorders>
              <w:top w:val="nil"/>
              <w:left w:val="nil"/>
              <w:bottom w:val="single" w:sz="4" w:space="0" w:color="auto"/>
              <w:right w:val="single" w:sz="4" w:space="0" w:color="auto"/>
            </w:tcBorders>
            <w:shd w:val="clear" w:color="auto" w:fill="auto"/>
            <w:noWrap/>
            <w:vAlign w:val="center"/>
            <w:hideMark/>
          </w:tcPr>
          <w:p w14:paraId="67F2759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1.660.151</w:t>
            </w:r>
          </w:p>
        </w:tc>
        <w:tc>
          <w:tcPr>
            <w:tcW w:w="833" w:type="pct"/>
            <w:tcBorders>
              <w:top w:val="nil"/>
              <w:left w:val="nil"/>
              <w:bottom w:val="single" w:sz="4" w:space="0" w:color="auto"/>
              <w:right w:val="single" w:sz="4" w:space="0" w:color="auto"/>
            </w:tcBorders>
            <w:shd w:val="clear" w:color="auto" w:fill="auto"/>
            <w:noWrap/>
            <w:vAlign w:val="center"/>
            <w:hideMark/>
          </w:tcPr>
          <w:p w14:paraId="5B960C6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1.638.962</w:t>
            </w:r>
          </w:p>
        </w:tc>
        <w:tc>
          <w:tcPr>
            <w:tcW w:w="834" w:type="pct"/>
            <w:tcBorders>
              <w:top w:val="nil"/>
              <w:left w:val="nil"/>
              <w:bottom w:val="single" w:sz="4" w:space="0" w:color="auto"/>
              <w:right w:val="single" w:sz="4" w:space="0" w:color="auto"/>
            </w:tcBorders>
            <w:shd w:val="clear" w:color="auto" w:fill="auto"/>
            <w:noWrap/>
            <w:vAlign w:val="center"/>
            <w:hideMark/>
          </w:tcPr>
          <w:p w14:paraId="2666B08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42</w:t>
            </w:r>
          </w:p>
        </w:tc>
      </w:tr>
      <w:tr w:rsidR="0012257F" w:rsidRPr="0012257F" w14:paraId="75AAB757"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7EE134A"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Obalno-kraška</w:t>
            </w:r>
          </w:p>
        </w:tc>
        <w:tc>
          <w:tcPr>
            <w:tcW w:w="625" w:type="pct"/>
            <w:tcBorders>
              <w:top w:val="nil"/>
              <w:left w:val="nil"/>
              <w:bottom w:val="single" w:sz="4" w:space="0" w:color="auto"/>
              <w:right w:val="single" w:sz="4" w:space="0" w:color="auto"/>
            </w:tcBorders>
            <w:shd w:val="clear" w:color="auto" w:fill="auto"/>
            <w:noWrap/>
            <w:vAlign w:val="center"/>
            <w:hideMark/>
          </w:tcPr>
          <w:p w14:paraId="0367044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w:t>
            </w:r>
          </w:p>
        </w:tc>
        <w:tc>
          <w:tcPr>
            <w:tcW w:w="703" w:type="pct"/>
            <w:tcBorders>
              <w:top w:val="nil"/>
              <w:left w:val="nil"/>
              <w:bottom w:val="single" w:sz="4" w:space="0" w:color="auto"/>
              <w:right w:val="single" w:sz="4" w:space="0" w:color="auto"/>
            </w:tcBorders>
            <w:shd w:val="clear" w:color="auto" w:fill="auto"/>
            <w:noWrap/>
            <w:vAlign w:val="center"/>
            <w:hideMark/>
          </w:tcPr>
          <w:p w14:paraId="221CF91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175.187</w:t>
            </w:r>
          </w:p>
        </w:tc>
        <w:tc>
          <w:tcPr>
            <w:tcW w:w="833" w:type="pct"/>
            <w:tcBorders>
              <w:top w:val="nil"/>
              <w:left w:val="nil"/>
              <w:bottom w:val="single" w:sz="4" w:space="0" w:color="auto"/>
              <w:right w:val="single" w:sz="4" w:space="0" w:color="auto"/>
            </w:tcBorders>
            <w:shd w:val="clear" w:color="auto" w:fill="auto"/>
            <w:noWrap/>
            <w:vAlign w:val="center"/>
            <w:hideMark/>
          </w:tcPr>
          <w:p w14:paraId="4C8C5ED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71.798</w:t>
            </w:r>
          </w:p>
        </w:tc>
        <w:tc>
          <w:tcPr>
            <w:tcW w:w="833" w:type="pct"/>
            <w:tcBorders>
              <w:top w:val="nil"/>
              <w:left w:val="nil"/>
              <w:bottom w:val="single" w:sz="4" w:space="0" w:color="auto"/>
              <w:right w:val="single" w:sz="4" w:space="0" w:color="auto"/>
            </w:tcBorders>
            <w:shd w:val="clear" w:color="auto" w:fill="auto"/>
            <w:noWrap/>
            <w:vAlign w:val="center"/>
            <w:hideMark/>
          </w:tcPr>
          <w:p w14:paraId="401E36A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71.798</w:t>
            </w:r>
          </w:p>
        </w:tc>
        <w:tc>
          <w:tcPr>
            <w:tcW w:w="834" w:type="pct"/>
            <w:tcBorders>
              <w:top w:val="nil"/>
              <w:left w:val="nil"/>
              <w:bottom w:val="single" w:sz="4" w:space="0" w:color="auto"/>
              <w:right w:val="single" w:sz="4" w:space="0" w:color="auto"/>
            </w:tcBorders>
            <w:shd w:val="clear" w:color="auto" w:fill="auto"/>
            <w:noWrap/>
            <w:vAlign w:val="center"/>
            <w:hideMark/>
          </w:tcPr>
          <w:p w14:paraId="62230CB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r>
      <w:tr w:rsidR="0012257F" w:rsidRPr="0012257F" w14:paraId="42286CFC"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1488B07"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Osrednjeslovenska</w:t>
            </w:r>
          </w:p>
        </w:tc>
        <w:tc>
          <w:tcPr>
            <w:tcW w:w="625" w:type="pct"/>
            <w:tcBorders>
              <w:top w:val="nil"/>
              <w:left w:val="nil"/>
              <w:bottom w:val="single" w:sz="4" w:space="0" w:color="auto"/>
              <w:right w:val="single" w:sz="4" w:space="0" w:color="auto"/>
            </w:tcBorders>
            <w:shd w:val="clear" w:color="auto" w:fill="auto"/>
            <w:noWrap/>
            <w:vAlign w:val="center"/>
            <w:hideMark/>
          </w:tcPr>
          <w:p w14:paraId="470A604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w:t>
            </w:r>
          </w:p>
        </w:tc>
        <w:tc>
          <w:tcPr>
            <w:tcW w:w="703" w:type="pct"/>
            <w:tcBorders>
              <w:top w:val="nil"/>
              <w:left w:val="nil"/>
              <w:bottom w:val="single" w:sz="4" w:space="0" w:color="auto"/>
              <w:right w:val="single" w:sz="4" w:space="0" w:color="auto"/>
            </w:tcBorders>
            <w:shd w:val="clear" w:color="auto" w:fill="auto"/>
            <w:noWrap/>
            <w:vAlign w:val="center"/>
            <w:hideMark/>
          </w:tcPr>
          <w:p w14:paraId="741CBB1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2.415.053</w:t>
            </w:r>
          </w:p>
        </w:tc>
        <w:tc>
          <w:tcPr>
            <w:tcW w:w="833" w:type="pct"/>
            <w:tcBorders>
              <w:top w:val="nil"/>
              <w:left w:val="nil"/>
              <w:bottom w:val="single" w:sz="4" w:space="0" w:color="auto"/>
              <w:right w:val="single" w:sz="4" w:space="0" w:color="auto"/>
            </w:tcBorders>
            <w:shd w:val="clear" w:color="auto" w:fill="auto"/>
            <w:noWrap/>
            <w:vAlign w:val="center"/>
            <w:hideMark/>
          </w:tcPr>
          <w:p w14:paraId="0D41604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871.006</w:t>
            </w:r>
          </w:p>
        </w:tc>
        <w:tc>
          <w:tcPr>
            <w:tcW w:w="833" w:type="pct"/>
            <w:tcBorders>
              <w:top w:val="nil"/>
              <w:left w:val="nil"/>
              <w:bottom w:val="single" w:sz="4" w:space="0" w:color="auto"/>
              <w:right w:val="single" w:sz="4" w:space="0" w:color="auto"/>
            </w:tcBorders>
            <w:shd w:val="clear" w:color="auto" w:fill="auto"/>
            <w:noWrap/>
            <w:vAlign w:val="center"/>
            <w:hideMark/>
          </w:tcPr>
          <w:p w14:paraId="201678C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878.959</w:t>
            </w:r>
          </w:p>
        </w:tc>
        <w:tc>
          <w:tcPr>
            <w:tcW w:w="834" w:type="pct"/>
            <w:tcBorders>
              <w:top w:val="nil"/>
              <w:left w:val="nil"/>
              <w:bottom w:val="single" w:sz="4" w:space="0" w:color="auto"/>
              <w:right w:val="single" w:sz="4" w:space="0" w:color="auto"/>
            </w:tcBorders>
            <w:shd w:val="clear" w:color="auto" w:fill="auto"/>
            <w:noWrap/>
            <w:vAlign w:val="center"/>
            <w:hideMark/>
          </w:tcPr>
          <w:p w14:paraId="19252C7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w:t>
            </w:r>
          </w:p>
        </w:tc>
      </w:tr>
      <w:tr w:rsidR="0012257F" w:rsidRPr="0012257F" w14:paraId="4273E8F3"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3E9D48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Podravska</w:t>
            </w:r>
          </w:p>
        </w:tc>
        <w:tc>
          <w:tcPr>
            <w:tcW w:w="625" w:type="pct"/>
            <w:tcBorders>
              <w:top w:val="nil"/>
              <w:left w:val="nil"/>
              <w:bottom w:val="single" w:sz="4" w:space="0" w:color="auto"/>
              <w:right w:val="single" w:sz="4" w:space="0" w:color="auto"/>
            </w:tcBorders>
            <w:shd w:val="clear" w:color="auto" w:fill="auto"/>
            <w:noWrap/>
            <w:vAlign w:val="center"/>
            <w:hideMark/>
          </w:tcPr>
          <w:p w14:paraId="5C8AA50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67</w:t>
            </w:r>
          </w:p>
        </w:tc>
        <w:tc>
          <w:tcPr>
            <w:tcW w:w="703" w:type="pct"/>
            <w:tcBorders>
              <w:top w:val="nil"/>
              <w:left w:val="nil"/>
              <w:bottom w:val="single" w:sz="4" w:space="0" w:color="auto"/>
              <w:right w:val="single" w:sz="4" w:space="0" w:color="auto"/>
            </w:tcBorders>
            <w:shd w:val="clear" w:color="auto" w:fill="auto"/>
            <w:noWrap/>
            <w:vAlign w:val="center"/>
            <w:hideMark/>
          </w:tcPr>
          <w:p w14:paraId="4DEA6FB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15.911.809</w:t>
            </w:r>
          </w:p>
        </w:tc>
        <w:tc>
          <w:tcPr>
            <w:tcW w:w="833" w:type="pct"/>
            <w:tcBorders>
              <w:top w:val="nil"/>
              <w:left w:val="nil"/>
              <w:bottom w:val="single" w:sz="4" w:space="0" w:color="auto"/>
              <w:right w:val="single" w:sz="4" w:space="0" w:color="auto"/>
            </w:tcBorders>
            <w:shd w:val="clear" w:color="auto" w:fill="auto"/>
            <w:noWrap/>
            <w:vAlign w:val="center"/>
            <w:hideMark/>
          </w:tcPr>
          <w:p w14:paraId="35CC755B"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5.948.574</w:t>
            </w:r>
          </w:p>
        </w:tc>
        <w:tc>
          <w:tcPr>
            <w:tcW w:w="833" w:type="pct"/>
            <w:tcBorders>
              <w:top w:val="nil"/>
              <w:left w:val="nil"/>
              <w:bottom w:val="single" w:sz="4" w:space="0" w:color="auto"/>
              <w:right w:val="single" w:sz="4" w:space="0" w:color="auto"/>
            </w:tcBorders>
            <w:shd w:val="clear" w:color="auto" w:fill="auto"/>
            <w:noWrap/>
            <w:vAlign w:val="center"/>
            <w:hideMark/>
          </w:tcPr>
          <w:p w14:paraId="7FBEEE89"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5.790.852</w:t>
            </w:r>
          </w:p>
        </w:tc>
        <w:tc>
          <w:tcPr>
            <w:tcW w:w="834" w:type="pct"/>
            <w:tcBorders>
              <w:top w:val="nil"/>
              <w:left w:val="nil"/>
              <w:bottom w:val="single" w:sz="4" w:space="0" w:color="auto"/>
              <w:right w:val="single" w:sz="4" w:space="0" w:color="auto"/>
            </w:tcBorders>
            <w:shd w:val="clear" w:color="auto" w:fill="auto"/>
            <w:noWrap/>
            <w:vAlign w:val="center"/>
            <w:hideMark/>
          </w:tcPr>
          <w:p w14:paraId="5AD1ECB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152</w:t>
            </w:r>
          </w:p>
        </w:tc>
      </w:tr>
      <w:tr w:rsidR="0012257F" w:rsidRPr="0012257F" w14:paraId="1B3384B0"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3BC8765"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Pomurska</w:t>
            </w:r>
          </w:p>
        </w:tc>
        <w:tc>
          <w:tcPr>
            <w:tcW w:w="625" w:type="pct"/>
            <w:tcBorders>
              <w:top w:val="nil"/>
              <w:left w:val="nil"/>
              <w:bottom w:val="single" w:sz="4" w:space="0" w:color="auto"/>
              <w:right w:val="single" w:sz="4" w:space="0" w:color="auto"/>
            </w:tcBorders>
            <w:shd w:val="clear" w:color="auto" w:fill="auto"/>
            <w:noWrap/>
            <w:vAlign w:val="center"/>
            <w:hideMark/>
          </w:tcPr>
          <w:p w14:paraId="22A314B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22</w:t>
            </w:r>
          </w:p>
        </w:tc>
        <w:tc>
          <w:tcPr>
            <w:tcW w:w="703" w:type="pct"/>
            <w:tcBorders>
              <w:top w:val="nil"/>
              <w:left w:val="nil"/>
              <w:bottom w:val="single" w:sz="4" w:space="0" w:color="auto"/>
              <w:right w:val="single" w:sz="4" w:space="0" w:color="auto"/>
            </w:tcBorders>
            <w:shd w:val="clear" w:color="auto" w:fill="auto"/>
            <w:noWrap/>
            <w:vAlign w:val="center"/>
            <w:hideMark/>
          </w:tcPr>
          <w:p w14:paraId="655EA76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4.903.137</w:t>
            </w:r>
          </w:p>
        </w:tc>
        <w:tc>
          <w:tcPr>
            <w:tcW w:w="833" w:type="pct"/>
            <w:tcBorders>
              <w:top w:val="nil"/>
              <w:left w:val="nil"/>
              <w:bottom w:val="single" w:sz="4" w:space="0" w:color="auto"/>
              <w:right w:val="single" w:sz="4" w:space="0" w:color="auto"/>
            </w:tcBorders>
            <w:shd w:val="clear" w:color="auto" w:fill="auto"/>
            <w:noWrap/>
            <w:vAlign w:val="center"/>
            <w:hideMark/>
          </w:tcPr>
          <w:p w14:paraId="7B488B4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1.873.843</w:t>
            </w:r>
          </w:p>
        </w:tc>
        <w:tc>
          <w:tcPr>
            <w:tcW w:w="833" w:type="pct"/>
            <w:tcBorders>
              <w:top w:val="nil"/>
              <w:left w:val="nil"/>
              <w:bottom w:val="single" w:sz="4" w:space="0" w:color="auto"/>
              <w:right w:val="single" w:sz="4" w:space="0" w:color="auto"/>
            </w:tcBorders>
            <w:shd w:val="clear" w:color="auto" w:fill="auto"/>
            <w:noWrap/>
            <w:vAlign w:val="center"/>
            <w:hideMark/>
          </w:tcPr>
          <w:p w14:paraId="29142ED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1.841.543</w:t>
            </w:r>
          </w:p>
        </w:tc>
        <w:tc>
          <w:tcPr>
            <w:tcW w:w="834" w:type="pct"/>
            <w:tcBorders>
              <w:top w:val="nil"/>
              <w:left w:val="nil"/>
              <w:bottom w:val="single" w:sz="4" w:space="0" w:color="auto"/>
              <w:right w:val="single" w:sz="4" w:space="0" w:color="auto"/>
            </w:tcBorders>
            <w:shd w:val="clear" w:color="auto" w:fill="auto"/>
            <w:noWrap/>
            <w:vAlign w:val="center"/>
            <w:hideMark/>
          </w:tcPr>
          <w:p w14:paraId="06558DF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46</w:t>
            </w:r>
          </w:p>
        </w:tc>
      </w:tr>
      <w:tr w:rsidR="0012257F" w:rsidRPr="0012257F" w14:paraId="72F4EC19"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2760C83"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Posavska</w:t>
            </w:r>
          </w:p>
        </w:tc>
        <w:tc>
          <w:tcPr>
            <w:tcW w:w="625" w:type="pct"/>
            <w:tcBorders>
              <w:top w:val="nil"/>
              <w:left w:val="nil"/>
              <w:bottom w:val="single" w:sz="4" w:space="0" w:color="auto"/>
              <w:right w:val="single" w:sz="4" w:space="0" w:color="auto"/>
            </w:tcBorders>
            <w:shd w:val="clear" w:color="auto" w:fill="auto"/>
            <w:noWrap/>
            <w:vAlign w:val="center"/>
            <w:hideMark/>
          </w:tcPr>
          <w:p w14:paraId="25CAB66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9</w:t>
            </w:r>
          </w:p>
        </w:tc>
        <w:tc>
          <w:tcPr>
            <w:tcW w:w="703" w:type="pct"/>
            <w:tcBorders>
              <w:top w:val="nil"/>
              <w:left w:val="nil"/>
              <w:bottom w:val="single" w:sz="4" w:space="0" w:color="auto"/>
              <w:right w:val="single" w:sz="4" w:space="0" w:color="auto"/>
            </w:tcBorders>
            <w:shd w:val="clear" w:color="auto" w:fill="auto"/>
            <w:noWrap/>
            <w:vAlign w:val="center"/>
            <w:hideMark/>
          </w:tcPr>
          <w:p w14:paraId="6CC3C1A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2.342.960</w:t>
            </w:r>
          </w:p>
        </w:tc>
        <w:tc>
          <w:tcPr>
            <w:tcW w:w="833" w:type="pct"/>
            <w:tcBorders>
              <w:top w:val="nil"/>
              <w:left w:val="nil"/>
              <w:bottom w:val="single" w:sz="4" w:space="0" w:color="auto"/>
              <w:right w:val="single" w:sz="4" w:space="0" w:color="auto"/>
            </w:tcBorders>
            <w:shd w:val="clear" w:color="auto" w:fill="auto"/>
            <w:noWrap/>
            <w:vAlign w:val="center"/>
            <w:hideMark/>
          </w:tcPr>
          <w:p w14:paraId="2CE97E76"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792.715</w:t>
            </w:r>
          </w:p>
        </w:tc>
        <w:tc>
          <w:tcPr>
            <w:tcW w:w="833" w:type="pct"/>
            <w:tcBorders>
              <w:top w:val="nil"/>
              <w:left w:val="nil"/>
              <w:bottom w:val="single" w:sz="4" w:space="0" w:color="auto"/>
              <w:right w:val="single" w:sz="4" w:space="0" w:color="auto"/>
            </w:tcBorders>
            <w:shd w:val="clear" w:color="auto" w:fill="auto"/>
            <w:noWrap/>
            <w:vAlign w:val="center"/>
            <w:hideMark/>
          </w:tcPr>
          <w:p w14:paraId="14A5375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784.908</w:t>
            </w:r>
          </w:p>
        </w:tc>
        <w:tc>
          <w:tcPr>
            <w:tcW w:w="834" w:type="pct"/>
            <w:tcBorders>
              <w:top w:val="nil"/>
              <w:left w:val="nil"/>
              <w:bottom w:val="single" w:sz="4" w:space="0" w:color="auto"/>
              <w:right w:val="single" w:sz="4" w:space="0" w:color="auto"/>
            </w:tcBorders>
            <w:shd w:val="clear" w:color="auto" w:fill="auto"/>
            <w:noWrap/>
            <w:vAlign w:val="center"/>
            <w:hideMark/>
          </w:tcPr>
          <w:p w14:paraId="21486FC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21</w:t>
            </w:r>
          </w:p>
        </w:tc>
      </w:tr>
      <w:tr w:rsidR="0012257F" w:rsidRPr="0012257F" w14:paraId="6C3706CD"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9126DDF"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Primorsko-notranjska</w:t>
            </w:r>
          </w:p>
        </w:tc>
        <w:tc>
          <w:tcPr>
            <w:tcW w:w="625" w:type="pct"/>
            <w:tcBorders>
              <w:top w:val="nil"/>
              <w:left w:val="nil"/>
              <w:bottom w:val="single" w:sz="4" w:space="0" w:color="auto"/>
              <w:right w:val="single" w:sz="4" w:space="0" w:color="auto"/>
            </w:tcBorders>
            <w:shd w:val="clear" w:color="auto" w:fill="auto"/>
            <w:noWrap/>
            <w:vAlign w:val="center"/>
            <w:hideMark/>
          </w:tcPr>
          <w:p w14:paraId="130DE858"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w:t>
            </w:r>
          </w:p>
        </w:tc>
        <w:tc>
          <w:tcPr>
            <w:tcW w:w="703" w:type="pct"/>
            <w:tcBorders>
              <w:top w:val="nil"/>
              <w:left w:val="nil"/>
              <w:bottom w:val="single" w:sz="4" w:space="0" w:color="auto"/>
              <w:right w:val="single" w:sz="4" w:space="0" w:color="auto"/>
            </w:tcBorders>
            <w:shd w:val="clear" w:color="auto" w:fill="auto"/>
            <w:noWrap/>
            <w:vAlign w:val="center"/>
            <w:hideMark/>
          </w:tcPr>
          <w:p w14:paraId="179733C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299.946</w:t>
            </w:r>
          </w:p>
        </w:tc>
        <w:tc>
          <w:tcPr>
            <w:tcW w:w="833" w:type="pct"/>
            <w:tcBorders>
              <w:top w:val="nil"/>
              <w:left w:val="nil"/>
              <w:bottom w:val="single" w:sz="4" w:space="0" w:color="auto"/>
              <w:right w:val="single" w:sz="4" w:space="0" w:color="auto"/>
            </w:tcBorders>
            <w:shd w:val="clear" w:color="auto" w:fill="auto"/>
            <w:noWrap/>
            <w:vAlign w:val="center"/>
            <w:hideMark/>
          </w:tcPr>
          <w:p w14:paraId="1EA997BC"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121.324</w:t>
            </w:r>
          </w:p>
        </w:tc>
        <w:tc>
          <w:tcPr>
            <w:tcW w:w="833" w:type="pct"/>
            <w:tcBorders>
              <w:top w:val="nil"/>
              <w:left w:val="nil"/>
              <w:bottom w:val="single" w:sz="4" w:space="0" w:color="auto"/>
              <w:right w:val="single" w:sz="4" w:space="0" w:color="auto"/>
            </w:tcBorders>
            <w:shd w:val="clear" w:color="auto" w:fill="auto"/>
            <w:noWrap/>
            <w:vAlign w:val="center"/>
            <w:hideMark/>
          </w:tcPr>
          <w:p w14:paraId="6B2EBD3E"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121.162</w:t>
            </w:r>
          </w:p>
        </w:tc>
        <w:tc>
          <w:tcPr>
            <w:tcW w:w="834" w:type="pct"/>
            <w:tcBorders>
              <w:top w:val="nil"/>
              <w:left w:val="nil"/>
              <w:bottom w:val="single" w:sz="4" w:space="0" w:color="auto"/>
              <w:right w:val="single" w:sz="4" w:space="0" w:color="auto"/>
            </w:tcBorders>
            <w:shd w:val="clear" w:color="auto" w:fill="auto"/>
            <w:noWrap/>
            <w:vAlign w:val="center"/>
            <w:hideMark/>
          </w:tcPr>
          <w:p w14:paraId="7B1EEB5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4</w:t>
            </w:r>
          </w:p>
        </w:tc>
      </w:tr>
      <w:tr w:rsidR="0012257F" w:rsidRPr="0012257F" w14:paraId="21B72308" w14:textId="77777777" w:rsidTr="00E155C1">
        <w:trPr>
          <w:trHeight w:val="255"/>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60CC81B"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Savinjska</w:t>
            </w:r>
          </w:p>
        </w:tc>
        <w:tc>
          <w:tcPr>
            <w:tcW w:w="625" w:type="pct"/>
            <w:tcBorders>
              <w:top w:val="nil"/>
              <w:left w:val="nil"/>
              <w:bottom w:val="single" w:sz="4" w:space="0" w:color="auto"/>
              <w:right w:val="single" w:sz="4" w:space="0" w:color="auto"/>
            </w:tcBorders>
            <w:shd w:val="clear" w:color="auto" w:fill="auto"/>
            <w:noWrap/>
            <w:vAlign w:val="center"/>
            <w:hideMark/>
          </w:tcPr>
          <w:p w14:paraId="0365815D"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16</w:t>
            </w:r>
          </w:p>
        </w:tc>
        <w:tc>
          <w:tcPr>
            <w:tcW w:w="703" w:type="pct"/>
            <w:tcBorders>
              <w:top w:val="nil"/>
              <w:left w:val="nil"/>
              <w:bottom w:val="single" w:sz="4" w:space="0" w:color="auto"/>
              <w:right w:val="single" w:sz="4" w:space="0" w:color="auto"/>
            </w:tcBorders>
            <w:shd w:val="clear" w:color="auto" w:fill="auto"/>
            <w:noWrap/>
            <w:vAlign w:val="center"/>
            <w:hideMark/>
          </w:tcPr>
          <w:p w14:paraId="6820802F"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3.823.738</w:t>
            </w:r>
          </w:p>
        </w:tc>
        <w:tc>
          <w:tcPr>
            <w:tcW w:w="833" w:type="pct"/>
            <w:tcBorders>
              <w:top w:val="nil"/>
              <w:left w:val="nil"/>
              <w:bottom w:val="single" w:sz="4" w:space="0" w:color="auto"/>
              <w:right w:val="single" w:sz="4" w:space="0" w:color="auto"/>
            </w:tcBorders>
            <w:shd w:val="clear" w:color="auto" w:fill="auto"/>
            <w:noWrap/>
            <w:vAlign w:val="center"/>
            <w:hideMark/>
          </w:tcPr>
          <w:p w14:paraId="41E27C24"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1.517.755</w:t>
            </w:r>
          </w:p>
        </w:tc>
        <w:tc>
          <w:tcPr>
            <w:tcW w:w="833" w:type="pct"/>
            <w:tcBorders>
              <w:top w:val="nil"/>
              <w:left w:val="nil"/>
              <w:bottom w:val="single" w:sz="4" w:space="0" w:color="auto"/>
              <w:right w:val="single" w:sz="4" w:space="0" w:color="auto"/>
            </w:tcBorders>
            <w:shd w:val="clear" w:color="auto" w:fill="auto"/>
            <w:noWrap/>
            <w:vAlign w:val="center"/>
            <w:hideMark/>
          </w:tcPr>
          <w:p w14:paraId="28C14E97"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1.504.437</w:t>
            </w:r>
          </w:p>
        </w:tc>
        <w:tc>
          <w:tcPr>
            <w:tcW w:w="834" w:type="pct"/>
            <w:tcBorders>
              <w:top w:val="nil"/>
              <w:left w:val="nil"/>
              <w:bottom w:val="single" w:sz="4" w:space="0" w:color="auto"/>
              <w:right w:val="single" w:sz="4" w:space="0" w:color="auto"/>
            </w:tcBorders>
            <w:shd w:val="clear" w:color="auto" w:fill="auto"/>
            <w:noWrap/>
            <w:vAlign w:val="center"/>
            <w:hideMark/>
          </w:tcPr>
          <w:p w14:paraId="1AF0C4B5"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38</w:t>
            </w:r>
          </w:p>
        </w:tc>
      </w:tr>
      <w:tr w:rsidR="0012257F" w:rsidRPr="0012257F" w14:paraId="4DF6485E" w14:textId="77777777" w:rsidTr="00E155C1">
        <w:trPr>
          <w:trHeight w:val="255"/>
        </w:trPr>
        <w:tc>
          <w:tcPr>
            <w:tcW w:w="1171" w:type="pct"/>
            <w:tcBorders>
              <w:top w:val="nil"/>
              <w:left w:val="single" w:sz="4" w:space="0" w:color="auto"/>
              <w:bottom w:val="single" w:sz="4" w:space="0" w:color="auto"/>
              <w:right w:val="single" w:sz="4" w:space="0" w:color="auto"/>
            </w:tcBorders>
            <w:shd w:val="clear" w:color="000000" w:fill="92D050"/>
            <w:noWrap/>
            <w:vAlign w:val="center"/>
            <w:hideMark/>
          </w:tcPr>
          <w:p w14:paraId="09C7A421" w14:textId="77777777" w:rsidR="0012257F" w:rsidRPr="0012257F" w:rsidRDefault="0012257F" w:rsidP="0012257F">
            <w:pPr>
              <w:spacing w:before="0" w:line="240" w:lineRule="auto"/>
              <w:jc w:val="left"/>
              <w:rPr>
                <w:color w:val="000000"/>
                <w:sz w:val="18"/>
                <w:szCs w:val="18"/>
                <w:lang w:eastAsia="sl-SI"/>
              </w:rPr>
            </w:pPr>
            <w:r w:rsidRPr="0012257F">
              <w:rPr>
                <w:color w:val="000000"/>
                <w:sz w:val="18"/>
                <w:szCs w:val="18"/>
                <w:lang w:eastAsia="sl-SI"/>
              </w:rPr>
              <w:t>Skupaj</w:t>
            </w:r>
          </w:p>
        </w:tc>
        <w:tc>
          <w:tcPr>
            <w:tcW w:w="625" w:type="pct"/>
            <w:tcBorders>
              <w:top w:val="nil"/>
              <w:left w:val="nil"/>
              <w:bottom w:val="single" w:sz="4" w:space="0" w:color="auto"/>
              <w:right w:val="single" w:sz="4" w:space="0" w:color="auto"/>
            </w:tcBorders>
            <w:shd w:val="clear" w:color="000000" w:fill="92D050"/>
            <w:noWrap/>
            <w:vAlign w:val="center"/>
            <w:hideMark/>
          </w:tcPr>
          <w:p w14:paraId="4AF03EA2"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143</w:t>
            </w:r>
          </w:p>
        </w:tc>
        <w:tc>
          <w:tcPr>
            <w:tcW w:w="703" w:type="pct"/>
            <w:tcBorders>
              <w:top w:val="nil"/>
              <w:left w:val="nil"/>
              <w:bottom w:val="single" w:sz="4" w:space="0" w:color="auto"/>
              <w:right w:val="single" w:sz="4" w:space="0" w:color="auto"/>
            </w:tcBorders>
            <w:shd w:val="clear" w:color="000000" w:fill="92D050"/>
            <w:noWrap/>
            <w:vAlign w:val="center"/>
            <w:hideMark/>
          </w:tcPr>
          <w:p w14:paraId="7D9FB2FA"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36.193.146</w:t>
            </w:r>
          </w:p>
        </w:tc>
        <w:tc>
          <w:tcPr>
            <w:tcW w:w="833" w:type="pct"/>
            <w:tcBorders>
              <w:top w:val="nil"/>
              <w:left w:val="nil"/>
              <w:bottom w:val="single" w:sz="4" w:space="0" w:color="auto"/>
              <w:right w:val="single" w:sz="4" w:space="0" w:color="auto"/>
            </w:tcBorders>
            <w:shd w:val="clear" w:color="000000" w:fill="92D050"/>
            <w:noWrap/>
            <w:vAlign w:val="center"/>
            <w:hideMark/>
          </w:tcPr>
          <w:p w14:paraId="72A210C3"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13.574.803</w:t>
            </w:r>
          </w:p>
        </w:tc>
        <w:tc>
          <w:tcPr>
            <w:tcW w:w="833" w:type="pct"/>
            <w:tcBorders>
              <w:top w:val="nil"/>
              <w:left w:val="nil"/>
              <w:bottom w:val="single" w:sz="4" w:space="0" w:color="auto"/>
              <w:right w:val="single" w:sz="4" w:space="0" w:color="auto"/>
            </w:tcBorders>
            <w:shd w:val="clear" w:color="000000" w:fill="92D050"/>
            <w:noWrap/>
            <w:vAlign w:val="center"/>
            <w:hideMark/>
          </w:tcPr>
          <w:p w14:paraId="4E69F111"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13.320.201</w:t>
            </w:r>
          </w:p>
        </w:tc>
        <w:tc>
          <w:tcPr>
            <w:tcW w:w="834" w:type="pct"/>
            <w:tcBorders>
              <w:top w:val="nil"/>
              <w:left w:val="nil"/>
              <w:bottom w:val="single" w:sz="4" w:space="0" w:color="auto"/>
              <w:right w:val="single" w:sz="4" w:space="0" w:color="auto"/>
            </w:tcBorders>
            <w:shd w:val="clear" w:color="000000" w:fill="92D050"/>
            <w:noWrap/>
            <w:vAlign w:val="center"/>
            <w:hideMark/>
          </w:tcPr>
          <w:p w14:paraId="5151E620" w14:textId="77777777" w:rsidR="0012257F" w:rsidRPr="0012257F" w:rsidRDefault="0012257F" w:rsidP="0012257F">
            <w:pPr>
              <w:spacing w:before="0" w:line="240" w:lineRule="auto"/>
              <w:jc w:val="right"/>
              <w:rPr>
                <w:color w:val="000000"/>
                <w:sz w:val="18"/>
                <w:szCs w:val="18"/>
                <w:lang w:eastAsia="sl-SI"/>
              </w:rPr>
            </w:pPr>
            <w:r w:rsidRPr="0012257F">
              <w:rPr>
                <w:color w:val="000000"/>
                <w:sz w:val="18"/>
                <w:szCs w:val="18"/>
                <w:lang w:eastAsia="sl-SI"/>
              </w:rPr>
              <w:t>325</w:t>
            </w:r>
          </w:p>
        </w:tc>
      </w:tr>
    </w:tbl>
    <w:p w14:paraId="03A84534" w14:textId="77777777" w:rsidR="0012257F" w:rsidRDefault="0012257F" w:rsidP="00E155C1">
      <w:pPr>
        <w:rPr>
          <w:color w:val="000000"/>
          <w:sz w:val="18"/>
          <w:lang w:eastAsia="sl-SI"/>
        </w:rPr>
      </w:pPr>
    </w:p>
    <w:p w14:paraId="7F841B98" w14:textId="0007A016" w:rsidR="00C32927" w:rsidRDefault="00C52DAA" w:rsidP="00E155C1">
      <w:pPr>
        <w:rPr>
          <w:color w:val="000000" w:themeColor="text1"/>
          <w:lang w:eastAsia="en-US"/>
        </w:rPr>
      </w:pPr>
      <w:r>
        <w:rPr>
          <w:lang w:eastAsia="en-US"/>
        </w:rPr>
        <w:t xml:space="preserve">V </w:t>
      </w:r>
      <w:r w:rsidRPr="00E155C1">
        <w:rPr>
          <w:color w:val="000000" w:themeColor="text1"/>
          <w:lang w:eastAsia="en-US"/>
        </w:rPr>
        <w:t xml:space="preserve">okviru PRP 2014–2020 sicer še vedno jasno prevladujejo individualna vlaganja na ravni kmetijskih gospodarstev, kljub vsemu pa ocenjujemo, da bi bil interes za tovrstne kolektivne naložbe v prihodnje večji, predvsem zaradi </w:t>
      </w:r>
      <w:r w:rsidR="002B27E0">
        <w:rPr>
          <w:color w:val="000000" w:themeColor="text1"/>
          <w:lang w:eastAsia="en-US"/>
        </w:rPr>
        <w:t xml:space="preserve">nujnosti </w:t>
      </w:r>
      <w:r w:rsidRPr="00E155C1">
        <w:rPr>
          <w:color w:val="000000" w:themeColor="text1"/>
          <w:lang w:eastAsia="en-US"/>
        </w:rPr>
        <w:t>učinkovitejšega skupnega nastopa proizvajalcev na trgu</w:t>
      </w:r>
      <w:r w:rsidR="00C32927">
        <w:rPr>
          <w:color w:val="000000" w:themeColor="text1"/>
          <w:lang w:eastAsia="en-US"/>
        </w:rPr>
        <w:t xml:space="preserve"> in </w:t>
      </w:r>
      <w:r w:rsidR="002B27E0">
        <w:rPr>
          <w:color w:val="000000" w:themeColor="text1"/>
          <w:lang w:eastAsia="en-US"/>
        </w:rPr>
        <w:t>pomena</w:t>
      </w:r>
      <w:r w:rsidR="00C32927">
        <w:rPr>
          <w:color w:val="000000" w:themeColor="text1"/>
          <w:lang w:eastAsia="en-US"/>
        </w:rPr>
        <w:t xml:space="preserve"> </w:t>
      </w:r>
      <w:r w:rsidR="002B27E0">
        <w:rPr>
          <w:color w:val="000000" w:themeColor="text1"/>
          <w:lang w:eastAsia="en-US"/>
        </w:rPr>
        <w:t>krepitve</w:t>
      </w:r>
      <w:r w:rsidR="00C32927">
        <w:rPr>
          <w:color w:val="000000" w:themeColor="text1"/>
          <w:lang w:eastAsia="en-US"/>
        </w:rPr>
        <w:t xml:space="preserve"> odpornosti verig vrednost, ki so ključne za odpornost celotnega sistema oskrbe s hrano.</w:t>
      </w:r>
      <w:r w:rsidRPr="00E155C1">
        <w:rPr>
          <w:color w:val="000000" w:themeColor="text1"/>
          <w:lang w:eastAsia="en-US"/>
        </w:rPr>
        <w:t xml:space="preserve"> </w:t>
      </w:r>
    </w:p>
    <w:p w14:paraId="3F952E01" w14:textId="5BDF4B13" w:rsidR="002B27E0" w:rsidRPr="00E155C1" w:rsidRDefault="002B27E0" w:rsidP="00E155C1">
      <w:pPr>
        <w:rPr>
          <w:color w:val="000000" w:themeColor="text1"/>
          <w:lang w:eastAsia="en-US"/>
        </w:rPr>
      </w:pPr>
      <w:r w:rsidRPr="00625CA7">
        <w:rPr>
          <w:szCs w:val="20"/>
        </w:rPr>
        <w:t xml:space="preserve">Za slovenske verige oskbe s hrano je </w:t>
      </w:r>
      <w:r>
        <w:rPr>
          <w:szCs w:val="20"/>
        </w:rPr>
        <w:t xml:space="preserve">namreč </w:t>
      </w:r>
      <w:r w:rsidRPr="00625CA7">
        <w:rPr>
          <w:szCs w:val="20"/>
        </w:rPr>
        <w:t>značilna nezadostna organiziranost. Slovenija je med državami članicami z najnižjo stopnjo kakovostnega gospodarskega povezovanja na vertikalni in horizontalni ravni agroživilstva (</w:t>
      </w:r>
      <w:r w:rsidRPr="00625CA7">
        <w:rPr>
          <w:i/>
          <w:szCs w:val="20"/>
        </w:rPr>
        <w:t>Erjavec in sod. (2018): Vrednotenje slovenske kmetijske politike v obdobju 2015–2020</w:t>
      </w:r>
      <w:r w:rsidRPr="00625CA7">
        <w:rPr>
          <w:szCs w:val="20"/>
        </w:rPr>
        <w:t>).</w:t>
      </w:r>
    </w:p>
    <w:p w14:paraId="2B0D8597" w14:textId="72A1330D" w:rsidR="002B27E0" w:rsidRDefault="00C52DAA" w:rsidP="002B27E0">
      <w:pPr>
        <w:rPr>
          <w:lang w:eastAsia="en-US"/>
        </w:rPr>
      </w:pPr>
      <w:r w:rsidRPr="00E155C1">
        <w:rPr>
          <w:color w:val="000000" w:themeColor="text1"/>
          <w:lang w:eastAsia="en-US"/>
        </w:rPr>
        <w:t>Potrebe po vlaganjih so znatne</w:t>
      </w:r>
      <w:r w:rsidR="00C32927">
        <w:rPr>
          <w:lang w:eastAsia="en-US"/>
        </w:rPr>
        <w:t>, na kar kaže preveritev trga, ki jo je v kontekstu priprave predlogov projektov za Načrt za okrevanje in odpornost,</w:t>
      </w:r>
      <w:r w:rsidR="002B27E0">
        <w:rPr>
          <w:lang w:eastAsia="en-US"/>
        </w:rPr>
        <w:t xml:space="preserve"> za MKGP</w:t>
      </w:r>
      <w:r w:rsidR="00C32927">
        <w:rPr>
          <w:lang w:eastAsia="en-US"/>
        </w:rPr>
        <w:t xml:space="preserve"> izvedla Zadružna zveza Slovenije v jeseni 2020.</w:t>
      </w:r>
      <w:r>
        <w:rPr>
          <w:lang w:eastAsia="en-US"/>
        </w:rPr>
        <w:t xml:space="preserve"> </w:t>
      </w:r>
      <w:r w:rsidR="00C32927" w:rsidRPr="00C32927">
        <w:rPr>
          <w:lang w:eastAsia="en-US"/>
        </w:rPr>
        <w:t>Zadružna zveza Slovenije združuje 59 kmetijsko gozdarskih zadrug</w:t>
      </w:r>
      <w:r w:rsidR="00C32927">
        <w:rPr>
          <w:lang w:eastAsia="en-US"/>
        </w:rPr>
        <w:t xml:space="preserve"> (podatki za 2019)</w:t>
      </w:r>
      <w:r w:rsidR="00C32927" w:rsidRPr="00C32927">
        <w:rPr>
          <w:lang w:eastAsia="en-US"/>
        </w:rPr>
        <w:t>, s skupno 2.597 zaposlenimi in 12.796 člani, ki so praviloma nosilci kmetijskih gospodarstev (kmetij, od katerih zadruge odkupujejo njihove pr</w:t>
      </w:r>
      <w:r w:rsidR="00C32927" w:rsidRPr="00E53EB6">
        <w:rPr>
          <w:lang w:eastAsia="en-US"/>
        </w:rPr>
        <w:t>imarne kmetijske pridelke in les).</w:t>
      </w:r>
      <w:r w:rsidR="002B27E0">
        <w:rPr>
          <w:lang w:eastAsia="en-US"/>
        </w:rPr>
        <w:t xml:space="preserve">  </w:t>
      </w:r>
      <w:r w:rsidR="00C32927" w:rsidRPr="00E53EB6">
        <w:rPr>
          <w:lang w:eastAsia="en-US"/>
        </w:rPr>
        <w:t xml:space="preserve"> </w:t>
      </w:r>
    </w:p>
    <w:p w14:paraId="1D0638EA" w14:textId="4DE9A23D" w:rsidR="002B27E0" w:rsidRDefault="002B27E0" w:rsidP="002B27E0">
      <w:r w:rsidRPr="00001B16">
        <w:t xml:space="preserve">V okviru preverbe trga je bila vrednost </w:t>
      </w:r>
      <w:r>
        <w:t xml:space="preserve">načrtovanih </w:t>
      </w:r>
      <w:r w:rsidRPr="00001B16">
        <w:t xml:space="preserve">naložb zadrug ocenjena na </w:t>
      </w:r>
      <w:r>
        <w:t xml:space="preserve">vsaj </w:t>
      </w:r>
      <w:r w:rsidRPr="00001B16">
        <w:t>125 mio €</w:t>
      </w:r>
      <w:r>
        <w:t xml:space="preserve"> do leta 2026</w:t>
      </w:r>
      <w:r w:rsidRPr="00001B16">
        <w:t xml:space="preserve">. </w:t>
      </w:r>
      <w:r>
        <w:t>Ugotovljeno je namreč bilo, da je o</w:t>
      </w:r>
      <w:r w:rsidRPr="00451EFA">
        <w:t>bstoječa kolektivna infrastruktura (zbirni centri, skladišča/hladilnice, predeloval</w:t>
      </w:r>
      <w:r>
        <w:t>ni obrati, prodajne kapacitete)</w:t>
      </w:r>
      <w:r w:rsidRPr="00451EFA">
        <w:t xml:space="preserve"> večinoma tehnološko zastarela, energetsko</w:t>
      </w:r>
      <w:r>
        <w:t xml:space="preserve"> in okoljsko</w:t>
      </w:r>
      <w:r w:rsidRPr="00451EFA">
        <w:t xml:space="preserve"> manj učinkovita.</w:t>
      </w:r>
      <w:r>
        <w:t xml:space="preserve"> M</w:t>
      </w:r>
      <w:r w:rsidRPr="00451EFA">
        <w:t xml:space="preserve">arsikje </w:t>
      </w:r>
      <w:r>
        <w:t xml:space="preserve">tudi </w:t>
      </w:r>
      <w:r w:rsidRPr="00451EFA">
        <w:t xml:space="preserve">še </w:t>
      </w:r>
      <w:r>
        <w:t>ne zagotavlja</w:t>
      </w:r>
      <w:r w:rsidRPr="00451EFA">
        <w:t xml:space="preserve"> </w:t>
      </w:r>
      <w:r>
        <w:t xml:space="preserve">ustreznega </w:t>
      </w:r>
      <w:r w:rsidRPr="00451EFA">
        <w:t>ločevanj</w:t>
      </w:r>
      <w:r>
        <w:t>a</w:t>
      </w:r>
      <w:r w:rsidRPr="00451EFA">
        <w:t xml:space="preserve"> konvencionalnih in ekoloških proizvodov</w:t>
      </w:r>
      <w:r>
        <w:t xml:space="preserve">, kar je ovira z vidika večje ponudbe ekoloških proizvodov na trgu.   </w:t>
      </w:r>
    </w:p>
    <w:p w14:paraId="15112B91" w14:textId="377C4D44" w:rsidR="002B27E0" w:rsidRDefault="002B27E0" w:rsidP="002B27E0">
      <w:pPr>
        <w:rPr>
          <w:rFonts w:eastAsia="Arial"/>
        </w:rPr>
      </w:pPr>
      <w:r>
        <w:t>Zato zadruge v prihodnjih letih načrtujejo izdatna investicijska vlaganja v p</w:t>
      </w:r>
      <w:r w:rsidR="00C52DAA" w:rsidRPr="00E155C1">
        <w:t>ovečanje in/ali modernizacijo kapacitet za skladiščenje, pakiranje, hlajenje, predelavo in trženje (npr. ureditev hladilnic, skladišč, prodajnih obratov, nakup sortirno-pakirnih linij, nakup opreme, dostavnih vozil)</w:t>
      </w:r>
      <w:r>
        <w:t xml:space="preserve">. Načrtovana pa je tudi digitalizacija procesov: od poslovanja, optimizacije nabavnih tokov, zagotavljanja večje sledljivosti, uvajanja novih tržnih poti ipd. </w:t>
      </w:r>
      <w:r w:rsidR="00C52DAA" w:rsidRPr="00E155C1">
        <w:t xml:space="preserve"> </w:t>
      </w:r>
    </w:p>
    <w:p w14:paraId="56143046" w14:textId="7BBF662B" w:rsidR="002B27E0" w:rsidRDefault="002B27E0" w:rsidP="002B27E0">
      <w:pPr>
        <w:pStyle w:val="Besedilo"/>
      </w:pPr>
    </w:p>
    <w:p w14:paraId="78BF8990" w14:textId="2DFDD83E" w:rsidR="00EB1EE2" w:rsidRDefault="00EB1EE2" w:rsidP="00E155C1">
      <w:pPr>
        <w:rPr>
          <w:lang w:eastAsia="en-US"/>
        </w:rPr>
      </w:pPr>
      <w:r>
        <w:rPr>
          <w:lang w:eastAsia="en-US"/>
        </w:rPr>
        <w:t>Največje investicijske potrebe so bile ugotovljene na področju sektorja sadja in zelenjave (skladišča, hladilnice, oprema za pripravo blaga za trg), predelovalnih obratov (</w:t>
      </w:r>
      <w:r w:rsidR="006F3034">
        <w:rPr>
          <w:lang w:eastAsia="en-US"/>
        </w:rPr>
        <w:t xml:space="preserve">zlasti meso, mleko, zelenjava in sadje), skladiščne kapacitete in sušilnice za žita, kapacitete za ravnanje z odpadki in ponovno rabo stranskih produktov.  </w:t>
      </w:r>
      <w:r>
        <w:rPr>
          <w:lang w:eastAsia="en-US"/>
        </w:rPr>
        <w:t xml:space="preserve"> </w:t>
      </w:r>
    </w:p>
    <w:p w14:paraId="435B0EC7" w14:textId="578D1C67" w:rsidR="00EB1EE2" w:rsidRDefault="00EB1EE2" w:rsidP="002B27E0">
      <w:pPr>
        <w:pStyle w:val="Besedilo"/>
      </w:pPr>
    </w:p>
    <w:p w14:paraId="46566C00" w14:textId="34660C56" w:rsidR="00003336" w:rsidRDefault="006F3034" w:rsidP="00E155C1">
      <w:pPr>
        <w:pStyle w:val="Besedilo"/>
        <w:rPr>
          <w:rFonts w:eastAsiaTheme="minorHAnsi"/>
          <w:bCs/>
          <w:sz w:val="16"/>
          <w:szCs w:val="16"/>
        </w:rPr>
      </w:pPr>
      <w:r>
        <w:t xml:space="preserve"> </w:t>
      </w:r>
      <w:r w:rsidR="002B27E0">
        <w:t xml:space="preserve">  </w:t>
      </w:r>
    </w:p>
    <w:p w14:paraId="369EE029" w14:textId="77777777" w:rsidR="00003336" w:rsidRPr="00251920" w:rsidRDefault="00003336" w:rsidP="009F3567">
      <w:pPr>
        <w:pStyle w:val="Pripombabesedilo"/>
        <w:spacing w:before="0" w:line="276" w:lineRule="auto"/>
        <w:rPr>
          <w:rFonts w:ascii="Arial" w:eastAsiaTheme="minorHAnsi" w:hAnsi="Arial"/>
          <w:bCs/>
          <w:sz w:val="16"/>
          <w:szCs w:val="16"/>
        </w:rPr>
      </w:pPr>
    </w:p>
    <w:p w14:paraId="2EE89AC9" w14:textId="0E97B0BB" w:rsidR="00493350" w:rsidRDefault="00493350" w:rsidP="005B2A49">
      <w:pPr>
        <w:pStyle w:val="Naslov2"/>
      </w:pPr>
      <w:bookmarkStart w:id="89" w:name="_Toc89850786"/>
      <w:bookmarkStart w:id="90" w:name="_Toc89860781"/>
      <w:bookmarkStart w:id="91" w:name="_Toc89860895"/>
      <w:bookmarkStart w:id="92" w:name="_Toc90290552"/>
      <w:bookmarkStart w:id="93" w:name="_Toc90294734"/>
      <w:bookmarkStart w:id="94" w:name="_Toc90462101"/>
      <w:bookmarkStart w:id="95" w:name="_Toc90462221"/>
      <w:bookmarkStart w:id="96" w:name="_Toc89850787"/>
      <w:bookmarkStart w:id="97" w:name="_Toc89860782"/>
      <w:bookmarkStart w:id="98" w:name="_Toc89860896"/>
      <w:bookmarkStart w:id="99" w:name="_Toc90290553"/>
      <w:bookmarkStart w:id="100" w:name="_Toc90294735"/>
      <w:bookmarkStart w:id="101" w:name="_Toc90462102"/>
      <w:bookmarkStart w:id="102" w:name="_Toc90462222"/>
      <w:bookmarkStart w:id="103" w:name="_Toc89850788"/>
      <w:bookmarkStart w:id="104" w:name="_Toc89860783"/>
      <w:bookmarkStart w:id="105" w:name="_Toc89860897"/>
      <w:bookmarkStart w:id="106" w:name="_Toc90290554"/>
      <w:bookmarkStart w:id="107" w:name="_Toc90294736"/>
      <w:bookmarkStart w:id="108" w:name="_Toc90462103"/>
      <w:bookmarkStart w:id="109" w:name="_Toc90462223"/>
      <w:bookmarkStart w:id="110" w:name="_Toc9046222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EE5B1C">
        <w:t>Amortizacija</w:t>
      </w:r>
      <w:r>
        <w:t xml:space="preserve"> osnovnih sredstev</w:t>
      </w:r>
      <w:bookmarkEnd w:id="110"/>
    </w:p>
    <w:p w14:paraId="2C86E5C4" w14:textId="77777777" w:rsidR="00493350" w:rsidRDefault="00493350" w:rsidP="00493350">
      <w:pPr>
        <w:tabs>
          <w:tab w:val="left" w:pos="1209"/>
        </w:tabs>
        <w:spacing w:before="0" w:line="276" w:lineRule="auto"/>
        <w:rPr>
          <w:b/>
          <w:i/>
          <w:sz w:val="20"/>
          <w:szCs w:val="20"/>
          <w:u w:val="single"/>
        </w:rPr>
      </w:pPr>
    </w:p>
    <w:p w14:paraId="4E295463" w14:textId="46B11550" w:rsidR="00493350" w:rsidRDefault="00493350" w:rsidP="00DA2C5A">
      <w:r>
        <w:t xml:space="preserve">Kapitalska vlaganja v osnovna sredstva (zgradbe, opremo, stroje, trajne nasade, čredo…) so bistvenega pomena za povečevanje produktivnosti in s tem tudi konkurenčnosti kmetijskih gospodarstev. Po drugi strani pa se s tem povečujejo stroški amortizacije osnovnih sredstev. </w:t>
      </w:r>
    </w:p>
    <w:p w14:paraId="22973F0C" w14:textId="77777777" w:rsidR="00493350" w:rsidRDefault="00493350" w:rsidP="007613FE">
      <w:pPr>
        <w:tabs>
          <w:tab w:val="left" w:pos="1209"/>
        </w:tabs>
        <w:spacing w:before="0" w:line="260" w:lineRule="atLeast"/>
        <w:rPr>
          <w:sz w:val="20"/>
          <w:szCs w:val="20"/>
        </w:rPr>
      </w:pPr>
    </w:p>
    <w:p w14:paraId="1F5A641C" w14:textId="6E37936D" w:rsidR="00DC2F36" w:rsidRDefault="00493350" w:rsidP="00DA2C5A">
      <w:r>
        <w:t>Za slovenski kmetijski sektor je glede na FADN podatke značilna izjemno visoka amortizacija</w:t>
      </w:r>
      <w:r w:rsidR="007401BB">
        <w:t xml:space="preserve"> (</w:t>
      </w:r>
      <w:r w:rsidR="001863D0">
        <w:fldChar w:fldCharType="begin"/>
      </w:r>
      <w:r w:rsidR="001863D0">
        <w:instrText xml:space="preserve"> REF _Ref54806625 \h </w:instrText>
      </w:r>
      <w:r w:rsidR="001863D0">
        <w:fldChar w:fldCharType="separate"/>
      </w:r>
      <w:r w:rsidR="0088117A" w:rsidRPr="009F3567">
        <w:t xml:space="preserve">Slika </w:t>
      </w:r>
      <w:r w:rsidR="0088117A">
        <w:rPr>
          <w:noProof/>
        </w:rPr>
        <w:t>23</w:t>
      </w:r>
      <w:r w:rsidR="001863D0">
        <w:fldChar w:fldCharType="end"/>
      </w:r>
      <w:r w:rsidR="007401BB">
        <w:t>)</w:t>
      </w:r>
      <w:r>
        <w:t>. Čeprav je verjetno ta visoki delež precenjen, ker so v FADN vzorec pretežno zajeta prav tista kmetijska gospodarstva, ki so hkrati tudi prejemniki sredstev za naložbe v osnovna sredstva v okviru ukrepov programa razvoja podeželja</w:t>
      </w:r>
      <w:r w:rsidR="00905930">
        <w:t xml:space="preserve"> in imajo v zvezi s tem obveznost poročanja knjigovodskih podatkov FADN</w:t>
      </w:r>
      <w:r>
        <w:t xml:space="preserve">, pa je to vseeno nek pokazatelj, da je poraba kapitala, izražena kot delež bruto dohodka na kmetiji, zelo visoka. </w:t>
      </w:r>
    </w:p>
    <w:p w14:paraId="69BF5B37" w14:textId="77777777" w:rsidR="00DC2F36" w:rsidRDefault="00DC2F36" w:rsidP="007613FE">
      <w:pPr>
        <w:tabs>
          <w:tab w:val="left" w:pos="1209"/>
        </w:tabs>
        <w:spacing w:before="0" w:line="260" w:lineRule="atLeast"/>
        <w:rPr>
          <w:sz w:val="20"/>
          <w:szCs w:val="20"/>
        </w:rPr>
      </w:pPr>
    </w:p>
    <w:p w14:paraId="6D1B2D09" w14:textId="77777777" w:rsidR="00493350" w:rsidRDefault="00493350" w:rsidP="00DA2C5A">
      <w:r>
        <w:t xml:space="preserve">Razlogi za visok delež amortizacije so seveda lahko različni, predpostavljamo pa lahko, da morda vlaganja na slovenskih kmetijah ne prinašajo tako velikega povečanja prihodka in zmanjšanja stroškov proizvodnje oz. da opremljenost kmetij ne ustrezna najbolj obsegu proizvodnje (npr. prevelik obseg mehanizacije glede na obseg proizvodnje, preslaba izkoriščenost opreme, strojev, menjava pred iztekom amortizacijske dobe). Verjetno pa na ta visok strošek vplivajo tudi razdrobljenost kmetijskih zemljišč, velik delež zemljišč v OMD, zastarelost opreme, strojev, objektov itd., zaradi česar so vlaganja v osnovna sredstva posledično višja. Z znižanjem stroškov amortizacije (torej povečanjem kapitalske učinkovitosti), ob sočasni predpostavki, da s tem ne da bi kakorkoli negativno vplivali na obseg bruto dodane vrednosti, bi lahko povečali stroškovno učinkovitost kmetij, konkurenčnost in nenazadnje dohodek v kmetijstvu. </w:t>
      </w:r>
    </w:p>
    <w:p w14:paraId="469BAD3A" w14:textId="77777777" w:rsidR="00493350" w:rsidRDefault="00493350" w:rsidP="007613FE">
      <w:pPr>
        <w:tabs>
          <w:tab w:val="left" w:pos="1209"/>
        </w:tabs>
        <w:spacing w:before="0" w:line="260" w:lineRule="atLeast"/>
        <w:rPr>
          <w:b/>
          <w:sz w:val="20"/>
          <w:szCs w:val="20"/>
        </w:rPr>
      </w:pPr>
      <w:r>
        <w:rPr>
          <w:b/>
          <w:sz w:val="20"/>
          <w:szCs w:val="20"/>
        </w:rPr>
        <w:t xml:space="preserve"> </w:t>
      </w:r>
    </w:p>
    <w:p w14:paraId="5D5166C1" w14:textId="7B39E6FA" w:rsidR="00DC2F36" w:rsidRPr="00E155C1" w:rsidRDefault="00DC2F36" w:rsidP="00DA2C5A">
      <w:pPr>
        <w:pStyle w:val="SCSlika0"/>
        <w:rPr>
          <w:b/>
          <w:szCs w:val="20"/>
        </w:rPr>
      </w:pPr>
      <w:bookmarkStart w:id="111" w:name="_Ref54806625"/>
      <w:bookmarkStart w:id="112" w:name="_Toc89851066"/>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740F5C">
        <w:rPr>
          <w:noProof/>
          <w:sz w:val="20"/>
        </w:rPr>
        <w:t>24</w:t>
      </w:r>
      <w:r w:rsidR="009F2591" w:rsidRPr="00E155C1">
        <w:rPr>
          <w:noProof/>
          <w:sz w:val="20"/>
        </w:rPr>
        <w:fldChar w:fldCharType="end"/>
      </w:r>
      <w:bookmarkEnd w:id="111"/>
      <w:r w:rsidRPr="00E155C1">
        <w:rPr>
          <w:sz w:val="20"/>
        </w:rPr>
        <w:t>: Delež amortizacije  (</w:t>
      </w:r>
      <w:r w:rsidRPr="00E155C1">
        <w:rPr>
          <w:sz w:val="20"/>
          <w:lang w:val="en-US"/>
        </w:rPr>
        <w:t xml:space="preserve">SE360 - </w:t>
      </w:r>
      <w:r w:rsidRPr="00E155C1">
        <w:rPr>
          <w:sz w:val="20"/>
        </w:rPr>
        <w:t>"</w:t>
      </w:r>
      <w:r w:rsidRPr="00E155C1">
        <w:rPr>
          <w:sz w:val="20"/>
          <w:lang w:val="en-US"/>
        </w:rPr>
        <w:t>depreciation</w:t>
      </w:r>
      <w:r w:rsidRPr="00E155C1">
        <w:rPr>
          <w:sz w:val="20"/>
        </w:rPr>
        <w:t>"</w:t>
      </w:r>
      <w:r w:rsidRPr="00E155C1">
        <w:rPr>
          <w:sz w:val="20"/>
          <w:lang w:val="en-US"/>
        </w:rPr>
        <w:t xml:space="preserve">) kot % bruto dohodka na kmetiji (SE410 - </w:t>
      </w:r>
      <w:r w:rsidRPr="00E155C1">
        <w:rPr>
          <w:sz w:val="20"/>
        </w:rPr>
        <w:t>"g</w:t>
      </w:r>
      <w:r w:rsidRPr="00E155C1">
        <w:rPr>
          <w:sz w:val="20"/>
          <w:lang w:val="en-US"/>
        </w:rPr>
        <w:t>ross farm income</w:t>
      </w:r>
      <w:r w:rsidRPr="00E155C1">
        <w:rPr>
          <w:sz w:val="20"/>
        </w:rPr>
        <w:t>"</w:t>
      </w:r>
      <w:r w:rsidRPr="00E155C1">
        <w:rPr>
          <w:sz w:val="20"/>
          <w:lang w:val="en-US"/>
        </w:rPr>
        <w:t>), za leto 2018</w:t>
      </w:r>
      <w:bookmarkEnd w:id="112"/>
    </w:p>
    <w:p w14:paraId="16DFEE68" w14:textId="77777777" w:rsidR="00493350" w:rsidRDefault="00493350" w:rsidP="00493350">
      <w:pPr>
        <w:tabs>
          <w:tab w:val="left" w:pos="1209"/>
        </w:tabs>
        <w:spacing w:before="0" w:line="276" w:lineRule="auto"/>
        <w:rPr>
          <w:b/>
          <w:sz w:val="20"/>
          <w:szCs w:val="20"/>
        </w:rPr>
      </w:pPr>
      <w:r>
        <w:rPr>
          <w:noProof/>
          <w:lang w:eastAsia="sl-SI"/>
        </w:rPr>
        <w:drawing>
          <wp:inline distT="0" distB="0" distL="0" distR="0" wp14:anchorId="734A4FD5" wp14:editId="04E59B70">
            <wp:extent cx="5669280" cy="2487168"/>
            <wp:effectExtent l="0" t="0" r="7620" b="889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C9BBAA" w14:textId="77777777" w:rsidR="00493350" w:rsidRDefault="00493350" w:rsidP="00493350">
      <w:pPr>
        <w:tabs>
          <w:tab w:val="left" w:pos="1209"/>
        </w:tabs>
        <w:spacing w:line="276" w:lineRule="auto"/>
        <w:rPr>
          <w:b/>
          <w:sz w:val="20"/>
          <w:szCs w:val="20"/>
        </w:rPr>
      </w:pPr>
      <w:r>
        <w:rPr>
          <w:rFonts w:eastAsiaTheme="minorHAnsi"/>
          <w:bCs/>
          <w:sz w:val="16"/>
          <w:szCs w:val="16"/>
        </w:rPr>
        <w:t>V</w:t>
      </w:r>
      <w:r w:rsidRPr="00852E36">
        <w:rPr>
          <w:rFonts w:eastAsiaTheme="minorHAnsi"/>
          <w:bCs/>
          <w:sz w:val="16"/>
          <w:szCs w:val="16"/>
        </w:rPr>
        <w:t xml:space="preserve">ir: </w:t>
      </w:r>
      <w:r w:rsidR="00DC2F36">
        <w:rPr>
          <w:rFonts w:eastAsiaTheme="minorHAnsi"/>
          <w:bCs/>
          <w:sz w:val="16"/>
          <w:szCs w:val="16"/>
        </w:rPr>
        <w:t>FADN, preračun MKGP</w:t>
      </w:r>
    </w:p>
    <w:p w14:paraId="01311EDC" w14:textId="77777777" w:rsidR="00F341CA" w:rsidRDefault="00F341CA" w:rsidP="007613FE">
      <w:pPr>
        <w:tabs>
          <w:tab w:val="left" w:pos="1209"/>
        </w:tabs>
        <w:spacing w:before="0" w:line="260" w:lineRule="atLeast"/>
        <w:rPr>
          <w:b/>
          <w:sz w:val="20"/>
          <w:szCs w:val="20"/>
        </w:rPr>
      </w:pPr>
    </w:p>
    <w:p w14:paraId="547996F1" w14:textId="77777777" w:rsidR="002930C2" w:rsidRDefault="002930C2" w:rsidP="007613FE">
      <w:pPr>
        <w:spacing w:before="0" w:line="260" w:lineRule="atLeast"/>
        <w:rPr>
          <w:b/>
          <w:sz w:val="20"/>
          <w:szCs w:val="20"/>
        </w:rPr>
      </w:pPr>
    </w:p>
    <w:p w14:paraId="57A07E28" w14:textId="313B2F6D" w:rsidR="007723D7" w:rsidRPr="00DA2C5A" w:rsidRDefault="007723D7" w:rsidP="005B2A49">
      <w:pPr>
        <w:pStyle w:val="Naslov2"/>
      </w:pPr>
      <w:bookmarkStart w:id="113" w:name="_Toc90462225"/>
      <w:r w:rsidRPr="00DA2C5A">
        <w:t>Potrebe po financiranju</w:t>
      </w:r>
      <w:r w:rsidR="00247359" w:rsidRPr="00DA2C5A">
        <w:t>,</w:t>
      </w:r>
      <w:r w:rsidRPr="00DA2C5A">
        <w:t xml:space="preserve"> dostop do finančnih sredstev</w:t>
      </w:r>
      <w:r w:rsidR="00247359" w:rsidRPr="00DA2C5A">
        <w:t xml:space="preserve"> in finančna vrzel v kmetijskem sektorju v Sloveniji</w:t>
      </w:r>
      <w:bookmarkEnd w:id="113"/>
    </w:p>
    <w:p w14:paraId="4314AB55" w14:textId="77777777" w:rsidR="00236ED0" w:rsidRPr="00DA2C5A" w:rsidRDefault="00236ED0" w:rsidP="007613FE">
      <w:pPr>
        <w:spacing w:before="0" w:line="260" w:lineRule="atLeast"/>
        <w:rPr>
          <w:i/>
          <w:szCs w:val="20"/>
          <w:u w:val="single"/>
        </w:rPr>
      </w:pPr>
    </w:p>
    <w:p w14:paraId="4367978C" w14:textId="6468B6B5" w:rsidR="002C621D" w:rsidRPr="00DA2C5A" w:rsidRDefault="007723D7" w:rsidP="007613FE">
      <w:pPr>
        <w:spacing w:before="0" w:line="260" w:lineRule="atLeast"/>
        <w:rPr>
          <w:szCs w:val="20"/>
        </w:rPr>
      </w:pPr>
      <w:r w:rsidRPr="00DA2C5A">
        <w:rPr>
          <w:szCs w:val="20"/>
        </w:rPr>
        <w:t xml:space="preserve">Iz </w:t>
      </w:r>
      <w:r w:rsidR="00CA507C" w:rsidRPr="00DA2C5A">
        <w:rPr>
          <w:szCs w:val="20"/>
        </w:rPr>
        <w:t xml:space="preserve">raziskave </w:t>
      </w:r>
      <w:r w:rsidR="00F8732D" w:rsidRPr="00DA2C5A">
        <w:rPr>
          <w:szCs w:val="20"/>
        </w:rPr>
        <w:t>(</w:t>
      </w:r>
      <w:r w:rsidR="00F5728D" w:rsidRPr="00DA2C5A">
        <w:rPr>
          <w:i/>
          <w:szCs w:val="20"/>
        </w:rPr>
        <w:t>fi compass</w:t>
      </w:r>
      <w:r w:rsidR="00F8732D" w:rsidRPr="00DA2C5A">
        <w:rPr>
          <w:szCs w:val="20"/>
        </w:rPr>
        <w:t>, 2020)</w:t>
      </w:r>
      <w:r w:rsidR="00F5728D" w:rsidRPr="00DA2C5A">
        <w:rPr>
          <w:szCs w:val="20"/>
        </w:rPr>
        <w:t xml:space="preserve"> </w:t>
      </w:r>
      <w:r w:rsidRPr="00DA2C5A">
        <w:rPr>
          <w:szCs w:val="20"/>
        </w:rPr>
        <w:t xml:space="preserve">o potrebah po financiranju </w:t>
      </w:r>
      <w:r w:rsidR="002467B8" w:rsidRPr="00DA2C5A">
        <w:rPr>
          <w:szCs w:val="20"/>
        </w:rPr>
        <w:t xml:space="preserve">kmetijskem in živilskopredelovalnem sektorju izhaja, da </w:t>
      </w:r>
      <w:r w:rsidR="002C621D" w:rsidRPr="00DA2C5A">
        <w:rPr>
          <w:szCs w:val="20"/>
        </w:rPr>
        <w:t>v večini evropskih držav pri financiranju kmetijstva veljajo višje obrestne mere in manj ugodni pogoji v primerjavi z drugimi gospodarskimi sektorji ter da pri dodeljevanju posojil in pogojih odplačevanja ni dovolj prožnosti, ki je sicer v kmetijstvu zaradi njegovih posebnosti še posebej potrebna</w:t>
      </w:r>
      <w:r w:rsidRPr="00DA2C5A">
        <w:rPr>
          <w:szCs w:val="20"/>
        </w:rPr>
        <w:t xml:space="preserve">. </w:t>
      </w:r>
      <w:r w:rsidR="003C3CAB" w:rsidRPr="00DA2C5A">
        <w:rPr>
          <w:szCs w:val="20"/>
        </w:rPr>
        <w:t xml:space="preserve">V okviru raziskave je bila opredeljena finančna vrzel v kmetijskem in v </w:t>
      </w:r>
      <w:r w:rsidR="003618DA" w:rsidRPr="00DA2C5A">
        <w:rPr>
          <w:szCs w:val="20"/>
        </w:rPr>
        <w:t>živilsko</w:t>
      </w:r>
      <w:r w:rsidR="003C3CAB" w:rsidRPr="00DA2C5A">
        <w:rPr>
          <w:szCs w:val="20"/>
        </w:rPr>
        <w:t xml:space="preserve">predelovalnem sektorju </w:t>
      </w:r>
      <w:r w:rsidR="00DA2BBA" w:rsidRPr="00DA2C5A">
        <w:rPr>
          <w:szCs w:val="20"/>
        </w:rPr>
        <w:t>v 24</w:t>
      </w:r>
      <w:r w:rsidR="003C3CAB" w:rsidRPr="00DA2C5A">
        <w:rPr>
          <w:szCs w:val="20"/>
        </w:rPr>
        <w:t xml:space="preserve"> državah EU.</w:t>
      </w:r>
    </w:p>
    <w:p w14:paraId="21E48A3F" w14:textId="2C1FAA26" w:rsidR="004D40E8" w:rsidRPr="00DA2C5A" w:rsidRDefault="004D40E8" w:rsidP="007613FE">
      <w:pPr>
        <w:spacing w:before="0" w:line="260" w:lineRule="atLeast"/>
        <w:rPr>
          <w:szCs w:val="20"/>
        </w:rPr>
      </w:pPr>
    </w:p>
    <w:p w14:paraId="55CF4194" w14:textId="16FB275A" w:rsidR="00DA2BBA" w:rsidRPr="00DA2C5A" w:rsidRDefault="00582562" w:rsidP="007613FE">
      <w:pPr>
        <w:spacing w:before="0" w:line="260" w:lineRule="atLeast"/>
        <w:rPr>
          <w:szCs w:val="20"/>
        </w:rPr>
      </w:pPr>
      <w:r w:rsidRPr="00DA2C5A">
        <w:rPr>
          <w:szCs w:val="20"/>
        </w:rPr>
        <w:t xml:space="preserve">Čeprav v raziskavi </w:t>
      </w:r>
      <w:r w:rsidR="00266A0F" w:rsidRPr="00DA2C5A">
        <w:rPr>
          <w:szCs w:val="20"/>
        </w:rPr>
        <w:t>(</w:t>
      </w:r>
      <w:r w:rsidR="00266A0F" w:rsidRPr="00DA2C5A">
        <w:rPr>
          <w:i/>
          <w:szCs w:val="20"/>
        </w:rPr>
        <w:t>fi compass</w:t>
      </w:r>
      <w:r w:rsidR="00266A0F" w:rsidRPr="00DA2C5A">
        <w:rPr>
          <w:szCs w:val="20"/>
        </w:rPr>
        <w:t xml:space="preserve">, 2020) </w:t>
      </w:r>
      <w:r w:rsidRPr="00DA2C5A">
        <w:rPr>
          <w:szCs w:val="20"/>
        </w:rPr>
        <w:t>d</w:t>
      </w:r>
      <w:r w:rsidR="00DA2BBA" w:rsidRPr="00DA2C5A">
        <w:rPr>
          <w:szCs w:val="20"/>
        </w:rPr>
        <w:t xml:space="preserve">ostop do finančnih sredstev </w:t>
      </w:r>
      <w:r w:rsidRPr="00DA2C5A">
        <w:rPr>
          <w:szCs w:val="20"/>
        </w:rPr>
        <w:t>ni bil izpostavljen kot najpomembnejša težava, s katero so se soočali anketirani kmetje in kmetijska podjetja v Sloveniji (45 % jih je na prvo mesto uvrstilo proizvodne stroške, sledijo odkupne cene proizvodov - 30 % in dostop do zemlje - 20 %), je delež tistih, ki so imeli težave pri dostopu do finan</w:t>
      </w:r>
      <w:r w:rsidR="00AA5DED" w:rsidRPr="00DA2C5A">
        <w:rPr>
          <w:szCs w:val="20"/>
        </w:rPr>
        <w:t xml:space="preserve">čnih sredstev </w:t>
      </w:r>
      <w:r w:rsidRPr="00DA2C5A">
        <w:rPr>
          <w:szCs w:val="20"/>
        </w:rPr>
        <w:t xml:space="preserve">tako za investicije kot tudi za obratna sredstva višji kot v povprečju v EU.  </w:t>
      </w:r>
    </w:p>
    <w:p w14:paraId="579857E5" w14:textId="77777777" w:rsidR="00FA1850" w:rsidRDefault="00FA1850" w:rsidP="007613FE">
      <w:pPr>
        <w:spacing w:before="0" w:line="260" w:lineRule="atLeast"/>
        <w:rPr>
          <w:sz w:val="20"/>
          <w:szCs w:val="16"/>
        </w:rPr>
      </w:pPr>
    </w:p>
    <w:p w14:paraId="25163F4F" w14:textId="1C710F48" w:rsidR="00FA1850" w:rsidRPr="00E155C1" w:rsidRDefault="00FA1850" w:rsidP="00DA2C5A">
      <w:pPr>
        <w:pStyle w:val="SCSlika0"/>
        <w:rPr>
          <w:sz w:val="18"/>
          <w:szCs w:val="20"/>
        </w:rPr>
      </w:pPr>
      <w:bookmarkStart w:id="114" w:name="_Toc89851067"/>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Pr>
          <w:noProof/>
          <w:sz w:val="20"/>
        </w:rPr>
        <w:t>25</w:t>
      </w:r>
      <w:r w:rsidR="009F2591" w:rsidRPr="00E155C1">
        <w:rPr>
          <w:noProof/>
          <w:sz w:val="20"/>
        </w:rPr>
        <w:fldChar w:fldCharType="end"/>
      </w:r>
      <w:r w:rsidRPr="00E155C1">
        <w:rPr>
          <w:sz w:val="20"/>
        </w:rPr>
        <w:t>: Težave, s katerimi so se soočali anketirani kmetje in kmetijska podjetja v letu 2017, Slovenija in EU-24</w:t>
      </w:r>
      <w:bookmarkEnd w:id="114"/>
    </w:p>
    <w:p w14:paraId="618792DD" w14:textId="77777777" w:rsidR="00F96E29" w:rsidRPr="00852E36" w:rsidRDefault="00F96E29" w:rsidP="00DA2C5A">
      <w:pPr>
        <w:rPr>
          <w:sz w:val="16"/>
          <w:szCs w:val="16"/>
        </w:rPr>
      </w:pPr>
      <w:r w:rsidRPr="009C2866">
        <w:rPr>
          <w:noProof/>
          <w:lang w:eastAsia="sl-SI"/>
        </w:rPr>
        <w:drawing>
          <wp:inline distT="0" distB="0" distL="0" distR="0" wp14:anchorId="7788D14E" wp14:editId="56D29153">
            <wp:extent cx="5732060" cy="2693035"/>
            <wp:effectExtent l="0" t="0" r="2540" b="12065"/>
            <wp:docPr id="1631865558" name="Grafikon 16318655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1A07F8" w14:textId="0B2C42A8" w:rsidR="00F96E29" w:rsidRPr="00852E36" w:rsidRDefault="00F96E29" w:rsidP="00551D9B">
      <w:pPr>
        <w:spacing w:before="0" w:line="276" w:lineRule="auto"/>
        <w:rPr>
          <w:sz w:val="16"/>
          <w:szCs w:val="16"/>
        </w:rPr>
      </w:pPr>
      <w:r w:rsidRPr="00852E36">
        <w:rPr>
          <w:sz w:val="16"/>
          <w:szCs w:val="16"/>
        </w:rPr>
        <w:t>Vir:</w:t>
      </w:r>
      <w:r w:rsidR="00FA1850">
        <w:rPr>
          <w:sz w:val="16"/>
          <w:szCs w:val="16"/>
        </w:rPr>
        <w:t xml:space="preserve"> </w:t>
      </w:r>
      <w:r w:rsidR="008646A4" w:rsidRPr="008646A4">
        <w:rPr>
          <w:i/>
          <w:sz w:val="16"/>
          <w:szCs w:val="16"/>
        </w:rPr>
        <w:t>fi compass</w:t>
      </w:r>
      <w:r w:rsidR="003618DA">
        <w:rPr>
          <w:i/>
          <w:sz w:val="16"/>
          <w:szCs w:val="16"/>
        </w:rPr>
        <w:t xml:space="preserve">, </w:t>
      </w:r>
      <w:r w:rsidR="003618DA" w:rsidRPr="003618DA">
        <w:rPr>
          <w:sz w:val="16"/>
          <w:szCs w:val="16"/>
        </w:rPr>
        <w:t>2020</w:t>
      </w:r>
      <w:r w:rsidR="00FA1850">
        <w:rPr>
          <w:sz w:val="16"/>
          <w:szCs w:val="16"/>
        </w:rPr>
        <w:t>. Dostopno na:</w:t>
      </w:r>
      <w:r w:rsidRPr="00852E36">
        <w:rPr>
          <w:sz w:val="16"/>
          <w:szCs w:val="16"/>
        </w:rPr>
        <w:t xml:space="preserve"> </w:t>
      </w:r>
      <w:hyperlink r:id="rId45" w:history="1">
        <w:r w:rsidRPr="00852E36">
          <w:rPr>
            <w:sz w:val="16"/>
            <w:szCs w:val="16"/>
          </w:rPr>
          <w:t>https://www.fi-compass.eu/sites/default/files/Annex_III_SLOVENIA.pdf</w:t>
        </w:r>
      </w:hyperlink>
      <w:r w:rsidR="003618DA">
        <w:rPr>
          <w:sz w:val="16"/>
          <w:szCs w:val="16"/>
        </w:rPr>
        <w:t xml:space="preserve">. </w:t>
      </w:r>
      <w:r w:rsidR="00FA1850">
        <w:rPr>
          <w:sz w:val="16"/>
          <w:szCs w:val="16"/>
        </w:rPr>
        <w:t xml:space="preserve">  </w:t>
      </w:r>
      <w:r w:rsidRPr="00852E36">
        <w:rPr>
          <w:sz w:val="16"/>
          <w:szCs w:val="16"/>
        </w:rPr>
        <w:t xml:space="preserve"> </w:t>
      </w:r>
    </w:p>
    <w:p w14:paraId="66B08D35" w14:textId="77777777" w:rsidR="00645E52" w:rsidRDefault="00645E52" w:rsidP="007613FE">
      <w:pPr>
        <w:spacing w:before="0" w:line="260" w:lineRule="atLeast"/>
        <w:rPr>
          <w:sz w:val="20"/>
          <w:szCs w:val="20"/>
        </w:rPr>
      </w:pPr>
    </w:p>
    <w:p w14:paraId="1E261B79" w14:textId="5D0345EA" w:rsidR="00365C4C" w:rsidRDefault="00D80BEF" w:rsidP="007613FE">
      <w:pPr>
        <w:spacing w:before="0" w:line="260" w:lineRule="atLeast"/>
        <w:rPr>
          <w:sz w:val="20"/>
          <w:szCs w:val="20"/>
        </w:rPr>
      </w:pPr>
      <w:r>
        <w:rPr>
          <w:sz w:val="20"/>
          <w:szCs w:val="20"/>
        </w:rPr>
        <w:t xml:space="preserve">Rezultati </w:t>
      </w:r>
      <w:r w:rsidR="00365C4C">
        <w:rPr>
          <w:sz w:val="20"/>
          <w:szCs w:val="20"/>
        </w:rPr>
        <w:t>raziskave</w:t>
      </w:r>
      <w:r>
        <w:rPr>
          <w:sz w:val="20"/>
          <w:szCs w:val="20"/>
        </w:rPr>
        <w:t xml:space="preserve"> </w:t>
      </w:r>
      <w:r w:rsidR="00DA2BBA">
        <w:rPr>
          <w:sz w:val="20"/>
          <w:szCs w:val="20"/>
        </w:rPr>
        <w:t>(</w:t>
      </w:r>
      <w:r w:rsidR="00DA2BBA" w:rsidRPr="00551D9B">
        <w:rPr>
          <w:i/>
          <w:sz w:val="20"/>
          <w:szCs w:val="20"/>
        </w:rPr>
        <w:t>fi compass</w:t>
      </w:r>
      <w:r w:rsidR="00DA2BBA" w:rsidRPr="00F8732D">
        <w:rPr>
          <w:sz w:val="20"/>
          <w:szCs w:val="20"/>
        </w:rPr>
        <w:t>, 2020)</w:t>
      </w:r>
      <w:r w:rsidR="00DA2BBA">
        <w:rPr>
          <w:sz w:val="20"/>
          <w:szCs w:val="20"/>
        </w:rPr>
        <w:t xml:space="preserve"> </w:t>
      </w:r>
      <w:r>
        <w:rPr>
          <w:sz w:val="20"/>
          <w:szCs w:val="20"/>
        </w:rPr>
        <w:t>kažejo, da v</w:t>
      </w:r>
      <w:r w:rsidR="009F78F3">
        <w:rPr>
          <w:sz w:val="20"/>
          <w:szCs w:val="20"/>
        </w:rPr>
        <w:t xml:space="preserve"> Sloveniji kmetijska gospodarstva</w:t>
      </w:r>
      <w:r>
        <w:rPr>
          <w:sz w:val="20"/>
          <w:szCs w:val="20"/>
        </w:rPr>
        <w:t xml:space="preserve"> večinoma zaprošajo za kratkoročno bančno financiranje. To kaže na neuravnoteženost ročnosti virov sredstev in na težave pri pridobivanju dolgoročnih posojil</w:t>
      </w:r>
      <w:r w:rsidR="009F78F3">
        <w:rPr>
          <w:sz w:val="20"/>
          <w:szCs w:val="20"/>
        </w:rPr>
        <w:t xml:space="preserve"> za financiranje (dolgoročnih) naložb. </w:t>
      </w:r>
      <w:r w:rsidR="00AE4DFA">
        <w:rPr>
          <w:sz w:val="20"/>
          <w:szCs w:val="20"/>
        </w:rPr>
        <w:t>Po ugotovitvah raziskave predstavlja</w:t>
      </w:r>
      <w:r w:rsidR="009F78F3">
        <w:rPr>
          <w:sz w:val="20"/>
          <w:szCs w:val="20"/>
        </w:rPr>
        <w:t xml:space="preserve"> </w:t>
      </w:r>
      <w:r w:rsidR="009F78F3" w:rsidRPr="00551D9B">
        <w:rPr>
          <w:b/>
          <w:sz w:val="20"/>
          <w:szCs w:val="20"/>
        </w:rPr>
        <w:t xml:space="preserve">dostop do finančnih virov </w:t>
      </w:r>
      <w:r w:rsidR="00365C4C" w:rsidRPr="00551D9B">
        <w:rPr>
          <w:b/>
          <w:sz w:val="20"/>
          <w:szCs w:val="20"/>
        </w:rPr>
        <w:t>za kmetijske proizvajalce v Sloveniji večji problem kot kjerkoli drugje v EU-24</w:t>
      </w:r>
      <w:r w:rsidR="00365C4C">
        <w:rPr>
          <w:sz w:val="20"/>
          <w:szCs w:val="20"/>
        </w:rPr>
        <w:t xml:space="preserve">. </w:t>
      </w:r>
    </w:p>
    <w:p w14:paraId="36F8B60B" w14:textId="77777777" w:rsidR="00F341CA" w:rsidRDefault="00F341CA" w:rsidP="007613FE">
      <w:pPr>
        <w:spacing w:before="0" w:line="260" w:lineRule="atLeast"/>
        <w:rPr>
          <w:sz w:val="20"/>
          <w:szCs w:val="20"/>
        </w:rPr>
      </w:pPr>
    </w:p>
    <w:p w14:paraId="7E6C899A" w14:textId="2BB116AA" w:rsidR="00D80BEF" w:rsidRDefault="00365C4C" w:rsidP="00DA2C5A">
      <w:r w:rsidRPr="00365C4C">
        <w:t>Velika večina (80</w:t>
      </w:r>
      <w:r>
        <w:t xml:space="preserve"> </w:t>
      </w:r>
      <w:r w:rsidRPr="00365C4C">
        <w:t xml:space="preserve">%) kmetijskih proizvajalcev uporablja storitve ene banke, </w:t>
      </w:r>
      <w:r w:rsidR="001E1F08">
        <w:t>katere</w:t>
      </w:r>
      <w:r w:rsidRPr="00365C4C">
        <w:t xml:space="preserve"> bazo </w:t>
      </w:r>
      <w:r>
        <w:t>komitentov</w:t>
      </w:r>
      <w:r w:rsidRPr="00365C4C">
        <w:t xml:space="preserve"> </w:t>
      </w:r>
      <w:r w:rsidR="001E1F08">
        <w:t xml:space="preserve">sestavljajo </w:t>
      </w:r>
      <w:r w:rsidRPr="00365C4C">
        <w:t>večinoma kmetijski pr</w:t>
      </w:r>
      <w:r w:rsidR="001E1F08">
        <w:t>oizvajalci</w:t>
      </w:r>
      <w:r w:rsidRPr="00365C4C">
        <w:t>, kmetijsk</w:t>
      </w:r>
      <w:r w:rsidR="001E1F08">
        <w:t>e</w:t>
      </w:r>
      <w:r w:rsidRPr="00365C4C">
        <w:t xml:space="preserve"> zadrug</w:t>
      </w:r>
      <w:r w:rsidR="001E1F08">
        <w:t>e</w:t>
      </w:r>
      <w:r w:rsidRPr="00365C4C">
        <w:t xml:space="preserve"> in </w:t>
      </w:r>
      <w:r>
        <w:t>ž</w:t>
      </w:r>
      <w:r w:rsidR="001E1F08">
        <w:t>ivilskopredelovalna podjet</w:t>
      </w:r>
      <w:r w:rsidRPr="00365C4C">
        <w:t>j</w:t>
      </w:r>
      <w:r w:rsidR="001E1F08">
        <w:t>a</w:t>
      </w:r>
      <w:r w:rsidRPr="00365C4C">
        <w:t xml:space="preserve">. </w:t>
      </w:r>
      <w:r w:rsidR="001E1F08">
        <w:t>Bančni produkti</w:t>
      </w:r>
      <w:r w:rsidRPr="00365C4C">
        <w:t xml:space="preserve"> so na voljo </w:t>
      </w:r>
      <w:r w:rsidR="001E1F08">
        <w:t xml:space="preserve">(tudi) </w:t>
      </w:r>
      <w:r w:rsidRPr="00365C4C">
        <w:t xml:space="preserve">kmetom brez kreditne in poslovne zgodovine. </w:t>
      </w:r>
      <w:r w:rsidR="001E1F08">
        <w:t xml:space="preserve">Sicer so kmetom, ki nimajo kreditne ali poslovne zgodovine </w:t>
      </w:r>
      <w:r w:rsidRPr="00365C4C">
        <w:t>ali nimajo stabilnih poslovnih odnosov z banko</w:t>
      </w:r>
      <w:r w:rsidR="005422C0">
        <w:t xml:space="preserve">, </w:t>
      </w:r>
      <w:r w:rsidRPr="00365C4C">
        <w:t xml:space="preserve">pogosto </w:t>
      </w:r>
      <w:r w:rsidR="00AD583E">
        <w:t>ponujeni</w:t>
      </w:r>
      <w:r w:rsidRPr="00365C4C">
        <w:t xml:space="preserve"> standardni finančni </w:t>
      </w:r>
      <w:r w:rsidR="001E1F08">
        <w:t>produkti za gospodinjstva</w:t>
      </w:r>
      <w:r w:rsidRPr="00365C4C">
        <w:t xml:space="preserve"> kot so potrošniška in hipotekarna posojila. </w:t>
      </w:r>
      <w:r w:rsidR="00065547">
        <w:t xml:space="preserve">Slovenski regionalni in razvojni sklad podpira regionalni in razvoj podeželja, vključno z zagotavljanjem posojil z ugodnejšo obrestno mero in daljšo ročnostjo kmetijskemu sektorju in </w:t>
      </w:r>
      <w:r w:rsidR="00A504A0">
        <w:t>ŽPI</w:t>
      </w:r>
      <w:r w:rsidR="00065547">
        <w:t xml:space="preserve">. </w:t>
      </w:r>
      <w:r w:rsidR="0017742E">
        <w:t xml:space="preserve">Uporaba tega instrumenta je precej nizka, deloma zaradi omejenega proračuna tega sklada. </w:t>
      </w:r>
    </w:p>
    <w:p w14:paraId="24E7CF56" w14:textId="77777777" w:rsidR="00F341CA" w:rsidRDefault="00F341CA" w:rsidP="007613FE">
      <w:pPr>
        <w:spacing w:before="0" w:line="260" w:lineRule="atLeast"/>
        <w:rPr>
          <w:sz w:val="20"/>
          <w:szCs w:val="20"/>
        </w:rPr>
      </w:pPr>
    </w:p>
    <w:p w14:paraId="6C09C96A" w14:textId="54F5165D" w:rsidR="00AD583E" w:rsidRDefault="00AD583E" w:rsidP="00DA2C5A">
      <w:r w:rsidRPr="00551D9B">
        <w:rPr>
          <w:b/>
        </w:rPr>
        <w:t>Finančna vrzel v kmetijstvu je ocenjena na 952 milijonov evrov, kar se nanaša predvsem na dostop do dolgoročnega financiranja</w:t>
      </w:r>
      <w:r>
        <w:rPr>
          <w:rStyle w:val="Sprotnaopomba-sklic"/>
          <w:b/>
        </w:rPr>
        <w:footnoteReference w:id="11"/>
      </w:r>
      <w:r>
        <w:t>. Največ težav pri dostopu do financ imajo majhna kmetijska gospodarstva</w:t>
      </w:r>
      <w:r w:rsidR="00F96E29">
        <w:t>, pri njih znaša ocenjena finančna vrzel v višini 860,3 mio EUR</w:t>
      </w:r>
      <w:r>
        <w:rPr>
          <w:rStyle w:val="Sprotnaopomba-sklic"/>
        </w:rPr>
        <w:footnoteReference w:id="12"/>
      </w:r>
      <w:r w:rsidRPr="00AD583E">
        <w:t>. Med kmeti</w:t>
      </w:r>
      <w:r w:rsidR="001F11F4">
        <w:t>jskimi gospodarstvi, ki so zaprosila</w:t>
      </w:r>
      <w:r w:rsidRPr="00AD583E">
        <w:t xml:space="preserve"> za posojila, je bilo približno 17</w:t>
      </w:r>
      <w:r w:rsidR="00E260AA">
        <w:t xml:space="preserve"> </w:t>
      </w:r>
      <w:r w:rsidRPr="00AD583E">
        <w:t xml:space="preserve">% vlog zavrnjenih. </w:t>
      </w:r>
      <w:r w:rsidR="00E260AA">
        <w:t>M</w:t>
      </w:r>
      <w:r w:rsidR="001F11F4">
        <w:t>ed tistimi</w:t>
      </w:r>
      <w:r w:rsidRPr="00AD583E">
        <w:t>, ki niso zaprosil</w:t>
      </w:r>
      <w:r w:rsidR="00DA2BBA">
        <w:t>a</w:t>
      </w:r>
      <w:r w:rsidRPr="00AD583E">
        <w:t xml:space="preserve"> za posojilo, </w:t>
      </w:r>
      <w:r w:rsidR="001F11F4">
        <w:t>pa okoli</w:t>
      </w:r>
      <w:r w:rsidRPr="00AD583E">
        <w:t xml:space="preserve"> 17</w:t>
      </w:r>
      <w:r w:rsidR="00E260AA">
        <w:t xml:space="preserve"> </w:t>
      </w:r>
      <w:r w:rsidRPr="00AD583E">
        <w:t>% tega ni storilo zaradi bojazni, da bi jih banke zavrnile.</w:t>
      </w:r>
      <w:r w:rsidR="00582562">
        <w:t xml:space="preserve"> </w:t>
      </w:r>
    </w:p>
    <w:p w14:paraId="4E80EA08" w14:textId="77777777" w:rsidR="00F96E29" w:rsidRDefault="00F96E29" w:rsidP="007613FE">
      <w:pPr>
        <w:spacing w:before="0" w:line="260" w:lineRule="atLeast"/>
        <w:rPr>
          <w:sz w:val="20"/>
          <w:szCs w:val="20"/>
        </w:rPr>
      </w:pPr>
    </w:p>
    <w:p w14:paraId="429F1EEE" w14:textId="43BF3786" w:rsidR="00FA1850" w:rsidRPr="00E155C1" w:rsidRDefault="00FA1850" w:rsidP="00DA2C5A">
      <w:pPr>
        <w:pStyle w:val="SCSlika0"/>
        <w:rPr>
          <w:sz w:val="20"/>
        </w:rPr>
      </w:pPr>
      <w:bookmarkStart w:id="115" w:name="_Toc89851068"/>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Pr>
          <w:noProof/>
          <w:sz w:val="20"/>
        </w:rPr>
        <w:t>26</w:t>
      </w:r>
      <w:r w:rsidR="009F2591" w:rsidRPr="00E155C1">
        <w:rPr>
          <w:noProof/>
          <w:sz w:val="20"/>
        </w:rPr>
        <w:fldChar w:fldCharType="end"/>
      </w:r>
      <w:r w:rsidRPr="00E155C1">
        <w:rPr>
          <w:sz w:val="20"/>
        </w:rPr>
        <w:t>: Finančna vrzel v kmetijskem sektorju glede na produkt, v mio EUR in deležu, Slovenija, 2017</w:t>
      </w:r>
      <w:bookmarkEnd w:id="115"/>
    </w:p>
    <w:p w14:paraId="6D726B1F" w14:textId="77777777" w:rsidR="00FA1850" w:rsidRDefault="00FA1850" w:rsidP="00551D9B">
      <w:pPr>
        <w:spacing w:before="0" w:line="276" w:lineRule="auto"/>
        <w:rPr>
          <w:sz w:val="20"/>
          <w:szCs w:val="20"/>
        </w:rPr>
      </w:pPr>
    </w:p>
    <w:p w14:paraId="59847C38" w14:textId="77777777" w:rsidR="00F96E29" w:rsidRDefault="00647B58" w:rsidP="00551D9B">
      <w:pPr>
        <w:spacing w:before="0" w:line="276" w:lineRule="auto"/>
        <w:rPr>
          <w:sz w:val="20"/>
          <w:szCs w:val="20"/>
        </w:rPr>
      </w:pPr>
      <w:r>
        <w:rPr>
          <w:noProof/>
          <w:lang w:eastAsia="sl-SI"/>
        </w:rPr>
        <w:drawing>
          <wp:inline distT="0" distB="0" distL="0" distR="0" wp14:anchorId="671DFDE2" wp14:editId="04A1B40D">
            <wp:extent cx="5684293" cy="2743200"/>
            <wp:effectExtent l="0" t="0" r="12065"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9E6934" w14:textId="7D17F7D5" w:rsidR="00FA1850" w:rsidRDefault="00647B58" w:rsidP="00551D9B">
      <w:pPr>
        <w:spacing w:before="0" w:line="276" w:lineRule="auto"/>
        <w:rPr>
          <w:sz w:val="16"/>
          <w:szCs w:val="16"/>
        </w:rPr>
      </w:pPr>
      <w:r w:rsidRPr="00852E36">
        <w:rPr>
          <w:sz w:val="16"/>
          <w:szCs w:val="16"/>
        </w:rPr>
        <w:t xml:space="preserve">Vir: </w:t>
      </w:r>
      <w:r w:rsidR="003C3CAB" w:rsidRPr="003016E0">
        <w:rPr>
          <w:i/>
          <w:sz w:val="16"/>
          <w:szCs w:val="16"/>
        </w:rPr>
        <w:t>fi compass</w:t>
      </w:r>
      <w:r w:rsidR="003618DA">
        <w:rPr>
          <w:i/>
          <w:sz w:val="16"/>
          <w:szCs w:val="16"/>
        </w:rPr>
        <w:t xml:space="preserve">, </w:t>
      </w:r>
      <w:r w:rsidR="00DA2BBA" w:rsidRPr="003618DA">
        <w:rPr>
          <w:sz w:val="16"/>
          <w:szCs w:val="16"/>
        </w:rPr>
        <w:t>2020</w:t>
      </w:r>
      <w:r w:rsidR="00FA1850" w:rsidRPr="003618DA">
        <w:rPr>
          <w:sz w:val="16"/>
          <w:szCs w:val="16"/>
        </w:rPr>
        <w:t>,</w:t>
      </w:r>
      <w:r w:rsidR="00FA1850">
        <w:rPr>
          <w:sz w:val="16"/>
          <w:szCs w:val="16"/>
        </w:rPr>
        <w:t xml:space="preserve"> Dostopno na: </w:t>
      </w:r>
    </w:p>
    <w:p w14:paraId="3A36C935" w14:textId="77777777" w:rsidR="00647B58" w:rsidRPr="00852E36" w:rsidRDefault="00FB6BEC" w:rsidP="00551D9B">
      <w:pPr>
        <w:spacing w:before="0" w:line="276" w:lineRule="auto"/>
        <w:rPr>
          <w:sz w:val="16"/>
          <w:szCs w:val="16"/>
        </w:rPr>
      </w:pPr>
      <w:hyperlink r:id="rId47" w:history="1">
        <w:r w:rsidR="00647B58" w:rsidRPr="00971448">
          <w:rPr>
            <w:rStyle w:val="Hiperpovezava"/>
            <w:sz w:val="16"/>
            <w:szCs w:val="16"/>
          </w:rPr>
          <w:t>https://www.fi-compass.eu/sites/default/files/publications/financial_needs_agriculture_agrifood_sectors_Slovenia.pdf</w:t>
        </w:r>
      </w:hyperlink>
      <w:r w:rsidR="00647B58">
        <w:rPr>
          <w:sz w:val="16"/>
          <w:szCs w:val="16"/>
        </w:rPr>
        <w:t>, str. 43</w:t>
      </w:r>
      <w:r w:rsidR="00647B58" w:rsidRPr="00852E36">
        <w:rPr>
          <w:sz w:val="16"/>
          <w:szCs w:val="16"/>
        </w:rPr>
        <w:t xml:space="preserve"> </w:t>
      </w:r>
    </w:p>
    <w:p w14:paraId="62D1BD82" w14:textId="77777777" w:rsidR="00F341CA" w:rsidRPr="00AD583E" w:rsidRDefault="00F341CA" w:rsidP="007613FE">
      <w:pPr>
        <w:spacing w:before="0" w:line="260" w:lineRule="atLeast"/>
        <w:rPr>
          <w:sz w:val="20"/>
          <w:szCs w:val="20"/>
        </w:rPr>
      </w:pPr>
    </w:p>
    <w:p w14:paraId="23601A77" w14:textId="65C55632" w:rsidR="00365C4C" w:rsidRDefault="00DA2BBA" w:rsidP="00DA2C5A">
      <w:r w:rsidRPr="00DA2BBA">
        <w:t>P</w:t>
      </w:r>
      <w:r>
        <w:t>omemben</w:t>
      </w:r>
      <w:r w:rsidRPr="00DA2BBA">
        <w:t xml:space="preserve"> vzrok</w:t>
      </w:r>
      <w:r w:rsidR="003C3CAB" w:rsidRPr="00DA2BBA">
        <w:t xml:space="preserve"> finančne vrzeli </w:t>
      </w:r>
      <w:r>
        <w:t>je</w:t>
      </w:r>
      <w:r w:rsidR="00AD583E" w:rsidRPr="00DA2BBA">
        <w:t xml:space="preserve"> </w:t>
      </w:r>
      <w:r w:rsidR="003C3CAB" w:rsidRPr="00DA2BBA">
        <w:t xml:space="preserve">pomanjkanje </w:t>
      </w:r>
      <w:r w:rsidR="00AD583E" w:rsidRPr="00DA2BBA">
        <w:t>knjigovodske in poslovne zgodovine</w:t>
      </w:r>
      <w:r w:rsidR="000D08E8" w:rsidRPr="00DA2BBA">
        <w:t>, pa tudi kreditne zgodovine (predvsem na ravni kmetij)</w:t>
      </w:r>
      <w:r w:rsidR="00AD583E" w:rsidRPr="00AD583E">
        <w:t xml:space="preserve">. </w:t>
      </w:r>
      <w:r w:rsidR="003C3CAB">
        <w:t xml:space="preserve">Ker v Sloveniji </w:t>
      </w:r>
      <w:r w:rsidR="000D08E8" w:rsidRPr="00AD61BB">
        <w:t xml:space="preserve">kmetije </w:t>
      </w:r>
      <w:r w:rsidR="007C4259" w:rsidRPr="003016E0">
        <w:t>večinoma ne vodijo</w:t>
      </w:r>
      <w:r w:rsidR="000D08E8" w:rsidRPr="00AD61BB">
        <w:t xml:space="preserve"> </w:t>
      </w:r>
      <w:r w:rsidR="00AD61BB" w:rsidRPr="00AD61BB">
        <w:t>knjigovodstva</w:t>
      </w:r>
      <w:r w:rsidR="000D08E8">
        <w:t xml:space="preserve"> in tudi ni podatkov o kreditni zgodovini </w:t>
      </w:r>
      <w:r w:rsidR="00AD61BB">
        <w:t xml:space="preserve">na ravni </w:t>
      </w:r>
      <w:r w:rsidR="000D08E8">
        <w:t>kmetije</w:t>
      </w:r>
      <w:r w:rsidR="003C3CAB">
        <w:t xml:space="preserve">, </w:t>
      </w:r>
      <w:r w:rsidR="000D08E8">
        <w:t>je izračunavanje</w:t>
      </w:r>
      <w:r w:rsidR="003C3CAB">
        <w:t xml:space="preserve"> kreditne sposobnosti na ravni kmetije dostikrat otežkočeno</w:t>
      </w:r>
      <w:r w:rsidR="000D08E8">
        <w:t xml:space="preserve">, kar deluje odvračalno na poslovne banke pri oblikovanju finančnih produktov </w:t>
      </w:r>
      <w:r>
        <w:t>za kmetijski sektor</w:t>
      </w:r>
      <w:r w:rsidR="000D08E8">
        <w:t xml:space="preserve">. </w:t>
      </w:r>
      <w:r w:rsidR="001F11F4">
        <w:t>P</w:t>
      </w:r>
      <w:r w:rsidR="00AD583E" w:rsidRPr="00AD583E">
        <w:t xml:space="preserve">omanjkanje </w:t>
      </w:r>
      <w:r w:rsidR="00A6409D">
        <w:t xml:space="preserve">ustreznih oblik </w:t>
      </w:r>
      <w:r w:rsidR="00AD583E" w:rsidRPr="00AD583E">
        <w:t>zavarovanja in poslovni</w:t>
      </w:r>
      <w:r w:rsidR="00E260AA">
        <w:t>h</w:t>
      </w:r>
      <w:r w:rsidR="00AD583E" w:rsidRPr="00AD583E">
        <w:t xml:space="preserve"> načrt</w:t>
      </w:r>
      <w:r w:rsidR="00E260AA">
        <w:t>ov</w:t>
      </w:r>
      <w:r w:rsidR="00AD583E" w:rsidRPr="00AD583E">
        <w:t xml:space="preserve">, skupaj z nizko </w:t>
      </w:r>
      <w:r w:rsidR="001F11F4">
        <w:t>odplačilno sposobnostjo</w:t>
      </w:r>
      <w:r w:rsidR="00A6409D">
        <w:t>,</w:t>
      </w:r>
      <w:r w:rsidR="001F11F4">
        <w:t xml:space="preserve"> povečuje</w:t>
      </w:r>
      <w:r w:rsidR="00AD583E" w:rsidRPr="00AD583E">
        <w:t xml:space="preserve"> težave pri dostopu do financ, </w:t>
      </w:r>
      <w:r w:rsidR="001F11F4">
        <w:t>zlasti za manjša kmetijska gospodarstva</w:t>
      </w:r>
      <w:r w:rsidR="00AD583E" w:rsidRPr="00AD583E">
        <w:t xml:space="preserve">. </w:t>
      </w:r>
      <w:r w:rsidR="001F11F4">
        <w:t>Poleg tega k</w:t>
      </w:r>
      <w:r w:rsidR="00AD583E" w:rsidRPr="00AD583E">
        <w:t xml:space="preserve">oncentracija ponudbe znotraj ene banke in pomanjkanje zanimanja med drugimi bankami, ki raje delajo z manj tveganimi in donosnejšimi strankami, pomeni </w:t>
      </w:r>
      <w:r w:rsidR="001F11F4">
        <w:t xml:space="preserve">omejeno </w:t>
      </w:r>
      <w:r w:rsidR="00AD583E" w:rsidRPr="00AD583E">
        <w:t>izbir</w:t>
      </w:r>
      <w:r w:rsidR="001F11F4">
        <w:t>o</w:t>
      </w:r>
      <w:r w:rsidR="00AD583E" w:rsidRPr="00AD583E">
        <w:t xml:space="preserve"> finančnih sredstev, ki so na voljo. Prav tako lahko visoki stroški odobritve kredita in obrem</w:t>
      </w:r>
      <w:r w:rsidR="001F11F4">
        <w:t>enjujoči upravni postopki kmetijska gospodarstva odvrnejo</w:t>
      </w:r>
      <w:r w:rsidR="0013669D">
        <w:t>, da bi zaprosili za</w:t>
      </w:r>
      <w:r w:rsidR="00AD583E" w:rsidRPr="00AD583E">
        <w:t xml:space="preserve"> posojil</w:t>
      </w:r>
      <w:r w:rsidR="0013669D">
        <w:t>o</w:t>
      </w:r>
      <w:r w:rsidR="00AD583E" w:rsidRPr="00AD583E">
        <w:t xml:space="preserve">. </w:t>
      </w:r>
    </w:p>
    <w:p w14:paraId="5E889C98" w14:textId="77777777" w:rsidR="00FC732C" w:rsidRDefault="00FC732C" w:rsidP="00DA2C5A"/>
    <w:p w14:paraId="377EFC87" w14:textId="49A60FFC" w:rsidR="00905930" w:rsidRDefault="00905930" w:rsidP="007613FE">
      <w:pPr>
        <w:spacing w:before="0" w:line="260" w:lineRule="atLeast"/>
        <w:rPr>
          <w:sz w:val="20"/>
          <w:szCs w:val="20"/>
        </w:rPr>
      </w:pPr>
    </w:p>
    <w:p w14:paraId="12078420" w14:textId="77777777" w:rsidR="00FC732C" w:rsidRPr="001A32D7" w:rsidRDefault="00FC732C" w:rsidP="00FC732C">
      <w:pPr>
        <w:pStyle w:val="Naslov2"/>
      </w:pPr>
      <w:bookmarkStart w:id="116" w:name="_Toc90462226"/>
      <w:r w:rsidRPr="001A32D7">
        <w:t>Ključne ugotovitve</w:t>
      </w:r>
      <w:bookmarkEnd w:id="116"/>
    </w:p>
    <w:p w14:paraId="02C02093" w14:textId="103A24C1" w:rsidR="00FC732C" w:rsidRDefault="00FC732C" w:rsidP="007613FE">
      <w:pPr>
        <w:spacing w:before="0" w:line="260" w:lineRule="atLeast"/>
        <w:rPr>
          <w:sz w:val="20"/>
          <w:szCs w:val="20"/>
        </w:rPr>
      </w:pPr>
    </w:p>
    <w:p w14:paraId="44907013" w14:textId="77777777" w:rsidR="00FC732C" w:rsidRPr="007E558D" w:rsidRDefault="00FC732C" w:rsidP="00FC732C">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Obseg bruto investicij v osnovna sredstva v Sloveniji je v letu 2018 predstavlja 49 % bruto dodane vrednosti in je kljub podpovprečni skupni faktorski produktivnosti nad povprečjem EU-28 (32 %). Prevladujejo investicije v stroje in opremo, v prevozna sredstva in v kmetijske zgradbe, pri čemer se delež prvih v strukturi bruto investicij v osnovna sredstva vztrajno povečuje. </w:t>
      </w:r>
    </w:p>
    <w:p w14:paraId="74285314" w14:textId="77777777" w:rsidR="00FC732C" w:rsidRPr="007E558D" w:rsidRDefault="00FC732C" w:rsidP="00FC732C">
      <w:pPr>
        <w:pStyle w:val="Odstavekseznama"/>
        <w:numPr>
          <w:ilvl w:val="0"/>
          <w:numId w:val="88"/>
        </w:numPr>
        <w:spacing w:before="0" w:line="260" w:lineRule="atLeast"/>
        <w:ind w:left="426" w:hanging="284"/>
        <w:contextualSpacing/>
        <w:rPr>
          <w:rFonts w:ascii="Arial" w:hAnsi="Arial"/>
          <w:sz w:val="22"/>
        </w:rPr>
      </w:pPr>
      <w:r w:rsidRPr="007E558D">
        <w:rPr>
          <w:rFonts w:ascii="Arial" w:eastAsiaTheme="minorHAnsi" w:hAnsi="Arial"/>
          <w:sz w:val="22"/>
          <w:lang w:eastAsia="en-US"/>
        </w:rPr>
        <w:t xml:space="preserve">V slovenskem kmetijstvu se izboljšuje kapitalska intenzivnost, kar potrjujeta kazanika bruto investicij v osnovna sredstva na ha KZU in PDM, pri čemer kapitalska intenzivnost na PDM dosega le 60 % povprečja EU-28. </w:t>
      </w:r>
    </w:p>
    <w:p w14:paraId="4A081FB9"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Vlaganja v osnovna sredstva v kmetijstvu so bila v zadnjih dveh programskih obdobjih 2007–2013 in 2014–2020 močno spodbujena tudi zaradi nepovratnih sredstev PRP. Prevladujejo naložbe v živinorejo, glede na vrsto naložb pa naložbe v </w:t>
      </w:r>
      <w:r w:rsidRPr="007E558D">
        <w:rPr>
          <w:rFonts w:ascii="Arial" w:eastAsiaTheme="minorHAnsi" w:hAnsi="Arial"/>
          <w:bCs/>
          <w:sz w:val="22"/>
        </w:rPr>
        <w:t xml:space="preserve">ureditev ali vzdrževanje nepremičnin za kmetijsko dejavnost, nakup pripadajoče opreme za kmetijsko proizvodnjo, ureditev greznic in čistilnih naprav, nakup IKT in strojno opremo. </w:t>
      </w:r>
    </w:p>
    <w:p w14:paraId="29520F10" w14:textId="655CA179" w:rsidR="00F11CD5" w:rsidRPr="00E53EB6" w:rsidRDefault="00F11CD5" w:rsidP="00E53EB6">
      <w:pPr>
        <w:pStyle w:val="Odstavekseznama"/>
        <w:numPr>
          <w:ilvl w:val="0"/>
          <w:numId w:val="2"/>
        </w:numPr>
        <w:spacing w:before="0" w:line="260" w:lineRule="atLeast"/>
        <w:ind w:left="426" w:hanging="284"/>
        <w:contextualSpacing/>
        <w:rPr>
          <w:rFonts w:ascii="Arial" w:hAnsi="Arial"/>
          <w:sz w:val="22"/>
        </w:rPr>
      </w:pPr>
      <w:r w:rsidRPr="00E155C1">
        <w:rPr>
          <w:rFonts w:ascii="Arial" w:hAnsi="Arial"/>
          <w:sz w:val="22"/>
        </w:rPr>
        <w:t>Na razpisih za sofinanciranje investicij v okviru podukrepa M04.1</w:t>
      </w:r>
      <w:r w:rsidRPr="00E53EB6">
        <w:rPr>
          <w:rFonts w:ascii="Arial" w:hAnsi="Arial"/>
          <w:sz w:val="22"/>
        </w:rPr>
        <w:t xml:space="preserve"> – Naložbe na kmetijskih gospodarstvih</w:t>
      </w:r>
      <w:r w:rsidRPr="00E155C1">
        <w:rPr>
          <w:rFonts w:ascii="Arial" w:hAnsi="Arial"/>
          <w:sz w:val="22"/>
        </w:rPr>
        <w:t xml:space="preserve"> so podprta večja KMG</w:t>
      </w:r>
      <w:r w:rsidRPr="00E53EB6">
        <w:rPr>
          <w:rFonts w:ascii="Arial" w:hAnsi="Arial"/>
          <w:sz w:val="22"/>
        </w:rPr>
        <w:t xml:space="preserve">. </w:t>
      </w:r>
      <w:r w:rsidRPr="00E155C1">
        <w:rPr>
          <w:rFonts w:ascii="Arial" w:hAnsi="Arial"/>
          <w:sz w:val="22"/>
        </w:rPr>
        <w:t>Povprečno podprto KMG v okviru podukrepa M04.1 redi 54 GVŽ in obdeluje 55 ha KZU s 6 PDM.</w:t>
      </w:r>
      <w:r w:rsidRPr="00E53EB6">
        <w:rPr>
          <w:rFonts w:ascii="Arial" w:hAnsi="Arial"/>
          <w:sz w:val="22"/>
        </w:rPr>
        <w:t xml:space="preserve"> </w:t>
      </w:r>
    </w:p>
    <w:p w14:paraId="34B5E6FB" w14:textId="5D4C4D60" w:rsidR="00FC732C" w:rsidRPr="007E558D" w:rsidRDefault="00F11CD5" w:rsidP="00FC732C">
      <w:pPr>
        <w:pStyle w:val="Odstavekseznama"/>
        <w:numPr>
          <w:ilvl w:val="0"/>
          <w:numId w:val="2"/>
        </w:numPr>
        <w:spacing w:before="0" w:line="260" w:lineRule="atLeast"/>
        <w:ind w:left="426" w:hanging="284"/>
        <w:contextualSpacing/>
        <w:rPr>
          <w:rFonts w:ascii="Arial" w:hAnsi="Arial"/>
          <w:sz w:val="22"/>
        </w:rPr>
      </w:pPr>
      <w:r>
        <w:rPr>
          <w:rFonts w:ascii="Arial" w:hAnsi="Arial"/>
          <w:sz w:val="22"/>
        </w:rPr>
        <w:t>Manjše kmetije težje dostopajo do investicijskih podpor v okviru investicijskih ukrepov PRP 14–20. Tudi KMG,</w:t>
      </w:r>
      <w:r w:rsidR="00FC732C" w:rsidRPr="007E558D">
        <w:rPr>
          <w:rFonts w:ascii="Arial" w:hAnsi="Arial"/>
          <w:sz w:val="22"/>
        </w:rPr>
        <w:t xml:space="preserve"> vključena v sheme ekološke proizvodnje, so v manjši meri vključena v podukrep M04.1 (težje dostopajo do teh podpor), hkrati pa je tudi njihova povprečna vrednost naložb za 40 % nižja od ostalih KMG. </w:t>
      </w:r>
    </w:p>
    <w:p w14:paraId="416AFECE"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Kmetijska gospodarstva v Sloveniji težje dostopajo do (zunanjih) finančnih virov kot drugje v EU. Finančna vrzel v kmetijstvu je ocenjena na 952 mio EUR, kar se nanaša predvsem na dostop do dolgoročnega financiranja, predvsem za majhna kmetijska gospodarstva. </w:t>
      </w:r>
    </w:p>
    <w:p w14:paraId="40BDF396"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V večji meri investirajo večja kmetijska gospodarstva, ki imajo večji denarni tok in boljše možnosti za pridobitev finančnih virov. Ker manjše kmetije ne vodijo poslovnih knjig, težje dostopajo do bančnih posojil, kar jih, skupaj z obsegom in vrsto proizvodnje ter posledično jakostjo denarnega toka, ovira pri kapitalskih vlaganjih v osnovna sredstva in zmanjšuje možnosti njihovega tehnološkega razvoja.  </w:t>
      </w:r>
    </w:p>
    <w:p w14:paraId="523697A9"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Za slovenski kmetijski sektor je glede na FADN podatke značilna izjemno visoka amortizacija. Poraba kapitala, izražena kot delež bruto dohodka na kmetiji, je zelo visoka.  </w:t>
      </w:r>
    </w:p>
    <w:p w14:paraId="21A0CB6B" w14:textId="6C206127" w:rsidR="00FC732C" w:rsidRDefault="00FC732C" w:rsidP="007613FE">
      <w:pPr>
        <w:spacing w:before="0" w:line="260" w:lineRule="atLeast"/>
        <w:rPr>
          <w:sz w:val="20"/>
          <w:szCs w:val="20"/>
        </w:rPr>
      </w:pPr>
    </w:p>
    <w:p w14:paraId="313C0869" w14:textId="365617A2" w:rsidR="00FC732C" w:rsidRDefault="00FC732C" w:rsidP="007613FE">
      <w:pPr>
        <w:spacing w:before="0" w:line="260" w:lineRule="atLeast"/>
        <w:rPr>
          <w:sz w:val="20"/>
          <w:szCs w:val="20"/>
        </w:rPr>
      </w:pPr>
    </w:p>
    <w:p w14:paraId="1FD575EC" w14:textId="77777777" w:rsidR="00FC732C" w:rsidRDefault="00FC732C" w:rsidP="007613FE">
      <w:pPr>
        <w:spacing w:before="0" w:line="260" w:lineRule="atLeast"/>
        <w:rPr>
          <w:sz w:val="20"/>
          <w:szCs w:val="20"/>
        </w:rPr>
      </w:pPr>
    </w:p>
    <w:p w14:paraId="7BE632F7" w14:textId="377B4FB4" w:rsidR="00165E45" w:rsidRDefault="00812BD6" w:rsidP="00DA2C5A">
      <w:pPr>
        <w:pStyle w:val="Naslov1"/>
      </w:pPr>
      <w:bookmarkStart w:id="117" w:name="_Toc90462227"/>
      <w:r w:rsidRPr="009F3567">
        <w:t>P</w:t>
      </w:r>
      <w:r w:rsidR="00C00231">
        <w:t>roizvodni potencial</w:t>
      </w:r>
      <w:r w:rsidR="004732CD" w:rsidRPr="00A7730B">
        <w:t xml:space="preserve"> in </w:t>
      </w:r>
      <w:r w:rsidR="004D40E8" w:rsidRPr="00551D9B">
        <w:t>dostop do kmetijskih zemljišč</w:t>
      </w:r>
      <w:bookmarkEnd w:id="117"/>
    </w:p>
    <w:p w14:paraId="2431E5B1" w14:textId="77777777" w:rsidR="00905930" w:rsidRDefault="00905930" w:rsidP="007613FE">
      <w:pPr>
        <w:spacing w:before="0" w:line="260" w:lineRule="atLeast"/>
        <w:rPr>
          <w:sz w:val="20"/>
          <w:szCs w:val="20"/>
        </w:rPr>
      </w:pPr>
    </w:p>
    <w:p w14:paraId="5B661691" w14:textId="636ED6C7" w:rsidR="00C00231" w:rsidRDefault="00C00231" w:rsidP="00DA2C5A">
      <w:r>
        <w:t>Kmetijska zemljišča so v RS izrazito omejen proizvodni faktor, ki je skoncentriran na sorazmerno</w:t>
      </w:r>
      <w:r w:rsidRPr="00B37DEC">
        <w:t xml:space="preserve"> omejenost ravninskega sveta</w:t>
      </w:r>
      <w:r>
        <w:t xml:space="preserve">, v katerem kmetijstvu konkurirajo tudi drugi interesi: promet, industrija, širjenje naselij itd. Kot že predstavljeno </w:t>
      </w:r>
      <w:r w:rsidRPr="00F90D7F">
        <w:t>v splošnem opisu kmetijstva v uvodu</w:t>
      </w:r>
      <w:r>
        <w:t>, gozdovi prekrivajo nekaj manj kot dve tretjini zemljišč v</w:t>
      </w:r>
      <w:r w:rsidR="00B72CAC">
        <w:t xml:space="preserve"> RS</w:t>
      </w:r>
      <w:r>
        <w:t xml:space="preserve">, sledijo kmetijska zemljišča z okoli tretjino vseh zemljišč, znotraj katerih največji delež predstavljajo trajni travniki. </w:t>
      </w:r>
    </w:p>
    <w:p w14:paraId="2E4425DA" w14:textId="77777777" w:rsidR="00905930" w:rsidRDefault="00905930" w:rsidP="007613FE">
      <w:pPr>
        <w:spacing w:before="0" w:line="260" w:lineRule="atLeast"/>
        <w:rPr>
          <w:sz w:val="20"/>
          <w:szCs w:val="20"/>
        </w:rPr>
      </w:pPr>
    </w:p>
    <w:p w14:paraId="767C97C2" w14:textId="16A05AB4" w:rsidR="00C00231" w:rsidRDefault="00C00231" w:rsidP="00DA2C5A">
      <w:r>
        <w:t>Obseg, način in intenzivnost rabe kmetijskih zemljišč v Sloveniji je omejena zaradi različnih dejavnikov: velikega deleža OMD, podvrženosti dela kmetijskih zemljišč različnim varstvenim režimom (npr. na vodovarstvenih območjih), na določenih območjih se soočamo z erozijo (zlasti vodno, vetrno, snežno), s procesi zaraščanja zaradi opuščanja kmetijske dejavnosti ali pa povsem nasprotno – s procesi pospešene pozidave in s tem trajne izgube kmetijskih zemljišč (npr. kot posledica izgradnje prometne infrastrukture</w:t>
      </w:r>
      <w:r w:rsidR="00B72CAC">
        <w:t>, industrije</w:t>
      </w:r>
      <w:r>
        <w:t>).</w:t>
      </w:r>
      <w:r>
        <w:rPr>
          <w:rStyle w:val="Sprotnaopomba-sklic"/>
        </w:rPr>
        <w:footnoteReference w:id="13"/>
      </w:r>
      <w:r>
        <w:t xml:space="preserve"> Dodatno je za kmetijska zemljišča v RS značilna velika razdrobljenost in zelo omejen dostop do kmetijskih zemljišč. </w:t>
      </w:r>
      <w:r w:rsidRPr="00F90D7F">
        <w:t>Vse navedeno izrazito vpliva na produktivnost</w:t>
      </w:r>
      <w:r>
        <w:t xml:space="preserve"> kmetijskih gospodarstev in na načrtovanje njihovega razvoja</w:t>
      </w:r>
      <w:r w:rsidRPr="00F90D7F">
        <w:t>.</w:t>
      </w:r>
      <w:r>
        <w:t xml:space="preserve"> </w:t>
      </w:r>
    </w:p>
    <w:p w14:paraId="20C45D5C" w14:textId="77777777" w:rsidR="00B72CAC" w:rsidRDefault="00B72CAC" w:rsidP="007613FE">
      <w:pPr>
        <w:spacing w:before="0" w:line="260" w:lineRule="atLeast"/>
        <w:rPr>
          <w:sz w:val="20"/>
          <w:szCs w:val="20"/>
        </w:rPr>
      </w:pPr>
    </w:p>
    <w:p w14:paraId="24D6DA93" w14:textId="77777777" w:rsidR="00C00231" w:rsidRDefault="00C00231" w:rsidP="00DA2C5A">
      <w:r>
        <w:t xml:space="preserve">Ker je upravljanje s tlemi, kot naravnim resursom, podrobno opisano v analizi stanja za cilj 5, se v tem delu osredotočamo na: </w:t>
      </w:r>
    </w:p>
    <w:p w14:paraId="618BFEDC" w14:textId="77777777" w:rsidR="00C00231" w:rsidRDefault="00C00231" w:rsidP="00DA2C5A">
      <w:r>
        <w:t>- razdrobljenost kmetijskih zemljišč,</w:t>
      </w:r>
    </w:p>
    <w:p w14:paraId="52BD265F" w14:textId="77777777" w:rsidR="00C00231" w:rsidRDefault="00C00231" w:rsidP="00DA2C5A">
      <w:r>
        <w:t>- dostop do kmetijskih zemljišč,</w:t>
      </w:r>
    </w:p>
    <w:p w14:paraId="3D75EC4B" w14:textId="019DECAF" w:rsidR="00C00231" w:rsidRDefault="00C00231" w:rsidP="00DA2C5A">
      <w:r>
        <w:t>- proizvodni potencial kmetijskih zemljišč.</w:t>
      </w:r>
    </w:p>
    <w:p w14:paraId="6FF6D4A8" w14:textId="77777777" w:rsidR="00C00231" w:rsidRDefault="00C00231" w:rsidP="007613FE">
      <w:pPr>
        <w:spacing w:before="0" w:line="260" w:lineRule="atLeast"/>
        <w:rPr>
          <w:b/>
          <w:i/>
          <w:sz w:val="20"/>
          <w:szCs w:val="20"/>
          <w:u w:val="single"/>
        </w:rPr>
      </w:pPr>
    </w:p>
    <w:p w14:paraId="6B4921F2" w14:textId="77777777" w:rsidR="00C00231" w:rsidRPr="00DA2C5A" w:rsidRDefault="00C00231" w:rsidP="005B2A49">
      <w:pPr>
        <w:pStyle w:val="Naslov2"/>
      </w:pPr>
      <w:bookmarkStart w:id="118" w:name="_Toc90462228"/>
      <w:r w:rsidRPr="00DA2C5A">
        <w:t>Razdrobljenost kmetijskih zemljišč</w:t>
      </w:r>
      <w:bookmarkEnd w:id="118"/>
      <w:r w:rsidRPr="00DA2C5A">
        <w:t xml:space="preserve"> </w:t>
      </w:r>
    </w:p>
    <w:p w14:paraId="6BCA128C" w14:textId="77777777" w:rsidR="00B72CAC" w:rsidRDefault="00B72CAC" w:rsidP="007613FE">
      <w:pPr>
        <w:spacing w:before="0" w:line="260" w:lineRule="atLeast"/>
        <w:rPr>
          <w:sz w:val="20"/>
          <w:szCs w:val="20"/>
        </w:rPr>
      </w:pPr>
    </w:p>
    <w:p w14:paraId="6FA836EC" w14:textId="698D462D" w:rsidR="00C00231" w:rsidRDefault="00C00231" w:rsidP="00DA2C5A">
      <w:r w:rsidRPr="003F5CF7">
        <w:t xml:space="preserve">Razdrobljenost kmetijskih zemljišč ima pomemben vpliv na dohodek KMG, ker </w:t>
      </w:r>
      <w:r w:rsidRPr="00EE6FCB">
        <w:t>povečuje stroške pridelave, negativno vpliva hektarske pridelke in posledično zmanjšuje dohodek in učinkovitost kmetijske proizvodnje</w:t>
      </w:r>
      <w:r w:rsidRPr="003F5CF7">
        <w:t xml:space="preserve"> (Latruffe L. in sod., 2013). Na drugi strani je potrebno poudariti, da razdrobljenost pozitivno vpliva na okolje. Pri spremembah v kmetijski krajin (npr. ukrepi združevanja parcel…) je torej potrebno s stališča okolja </w:t>
      </w:r>
      <w:r w:rsidRPr="00EE6FCB">
        <w:t>nujno tehtati med zasebnimi koristmi/izgubami na ravni KMG in družbenimi koristni/izgubami</w:t>
      </w:r>
      <w:r w:rsidRPr="003F5CF7">
        <w:t xml:space="preserve">. </w:t>
      </w:r>
    </w:p>
    <w:p w14:paraId="10C33112" w14:textId="77777777" w:rsidR="00B72CAC" w:rsidRPr="003F5CF7" w:rsidRDefault="00B72CAC" w:rsidP="007613FE">
      <w:pPr>
        <w:spacing w:before="0" w:line="260" w:lineRule="atLeast"/>
        <w:rPr>
          <w:sz w:val="20"/>
          <w:szCs w:val="20"/>
        </w:rPr>
      </w:pPr>
    </w:p>
    <w:p w14:paraId="234FFF3C" w14:textId="56C65ED7" w:rsidR="00C00231" w:rsidRDefault="00C00231" w:rsidP="00DA2C5A">
      <w:r w:rsidRPr="00A609A1">
        <w:t>V letu 2019 je bilo v Sloveniji 861.493 grafičnih enot r</w:t>
      </w:r>
      <w:r>
        <w:t xml:space="preserve">abe kmetijskih zemljišč (GERK). </w:t>
      </w:r>
      <w:r w:rsidRPr="00A609A1">
        <w:t>V povprečju je KMG obdeloval 9,7 GERK-</w:t>
      </w:r>
      <w:r>
        <w:t>a, povprečna velikost GERK-a pa znaša</w:t>
      </w:r>
      <w:r w:rsidRPr="00A609A1">
        <w:t xml:space="preserve"> 0,56 ha.</w:t>
      </w:r>
      <w:r>
        <w:t xml:space="preserve"> </w:t>
      </w:r>
      <w:r w:rsidRPr="003A6C5E">
        <w:t>Tako majhna povprečna velikost vpisanega GERK-a je posledica dejstva, da je kar 86,29 % vseh GERK-ov po površini</w:t>
      </w:r>
      <w:r>
        <w:t>,</w:t>
      </w:r>
      <w:r w:rsidRPr="003A6C5E">
        <w:t xml:space="preserve"> manjših od 1 ha. Skupna površina </w:t>
      </w:r>
      <w:r>
        <w:t xml:space="preserve">vseh </w:t>
      </w:r>
      <w:r w:rsidRPr="003A6C5E">
        <w:t>GERK</w:t>
      </w:r>
      <w:r>
        <w:t>-</w:t>
      </w:r>
      <w:r w:rsidRPr="003A6C5E">
        <w:t>ov</w:t>
      </w:r>
      <w:r>
        <w:t>, manjših od 1 ha,</w:t>
      </w:r>
      <w:r w:rsidRPr="003A6C5E">
        <w:t xml:space="preserve"> </w:t>
      </w:r>
      <w:r>
        <w:t>znaša</w:t>
      </w:r>
      <w:r w:rsidRPr="003A6C5E">
        <w:t xml:space="preserve"> 44 % površine, na katerih imajo kmetijska gospodarstva vrisane GERK</w:t>
      </w:r>
      <w:r>
        <w:t>-</w:t>
      </w:r>
      <w:r w:rsidRPr="003A6C5E">
        <w:t>e</w:t>
      </w:r>
      <w:r>
        <w:t xml:space="preserve"> (</w:t>
      </w:r>
      <w:r w:rsidRPr="003A6C5E">
        <w:t>216.187 ha</w:t>
      </w:r>
      <w:r>
        <w:t>). Največjo povprečno površino vpisanih GERK-ov imajo zemljišča, ki so po dejanski rabi hmeljišča (</w:t>
      </w:r>
      <w:r w:rsidRPr="00313E26">
        <w:rPr>
          <w:color w:val="000000"/>
          <w:lang w:eastAsia="sl-SI"/>
        </w:rPr>
        <w:t>2,27</w:t>
      </w:r>
      <w:r>
        <w:rPr>
          <w:color w:val="000000"/>
          <w:lang w:eastAsia="sl-SI"/>
        </w:rPr>
        <w:t xml:space="preserve"> ha)</w:t>
      </w:r>
      <w:r>
        <w:t>, vendar ta predstavljajo le 0,3 % površine vseh vpisanih GERK-ov (</w:t>
      </w:r>
      <w:r w:rsidRPr="00313E26">
        <w:rPr>
          <w:color w:val="000000"/>
          <w:lang w:eastAsia="sl-SI"/>
        </w:rPr>
        <w:t>1</w:t>
      </w:r>
      <w:r>
        <w:rPr>
          <w:color w:val="000000"/>
          <w:lang w:eastAsia="sl-SI"/>
        </w:rPr>
        <w:t>.</w:t>
      </w:r>
      <w:r w:rsidRPr="00313E26">
        <w:rPr>
          <w:color w:val="000000"/>
          <w:lang w:eastAsia="sl-SI"/>
        </w:rPr>
        <w:t>480</w:t>
      </w:r>
      <w:r>
        <w:rPr>
          <w:color w:val="000000"/>
          <w:lang w:eastAsia="sl-SI"/>
        </w:rPr>
        <w:t xml:space="preserve"> ha)</w:t>
      </w:r>
      <w:r>
        <w:t xml:space="preserve">. </w:t>
      </w:r>
    </w:p>
    <w:p w14:paraId="133130FB" w14:textId="77777777" w:rsidR="007707B6" w:rsidRDefault="007707B6" w:rsidP="007613FE">
      <w:pPr>
        <w:spacing w:before="0" w:line="260" w:lineRule="atLeast"/>
        <w:rPr>
          <w:sz w:val="20"/>
          <w:szCs w:val="20"/>
        </w:rPr>
      </w:pPr>
    </w:p>
    <w:p w14:paraId="4EFF723E" w14:textId="5544AAB8" w:rsidR="00C00231" w:rsidRPr="00DA2C5A" w:rsidRDefault="00C00231" w:rsidP="008B1A89">
      <w:pPr>
        <w:rPr>
          <w:szCs w:val="22"/>
        </w:rPr>
      </w:pPr>
      <w:r w:rsidRPr="00DA2C5A">
        <w:rPr>
          <w:szCs w:val="22"/>
        </w:rPr>
        <w:t>Primerjava</w:t>
      </w:r>
      <w:r w:rsidRPr="00DA2C5A">
        <w:rPr>
          <w:rStyle w:val="Sprotnaopomba-sklic"/>
          <w:sz w:val="22"/>
          <w:szCs w:val="22"/>
        </w:rPr>
        <w:footnoteReference w:id="14"/>
      </w:r>
      <w:r w:rsidRPr="00DA2C5A">
        <w:rPr>
          <w:szCs w:val="22"/>
        </w:rPr>
        <w:t xml:space="preserve"> z nekaterimi drugimi državami pokaže, da so v Sloveniji povprečne velikosti </w:t>
      </w:r>
      <w:r w:rsidR="007707B6" w:rsidRPr="00DA2C5A">
        <w:rPr>
          <w:szCs w:val="22"/>
        </w:rPr>
        <w:t>obdelovalnih enot</w:t>
      </w:r>
      <w:r w:rsidRPr="00DA2C5A">
        <w:rPr>
          <w:szCs w:val="22"/>
        </w:rPr>
        <w:t xml:space="preserve"> bistveno manjše (Nemčija: 3,12 ha; Nizozemska: 3,87 ha, Poljska: 4,66 ha (Saint-Cyr L. et at., 2016)). Po teh podatkih je celo povprečna velikost GERK-ov za največje KMG v Sloveniji še vedno bistveno nižja od povprečja teh držav. Enaka primerjava po številu parcel na KMG pokaže nekoliko drugačno sliko, saj imajo vse analizirane države večje število parcel (Nemčija: 42,3; Nizozemska: 17,5; Poljska: 11,1 (Saint-Cyr L. et at. (2016)). Vzrok za to je v tem, da imajo vse naštete države bistveno višje povprečne velikosti KMG, povprečna velikost KMG pa je pozitivno povezana s številom parcel. </w:t>
      </w:r>
    </w:p>
    <w:p w14:paraId="7F2EE4F1" w14:textId="77777777" w:rsidR="007707B6" w:rsidRPr="00DA2C5A" w:rsidRDefault="007707B6" w:rsidP="007613FE">
      <w:pPr>
        <w:spacing w:before="0" w:line="260" w:lineRule="atLeast"/>
        <w:rPr>
          <w:szCs w:val="22"/>
        </w:rPr>
      </w:pPr>
    </w:p>
    <w:p w14:paraId="38CE9F5F" w14:textId="77777777" w:rsidR="00C00231" w:rsidRPr="00DA2C5A" w:rsidRDefault="00C00231" w:rsidP="007613FE">
      <w:pPr>
        <w:spacing w:before="0" w:line="260" w:lineRule="atLeast"/>
        <w:rPr>
          <w:szCs w:val="22"/>
        </w:rPr>
      </w:pPr>
      <w:r w:rsidRPr="00DA2C5A">
        <w:rPr>
          <w:szCs w:val="22"/>
        </w:rPr>
        <w:t>Iz podatkov o GERK-ih, sloja GERK predtisk 2019, je razvidno, da:</w:t>
      </w:r>
    </w:p>
    <w:p w14:paraId="69C4DA19" w14:textId="49D2485E" w:rsidR="00C00231" w:rsidRPr="008B1A89" w:rsidRDefault="00C00231" w:rsidP="00304C05">
      <w:pPr>
        <w:pStyle w:val="Odstavekseznama"/>
        <w:numPr>
          <w:ilvl w:val="0"/>
          <w:numId w:val="141"/>
        </w:numPr>
        <w:spacing w:before="0" w:line="260" w:lineRule="atLeast"/>
        <w:ind w:left="357" w:hanging="357"/>
        <w:contextualSpacing/>
        <w:rPr>
          <w:rFonts w:ascii="Arial" w:hAnsi="Arial"/>
          <w:sz w:val="22"/>
          <w:szCs w:val="22"/>
        </w:rPr>
      </w:pPr>
      <w:r w:rsidRPr="008B1A89">
        <w:rPr>
          <w:rFonts w:ascii="Arial" w:hAnsi="Arial"/>
          <w:sz w:val="22"/>
          <w:szCs w:val="22"/>
        </w:rPr>
        <w:t>se s povečevanjem velikosti KMG povečuje povprečna velikost GERK-ov</w:t>
      </w:r>
      <w:r w:rsidR="008074DA">
        <w:rPr>
          <w:rFonts w:ascii="Arial" w:hAnsi="Arial"/>
          <w:sz w:val="22"/>
          <w:szCs w:val="22"/>
        </w:rPr>
        <w:t xml:space="preserve"> in število GERK-ov</w:t>
      </w:r>
      <w:r w:rsidRPr="008B1A89">
        <w:rPr>
          <w:rFonts w:ascii="Arial" w:hAnsi="Arial"/>
          <w:sz w:val="22"/>
          <w:szCs w:val="22"/>
        </w:rPr>
        <w:t>,</w:t>
      </w:r>
    </w:p>
    <w:p w14:paraId="3FEFE213" w14:textId="0FD898AE" w:rsidR="00C00231" w:rsidRPr="00B80876" w:rsidRDefault="00C00231" w:rsidP="00B80876">
      <w:pPr>
        <w:pStyle w:val="Odstavekseznama"/>
        <w:numPr>
          <w:ilvl w:val="0"/>
          <w:numId w:val="141"/>
        </w:numPr>
        <w:spacing w:before="0" w:line="260" w:lineRule="atLeast"/>
        <w:ind w:left="357" w:hanging="357"/>
        <w:contextualSpacing/>
        <w:rPr>
          <w:rFonts w:ascii="Arial" w:hAnsi="Arial"/>
          <w:sz w:val="22"/>
          <w:szCs w:val="22"/>
        </w:rPr>
      </w:pPr>
      <w:r w:rsidRPr="00DA2C5A">
        <w:rPr>
          <w:rFonts w:ascii="Arial" w:hAnsi="Arial"/>
          <w:sz w:val="22"/>
          <w:szCs w:val="22"/>
        </w:rPr>
        <w:t>na KMG s sedežem KMG nad 600 m NMV raste povprečna velikost GERK-ov in pada število GERK-ov na KMG</w:t>
      </w:r>
      <w:r w:rsidRPr="00B80876">
        <w:rPr>
          <w:rFonts w:ascii="Arial" w:hAnsi="Arial"/>
          <w:sz w:val="22"/>
          <w:szCs w:val="22"/>
        </w:rPr>
        <w:t>,</w:t>
      </w:r>
    </w:p>
    <w:p w14:paraId="7F39FE2B" w14:textId="2A872A16" w:rsidR="007707B6" w:rsidRDefault="00C00231" w:rsidP="008074DA">
      <w:pPr>
        <w:pStyle w:val="Odstavekseznama"/>
        <w:numPr>
          <w:ilvl w:val="0"/>
          <w:numId w:val="141"/>
        </w:numPr>
        <w:spacing w:before="0" w:line="260" w:lineRule="atLeast"/>
        <w:ind w:left="357" w:hanging="357"/>
        <w:contextualSpacing/>
      </w:pPr>
      <w:r w:rsidRPr="008B1A89">
        <w:rPr>
          <w:rFonts w:ascii="Arial" w:hAnsi="Arial"/>
          <w:sz w:val="22"/>
          <w:szCs w:val="22"/>
        </w:rPr>
        <w:t>je največja povprečna velikost GERK-ov na območjih izven OMD, sledijo posebna območja (PO), hribovsko gorska</w:t>
      </w:r>
      <w:r w:rsidR="008074DA">
        <w:rPr>
          <w:rFonts w:ascii="Arial" w:hAnsi="Arial"/>
          <w:sz w:val="22"/>
          <w:szCs w:val="22"/>
        </w:rPr>
        <w:t xml:space="preserve"> območja (HGO) in druga območja</w:t>
      </w:r>
      <w:bookmarkStart w:id="119" w:name="_Ref54806914"/>
    </w:p>
    <w:p w14:paraId="55F3E676" w14:textId="77777777" w:rsidR="001551CF" w:rsidRDefault="001551CF" w:rsidP="008B1A89">
      <w:pPr>
        <w:pStyle w:val="SCslika"/>
      </w:pPr>
    </w:p>
    <w:p w14:paraId="2EFCEC63" w14:textId="5341356A" w:rsidR="00C00231" w:rsidRPr="00E155C1" w:rsidRDefault="00C00231" w:rsidP="008B1A89">
      <w:pPr>
        <w:pStyle w:val="SCslika"/>
        <w:rPr>
          <w:sz w:val="20"/>
        </w:rPr>
      </w:pPr>
      <w:bookmarkStart w:id="120" w:name="_Toc89851069"/>
      <w:r w:rsidRPr="00E155C1">
        <w:rPr>
          <w:sz w:val="20"/>
        </w:rPr>
        <w:t xml:space="preserve">Slika </w:t>
      </w:r>
      <w:r w:rsidR="00A87628" w:rsidRPr="00E155C1">
        <w:rPr>
          <w:sz w:val="20"/>
        </w:rPr>
        <w:fldChar w:fldCharType="begin"/>
      </w:r>
      <w:r w:rsidR="00A87628" w:rsidRPr="00E155C1">
        <w:rPr>
          <w:sz w:val="20"/>
        </w:rPr>
        <w:instrText xml:space="preserve"> SEQ Slika \* ARABIC </w:instrText>
      </w:r>
      <w:r w:rsidR="00A87628" w:rsidRPr="00E155C1">
        <w:rPr>
          <w:sz w:val="20"/>
        </w:rPr>
        <w:fldChar w:fldCharType="separate"/>
      </w:r>
      <w:r w:rsidR="00F25435">
        <w:rPr>
          <w:sz w:val="20"/>
        </w:rPr>
        <w:t>27</w:t>
      </w:r>
      <w:r w:rsidR="00A87628" w:rsidRPr="00E155C1">
        <w:rPr>
          <w:sz w:val="20"/>
        </w:rPr>
        <w:fldChar w:fldCharType="end"/>
      </w:r>
      <w:bookmarkEnd w:id="119"/>
      <w:r w:rsidRPr="00E155C1">
        <w:rPr>
          <w:sz w:val="20"/>
        </w:rPr>
        <w:t>: Št. GERK-ov na KMG in povprečna velikost GERK-ov glede na velikost KMG za celotno populacijo KMG za leto 2019, za Slovenijo (n= 89.167)</w:t>
      </w:r>
      <w:bookmarkEnd w:id="120"/>
    </w:p>
    <w:p w14:paraId="38056104"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drawing>
          <wp:inline distT="0" distB="0" distL="0" distR="0" wp14:anchorId="7E38D8D9" wp14:editId="65E3ED4C">
            <wp:extent cx="5760720" cy="2362200"/>
            <wp:effectExtent l="0" t="0" r="11430" b="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67A222" w14:textId="77777777" w:rsidR="00C00231" w:rsidRPr="00A609A1" w:rsidRDefault="00C00231" w:rsidP="00C00231">
      <w:pPr>
        <w:pStyle w:val="Vir"/>
      </w:pPr>
      <w:r w:rsidRPr="00A609A1">
        <w:t>Vir: MKGP [Sloj Gerk predtisk 2019]</w:t>
      </w:r>
    </w:p>
    <w:p w14:paraId="4D7BC0BB" w14:textId="77777777" w:rsidR="008B1A89" w:rsidRDefault="008B1A89" w:rsidP="008B1A89">
      <w:pPr>
        <w:pStyle w:val="SCslika"/>
      </w:pPr>
      <w:bookmarkStart w:id="121" w:name="_Ref54899584"/>
    </w:p>
    <w:p w14:paraId="525E296D" w14:textId="59AC679D" w:rsidR="00C00231" w:rsidRPr="00E155C1" w:rsidRDefault="00C00231" w:rsidP="008B1A89">
      <w:pPr>
        <w:pStyle w:val="SCslika"/>
        <w:rPr>
          <w:sz w:val="20"/>
        </w:rPr>
      </w:pPr>
      <w:bookmarkStart w:id="122" w:name="_Toc89851070"/>
      <w:r w:rsidRPr="00E155C1">
        <w:rPr>
          <w:sz w:val="20"/>
        </w:rPr>
        <w:t xml:space="preserve">Slika </w:t>
      </w:r>
      <w:r w:rsidR="00A87628" w:rsidRPr="00E155C1">
        <w:rPr>
          <w:sz w:val="20"/>
        </w:rPr>
        <w:fldChar w:fldCharType="begin"/>
      </w:r>
      <w:r w:rsidR="00A87628" w:rsidRPr="00E155C1">
        <w:rPr>
          <w:sz w:val="20"/>
        </w:rPr>
        <w:instrText xml:space="preserve"> SEQ Slika \* ARABIC </w:instrText>
      </w:r>
      <w:r w:rsidR="00A87628" w:rsidRPr="00E155C1">
        <w:rPr>
          <w:sz w:val="20"/>
        </w:rPr>
        <w:fldChar w:fldCharType="separate"/>
      </w:r>
      <w:r w:rsidR="00F25435">
        <w:rPr>
          <w:sz w:val="20"/>
        </w:rPr>
        <w:t>28</w:t>
      </w:r>
      <w:r w:rsidR="00A87628" w:rsidRPr="00E155C1">
        <w:rPr>
          <w:sz w:val="20"/>
        </w:rPr>
        <w:fldChar w:fldCharType="end"/>
      </w:r>
      <w:bookmarkEnd w:id="121"/>
      <w:r w:rsidRPr="00E155C1">
        <w:rPr>
          <w:sz w:val="20"/>
        </w:rPr>
        <w:t>: Št. GERK-ov na KMG in povprečna velikost GERK-ov glede na nadmorsko višino sedeža KMG, ki so oddali zbirno vlogo za leto 2019, za Slovenijo (n= 56.652)</w:t>
      </w:r>
      <w:bookmarkEnd w:id="122"/>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4894"/>
        <w:gridCol w:w="4168"/>
      </w:tblGrid>
      <w:tr w:rsidR="00C00231" w:rsidRPr="008A257D" w14:paraId="7A4BD91E" w14:textId="77777777" w:rsidTr="000F3AC4">
        <w:trPr>
          <w:trHeight w:val="4367"/>
        </w:trPr>
        <w:tc>
          <w:tcPr>
            <w:tcW w:w="4531" w:type="dxa"/>
          </w:tcPr>
          <w:p w14:paraId="01680EBF" w14:textId="77777777" w:rsidR="00C00231" w:rsidRPr="00A609A1" w:rsidRDefault="00C00231" w:rsidP="000F3AC4">
            <w:pPr>
              <w:ind w:left="357"/>
              <w:rPr>
                <w14:textOutline w14:w="9525" w14:cap="rnd" w14:cmpd="sng" w14:algn="ctr">
                  <w14:solidFill>
                    <w14:schemeClr w14:val="bg1">
                      <w14:lumMod w14:val="85000"/>
                    </w14:schemeClr>
                  </w14:solidFill>
                  <w14:prstDash w14:val="solid"/>
                  <w14:bevel/>
                </w14:textOutline>
              </w:rPr>
            </w:pPr>
            <w:r w:rsidRPr="0007362B">
              <w:rPr>
                <w:outline/>
                <w:noProof/>
                <w:color w:val="FFFFFF" w:themeColor="background1"/>
                <w:lang w:eastAsia="sl-SI"/>
                <w14:textOutline w14:w="9525" w14:cap="rnd" w14:cmpd="sng" w14:algn="ctr">
                  <w14:solidFill>
                    <w14:schemeClr w14:val="bg1">
                      <w14:lumMod w14:val="85000"/>
                    </w14:schemeClr>
                  </w14:solidFill>
                  <w14:prstDash w14:val="solid"/>
                  <w14:bevel/>
                </w14:textOutline>
                <w14:textFill>
                  <w14:noFill/>
                </w14:textFill>
              </w:rPr>
              <w:drawing>
                <wp:inline distT="0" distB="0" distL="0" distR="0" wp14:anchorId="74136F2C" wp14:editId="289CE0C6">
                  <wp:extent cx="2914650" cy="2476500"/>
                  <wp:effectExtent l="0" t="0" r="0" b="0"/>
                  <wp:docPr id="1631865544" name="Grafikon 1631865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31" w:type="dxa"/>
          </w:tcPr>
          <w:p w14:paraId="100A6831" w14:textId="77777777" w:rsidR="00C00231" w:rsidRPr="00A609A1" w:rsidRDefault="00C00231" w:rsidP="000F3AC4">
            <w:pPr>
              <w:rPr>
                <w14:textOutline w14:w="9525" w14:cap="rnd" w14:cmpd="sng" w14:algn="ctr">
                  <w14:solidFill>
                    <w14:schemeClr w14:val="bg1">
                      <w14:lumMod w14:val="85000"/>
                    </w14:schemeClr>
                  </w14:solidFill>
                  <w14:prstDash w14:val="solid"/>
                  <w14:bevel/>
                </w14:textOutline>
              </w:rPr>
            </w:pPr>
            <w:r w:rsidRPr="00A609A1">
              <w:rPr>
                <w:noProof/>
                <w:lang w:eastAsia="sl-SI"/>
                <w14:textOutline w14:w="9525" w14:cap="rnd" w14:cmpd="sng" w14:algn="ctr">
                  <w14:solidFill>
                    <w14:schemeClr w14:val="bg1">
                      <w14:lumMod w14:val="85000"/>
                    </w14:schemeClr>
                  </w14:solidFill>
                  <w14:prstDash w14:val="solid"/>
                  <w14:bevel/>
                </w14:textOutline>
              </w:rPr>
              <w:drawing>
                <wp:inline distT="0" distB="0" distL="0" distR="0" wp14:anchorId="2567D416" wp14:editId="1B4026C3">
                  <wp:extent cx="2654300" cy="2462985"/>
                  <wp:effectExtent l="0" t="0" r="0" b="0"/>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4AD55DE1" w14:textId="3F192776" w:rsidR="00C00231" w:rsidRDefault="00C00231" w:rsidP="00C00231">
      <w:pPr>
        <w:pStyle w:val="Vir"/>
      </w:pPr>
      <w:r w:rsidRPr="00A609A1">
        <w:t xml:space="preserve">Vir: MKGP [Sloj Gerk predtisk 2019, RKG nadmorske višine sedeža KMG, RKG površine v OMD], ARSKTRP – oddana zbirna vloga) </w:t>
      </w:r>
    </w:p>
    <w:p w14:paraId="430BBB6D" w14:textId="77777777" w:rsidR="008B1A89" w:rsidRPr="00A609A1" w:rsidRDefault="008B1A89" w:rsidP="00C00231">
      <w:pPr>
        <w:pStyle w:val="Vir"/>
      </w:pPr>
    </w:p>
    <w:p w14:paraId="767F5A46" w14:textId="08A5724A" w:rsidR="00C00231" w:rsidRDefault="00C00231" w:rsidP="008B1A89">
      <w:r w:rsidRPr="00A609A1">
        <w:t xml:space="preserve">Glede na tip kmetovanja, ki je bil zaradi pomanjkanja novejših podatkov določen na osnovi </w:t>
      </w:r>
      <w:r w:rsidRPr="003F5CF7">
        <w:t xml:space="preserve">Standardnega prihodka za leto 2014, so imela v letu 2015 v </w:t>
      </w:r>
      <w:r w:rsidRPr="00EE6FCB">
        <w:t>povprečju največje GERK-e perutninska KMG (1,67 ha), nekoliko manjše pa prašičerejska (0,94 ha) in mlekarska (0,79 ha) KMG</w:t>
      </w:r>
      <w:r w:rsidRPr="003F5CF7">
        <w:t xml:space="preserve">. </w:t>
      </w:r>
      <w:r w:rsidRPr="00EE6FCB">
        <w:t xml:space="preserve">Najmanjše povprečne velikosti GERK-ov so imela KMG z mešano rastlinsko pridelavo (0,32 ha) in trajnimi nasadi (0,35 ha) </w:t>
      </w:r>
      <w:r w:rsidRPr="003F5CF7">
        <w:t>(</w:t>
      </w:r>
      <w:r w:rsidR="001863D0" w:rsidRPr="001863D0">
        <w:fldChar w:fldCharType="begin"/>
      </w:r>
      <w:r w:rsidR="001863D0" w:rsidRPr="001863D0">
        <w:instrText xml:space="preserve"> REF _Ref54807028 \h </w:instrText>
      </w:r>
      <w:r w:rsidR="001863D0">
        <w:instrText xml:space="preserve"> \* MERGEFORMAT </w:instrText>
      </w:r>
      <w:r w:rsidR="001863D0" w:rsidRPr="001863D0">
        <w:fldChar w:fldCharType="separate"/>
      </w:r>
      <w:r w:rsidR="0088117A" w:rsidRPr="00A609A1">
        <w:t xml:space="preserve">Slika </w:t>
      </w:r>
      <w:r w:rsidR="0088117A">
        <w:rPr>
          <w:noProof/>
        </w:rPr>
        <w:t>28</w:t>
      </w:r>
      <w:r w:rsidR="001863D0" w:rsidRPr="001863D0">
        <w:fldChar w:fldCharType="end"/>
      </w:r>
      <w:r w:rsidR="001863D0">
        <w:t>)</w:t>
      </w:r>
      <w:r w:rsidRPr="003F5CF7">
        <w:t>.</w:t>
      </w:r>
    </w:p>
    <w:p w14:paraId="0B97C75E" w14:textId="77777777" w:rsidR="007707B6" w:rsidRPr="00A609A1" w:rsidRDefault="007707B6" w:rsidP="007613FE">
      <w:pPr>
        <w:spacing w:before="0" w:line="260" w:lineRule="atLeast"/>
        <w:rPr>
          <w:sz w:val="20"/>
          <w:szCs w:val="20"/>
        </w:rPr>
      </w:pPr>
    </w:p>
    <w:p w14:paraId="0EB731F5" w14:textId="194CDC31" w:rsidR="00C00231" w:rsidRPr="00E155C1" w:rsidRDefault="00C00231" w:rsidP="008B1A89">
      <w:pPr>
        <w:pStyle w:val="SCSlika0"/>
        <w:rPr>
          <w:sz w:val="20"/>
        </w:rPr>
      </w:pPr>
      <w:bookmarkStart w:id="123" w:name="_Ref54807028"/>
      <w:bookmarkStart w:id="124" w:name="_Toc89851071"/>
      <w:r w:rsidRPr="00E155C1">
        <w:rPr>
          <w:sz w:val="20"/>
        </w:rPr>
        <w:t xml:space="preserve">Slika </w:t>
      </w:r>
      <w:r w:rsidR="00A87628" w:rsidRPr="00E155C1">
        <w:rPr>
          <w:noProof/>
          <w:sz w:val="20"/>
        </w:rPr>
        <w:fldChar w:fldCharType="begin"/>
      </w:r>
      <w:r w:rsidR="00A87628" w:rsidRPr="00E155C1">
        <w:rPr>
          <w:noProof/>
          <w:sz w:val="20"/>
        </w:rPr>
        <w:instrText xml:space="preserve"> SEQ Slika \* ARABIC </w:instrText>
      </w:r>
      <w:r w:rsidR="00A87628" w:rsidRPr="00E155C1">
        <w:rPr>
          <w:noProof/>
          <w:sz w:val="20"/>
        </w:rPr>
        <w:fldChar w:fldCharType="separate"/>
      </w:r>
      <w:r w:rsidR="00F25435">
        <w:rPr>
          <w:noProof/>
          <w:sz w:val="20"/>
        </w:rPr>
        <w:t>29</w:t>
      </w:r>
      <w:r w:rsidR="00A87628" w:rsidRPr="00E155C1">
        <w:rPr>
          <w:noProof/>
          <w:sz w:val="20"/>
        </w:rPr>
        <w:fldChar w:fldCharType="end"/>
      </w:r>
      <w:bookmarkEnd w:id="123"/>
      <w:r w:rsidRPr="00E155C1">
        <w:rPr>
          <w:sz w:val="20"/>
        </w:rPr>
        <w:t>: Št. GERK-ov na KMG in povprečna velikost GERK-ov glede na združen tip kmetovanja iz Standardnega prihodka za leto 2014 in površin GERK-ov za leto 2015 (n=87.306)</w:t>
      </w:r>
      <w:bookmarkEnd w:id="124"/>
    </w:p>
    <w:p w14:paraId="250447AB"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drawing>
          <wp:inline distT="0" distB="0" distL="0" distR="0" wp14:anchorId="071BC75B" wp14:editId="4FBBB098">
            <wp:extent cx="5810250" cy="2743200"/>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A4843D4" w14:textId="0EE72711" w:rsidR="00C00231" w:rsidRPr="00FC7B0F" w:rsidRDefault="00C00231" w:rsidP="00C00231">
      <w:pPr>
        <w:rPr>
          <w:sz w:val="16"/>
          <w:szCs w:val="16"/>
        </w:rPr>
      </w:pPr>
      <w:r w:rsidRPr="00A609A1">
        <w:rPr>
          <w:sz w:val="16"/>
          <w:szCs w:val="16"/>
        </w:rPr>
        <w:t>Vir: MKGP [Sloj Gerk predtisk 2015, Standardni prihodek 2014]</w:t>
      </w:r>
    </w:p>
    <w:p w14:paraId="6349D1DC" w14:textId="77777777" w:rsidR="007707B6" w:rsidRDefault="007707B6" w:rsidP="007613FE">
      <w:pPr>
        <w:pStyle w:val="Odstavek1"/>
      </w:pPr>
    </w:p>
    <w:p w14:paraId="681CEB6F" w14:textId="77777777" w:rsidR="007707B6" w:rsidRDefault="00C00231" w:rsidP="007613FE">
      <w:pPr>
        <w:pStyle w:val="Odstavek1"/>
      </w:pPr>
      <w:r>
        <w:t>Razdrobljenost kmetijskih zemljišč se naslavlja s spodbujanjem in financiranjem izvajanja zemljiških operacij (komasacij in a</w:t>
      </w:r>
      <w:r>
        <w:rPr>
          <w:lang w:val="x-none"/>
        </w:rPr>
        <w:t>gromelioracij</w:t>
      </w:r>
      <w:r>
        <w:t xml:space="preserve">). </w:t>
      </w:r>
      <w:r w:rsidRPr="006A6FAF">
        <w:t xml:space="preserve">Komasacije </w:t>
      </w:r>
      <w:r>
        <w:t>so vrsta agrarnih operacij, s katerimi</w:t>
      </w:r>
      <w:r w:rsidRPr="00A609A1">
        <w:rPr>
          <w:color w:val="000000" w:themeColor="text1"/>
        </w:rPr>
        <w:t xml:space="preserve"> se z</w:t>
      </w:r>
      <w:r w:rsidRPr="00A609A1">
        <w:rPr>
          <w:color w:val="000000" w:themeColor="text1"/>
          <w:lang w:val="x-none"/>
        </w:rPr>
        <w:t>emljišča na določenem območju lahko zložijo in ponovno razdelijo med prejšnje lastnike tako, da dobi vsak čimbolj zaokrožena zemlji</w:t>
      </w:r>
      <w:r>
        <w:rPr>
          <w:color w:val="000000" w:themeColor="text1"/>
        </w:rPr>
        <w:t xml:space="preserve">šča. </w:t>
      </w:r>
      <w:r>
        <w:t>Pomemben zagon je izvajanju komasacij dal Program razvoja podeželja 2007–2013 (PRP 2007–2013). S</w:t>
      </w:r>
      <w:r w:rsidRPr="006A6FAF">
        <w:t xml:space="preserve"> pomočjo PRP 2007–2013 </w:t>
      </w:r>
      <w:r>
        <w:t xml:space="preserve">je bilo </w:t>
      </w:r>
      <w:r w:rsidRPr="006A6FAF">
        <w:t xml:space="preserve">komasiranih </w:t>
      </w:r>
      <w:r>
        <w:t>10.014</w:t>
      </w:r>
      <w:r w:rsidRPr="006A6FAF">
        <w:t xml:space="preserve"> ha kmetijskih zemljišč</w:t>
      </w:r>
      <w:r>
        <w:t>.</w:t>
      </w:r>
    </w:p>
    <w:p w14:paraId="215F14CD" w14:textId="67EC1CE2" w:rsidR="00C00231" w:rsidRDefault="00C00231" w:rsidP="007613FE">
      <w:pPr>
        <w:pStyle w:val="Odstavek1"/>
      </w:pPr>
      <w:r>
        <w:t xml:space="preserve"> </w:t>
      </w:r>
    </w:p>
    <w:p w14:paraId="57ADCED1" w14:textId="0B241955" w:rsidR="00C00231" w:rsidRPr="00E155C1" w:rsidRDefault="00C00231" w:rsidP="008B1A89">
      <w:pPr>
        <w:pStyle w:val="SCSlika0"/>
        <w:rPr>
          <w:sz w:val="20"/>
        </w:rPr>
      </w:pPr>
      <w:bookmarkStart w:id="125" w:name="_Toc89851072"/>
      <w:r w:rsidRPr="00E155C1">
        <w:rPr>
          <w:sz w:val="20"/>
          <w:lang w:val="en-GB"/>
        </w:rPr>
        <w:t xml:space="preserve">Slika </w:t>
      </w:r>
      <w:r w:rsidR="00072AFA" w:rsidRPr="00E155C1">
        <w:rPr>
          <w:noProof/>
          <w:sz w:val="20"/>
        </w:rPr>
        <w:fldChar w:fldCharType="begin"/>
      </w:r>
      <w:r w:rsidR="00072AFA" w:rsidRPr="00E155C1">
        <w:rPr>
          <w:noProof/>
          <w:sz w:val="20"/>
        </w:rPr>
        <w:instrText xml:space="preserve"> SEQ Slika \* ARABIC </w:instrText>
      </w:r>
      <w:r w:rsidR="00072AFA" w:rsidRPr="00E155C1">
        <w:rPr>
          <w:noProof/>
          <w:sz w:val="20"/>
        </w:rPr>
        <w:fldChar w:fldCharType="separate"/>
      </w:r>
      <w:r w:rsidR="00F25435">
        <w:rPr>
          <w:noProof/>
          <w:sz w:val="20"/>
        </w:rPr>
        <w:t>30</w:t>
      </w:r>
      <w:r w:rsidR="00072AFA" w:rsidRPr="00E155C1">
        <w:rPr>
          <w:noProof/>
          <w:sz w:val="20"/>
        </w:rPr>
        <w:fldChar w:fldCharType="end"/>
      </w:r>
      <w:r w:rsidRPr="00E155C1">
        <w:rPr>
          <w:sz w:val="20"/>
        </w:rPr>
        <w:t>: Prostorska razporeditev izvedenih komasacij v programskem obdobju 2007–2013</w:t>
      </w:r>
      <w:bookmarkEnd w:id="125"/>
    </w:p>
    <w:p w14:paraId="41E419AB" w14:textId="77777777" w:rsidR="00C00231" w:rsidRDefault="00C00231" w:rsidP="00C00231">
      <w:pPr>
        <w:pStyle w:val="Telobesedila"/>
        <w:rPr>
          <w:sz w:val="20"/>
        </w:rPr>
      </w:pPr>
      <w:r>
        <w:rPr>
          <w:noProof/>
          <w:sz w:val="20"/>
        </w:rPr>
        <w:drawing>
          <wp:inline distT="0" distB="0" distL="0" distR="0" wp14:anchorId="6E729C72" wp14:editId="3DE8AA77">
            <wp:extent cx="3924300" cy="3091716"/>
            <wp:effectExtent l="0" t="0" r="0" b="0"/>
            <wp:docPr id="1631865550" name="Slika 1631865550" descr="Lisec_Primozi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c_Primozic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9996" cy="3127717"/>
                    </a:xfrm>
                    <a:prstGeom prst="rect">
                      <a:avLst/>
                    </a:prstGeom>
                    <a:noFill/>
                    <a:ln>
                      <a:noFill/>
                    </a:ln>
                  </pic:spPr>
                </pic:pic>
              </a:graphicData>
            </a:graphic>
          </wp:inline>
        </w:drawing>
      </w:r>
    </w:p>
    <w:p w14:paraId="66B9849E" w14:textId="77777777" w:rsidR="00C00231" w:rsidRPr="009C1DF4" w:rsidRDefault="00C00231" w:rsidP="00C00231">
      <w:pPr>
        <w:autoSpaceDE w:val="0"/>
        <w:autoSpaceDN w:val="0"/>
        <w:adjustRightInd w:val="0"/>
        <w:spacing w:before="0"/>
        <w:rPr>
          <w:sz w:val="16"/>
          <w:szCs w:val="16"/>
        </w:rPr>
      </w:pPr>
      <w:r w:rsidRPr="00A7730B">
        <w:rPr>
          <w:sz w:val="16"/>
          <w:szCs w:val="16"/>
        </w:rPr>
        <w:t>Vir: MKGP</w:t>
      </w:r>
    </w:p>
    <w:p w14:paraId="762196E2" w14:textId="77777777" w:rsidR="00C00231" w:rsidRPr="009F3567" w:rsidRDefault="00C00231" w:rsidP="00C00231">
      <w:pPr>
        <w:autoSpaceDE w:val="0"/>
        <w:autoSpaceDN w:val="0"/>
        <w:adjustRightInd w:val="0"/>
        <w:spacing w:before="0"/>
        <w:rPr>
          <w:sz w:val="16"/>
          <w:szCs w:val="16"/>
        </w:rPr>
      </w:pPr>
      <w:r w:rsidRPr="009F3567">
        <w:rPr>
          <w:sz w:val="16"/>
          <w:szCs w:val="16"/>
        </w:rPr>
        <w:t>Op. Večina projektov v programskem obdobju 2014–2020 je še v teku, zato prostorskih podatkov ter analiz še ni mogoče izpeljati.</w:t>
      </w:r>
    </w:p>
    <w:p w14:paraId="79BB3969" w14:textId="77777777" w:rsidR="007707B6" w:rsidRDefault="007707B6" w:rsidP="007613FE">
      <w:pPr>
        <w:spacing w:before="0" w:line="260" w:lineRule="atLeast"/>
        <w:rPr>
          <w:sz w:val="20"/>
          <w:szCs w:val="20"/>
        </w:rPr>
      </w:pPr>
    </w:p>
    <w:p w14:paraId="01A6551D" w14:textId="2E021D7E" w:rsidR="00C00231" w:rsidRPr="00BB3F8A" w:rsidRDefault="00C00231" w:rsidP="008B1A89">
      <w:r>
        <w:t xml:space="preserve">S pomočjo PRP 2014–2020 so bile na komasacijskih območjih izvedene agromelioracije, in sicer na </w:t>
      </w:r>
      <w:r w:rsidRPr="006A6FAF">
        <w:t>3.</w:t>
      </w:r>
      <w:r w:rsidR="001E6F77">
        <w:t>631</w:t>
      </w:r>
      <w:r w:rsidRPr="006A6FAF">
        <w:t xml:space="preserve"> ha</w:t>
      </w:r>
      <w:r>
        <w:t xml:space="preserve"> (</w:t>
      </w:r>
      <w:r w:rsidR="001863D0">
        <w:t>stanje</w:t>
      </w:r>
      <w:r>
        <w:t xml:space="preserve"> 31.</w:t>
      </w:r>
      <w:r w:rsidRPr="006A6FAF">
        <w:t>12.20</w:t>
      </w:r>
      <w:r w:rsidR="001E6F77">
        <w:t>20</w:t>
      </w:r>
      <w:r>
        <w:t xml:space="preserve">). </w:t>
      </w:r>
      <w:r w:rsidRPr="00BB3F8A">
        <w:t>Agromelioracije izboljšujejo fizikalne, kemijske in biološke lastnosti tal ter izboljšujejo dostop na kmetijsko zemljišče.</w:t>
      </w:r>
    </w:p>
    <w:p w14:paraId="651BFA7F" w14:textId="1547FC10" w:rsidR="00C00231" w:rsidRPr="006A6FAF" w:rsidRDefault="00C00231" w:rsidP="008B1A89">
      <w:r w:rsidRPr="00A609A1">
        <w:t xml:space="preserve">Ker agromelioracije </w:t>
      </w:r>
      <w:r>
        <w:t>i</w:t>
      </w:r>
      <w:r w:rsidRPr="00A609A1">
        <w:t>n komasacije vodijo v združevanje lastniških</w:t>
      </w:r>
      <w:r w:rsidRPr="00153AA8">
        <w:t xml:space="preserve"> enot</w:t>
      </w:r>
      <w:r>
        <w:t xml:space="preserve">, lahko </w:t>
      </w:r>
      <w:r w:rsidRPr="00153AA8">
        <w:t>posledi</w:t>
      </w:r>
      <w:r>
        <w:t>č</w:t>
      </w:r>
      <w:r w:rsidRPr="00153AA8">
        <w:t xml:space="preserve">no </w:t>
      </w:r>
      <w:r>
        <w:t xml:space="preserve">prihaja do </w:t>
      </w:r>
      <w:r w:rsidRPr="00153AA8">
        <w:t>zmanjšanj</w:t>
      </w:r>
      <w:r>
        <w:t>a</w:t>
      </w:r>
      <w:r w:rsidRPr="00153AA8">
        <w:t xml:space="preserve"> mozai</w:t>
      </w:r>
      <w:r>
        <w:t xml:space="preserve">čnosti obdelave, krajinskih značilnosti…s tem pa do izgube biotske raznovrstnosti. </w:t>
      </w:r>
      <w:r w:rsidRPr="00A609A1">
        <w:rPr>
          <w:color w:val="000000" w:themeColor="text1"/>
        </w:rPr>
        <w:t xml:space="preserve">Z namenom upoštevanja okoljevarstva regulatorni okvir za uvajanje komasacij in agromelioracij </w:t>
      </w:r>
      <w:r>
        <w:rPr>
          <w:color w:val="000000" w:themeColor="text1"/>
        </w:rPr>
        <w:t xml:space="preserve">sicer </w:t>
      </w:r>
      <w:r w:rsidRPr="00A609A1">
        <w:rPr>
          <w:color w:val="000000" w:themeColor="text1"/>
        </w:rPr>
        <w:t>zahteva predhodn</w:t>
      </w:r>
      <w:r>
        <w:rPr>
          <w:color w:val="000000" w:themeColor="text1"/>
        </w:rPr>
        <w:t>o</w:t>
      </w:r>
      <w:r w:rsidRPr="00A609A1">
        <w:rPr>
          <w:color w:val="000000" w:themeColor="text1"/>
        </w:rPr>
        <w:t xml:space="preserve"> pridobitev ustreznih soglasij ali dovoljenj pristojnih organov</w:t>
      </w:r>
      <w:r>
        <w:rPr>
          <w:color w:val="000000" w:themeColor="text1"/>
        </w:rPr>
        <w:t>, in sicer zlasti, ko se</w:t>
      </w:r>
      <w:r w:rsidRPr="001C69AA">
        <w:rPr>
          <w:color w:val="000000" w:themeColor="text1"/>
        </w:rPr>
        <w:t xml:space="preserve"> </w:t>
      </w:r>
      <w:r w:rsidRPr="00A609A1">
        <w:rPr>
          <w:color w:val="000000" w:themeColor="text1"/>
        </w:rPr>
        <w:t>t</w:t>
      </w:r>
      <w:r>
        <w:rPr>
          <w:color w:val="000000" w:themeColor="text1"/>
        </w:rPr>
        <w:t>i</w:t>
      </w:r>
      <w:r w:rsidRPr="00A609A1">
        <w:rPr>
          <w:color w:val="000000" w:themeColor="text1"/>
        </w:rPr>
        <w:t xml:space="preserve"> poseg</w:t>
      </w:r>
      <w:r>
        <w:rPr>
          <w:color w:val="000000" w:themeColor="text1"/>
        </w:rPr>
        <w:t>i načrtujejo</w:t>
      </w:r>
      <w:r w:rsidRPr="00A609A1">
        <w:rPr>
          <w:color w:val="000000" w:themeColor="text1"/>
        </w:rPr>
        <w:t xml:space="preserve"> na območjih varovanj in omejitev po posebnih predpisih</w:t>
      </w:r>
      <w:r>
        <w:rPr>
          <w:color w:val="000000" w:themeColor="text1"/>
        </w:rPr>
        <w:t xml:space="preserve">. Kljub vsemu se kaže potreba po </w:t>
      </w:r>
      <w:r w:rsidRPr="00D55DDE">
        <w:rPr>
          <w:color w:val="000000" w:themeColor="text1"/>
        </w:rPr>
        <w:t>konceptualn</w:t>
      </w:r>
      <w:r>
        <w:rPr>
          <w:color w:val="000000" w:themeColor="text1"/>
        </w:rPr>
        <w:t>i zasnovi komasacij in agromelioracij na način</w:t>
      </w:r>
      <w:r w:rsidRPr="00D55DDE">
        <w:rPr>
          <w:color w:val="000000" w:themeColor="text1"/>
        </w:rPr>
        <w:t>, da bi omogočale ohranjanje krajinskih značilnosti in vzpostavljanje zelene arhitekture.</w:t>
      </w:r>
    </w:p>
    <w:p w14:paraId="7D65C67B" w14:textId="77777777" w:rsidR="00C00231" w:rsidRDefault="00C00231" w:rsidP="007613FE">
      <w:pPr>
        <w:spacing w:before="0" w:line="260" w:lineRule="atLeast"/>
        <w:rPr>
          <w:sz w:val="20"/>
          <w:szCs w:val="20"/>
        </w:rPr>
      </w:pPr>
      <w:bookmarkStart w:id="126" w:name="_Toc50099633"/>
    </w:p>
    <w:p w14:paraId="447C5B03" w14:textId="77777777" w:rsidR="00C00231" w:rsidRPr="008B1A89" w:rsidRDefault="00C00231" w:rsidP="005B2A49">
      <w:pPr>
        <w:pStyle w:val="Naslov2"/>
      </w:pPr>
      <w:bookmarkStart w:id="127" w:name="_Toc90462229"/>
      <w:r w:rsidRPr="008B1A89">
        <w:t>Dostop do kmetijskih zemljišč</w:t>
      </w:r>
      <w:bookmarkEnd w:id="126"/>
      <w:bookmarkEnd w:id="127"/>
    </w:p>
    <w:p w14:paraId="31E2327F" w14:textId="77777777" w:rsidR="00D910CE" w:rsidRPr="008B1A89" w:rsidRDefault="00D910CE" w:rsidP="007613FE">
      <w:pPr>
        <w:spacing w:before="0" w:line="260" w:lineRule="atLeast"/>
        <w:rPr>
          <w:szCs w:val="20"/>
        </w:rPr>
      </w:pPr>
      <w:bookmarkStart w:id="128" w:name="_Toc42320906"/>
      <w:bookmarkStart w:id="129" w:name="_Toc42322016"/>
      <w:bookmarkStart w:id="130" w:name="_Toc46412208"/>
      <w:bookmarkStart w:id="131" w:name="_Toc46479423"/>
      <w:bookmarkStart w:id="132" w:name="_Toc42320907"/>
      <w:bookmarkStart w:id="133" w:name="_Toc42322017"/>
      <w:bookmarkStart w:id="134" w:name="_Toc46412209"/>
      <w:bookmarkStart w:id="135" w:name="_Toc46479424"/>
      <w:bookmarkStart w:id="136" w:name="_Toc42320908"/>
      <w:bookmarkStart w:id="137" w:name="_Toc42322018"/>
      <w:bookmarkStart w:id="138" w:name="_Toc46412210"/>
      <w:bookmarkStart w:id="139" w:name="_Toc46479425"/>
      <w:bookmarkStart w:id="140" w:name="_Toc42320915"/>
      <w:bookmarkStart w:id="141" w:name="_Toc42322025"/>
      <w:bookmarkStart w:id="142" w:name="_Toc46412211"/>
      <w:bookmarkStart w:id="143" w:name="_Toc4647942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1BC6584" w14:textId="22323148" w:rsidR="00C00231" w:rsidRPr="008B1A89" w:rsidRDefault="00C00231" w:rsidP="007613FE">
      <w:pPr>
        <w:spacing w:before="0" w:line="260" w:lineRule="atLeast"/>
        <w:rPr>
          <w:szCs w:val="20"/>
        </w:rPr>
      </w:pPr>
      <w:r w:rsidRPr="008B1A89">
        <w:rPr>
          <w:szCs w:val="20"/>
        </w:rPr>
        <w:t xml:space="preserve">Razpoložljive površine kmetijskih zemljišč so temeljno proizvajalno sredstvo na kmetijskem gospodarstvu, ki pa je v Sloveniji dostopno v izrazito omejenem obsegu. Velik del teh zemljišč se – kot že omenjeno </w:t>
      </w:r>
      <w:r w:rsidR="00F20823">
        <w:rPr>
          <w:szCs w:val="20"/>
        </w:rPr>
        <w:t>v predhodnih poglavjih in pa v analizi stanja za cilj 1</w:t>
      </w:r>
      <w:r w:rsidRPr="008B1A89">
        <w:rPr>
          <w:szCs w:val="20"/>
        </w:rPr>
        <w:t>– nahaja na OMD, kar pojasnjuje velik delež trajnega travinja v strukturi kmetijske rabe. Najbolj produktivna njivska zemljišča se koncentrirajo v ožjih ravninskih predelih in zlasti na SV Slovenije, pri tem pa se kmetijstvo v prostoru srečuje s pritiski in interesi drugih gospodarskih sektorjev (npr. razvoj prometne infrastrukture, gradnja naselij…).</w:t>
      </w:r>
    </w:p>
    <w:p w14:paraId="30AFC8C9" w14:textId="77777777" w:rsidR="00D910CE" w:rsidRPr="008B1A89" w:rsidRDefault="00D910CE" w:rsidP="007613FE">
      <w:pPr>
        <w:spacing w:before="0" w:line="260" w:lineRule="atLeast"/>
        <w:rPr>
          <w:szCs w:val="20"/>
        </w:rPr>
      </w:pPr>
    </w:p>
    <w:p w14:paraId="638F7A94" w14:textId="3DAB74F2" w:rsidR="00C00231" w:rsidRPr="008B1A89" w:rsidRDefault="00C00231" w:rsidP="007613FE">
      <w:pPr>
        <w:spacing w:before="0" w:line="260" w:lineRule="atLeast"/>
        <w:rPr>
          <w:szCs w:val="20"/>
        </w:rPr>
      </w:pPr>
      <w:r w:rsidRPr="008B1A89">
        <w:rPr>
          <w:szCs w:val="20"/>
        </w:rPr>
        <w:t xml:space="preserve">Po podatkih SURS (2016) so kmetijska zemljišča v letu 2016 pokrivala 476.682 ha (okoli 35 % površine Slovenije). Vrednostno predstavljajo nekaj manj kot 6 % slovenskega nepremičninskega fonda oziroma 8,6 </w:t>
      </w:r>
      <w:r w:rsidR="00D53725" w:rsidRPr="008B1A89">
        <w:rPr>
          <w:szCs w:val="20"/>
        </w:rPr>
        <w:t>mrd</w:t>
      </w:r>
      <w:r w:rsidRPr="008B1A89">
        <w:rPr>
          <w:szCs w:val="20"/>
        </w:rPr>
        <w:t xml:space="preserve"> EUR</w:t>
      </w:r>
      <w:r w:rsidR="00D53725" w:rsidRPr="008B1A89">
        <w:rPr>
          <w:szCs w:val="20"/>
        </w:rPr>
        <w:t>.</w:t>
      </w:r>
    </w:p>
    <w:p w14:paraId="75B247D2" w14:textId="77777777" w:rsidR="00D910CE" w:rsidRPr="008B1A89" w:rsidRDefault="00D910CE" w:rsidP="007613FE">
      <w:pPr>
        <w:spacing w:before="0" w:line="260" w:lineRule="atLeast"/>
        <w:rPr>
          <w:szCs w:val="20"/>
        </w:rPr>
      </w:pPr>
    </w:p>
    <w:p w14:paraId="125E62E6" w14:textId="6C556816" w:rsidR="00C00231" w:rsidRPr="008B1A89" w:rsidRDefault="00C00231" w:rsidP="007613FE">
      <w:pPr>
        <w:spacing w:before="0" w:line="260" w:lineRule="atLeast"/>
        <w:rPr>
          <w:szCs w:val="20"/>
        </w:rPr>
      </w:pPr>
      <w:r w:rsidRPr="008B1A89">
        <w:rPr>
          <w:szCs w:val="20"/>
        </w:rPr>
        <w:t>Trg kmetijskih zemljišč je v Sloveniji delno reguliran, saj zakonodaja zanje določa javno objavo prodajnih ponudb in predkupno pravico subjektov. Na tak način se omejuje nakupe kupcev, ki ne opravljajo kmetijske dejavnosti in kmetijskih zemljišč ne kupujejo za njihovo osnovno rabo, temveč za druge, bodisi špekulativne, naložbene ali rekreativne namene in so za njih pripravljeni plačati tudi višjo ceno. Taka regulacija omogoča konkurenco kmetov za kmetijska zemljišča, ki se bodo kot taka tudi dejansko uporabljala.</w:t>
      </w:r>
    </w:p>
    <w:p w14:paraId="238705BC" w14:textId="77777777" w:rsidR="00D910CE" w:rsidRPr="008B1A89" w:rsidRDefault="00D910CE" w:rsidP="007613FE">
      <w:pPr>
        <w:spacing w:before="0" w:line="260" w:lineRule="atLeast"/>
        <w:rPr>
          <w:szCs w:val="20"/>
        </w:rPr>
      </w:pPr>
    </w:p>
    <w:p w14:paraId="4A04D0F2" w14:textId="77777777" w:rsidR="00C00231" w:rsidRPr="008B1A89" w:rsidRDefault="00C00231" w:rsidP="007613FE">
      <w:pPr>
        <w:spacing w:before="0" w:line="260" w:lineRule="atLeast"/>
        <w:rPr>
          <w:szCs w:val="20"/>
        </w:rPr>
      </w:pPr>
      <w:r w:rsidRPr="008B1A89">
        <w:rPr>
          <w:szCs w:val="20"/>
        </w:rPr>
        <w:t xml:space="preserve">V Sloveniji je bil v obdobju od leta 2011 do 2019 prisoten močan trend rasti obsega trgovanja z zemljišči na splošno, kar je bila posledica gospodarske rasti in rasti nepremičninskega trga v tem obdobju.  </w:t>
      </w:r>
      <w:r w:rsidRPr="008B1A89">
        <w:rPr>
          <w:szCs w:val="20"/>
          <w:lang w:val="en-GB"/>
        </w:rPr>
        <w:t>Na povpraševanje in ponudbo na trgu kmetijskih zemljišč najbolj vplivajo regionalni, naravno pogojeni dejavniki, kot so mikroklima, konfiguracija terena, kakovost prsti in podobno.</w:t>
      </w:r>
    </w:p>
    <w:p w14:paraId="35D0A104" w14:textId="77777777" w:rsidR="00C00231" w:rsidRDefault="00C00231" w:rsidP="007613FE">
      <w:pPr>
        <w:spacing w:before="0" w:line="260" w:lineRule="atLeast"/>
        <w:rPr>
          <w:sz w:val="20"/>
          <w:szCs w:val="20"/>
        </w:rPr>
      </w:pPr>
    </w:p>
    <w:p w14:paraId="1FBDECC6" w14:textId="7D5FCF65" w:rsidR="00C00231" w:rsidRPr="00E155C1" w:rsidRDefault="00C00231" w:rsidP="008B1A89">
      <w:pPr>
        <w:pStyle w:val="SCSlika0"/>
        <w:rPr>
          <w:sz w:val="20"/>
        </w:rPr>
      </w:pPr>
      <w:bookmarkStart w:id="144" w:name="_Toc89851073"/>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Pr>
          <w:noProof/>
          <w:sz w:val="20"/>
        </w:rPr>
        <w:t>31</w:t>
      </w:r>
      <w:r w:rsidR="009F2591" w:rsidRPr="00E155C1">
        <w:rPr>
          <w:noProof/>
          <w:sz w:val="20"/>
        </w:rPr>
        <w:fldChar w:fldCharType="end"/>
      </w:r>
      <w:r w:rsidRPr="00E155C1">
        <w:rPr>
          <w:sz w:val="20"/>
        </w:rPr>
        <w:t>: Evidentirano število kupoprodaj in prodane površine za kmetijska in gozdna zemljišča (v hektarih), Slovenija, 2011–2019</w:t>
      </w:r>
      <w:bookmarkEnd w:id="144"/>
    </w:p>
    <w:p w14:paraId="543124FF" w14:textId="36A5D446" w:rsidR="00C00231" w:rsidRDefault="00C00231" w:rsidP="00C00231">
      <w:pPr>
        <w:rPr>
          <w:sz w:val="20"/>
          <w:szCs w:val="20"/>
        </w:rPr>
      </w:pPr>
      <w:r>
        <w:rPr>
          <w:noProof/>
          <w:lang w:eastAsia="sl-SI"/>
        </w:rPr>
        <w:drawing>
          <wp:inline distT="0" distB="0" distL="0" distR="0" wp14:anchorId="21E0642F" wp14:editId="38702775">
            <wp:extent cx="5760720" cy="2439670"/>
            <wp:effectExtent l="0" t="0" r="11430" b="17780"/>
            <wp:docPr id="1631865592" name="Grafikon 1631865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6525E5" w14:textId="77777777" w:rsidR="00C00231" w:rsidRPr="00AC0C12" w:rsidRDefault="00C00231" w:rsidP="00C00231">
      <w:pPr>
        <w:rPr>
          <w:sz w:val="16"/>
          <w:szCs w:val="16"/>
        </w:rPr>
      </w:pPr>
      <w:r w:rsidRPr="00AC0C12">
        <w:rPr>
          <w:sz w:val="16"/>
          <w:szCs w:val="16"/>
        </w:rPr>
        <w:t>Vir: Periodična poročila o slovenskem trgu nepremičnin</w:t>
      </w:r>
      <w:r>
        <w:rPr>
          <w:sz w:val="16"/>
          <w:szCs w:val="16"/>
        </w:rPr>
        <w:t>.</w:t>
      </w:r>
      <w:r w:rsidRPr="00AC0C12">
        <w:rPr>
          <w:sz w:val="16"/>
          <w:szCs w:val="16"/>
        </w:rPr>
        <w:t xml:space="preserve"> </w:t>
      </w:r>
      <w:r>
        <w:rPr>
          <w:sz w:val="16"/>
          <w:szCs w:val="16"/>
        </w:rPr>
        <w:t>D</w:t>
      </w:r>
      <w:r w:rsidRPr="00AC0C12">
        <w:rPr>
          <w:sz w:val="16"/>
          <w:szCs w:val="16"/>
        </w:rPr>
        <w:t xml:space="preserve">ostopno na: </w:t>
      </w:r>
      <w:hyperlink r:id="rId54" w:history="1">
        <w:r w:rsidRPr="00AC0C12">
          <w:rPr>
            <w:sz w:val="16"/>
            <w:szCs w:val="16"/>
          </w:rPr>
          <w:t>http://www.trgnepremicnin.si/sl/vsebine-portala/periodicna-porocila</w:t>
        </w:r>
      </w:hyperlink>
      <w:r w:rsidRPr="00AC0C12">
        <w:rPr>
          <w:sz w:val="16"/>
          <w:szCs w:val="16"/>
        </w:rPr>
        <w:t>. Op. Podatki o površini prodanih kmetijskih oz. gozdnih zemljišč v letu 2011 niso podani.</w:t>
      </w:r>
    </w:p>
    <w:p w14:paraId="25C0F6DB" w14:textId="77777777" w:rsidR="00CC740A" w:rsidRDefault="00CC740A" w:rsidP="007613FE">
      <w:pPr>
        <w:spacing w:before="0" w:line="260" w:lineRule="atLeast"/>
        <w:rPr>
          <w:sz w:val="20"/>
          <w:szCs w:val="20"/>
        </w:rPr>
      </w:pPr>
    </w:p>
    <w:p w14:paraId="4F6BCB89" w14:textId="0E0FC668" w:rsidR="00C00231" w:rsidRPr="008B1A89" w:rsidRDefault="00C00231" w:rsidP="007613FE">
      <w:pPr>
        <w:spacing w:before="0" w:line="260" w:lineRule="atLeast"/>
        <w:rPr>
          <w:szCs w:val="20"/>
        </w:rPr>
      </w:pPr>
      <w:r w:rsidRPr="008B1A89">
        <w:rPr>
          <w:szCs w:val="20"/>
        </w:rPr>
        <w:t>Največ kupoprodaj kmetijskih zemljišč se izvede na pomurskem območju, kjer je gostota kmetijskih zemljišč največja in tudi sicer predstavlja najbolj agrarno območje v državi. Kmetijska zemljišča v Sloveniji so leta 2019 dosegla rekordno ceno, povprečna cena kmetijskega zemljišča je znašala 1,56 EUR/m</w:t>
      </w:r>
      <w:r w:rsidRPr="008B1A89">
        <w:rPr>
          <w:szCs w:val="20"/>
          <w:vertAlign w:val="superscript"/>
        </w:rPr>
        <w:t>2</w:t>
      </w:r>
      <w:r w:rsidRPr="008B1A89">
        <w:rPr>
          <w:szCs w:val="20"/>
        </w:rPr>
        <w:t xml:space="preserve"> in je bila v primerjavi z letom 2015 višja za 11 %.</w:t>
      </w:r>
      <w:r w:rsidRPr="008B1A89">
        <w:rPr>
          <w:sz w:val="24"/>
        </w:rPr>
        <w:t xml:space="preserve"> </w:t>
      </w:r>
      <w:r w:rsidRPr="008B1A89">
        <w:rPr>
          <w:rStyle w:val="A7"/>
          <w:sz w:val="22"/>
          <w:szCs w:val="20"/>
        </w:rPr>
        <w:t>(</w:t>
      </w:r>
      <w:r w:rsidRPr="008B1A89">
        <w:rPr>
          <w:szCs w:val="20"/>
        </w:rPr>
        <w:t xml:space="preserve">Geodetska uprava Republike Slovenije, 2020). </w:t>
      </w:r>
    </w:p>
    <w:p w14:paraId="0E3B3310" w14:textId="77777777" w:rsidR="00CC740A" w:rsidRPr="008B1A89" w:rsidRDefault="00CC740A" w:rsidP="007613FE">
      <w:pPr>
        <w:spacing w:before="0" w:line="260" w:lineRule="atLeast"/>
        <w:rPr>
          <w:szCs w:val="20"/>
        </w:rPr>
      </w:pPr>
    </w:p>
    <w:p w14:paraId="756C1EA8" w14:textId="77777777" w:rsidR="00C00231" w:rsidRPr="008B1A89" w:rsidRDefault="00C00231" w:rsidP="007613FE">
      <w:pPr>
        <w:pStyle w:val="Pripombabesedilo"/>
        <w:spacing w:before="0" w:line="260" w:lineRule="atLeast"/>
        <w:rPr>
          <w:rFonts w:ascii="Arial" w:hAnsi="Arial"/>
          <w:sz w:val="22"/>
        </w:rPr>
      </w:pPr>
      <w:r w:rsidRPr="008B1A89">
        <w:rPr>
          <w:rFonts w:ascii="Arial" w:hAnsi="Arial"/>
          <w:sz w:val="22"/>
        </w:rPr>
        <w:t>Povprečna cena njiv v Sloveniji, ki so bile prodane v letu 2019, je znašala 18.752 EUR/ha, povprečna cena trajnih travnikov in pašnikov pa 18.015 EUR/ha. (SURS, 2020)</w:t>
      </w:r>
    </w:p>
    <w:p w14:paraId="40E5330E" w14:textId="77777777" w:rsidR="00CC740A" w:rsidRPr="008B1A89" w:rsidRDefault="00CC740A" w:rsidP="007613FE">
      <w:pPr>
        <w:spacing w:before="0" w:line="260" w:lineRule="atLeast"/>
        <w:rPr>
          <w:szCs w:val="20"/>
        </w:rPr>
      </w:pPr>
    </w:p>
    <w:p w14:paraId="4FE115B5" w14:textId="3A134F34" w:rsidR="00C00231" w:rsidRPr="008B1A89" w:rsidRDefault="00C00231" w:rsidP="007613FE">
      <w:pPr>
        <w:spacing w:before="0" w:line="260" w:lineRule="atLeast"/>
        <w:rPr>
          <w:szCs w:val="20"/>
        </w:rPr>
      </w:pPr>
      <w:r w:rsidRPr="008B1A89">
        <w:rPr>
          <w:szCs w:val="20"/>
        </w:rPr>
        <w:t>Iz raziskave (</w:t>
      </w:r>
      <w:r w:rsidRPr="008B1A89">
        <w:rPr>
          <w:i/>
          <w:szCs w:val="20"/>
        </w:rPr>
        <w:t>fi compass</w:t>
      </w:r>
      <w:r w:rsidRPr="008B1A89">
        <w:rPr>
          <w:szCs w:val="20"/>
        </w:rPr>
        <w:t>, 2020) je razvidno, da dostop do zemlje predstavlja težavo slovenskim kmetijskim gospodarstvom, s čimer lahko vsaj delno pojasnimo rast cen kmetijskih zemljišč v zadnjih letih.</w:t>
      </w:r>
    </w:p>
    <w:p w14:paraId="11D24287" w14:textId="77777777" w:rsidR="00CC740A" w:rsidRPr="008B1A89" w:rsidRDefault="00CC740A" w:rsidP="007613FE">
      <w:pPr>
        <w:spacing w:before="0" w:line="260" w:lineRule="atLeast"/>
        <w:rPr>
          <w:szCs w:val="20"/>
        </w:rPr>
      </w:pPr>
    </w:p>
    <w:p w14:paraId="3E73FF6D" w14:textId="438125A9" w:rsidR="0036007A" w:rsidRPr="008B1A89" w:rsidRDefault="00C00231" w:rsidP="007613FE">
      <w:pPr>
        <w:pStyle w:val="Pripombabesedilo"/>
        <w:spacing w:before="0" w:line="260" w:lineRule="atLeast"/>
        <w:rPr>
          <w:rFonts w:ascii="Arial" w:hAnsi="Arial"/>
          <w:sz w:val="22"/>
        </w:rPr>
      </w:pPr>
      <w:r w:rsidRPr="008B1A89">
        <w:rPr>
          <w:rFonts w:ascii="Arial" w:hAnsi="Arial"/>
          <w:sz w:val="22"/>
        </w:rPr>
        <w:t>Tudi druge raziskave (Potočnik Slavič et al, 2017) kažejo, da problem dostopnosti ustreznih kmetijskih površin na ravni individualne kmetije postaja vse bolj akuten problem slovenskega kmeta. V strukturi KZU najeta zemljišča namreč predstavljajo kar tretjino vseh KZU.</w:t>
      </w:r>
      <w:r w:rsidR="0036007A" w:rsidRPr="008B1A89">
        <w:rPr>
          <w:rFonts w:ascii="Arial" w:hAnsi="Arial"/>
          <w:sz w:val="22"/>
        </w:rPr>
        <w:t xml:space="preserve"> Načrtovanje razvoja dejavnosti na ravni kmetije je v takšnih razmerah, ko kmet nima zagotovljenega osnovnega pridelovalnega vira (ustreznih površin zemljišč)</w:t>
      </w:r>
      <w:r w:rsidR="00CC740A" w:rsidRPr="008B1A89">
        <w:rPr>
          <w:rFonts w:ascii="Arial" w:hAnsi="Arial"/>
          <w:sz w:val="22"/>
        </w:rPr>
        <w:t>,</w:t>
      </w:r>
      <w:r w:rsidR="0036007A" w:rsidRPr="008B1A89">
        <w:rPr>
          <w:rFonts w:ascii="Arial" w:hAnsi="Arial"/>
          <w:sz w:val="22"/>
        </w:rPr>
        <w:t xml:space="preserve"> veliko bolj tvegano. </w:t>
      </w:r>
    </w:p>
    <w:p w14:paraId="580C09A9" w14:textId="77777777" w:rsidR="00CC740A" w:rsidRPr="008B1A89" w:rsidRDefault="00CC740A" w:rsidP="007613FE">
      <w:pPr>
        <w:pStyle w:val="Pripombabesedilo"/>
        <w:spacing w:before="0" w:line="260" w:lineRule="atLeast"/>
        <w:rPr>
          <w:rFonts w:ascii="Arial" w:hAnsi="Arial"/>
          <w:sz w:val="22"/>
        </w:rPr>
      </w:pPr>
    </w:p>
    <w:p w14:paraId="7597995F" w14:textId="7DAFB051" w:rsidR="00C00231" w:rsidRPr="008B1A89" w:rsidRDefault="00C00231" w:rsidP="007613FE">
      <w:pPr>
        <w:pStyle w:val="Pripombabesedilo"/>
        <w:spacing w:before="0" w:line="260" w:lineRule="atLeast"/>
        <w:rPr>
          <w:rFonts w:ascii="Arial" w:hAnsi="Arial"/>
          <w:sz w:val="22"/>
          <w:lang w:eastAsia="sl-SI"/>
        </w:rPr>
      </w:pPr>
      <w:r w:rsidRPr="008B1A89">
        <w:rPr>
          <w:rFonts w:ascii="Arial" w:hAnsi="Arial"/>
          <w:sz w:val="22"/>
        </w:rPr>
        <w:t xml:space="preserve">Možnosti najema kmetijskih zemljišč se med regijami pomembno razlikujejo. Medtem ko kmetijska gospodarstva v Zasavski in Koroški regiji pretežno kmetujejo na lastnih zemljiščih, </w:t>
      </w:r>
      <w:r w:rsidRPr="008B1A89">
        <w:rPr>
          <w:rFonts w:ascii="Arial" w:hAnsi="Arial"/>
          <w:sz w:val="22"/>
          <w:lang w:eastAsia="sl-SI"/>
        </w:rPr>
        <w:t xml:space="preserve">pa kmetijsko najpomembnejša Pomurska regija, ki poleg Podravske in Savinjske regije razpolaga z največjim obsegom KZU, izrazito odstopa po visokem deležu KZU v najemu (39 %). V Obalno-kraški regiji je delež kmetijskih zemljišč v najemu najvišji med vsemi slovenskimi regijami (43 %). </w:t>
      </w:r>
      <w:r w:rsidR="0070241B" w:rsidRPr="008B1A89">
        <w:rPr>
          <w:rFonts w:ascii="Arial" w:hAnsi="Arial"/>
          <w:sz w:val="22"/>
        </w:rPr>
        <w:t>(Potočnik Slavič et al, 2017)</w:t>
      </w:r>
    </w:p>
    <w:p w14:paraId="3FA134CD" w14:textId="77777777" w:rsidR="00CC740A" w:rsidRPr="008B1A89" w:rsidRDefault="00CC740A" w:rsidP="007613FE">
      <w:pPr>
        <w:pStyle w:val="Pripombabesedilo"/>
        <w:spacing w:before="0" w:line="260" w:lineRule="atLeast"/>
        <w:rPr>
          <w:rFonts w:ascii="Arial" w:hAnsi="Arial"/>
          <w:sz w:val="22"/>
        </w:rPr>
      </w:pPr>
    </w:p>
    <w:p w14:paraId="5135FD95" w14:textId="2449D5F1" w:rsidR="007B5768" w:rsidRPr="008B1A89" w:rsidRDefault="00C00231" w:rsidP="007613FE">
      <w:pPr>
        <w:pStyle w:val="Pripombabesedilo"/>
        <w:spacing w:before="0" w:line="260" w:lineRule="atLeast"/>
        <w:rPr>
          <w:rFonts w:ascii="Arial" w:hAnsi="Arial"/>
          <w:sz w:val="22"/>
        </w:rPr>
      </w:pPr>
      <w:r w:rsidRPr="008B1A89">
        <w:rPr>
          <w:rFonts w:ascii="Arial" w:hAnsi="Arial"/>
          <w:sz w:val="22"/>
        </w:rPr>
        <w:t xml:space="preserve">Povprečna letna zakupnina za njive ter trajne travnike in pašnike je v 2019 znašala 141,05 EUR/ha in je bila za 1,8 % višja kot leta 2015. (SURS, 2020). </w:t>
      </w:r>
      <w:r w:rsidR="007B5768" w:rsidRPr="008B1A89">
        <w:rPr>
          <w:rFonts w:ascii="Arial" w:hAnsi="Arial"/>
          <w:sz w:val="22"/>
        </w:rPr>
        <w:t xml:space="preserve">Največ zakupa se opravi preko Sklada kmetijskih zemljišč in gozdov RS, ki ima za 52.365 ha sklenjenih zakupnih pogodb.   </w:t>
      </w:r>
    </w:p>
    <w:p w14:paraId="084464DD" w14:textId="77777777" w:rsidR="00CC740A" w:rsidRPr="008B1A89" w:rsidRDefault="00CC740A" w:rsidP="007613FE">
      <w:pPr>
        <w:spacing w:before="0" w:line="260" w:lineRule="atLeast"/>
        <w:rPr>
          <w:szCs w:val="20"/>
        </w:rPr>
      </w:pPr>
    </w:p>
    <w:p w14:paraId="1E2DFD9F" w14:textId="34F07850" w:rsidR="007B5768" w:rsidRPr="008B1A89" w:rsidRDefault="007B5768" w:rsidP="007613FE">
      <w:pPr>
        <w:spacing w:before="0" w:line="260" w:lineRule="atLeast"/>
        <w:rPr>
          <w:szCs w:val="20"/>
        </w:rPr>
      </w:pPr>
      <w:r w:rsidRPr="008B1A89">
        <w:rPr>
          <w:szCs w:val="20"/>
        </w:rPr>
        <w:t>Velika ovira pri upravljanju s kmetijskimi zemljišči (zakup, nakup, prodaja) je tudi solastnina kmetijskih zemljišč. Velik del solastnine nastaja v postopkih dedovanja kmetijskih gospodarstev ter v postopkih denacionalizacije. Tako prihajamo do primerov, kjer je na posamezni zemljiški parceli tudi po več kot 100 solastnikov.</w:t>
      </w:r>
    </w:p>
    <w:p w14:paraId="0C80651E" w14:textId="77777777" w:rsidR="007B5768" w:rsidRDefault="007B5768" w:rsidP="007613FE">
      <w:pPr>
        <w:spacing w:before="0" w:line="260" w:lineRule="atLeast"/>
        <w:rPr>
          <w:sz w:val="20"/>
          <w:szCs w:val="20"/>
        </w:rPr>
      </w:pPr>
    </w:p>
    <w:p w14:paraId="728DD817" w14:textId="77777777" w:rsidR="00C00231" w:rsidRPr="00304C05" w:rsidRDefault="00C00231" w:rsidP="005B2A49">
      <w:pPr>
        <w:pStyle w:val="Naslov2"/>
      </w:pPr>
      <w:bookmarkStart w:id="145" w:name="_Toc90462230"/>
      <w:r w:rsidRPr="00304C05">
        <w:t>Proizvodni potencial in produktivnost kmetijskih zemljišč</w:t>
      </w:r>
      <w:bookmarkEnd w:id="145"/>
    </w:p>
    <w:p w14:paraId="03E8318E" w14:textId="77777777" w:rsidR="00C00231" w:rsidRPr="00304C05" w:rsidRDefault="00C00231" w:rsidP="007613FE">
      <w:pPr>
        <w:spacing w:before="0" w:line="260" w:lineRule="atLeast"/>
        <w:rPr>
          <w:szCs w:val="22"/>
          <w:u w:val="single"/>
        </w:rPr>
      </w:pPr>
    </w:p>
    <w:p w14:paraId="3148F402" w14:textId="24EBC4C3" w:rsidR="00C00231" w:rsidRPr="00304C05" w:rsidRDefault="00C00231" w:rsidP="007613FE">
      <w:pPr>
        <w:spacing w:before="0" w:line="260" w:lineRule="atLeast"/>
        <w:rPr>
          <w:i/>
          <w:szCs w:val="22"/>
          <w:u w:val="single"/>
        </w:rPr>
      </w:pPr>
      <w:r w:rsidRPr="00304C05">
        <w:rPr>
          <w:i/>
          <w:szCs w:val="22"/>
          <w:u w:val="single"/>
        </w:rPr>
        <w:t>Dejavniki, ki vplivajo na proizvodni potencial KZU</w:t>
      </w:r>
    </w:p>
    <w:p w14:paraId="2EF96D94" w14:textId="77777777" w:rsidR="00CC740A" w:rsidRPr="00304C05" w:rsidRDefault="00CC740A" w:rsidP="007613FE">
      <w:pPr>
        <w:spacing w:before="0" w:line="260" w:lineRule="atLeast"/>
        <w:rPr>
          <w:szCs w:val="22"/>
        </w:rPr>
      </w:pPr>
    </w:p>
    <w:p w14:paraId="56C5B74F" w14:textId="3A5A22E5" w:rsidR="00C00231" w:rsidRPr="00304C05" w:rsidRDefault="00C00231" w:rsidP="007613FE">
      <w:pPr>
        <w:spacing w:before="0" w:line="260" w:lineRule="atLeast"/>
        <w:rPr>
          <w:szCs w:val="22"/>
        </w:rPr>
      </w:pPr>
      <w:r w:rsidRPr="00304C05">
        <w:rPr>
          <w:szCs w:val="22"/>
        </w:rPr>
        <w:t xml:space="preserve">Na produktivnost kmetijskih zemljišč vplivajo številni dejavniki, kot so: nadmorska višina, kakovost tal (prsti), podnebne razmere, nagibi, tehnologije obdelave zemljišč ter učinkovitosti delovne sile, ustrezna raba glede na primernost zemljišča za gojenje posamezne kulture ter izboljšave kmetijskih zemljišč, kot so že omenjene komasacije in agromelioracije ter obstoj namakalnih sistemov, kar je podrobneje opisano v analizi stanja za cilj 4.     </w:t>
      </w:r>
    </w:p>
    <w:p w14:paraId="28B999D3" w14:textId="77777777" w:rsidR="00CC740A" w:rsidRPr="00304C05" w:rsidRDefault="00CC740A" w:rsidP="007613FE">
      <w:pPr>
        <w:spacing w:before="0" w:line="260" w:lineRule="atLeast"/>
        <w:rPr>
          <w:szCs w:val="22"/>
        </w:rPr>
      </w:pPr>
    </w:p>
    <w:p w14:paraId="28A11540" w14:textId="07036801" w:rsidR="00C00231" w:rsidRPr="00304C05" w:rsidRDefault="00C00231" w:rsidP="007613FE">
      <w:pPr>
        <w:spacing w:before="0" w:line="260" w:lineRule="atLeast"/>
        <w:rPr>
          <w:szCs w:val="22"/>
        </w:rPr>
      </w:pPr>
      <w:r w:rsidRPr="00304C05">
        <w:rPr>
          <w:szCs w:val="22"/>
        </w:rPr>
        <w:t>Glede na klimatske razmere v Sloveniji je intenzivna rastlinska kmetijska pridelava možna do okoli 600 metrov nadmorske višine (Ur.l. RS, št. 47/2008). Na kmetijskih zemljiščih teh območij je možna pridelava trave, detelj, krompirja, ozimnih žit, koruze, zelenjadnic, hmelja, sadnih vrst in vinske trte. Površina območij do 600 metrov nadmorske višine obsega 1.323.848 ha oziroma 65% površine Slovenije. (Pintar M., Mlakar A., Grčman H., Glavan M., Zupan M., 2015)</w:t>
      </w:r>
    </w:p>
    <w:p w14:paraId="3DC31804" w14:textId="77777777" w:rsidR="00CC740A" w:rsidRPr="00304C05" w:rsidRDefault="00CC740A" w:rsidP="007613FE">
      <w:pPr>
        <w:spacing w:before="0" w:line="260" w:lineRule="atLeast"/>
        <w:rPr>
          <w:szCs w:val="22"/>
        </w:rPr>
      </w:pPr>
    </w:p>
    <w:p w14:paraId="13727E2B" w14:textId="0C8BDB28" w:rsidR="00C00231" w:rsidRPr="00304C05" w:rsidRDefault="00C00231" w:rsidP="007613FE">
      <w:pPr>
        <w:spacing w:before="0" w:line="260" w:lineRule="atLeast"/>
        <w:rPr>
          <w:szCs w:val="22"/>
        </w:rPr>
      </w:pPr>
      <w:r w:rsidRPr="00304C05">
        <w:rPr>
          <w:szCs w:val="22"/>
        </w:rPr>
        <w:t>Glede na nagib veljajo za najboljša zemljišča tista z do 11</w:t>
      </w:r>
      <w:r w:rsidR="00F20823">
        <w:rPr>
          <w:szCs w:val="22"/>
        </w:rPr>
        <w:t xml:space="preserve"> </w:t>
      </w:r>
      <w:r w:rsidRPr="00304C05">
        <w:rPr>
          <w:szCs w:val="22"/>
        </w:rPr>
        <w:t>% nagiba. Pri tem se kot pomemben element upošteva možnost strojne obdelave. Tako za ta zemljišča velja, da je možna neomejene uporaba vse kmetijske tehnike, saj je zemljišče ravno do rahlo valovito, z veliko nosilnostjo tal. Zemljišč vseh vrst rab z do 11 % nagiba je v Sloveniji 30,58 % oziroma 620.003 ha. (ibid.)</w:t>
      </w:r>
    </w:p>
    <w:p w14:paraId="6041179D" w14:textId="77777777" w:rsidR="00CC740A" w:rsidRPr="00304C05" w:rsidRDefault="00CC740A" w:rsidP="007613FE">
      <w:pPr>
        <w:spacing w:before="0" w:line="260" w:lineRule="atLeast"/>
        <w:rPr>
          <w:szCs w:val="22"/>
        </w:rPr>
      </w:pPr>
    </w:p>
    <w:p w14:paraId="402C57D2" w14:textId="487C366F" w:rsidR="00C00231" w:rsidRPr="00304C05" w:rsidRDefault="00C00231" w:rsidP="007613FE">
      <w:pPr>
        <w:spacing w:before="0" w:line="260" w:lineRule="atLeast"/>
        <w:rPr>
          <w:szCs w:val="22"/>
        </w:rPr>
      </w:pPr>
      <w:r w:rsidRPr="00304C05">
        <w:rPr>
          <w:szCs w:val="22"/>
        </w:rPr>
        <w:t xml:space="preserve">Celoviteje oceno proizvodne sposobnosti kmetijskih zemljišč podaja podatek </w:t>
      </w:r>
      <w:r w:rsidRPr="00304C05">
        <w:rPr>
          <w:i/>
          <w:szCs w:val="22"/>
        </w:rPr>
        <w:t xml:space="preserve">o </w:t>
      </w:r>
      <w:r w:rsidRPr="00304C05">
        <w:rPr>
          <w:szCs w:val="22"/>
        </w:rPr>
        <w:t>boniteti zemljišča, ki se določi v obliki bonitetnih točk. Zemljišč vseh vrst rabe z boniteto, večjo od 35, je v Sloveniji 549.264 ha oziroma 27,09 %. Zemljišč vseh vrst rabe z boniteto, večjo od 50, je v Sloveniji 237.723 ha oziroma 11,73 %. (ibid.)</w:t>
      </w:r>
      <w:r w:rsidR="00CC740A" w:rsidRPr="00304C05">
        <w:rPr>
          <w:szCs w:val="22"/>
        </w:rPr>
        <w:t xml:space="preserve"> </w:t>
      </w:r>
      <w:r w:rsidRPr="00304C05">
        <w:rPr>
          <w:szCs w:val="22"/>
        </w:rPr>
        <w:t xml:space="preserve">Te se izračunajo na podlagi lastnosti tal, klime, reliefa in posebnih vplivov (skalovitost, poplavnost, sušnost, ekspozicija, odprtost in zaprtost, zasenčenost in vetrovnost, za gozdna zemljišča pa skalovitost, poplavnost in sušnost). Zakon, ki ureja kmetijska zemljišča, navaja boniteto kmetijskih zemljišč, višjo od 35, kot tisto, ki je osnova za oblikovanje območij trajno varovanih zemljišč. Iz tega gre sklepati, da bonitete, višje od 35, že omogočajo primerne pridelovalne pogoje za klasično intenzivno kmetijstvo. </w:t>
      </w:r>
    </w:p>
    <w:p w14:paraId="2A972049" w14:textId="77777777" w:rsidR="00C00231" w:rsidRPr="00304C05" w:rsidRDefault="00C00231" w:rsidP="007613FE">
      <w:pPr>
        <w:spacing w:before="0" w:line="260" w:lineRule="atLeast"/>
        <w:rPr>
          <w:szCs w:val="22"/>
        </w:rPr>
      </w:pPr>
    </w:p>
    <w:p w14:paraId="02BE5815" w14:textId="77777777" w:rsidR="00C00231" w:rsidRPr="00304C05" w:rsidRDefault="00C00231" w:rsidP="007613FE">
      <w:pPr>
        <w:spacing w:before="0" w:line="260" w:lineRule="atLeast"/>
        <w:rPr>
          <w:i/>
          <w:szCs w:val="22"/>
          <w:u w:val="single"/>
        </w:rPr>
      </w:pPr>
      <w:r w:rsidRPr="00304C05">
        <w:rPr>
          <w:i/>
          <w:szCs w:val="22"/>
          <w:u w:val="single"/>
        </w:rPr>
        <w:t>Gibanje hektarskih donosov za izbrane kulture</w:t>
      </w:r>
    </w:p>
    <w:p w14:paraId="4F2FEEC8" w14:textId="77777777" w:rsidR="00CC740A" w:rsidRPr="00304C05" w:rsidRDefault="00CC740A" w:rsidP="007613FE">
      <w:pPr>
        <w:spacing w:before="0" w:line="260" w:lineRule="atLeast"/>
        <w:rPr>
          <w:szCs w:val="22"/>
        </w:rPr>
      </w:pPr>
    </w:p>
    <w:p w14:paraId="5B45BCA6" w14:textId="6086274A" w:rsidR="00C00231" w:rsidRPr="00304C05" w:rsidRDefault="00C00231" w:rsidP="008B1A89">
      <w:pPr>
        <w:rPr>
          <w:szCs w:val="22"/>
        </w:rPr>
      </w:pPr>
      <w:r w:rsidRPr="00304C05">
        <w:rPr>
          <w:szCs w:val="22"/>
        </w:rPr>
        <w:t>Iz prikaza (</w:t>
      </w:r>
      <w:r w:rsidR="000346FC" w:rsidRPr="00304C05">
        <w:rPr>
          <w:szCs w:val="22"/>
        </w:rPr>
        <w:fldChar w:fldCharType="begin"/>
      </w:r>
      <w:r w:rsidR="000346FC" w:rsidRPr="00304C05">
        <w:rPr>
          <w:szCs w:val="22"/>
        </w:rPr>
        <w:instrText xml:space="preserve"> REF _Ref54811100 \h  \* MERGEFORMAT </w:instrText>
      </w:r>
      <w:r w:rsidR="000346FC" w:rsidRPr="00304C05">
        <w:rPr>
          <w:szCs w:val="22"/>
        </w:rPr>
      </w:r>
      <w:r w:rsidR="000346FC" w:rsidRPr="00304C05">
        <w:rPr>
          <w:szCs w:val="22"/>
        </w:rPr>
        <w:fldChar w:fldCharType="separate"/>
      </w:r>
      <w:r w:rsidR="0088117A" w:rsidRPr="0088117A">
        <w:rPr>
          <w:szCs w:val="22"/>
        </w:rPr>
        <w:t>Slika</w:t>
      </w:r>
      <w:r w:rsidR="0088117A" w:rsidRPr="0088117A">
        <w:rPr>
          <w:noProof/>
          <w:szCs w:val="22"/>
        </w:rPr>
        <w:t xml:space="preserve"> 31</w:t>
      </w:r>
      <w:r w:rsidR="000346FC" w:rsidRPr="00304C05">
        <w:rPr>
          <w:szCs w:val="22"/>
        </w:rPr>
        <w:fldChar w:fldCharType="end"/>
      </w:r>
      <w:r w:rsidR="00CC740A" w:rsidRPr="00304C05">
        <w:rPr>
          <w:szCs w:val="22"/>
        </w:rPr>
        <w:t xml:space="preserve">, </w:t>
      </w:r>
      <w:r w:rsidR="00CC740A" w:rsidRPr="00304C05">
        <w:rPr>
          <w:szCs w:val="22"/>
        </w:rPr>
        <w:fldChar w:fldCharType="begin"/>
      </w:r>
      <w:r w:rsidR="00CC740A" w:rsidRPr="00304C05">
        <w:rPr>
          <w:szCs w:val="22"/>
        </w:rPr>
        <w:instrText xml:space="preserve"> REF _Ref54811103 \h  \* MERGEFORMAT </w:instrText>
      </w:r>
      <w:r w:rsidR="00CC740A" w:rsidRPr="00304C05">
        <w:rPr>
          <w:szCs w:val="22"/>
        </w:rPr>
      </w:r>
      <w:r w:rsidR="00CC740A" w:rsidRPr="00304C05">
        <w:rPr>
          <w:szCs w:val="22"/>
        </w:rPr>
        <w:fldChar w:fldCharType="separate"/>
      </w:r>
      <w:r w:rsidR="0088117A" w:rsidRPr="0088117A">
        <w:rPr>
          <w:szCs w:val="22"/>
        </w:rPr>
        <w:t>Slika 32</w:t>
      </w:r>
      <w:r w:rsidR="00CC740A" w:rsidRPr="00304C05">
        <w:rPr>
          <w:szCs w:val="22"/>
        </w:rPr>
        <w:fldChar w:fldCharType="end"/>
      </w:r>
      <w:r w:rsidRPr="00304C05">
        <w:rPr>
          <w:szCs w:val="22"/>
        </w:rPr>
        <w:t xml:space="preserve">) je razvidno, da se v obdobju 2005-2018 hektarski donosi niso bistveno spremenili. Večja nihanja </w:t>
      </w:r>
      <w:r w:rsidR="007B5768" w:rsidRPr="00304C05">
        <w:rPr>
          <w:szCs w:val="22"/>
        </w:rPr>
        <w:t>med</w:t>
      </w:r>
      <w:r w:rsidRPr="00304C05">
        <w:rPr>
          <w:szCs w:val="22"/>
        </w:rPr>
        <w:t xml:space="preserve"> posamezni</w:t>
      </w:r>
      <w:r w:rsidR="007B5768" w:rsidRPr="00304C05">
        <w:rPr>
          <w:szCs w:val="22"/>
        </w:rPr>
        <w:t>mi</w:t>
      </w:r>
      <w:r w:rsidRPr="00304C05">
        <w:rPr>
          <w:szCs w:val="22"/>
        </w:rPr>
        <w:t xml:space="preserve"> leti so posledica neugodnih vremenskih razmer. Obe dejstvi po eni strani izpostavljata premajhno odpornost slovenskega kmetijstva na vedno pogostejše neugodne vremenske razmere (zlasti suše, pozebe, toče…), ki so posledica podnebnih sprememb</w:t>
      </w:r>
      <w:r w:rsidR="00CC740A" w:rsidRPr="00304C05">
        <w:rPr>
          <w:rStyle w:val="Sprotnaopomba-sklic"/>
          <w:sz w:val="22"/>
          <w:szCs w:val="22"/>
        </w:rPr>
        <w:footnoteReference w:id="15"/>
      </w:r>
      <w:r w:rsidRPr="00304C05">
        <w:rPr>
          <w:szCs w:val="22"/>
        </w:rPr>
        <w:t xml:space="preserve">, hkrati pa prepočasen tehnološki razvoj, kar prav tako vpliva na produktivnost kmetijskih zemljišč. </w:t>
      </w:r>
    </w:p>
    <w:p w14:paraId="1D630DCB" w14:textId="77777777" w:rsidR="00C00231" w:rsidRPr="00304C05" w:rsidRDefault="00C00231" w:rsidP="007613FE">
      <w:pPr>
        <w:spacing w:before="0" w:line="260" w:lineRule="atLeast"/>
        <w:rPr>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C00231" w14:paraId="21413397" w14:textId="77777777" w:rsidTr="000F3AC4">
        <w:trPr>
          <w:trHeight w:val="283"/>
        </w:trPr>
        <w:tc>
          <w:tcPr>
            <w:tcW w:w="4531" w:type="dxa"/>
          </w:tcPr>
          <w:p w14:paraId="7C14D4EC" w14:textId="13E94A6F" w:rsidR="00C00231" w:rsidRPr="00304C05" w:rsidRDefault="00C00231" w:rsidP="00304C05">
            <w:pPr>
              <w:pStyle w:val="SCSlika0"/>
            </w:pPr>
            <w:bookmarkStart w:id="146" w:name="_Ref54811100"/>
            <w:bookmarkStart w:id="147" w:name="_Toc89851074"/>
            <w:r w:rsidRPr="00E155C1">
              <w:rPr>
                <w:sz w:val="18"/>
              </w:rPr>
              <w:t xml:space="preserve">Slika </w:t>
            </w:r>
            <w:r w:rsidRPr="00E155C1">
              <w:rPr>
                <w:sz w:val="18"/>
              </w:rPr>
              <w:fldChar w:fldCharType="begin"/>
            </w:r>
            <w:r w:rsidRPr="00E155C1">
              <w:rPr>
                <w:sz w:val="18"/>
              </w:rPr>
              <w:instrText xml:space="preserve"> SEQ Slika \* ARABIC </w:instrText>
            </w:r>
            <w:r w:rsidRPr="00E155C1">
              <w:rPr>
                <w:sz w:val="18"/>
              </w:rPr>
              <w:fldChar w:fldCharType="separate"/>
            </w:r>
            <w:r w:rsidR="00F25435">
              <w:rPr>
                <w:noProof/>
                <w:sz w:val="18"/>
              </w:rPr>
              <w:t>32</w:t>
            </w:r>
            <w:r w:rsidRPr="00E155C1">
              <w:rPr>
                <w:sz w:val="18"/>
              </w:rPr>
              <w:fldChar w:fldCharType="end"/>
            </w:r>
            <w:bookmarkEnd w:id="146"/>
            <w:r w:rsidRPr="00E155C1">
              <w:rPr>
                <w:sz w:val="18"/>
              </w:rPr>
              <w:t>: Gibanje hektarskih donosov pri nekaterih ključnih kulturah v rastlinski pridelavi 2005–2018</w:t>
            </w:r>
            <w:bookmarkEnd w:id="147"/>
          </w:p>
        </w:tc>
        <w:tc>
          <w:tcPr>
            <w:tcW w:w="4531" w:type="dxa"/>
          </w:tcPr>
          <w:p w14:paraId="46395A12" w14:textId="5DA045D5" w:rsidR="00C00231" w:rsidRPr="00304C05" w:rsidRDefault="00C00231" w:rsidP="00304C05">
            <w:pPr>
              <w:pStyle w:val="SCSlika0"/>
            </w:pPr>
            <w:bookmarkStart w:id="148" w:name="_Ref54811103"/>
            <w:bookmarkStart w:id="149" w:name="_Toc89851075"/>
            <w:r w:rsidRPr="00304C05">
              <w:t xml:space="preserve">Slika </w:t>
            </w:r>
            <w:r w:rsidRPr="00304C05">
              <w:fldChar w:fldCharType="begin"/>
            </w:r>
            <w:r w:rsidRPr="00304C05">
              <w:instrText xml:space="preserve"> SEQ Slika \* ARABIC </w:instrText>
            </w:r>
            <w:r w:rsidRPr="00304C05">
              <w:fldChar w:fldCharType="separate"/>
            </w:r>
            <w:r w:rsidR="00F25435">
              <w:rPr>
                <w:noProof/>
              </w:rPr>
              <w:t>33</w:t>
            </w:r>
            <w:r w:rsidRPr="00304C05">
              <w:fldChar w:fldCharType="end"/>
            </w:r>
            <w:bookmarkEnd w:id="148"/>
            <w:r w:rsidRPr="00304C05">
              <w:t>: Gibanje hektarskih donosov pri nekaterih vrstah sadja, 2005–2018</w:t>
            </w:r>
            <w:bookmarkEnd w:id="149"/>
          </w:p>
        </w:tc>
      </w:tr>
      <w:tr w:rsidR="00C00231" w14:paraId="5DFA4E47" w14:textId="77777777" w:rsidTr="000F3AC4">
        <w:trPr>
          <w:trHeight w:val="4232"/>
        </w:trPr>
        <w:tc>
          <w:tcPr>
            <w:tcW w:w="4531" w:type="dxa"/>
          </w:tcPr>
          <w:p w14:paraId="5D64F388" w14:textId="77777777" w:rsidR="00C00231" w:rsidRDefault="00C00231" w:rsidP="000F3AC4">
            <w:pPr>
              <w:keepNext/>
              <w:keepLines/>
              <w:spacing w:line="240" w:lineRule="auto"/>
              <w:contextualSpacing/>
              <w:rPr>
                <w:szCs w:val="20"/>
              </w:rPr>
            </w:pPr>
          </w:p>
          <w:p w14:paraId="04DF93C8" w14:textId="0E6A38ED"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41A678D0" wp14:editId="2A759E14">
                  <wp:extent cx="2684033" cy="2522220"/>
                  <wp:effectExtent l="0" t="0" r="2540" b="1143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531" w:type="dxa"/>
          </w:tcPr>
          <w:p w14:paraId="10351E4D" w14:textId="77777777" w:rsidR="00C00231" w:rsidRDefault="00C00231" w:rsidP="000F3AC4">
            <w:pPr>
              <w:keepNext/>
              <w:keepLines/>
              <w:spacing w:line="240" w:lineRule="auto"/>
              <w:contextualSpacing/>
              <w:rPr>
                <w:szCs w:val="20"/>
              </w:rPr>
            </w:pPr>
          </w:p>
          <w:p w14:paraId="60D81DC1" w14:textId="670CDBD0"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7D3E28EC" wp14:editId="54B4E6C3">
                  <wp:extent cx="2785931" cy="2522220"/>
                  <wp:effectExtent l="0" t="0" r="14605" b="1143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C00231" w14:paraId="4251E2BD" w14:textId="77777777" w:rsidTr="000F3AC4">
        <w:trPr>
          <w:trHeight w:val="154"/>
        </w:trPr>
        <w:tc>
          <w:tcPr>
            <w:tcW w:w="4531" w:type="dxa"/>
          </w:tcPr>
          <w:p w14:paraId="6699D979" w14:textId="77777777" w:rsidR="00C00231" w:rsidRPr="00251920" w:rsidRDefault="00C00231" w:rsidP="000346FC">
            <w:pPr>
              <w:keepNext/>
              <w:keepLines/>
              <w:spacing w:line="240" w:lineRule="auto"/>
              <w:contextualSpacing/>
              <w:rPr>
                <w:sz w:val="16"/>
                <w:szCs w:val="20"/>
              </w:rPr>
            </w:pPr>
            <w:r w:rsidRPr="00251920">
              <w:rPr>
                <w:sz w:val="16"/>
                <w:szCs w:val="20"/>
              </w:rPr>
              <w:t>Vir: SURS</w:t>
            </w:r>
          </w:p>
          <w:p w14:paraId="3738F570" w14:textId="77777777" w:rsidR="00C00231" w:rsidRDefault="00C00231" w:rsidP="000F3AC4">
            <w:pPr>
              <w:keepNext/>
              <w:keepLines/>
              <w:spacing w:line="240" w:lineRule="auto"/>
              <w:contextualSpacing/>
              <w:rPr>
                <w:szCs w:val="20"/>
              </w:rPr>
            </w:pPr>
          </w:p>
        </w:tc>
        <w:tc>
          <w:tcPr>
            <w:tcW w:w="4531" w:type="dxa"/>
          </w:tcPr>
          <w:p w14:paraId="1F2C948B" w14:textId="77777777" w:rsidR="00C00231" w:rsidRPr="00523562" w:rsidRDefault="00C00231" w:rsidP="000F3AC4">
            <w:pPr>
              <w:keepNext/>
              <w:keepLines/>
              <w:spacing w:line="240" w:lineRule="auto"/>
              <w:contextualSpacing/>
              <w:rPr>
                <w:sz w:val="16"/>
                <w:szCs w:val="20"/>
              </w:rPr>
            </w:pPr>
            <w:r>
              <w:rPr>
                <w:sz w:val="16"/>
                <w:szCs w:val="20"/>
              </w:rPr>
              <w:t>V</w:t>
            </w:r>
            <w:r w:rsidRPr="00523562">
              <w:rPr>
                <w:sz w:val="16"/>
                <w:szCs w:val="20"/>
              </w:rPr>
              <w:t>ir: SURS</w:t>
            </w:r>
          </w:p>
          <w:p w14:paraId="0C4B5D95" w14:textId="77777777" w:rsidR="00C00231" w:rsidRDefault="00C00231" w:rsidP="000F3AC4">
            <w:pPr>
              <w:keepNext/>
              <w:keepLines/>
              <w:spacing w:line="240" w:lineRule="auto"/>
              <w:contextualSpacing/>
              <w:rPr>
                <w:szCs w:val="20"/>
              </w:rPr>
            </w:pPr>
          </w:p>
        </w:tc>
      </w:tr>
    </w:tbl>
    <w:p w14:paraId="5A743CAF" w14:textId="77777777" w:rsidR="00C00231" w:rsidRDefault="00C00231" w:rsidP="007613FE">
      <w:pPr>
        <w:pStyle w:val="1"/>
        <w:spacing w:before="0"/>
      </w:pPr>
    </w:p>
    <w:p w14:paraId="3848DF1D" w14:textId="77777777" w:rsidR="00C00231" w:rsidRPr="00304C05" w:rsidRDefault="00C00231" w:rsidP="007613FE">
      <w:pPr>
        <w:spacing w:before="0" w:line="260" w:lineRule="atLeast"/>
        <w:rPr>
          <w:i/>
          <w:szCs w:val="20"/>
          <w:u w:val="single"/>
        </w:rPr>
      </w:pPr>
      <w:r w:rsidRPr="00304C05">
        <w:rPr>
          <w:i/>
          <w:szCs w:val="20"/>
          <w:u w:val="single"/>
        </w:rPr>
        <w:t>Produktivost kmetijskih zemljišč, izražena z bruto dodano vrednostjo na hektar KZU</w:t>
      </w:r>
    </w:p>
    <w:p w14:paraId="10E3292C" w14:textId="77777777" w:rsidR="00CC740A" w:rsidRPr="00304C05" w:rsidRDefault="00CC740A" w:rsidP="007613FE">
      <w:pPr>
        <w:spacing w:before="0" w:line="260" w:lineRule="atLeast"/>
        <w:rPr>
          <w:szCs w:val="20"/>
        </w:rPr>
      </w:pPr>
    </w:p>
    <w:p w14:paraId="3B5876DA" w14:textId="6738A240" w:rsidR="00F679A2" w:rsidRDefault="00C00231" w:rsidP="00F679A2">
      <w:r w:rsidRPr="00304C05">
        <w:rPr>
          <w:szCs w:val="20"/>
        </w:rPr>
        <w:t>Ob donosu na hektar KZU se za merjenje produktivnosti zemlje uporablja tudi primerjava bruto dodane vrednosti na hektar KZU. V Sloveniji je bruto dodana vrednost na hektar KZU v letu 2016 znašala 987 EUR/ha KZU, kar je dober odstotek več kot leta 2005 in pomeni, da ostaja približno enaka.</w:t>
      </w:r>
      <w:r w:rsidR="00F679A2">
        <w:rPr>
          <w:szCs w:val="20"/>
        </w:rPr>
        <w:t xml:space="preserve"> </w:t>
      </w:r>
    </w:p>
    <w:p w14:paraId="70CA0934" w14:textId="77777777" w:rsidR="00F679A2" w:rsidRPr="00E155C1" w:rsidRDefault="00F679A2" w:rsidP="007613FE">
      <w:pPr>
        <w:spacing w:before="0" w:line="260" w:lineRule="atLeast"/>
        <w:rPr>
          <w:sz w:val="18"/>
          <w:szCs w:val="20"/>
        </w:rPr>
      </w:pPr>
    </w:p>
    <w:p w14:paraId="6D5127DB" w14:textId="060C0598" w:rsidR="00C00231" w:rsidRPr="00E155C1" w:rsidRDefault="00C00231" w:rsidP="00304C05">
      <w:pPr>
        <w:pStyle w:val="SCSlika0"/>
        <w:rPr>
          <w:sz w:val="20"/>
        </w:rPr>
      </w:pPr>
      <w:bookmarkStart w:id="150" w:name="_Toc89851076"/>
      <w:r w:rsidRPr="00E155C1">
        <w:rPr>
          <w:sz w:val="20"/>
          <w:szCs w:val="20"/>
        </w:rPr>
        <w:t xml:space="preserve">Slika </w:t>
      </w:r>
      <w:r w:rsidRPr="00E155C1">
        <w:rPr>
          <w:sz w:val="20"/>
          <w:szCs w:val="20"/>
        </w:rPr>
        <w:fldChar w:fldCharType="begin"/>
      </w:r>
      <w:r w:rsidRPr="00E155C1">
        <w:rPr>
          <w:sz w:val="20"/>
          <w:szCs w:val="20"/>
        </w:rPr>
        <w:instrText xml:space="preserve"> SEQ Slika \* ARABIC </w:instrText>
      </w:r>
      <w:r w:rsidRPr="00E155C1">
        <w:rPr>
          <w:sz w:val="20"/>
          <w:szCs w:val="20"/>
        </w:rPr>
        <w:fldChar w:fldCharType="separate"/>
      </w:r>
      <w:r w:rsidR="00F25435" w:rsidRPr="00E155C1">
        <w:rPr>
          <w:noProof/>
          <w:sz w:val="20"/>
          <w:szCs w:val="20"/>
        </w:rPr>
        <w:t>34</w:t>
      </w:r>
      <w:r w:rsidRPr="00E155C1">
        <w:rPr>
          <w:sz w:val="20"/>
          <w:szCs w:val="20"/>
        </w:rPr>
        <w:fldChar w:fldCharType="end"/>
      </w:r>
      <w:r w:rsidRPr="00E155C1">
        <w:rPr>
          <w:sz w:val="20"/>
        </w:rPr>
        <w:t>: Bruto dodana vrednost na hektar KZU, v EUR, 2016</w:t>
      </w:r>
      <w:bookmarkEnd w:id="150"/>
    </w:p>
    <w:p w14:paraId="5D72FCC2" w14:textId="6FCDE4FC" w:rsidR="00C00231" w:rsidRDefault="00C00231" w:rsidP="00C00231">
      <w:pPr>
        <w:rPr>
          <w:sz w:val="20"/>
          <w:szCs w:val="20"/>
        </w:rPr>
      </w:pPr>
      <w:r>
        <w:rPr>
          <w:noProof/>
          <w:lang w:eastAsia="sl-SI"/>
        </w:rPr>
        <w:drawing>
          <wp:inline distT="0" distB="0" distL="0" distR="0" wp14:anchorId="3B059896" wp14:editId="51A251AD">
            <wp:extent cx="5776856" cy="1947134"/>
            <wp:effectExtent l="0" t="0" r="14605" b="1524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579697" w14:textId="77777777" w:rsidR="00C00231" w:rsidRPr="00B33BE3" w:rsidRDefault="00C00231" w:rsidP="00C00231">
      <w:pPr>
        <w:spacing w:line="240" w:lineRule="auto"/>
        <w:rPr>
          <w:sz w:val="16"/>
          <w:szCs w:val="16"/>
          <w:lang w:eastAsia="sl-SI"/>
        </w:rPr>
      </w:pPr>
      <w:r>
        <w:rPr>
          <w:sz w:val="16"/>
          <w:szCs w:val="16"/>
        </w:rPr>
        <w:t>Vir</w:t>
      </w:r>
      <w:r w:rsidRPr="00B33BE3">
        <w:rPr>
          <w:sz w:val="16"/>
          <w:szCs w:val="16"/>
        </w:rPr>
        <w:t xml:space="preserve">: Eurostat, preračun MKGP (Main farm land use by NUTS 2 regions [ef_lus_main]) in </w:t>
      </w:r>
      <w:r w:rsidRPr="00B33BE3">
        <w:rPr>
          <w:sz w:val="16"/>
          <w:szCs w:val="16"/>
          <w:lang w:eastAsia="sl-SI"/>
        </w:rPr>
        <w:t>Economic accounts for agriculture - values at current prices [aact_eaa01]</w:t>
      </w:r>
    </w:p>
    <w:p w14:paraId="37039405" w14:textId="5B7E704D" w:rsidR="00C00231" w:rsidRDefault="00C00231" w:rsidP="007613FE">
      <w:pPr>
        <w:spacing w:before="0" w:line="260" w:lineRule="atLeast"/>
        <w:rPr>
          <w:sz w:val="20"/>
          <w:szCs w:val="20"/>
        </w:rPr>
      </w:pPr>
    </w:p>
    <w:p w14:paraId="1CA71337" w14:textId="4E37C7A1" w:rsidR="00F679A2" w:rsidRDefault="00F679A2" w:rsidP="007613FE">
      <w:pPr>
        <w:spacing w:before="0" w:line="260" w:lineRule="atLeast"/>
        <w:rPr>
          <w:sz w:val="20"/>
          <w:szCs w:val="20"/>
        </w:rPr>
      </w:pPr>
    </w:p>
    <w:p w14:paraId="4CF2385D" w14:textId="7439A8F9" w:rsidR="00F679A2" w:rsidRPr="005B2A49" w:rsidRDefault="00FC732C" w:rsidP="005B2A49">
      <w:pPr>
        <w:pStyle w:val="Naslov2"/>
      </w:pPr>
      <w:bookmarkStart w:id="151" w:name="_Toc90462231"/>
      <w:r w:rsidRPr="005B2A49">
        <w:t>Ključne ugotovitve</w:t>
      </w:r>
      <w:bookmarkEnd w:id="151"/>
    </w:p>
    <w:p w14:paraId="36675C4E" w14:textId="0C94CACB" w:rsidR="00FC732C" w:rsidRDefault="00FC732C" w:rsidP="005B2A49">
      <w:pPr>
        <w:rPr>
          <w:lang w:eastAsia="en-US"/>
        </w:rPr>
      </w:pPr>
    </w:p>
    <w:p w14:paraId="0AD9D41E"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Kmetijska zemljišča so v Sloveniji razpoložljiva v izrazito omejenem obsegu, skoncentrirana so na sorazmerno omejenost ravninskega sveta, v katerem kmetijstvu konkurirajo tudi drugi interesi: promet, industrija, širjenje naselij itd. Prevladujoči del kmetijskih zemljišč v Sloveniji (76,2 % vseh KZU) je uvrščen v OMD, iz česar izhaja izrazito omejen izbor možnih proizvodnih usmeritev na teh območjih (prevladuje govedoreja, drobnica). </w:t>
      </w:r>
    </w:p>
    <w:p w14:paraId="61AB46A2"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Slabše pridelovalne razmere na OMD vplivajo na manjšo proizvodno sposobnost kmetij, manjši izbor kultur in proizvodnih usmeritev ter dražijo pridelavo, kar vpliva na nižjo raven produktivnosti in s tem posledično tudi konkurenčnosti kmetij na teh območjih.</w:t>
      </w:r>
    </w:p>
    <w:p w14:paraId="02C1967D"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Za uravnotežen razvoj kmetijstva se zaradi težjih pogojev pridelave na OMD kmetijam, ki dosegajo višje število točk, omogočajo možnosti za pridobitev podpor za izvedbo naložb oziroma višje sofinanciranje naložb. V slovenskem kmetijstvu je izrazit strukturni problem velika razdrobljenost kmetijskih zemljišč in majhnost posamezne enote rabe (GERK-a).</w:t>
      </w:r>
    </w:p>
    <w:p w14:paraId="57B6E086"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Poleg izrazite zemljiške razdrobljenosti obdelovalnih površin posameznih kmetijskih gospodarstev je velika ovira pri upravljanju s kmetijskimi zemljišči (zakup, nakup, prodaja) tudi solastnina kmetijskih zemljišč. </w:t>
      </w:r>
    </w:p>
    <w:p w14:paraId="1DD0477B"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Komasacije in agromelioracije so v zadnjih dveh programskih obdobjih (2007-2013, 2014-2020) doživele večji razmah, kar je pozitivno z vidika produktivnosti. Ob tem pa se pojavljajo okoljevarstvena vprašanja, zlasti v povezavi z ohranjanjem biotske raznovrstnosti. </w:t>
      </w:r>
    </w:p>
    <w:p w14:paraId="5A52F926" w14:textId="304848E3"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Hektarski donosi pri nekaterih ključnih kulturah v rastlinski pridelavi pa tudi bruto dodana vrednost na ha KZU se bistveno ne spreminjajo. Večja nihanja med posameznimi leti so posledica neugodnih vremenskih razmer. To kaže na </w:t>
      </w:r>
      <w:r w:rsidR="00F02F1E">
        <w:rPr>
          <w:rFonts w:ascii="Arial" w:hAnsi="Arial"/>
          <w:sz w:val="22"/>
        </w:rPr>
        <w:t>pre</w:t>
      </w:r>
      <w:r w:rsidRPr="007E558D">
        <w:rPr>
          <w:rFonts w:ascii="Arial" w:hAnsi="Arial"/>
          <w:sz w:val="22"/>
        </w:rPr>
        <w:t xml:space="preserve">majhno odpornost slovenskega kmetijstva na vedno pogostejše neugodne vremenske razmere (zlasti suše, pozebe, toče…), ki so posledica podnebnih sprememb, hkrati pa tudi na relativno počasen tehnološki razvoj, ki prav tako vpliva na produktivnost kmetijskih zemljišč. </w:t>
      </w:r>
    </w:p>
    <w:p w14:paraId="43348485" w14:textId="7E756A6C" w:rsidR="00FC732C" w:rsidRDefault="00FC732C" w:rsidP="005B2A49">
      <w:pPr>
        <w:rPr>
          <w:lang w:eastAsia="en-US"/>
        </w:rPr>
      </w:pPr>
    </w:p>
    <w:p w14:paraId="54F087A6" w14:textId="7F84CC3C" w:rsidR="00421F08" w:rsidRPr="009F3567" w:rsidRDefault="00CC18A4" w:rsidP="00304C05">
      <w:pPr>
        <w:pStyle w:val="Naslov1"/>
      </w:pPr>
      <w:bookmarkStart w:id="152" w:name="_Toc51019239"/>
      <w:bookmarkStart w:id="153" w:name="_Toc51056006"/>
      <w:bookmarkStart w:id="154" w:name="_Toc51057427"/>
      <w:bookmarkStart w:id="155" w:name="_Toc51058844"/>
      <w:bookmarkStart w:id="156" w:name="_Toc51060260"/>
      <w:bookmarkStart w:id="157" w:name="_Toc51061676"/>
      <w:bookmarkStart w:id="158" w:name="_Toc51063092"/>
      <w:bookmarkStart w:id="159" w:name="_Toc51064525"/>
      <w:bookmarkStart w:id="160" w:name="_Toc51065940"/>
      <w:bookmarkStart w:id="161" w:name="_Toc51067988"/>
      <w:bookmarkStart w:id="162" w:name="_Toc51105004"/>
      <w:bookmarkStart w:id="163" w:name="_Toc51106432"/>
      <w:bookmarkStart w:id="164" w:name="_Toc51108755"/>
      <w:bookmarkStart w:id="165" w:name="_Toc51019240"/>
      <w:bookmarkStart w:id="166" w:name="_Toc51056007"/>
      <w:bookmarkStart w:id="167" w:name="_Toc51057428"/>
      <w:bookmarkStart w:id="168" w:name="_Toc51058845"/>
      <w:bookmarkStart w:id="169" w:name="_Toc51060261"/>
      <w:bookmarkStart w:id="170" w:name="_Toc51061677"/>
      <w:bookmarkStart w:id="171" w:name="_Toc51063093"/>
      <w:bookmarkStart w:id="172" w:name="_Toc51064526"/>
      <w:bookmarkStart w:id="173" w:name="_Toc51065941"/>
      <w:bookmarkStart w:id="174" w:name="_Toc51067989"/>
      <w:bookmarkStart w:id="175" w:name="_Toc51105005"/>
      <w:bookmarkStart w:id="176" w:name="_Toc51106433"/>
      <w:bookmarkStart w:id="177" w:name="_Toc51108756"/>
      <w:bookmarkStart w:id="178" w:name="_Toc51019241"/>
      <w:bookmarkStart w:id="179" w:name="_Toc51056008"/>
      <w:bookmarkStart w:id="180" w:name="_Toc51057429"/>
      <w:bookmarkStart w:id="181" w:name="_Toc51058846"/>
      <w:bookmarkStart w:id="182" w:name="_Toc51060262"/>
      <w:bookmarkStart w:id="183" w:name="_Toc51061678"/>
      <w:bookmarkStart w:id="184" w:name="_Toc51063094"/>
      <w:bookmarkStart w:id="185" w:name="_Toc51064527"/>
      <w:bookmarkStart w:id="186" w:name="_Toc51065942"/>
      <w:bookmarkStart w:id="187" w:name="_Toc51067990"/>
      <w:bookmarkStart w:id="188" w:name="_Toc51105006"/>
      <w:bookmarkStart w:id="189" w:name="_Toc51106434"/>
      <w:bookmarkStart w:id="190" w:name="_Toc51108757"/>
      <w:bookmarkStart w:id="191" w:name="_Toc51019242"/>
      <w:bookmarkStart w:id="192" w:name="_Toc51056009"/>
      <w:bookmarkStart w:id="193" w:name="_Toc51057430"/>
      <w:bookmarkStart w:id="194" w:name="_Toc51058847"/>
      <w:bookmarkStart w:id="195" w:name="_Toc51060263"/>
      <w:bookmarkStart w:id="196" w:name="_Toc51061679"/>
      <w:bookmarkStart w:id="197" w:name="_Toc51063095"/>
      <w:bookmarkStart w:id="198" w:name="_Toc51064528"/>
      <w:bookmarkStart w:id="199" w:name="_Toc51065943"/>
      <w:bookmarkStart w:id="200" w:name="_Toc51067991"/>
      <w:bookmarkStart w:id="201" w:name="_Toc51105007"/>
      <w:bookmarkStart w:id="202" w:name="_Toc51106435"/>
      <w:bookmarkStart w:id="203" w:name="_Toc51108758"/>
      <w:bookmarkStart w:id="204" w:name="_Toc51019243"/>
      <w:bookmarkStart w:id="205" w:name="_Toc51056010"/>
      <w:bookmarkStart w:id="206" w:name="_Toc51057431"/>
      <w:bookmarkStart w:id="207" w:name="_Toc51058848"/>
      <w:bookmarkStart w:id="208" w:name="_Toc51060264"/>
      <w:bookmarkStart w:id="209" w:name="_Toc51061680"/>
      <w:bookmarkStart w:id="210" w:name="_Toc51063096"/>
      <w:bookmarkStart w:id="211" w:name="_Toc51064529"/>
      <w:bookmarkStart w:id="212" w:name="_Toc51065944"/>
      <w:bookmarkStart w:id="213" w:name="_Toc51067992"/>
      <w:bookmarkStart w:id="214" w:name="_Toc51105008"/>
      <w:bookmarkStart w:id="215" w:name="_Toc51106436"/>
      <w:bookmarkStart w:id="216" w:name="_Toc51108759"/>
      <w:bookmarkStart w:id="217" w:name="_Toc51019244"/>
      <w:bookmarkStart w:id="218" w:name="_Toc51056011"/>
      <w:bookmarkStart w:id="219" w:name="_Toc51057432"/>
      <w:bookmarkStart w:id="220" w:name="_Toc51058849"/>
      <w:bookmarkStart w:id="221" w:name="_Toc51060265"/>
      <w:bookmarkStart w:id="222" w:name="_Toc51061681"/>
      <w:bookmarkStart w:id="223" w:name="_Toc51063097"/>
      <w:bookmarkStart w:id="224" w:name="_Toc51064530"/>
      <w:bookmarkStart w:id="225" w:name="_Toc51065945"/>
      <w:bookmarkStart w:id="226" w:name="_Toc51067993"/>
      <w:bookmarkStart w:id="227" w:name="_Toc51105009"/>
      <w:bookmarkStart w:id="228" w:name="_Toc51106437"/>
      <w:bookmarkStart w:id="229" w:name="_Toc51108760"/>
      <w:bookmarkStart w:id="230" w:name="_Toc51019245"/>
      <w:bookmarkStart w:id="231" w:name="_Toc51056012"/>
      <w:bookmarkStart w:id="232" w:name="_Toc51057433"/>
      <w:bookmarkStart w:id="233" w:name="_Toc51058850"/>
      <w:bookmarkStart w:id="234" w:name="_Toc51060266"/>
      <w:bookmarkStart w:id="235" w:name="_Toc51061682"/>
      <w:bookmarkStart w:id="236" w:name="_Toc51063098"/>
      <w:bookmarkStart w:id="237" w:name="_Toc51064531"/>
      <w:bookmarkStart w:id="238" w:name="_Toc51065946"/>
      <w:bookmarkStart w:id="239" w:name="_Toc51067994"/>
      <w:bookmarkStart w:id="240" w:name="_Toc51105010"/>
      <w:bookmarkStart w:id="241" w:name="_Toc51106438"/>
      <w:bookmarkStart w:id="242" w:name="_Toc51108761"/>
      <w:bookmarkStart w:id="243" w:name="_Toc51019246"/>
      <w:bookmarkStart w:id="244" w:name="_Toc51056013"/>
      <w:bookmarkStart w:id="245" w:name="_Toc51057434"/>
      <w:bookmarkStart w:id="246" w:name="_Toc51058851"/>
      <w:bookmarkStart w:id="247" w:name="_Toc51060267"/>
      <w:bookmarkStart w:id="248" w:name="_Toc51061683"/>
      <w:bookmarkStart w:id="249" w:name="_Toc51063099"/>
      <w:bookmarkStart w:id="250" w:name="_Toc51064532"/>
      <w:bookmarkStart w:id="251" w:name="_Toc51065947"/>
      <w:bookmarkStart w:id="252" w:name="_Toc51067995"/>
      <w:bookmarkStart w:id="253" w:name="_Toc51105011"/>
      <w:bookmarkStart w:id="254" w:name="_Toc51106439"/>
      <w:bookmarkStart w:id="255" w:name="_Toc51108762"/>
      <w:bookmarkStart w:id="256" w:name="_Toc51019247"/>
      <w:bookmarkStart w:id="257" w:name="_Toc51056014"/>
      <w:bookmarkStart w:id="258" w:name="_Toc51057435"/>
      <w:bookmarkStart w:id="259" w:name="_Toc51058852"/>
      <w:bookmarkStart w:id="260" w:name="_Toc51060268"/>
      <w:bookmarkStart w:id="261" w:name="_Toc51061684"/>
      <w:bookmarkStart w:id="262" w:name="_Toc51063100"/>
      <w:bookmarkStart w:id="263" w:name="_Toc51064533"/>
      <w:bookmarkStart w:id="264" w:name="_Toc51065948"/>
      <w:bookmarkStart w:id="265" w:name="_Toc51067996"/>
      <w:bookmarkStart w:id="266" w:name="_Toc51105012"/>
      <w:bookmarkStart w:id="267" w:name="_Toc51106440"/>
      <w:bookmarkStart w:id="268" w:name="_Toc51108763"/>
      <w:bookmarkStart w:id="269" w:name="_Toc51019248"/>
      <w:bookmarkStart w:id="270" w:name="_Toc51056015"/>
      <w:bookmarkStart w:id="271" w:name="_Toc51057436"/>
      <w:bookmarkStart w:id="272" w:name="_Toc51058853"/>
      <w:bookmarkStart w:id="273" w:name="_Toc51060269"/>
      <w:bookmarkStart w:id="274" w:name="_Toc51061685"/>
      <w:bookmarkStart w:id="275" w:name="_Toc51063101"/>
      <w:bookmarkStart w:id="276" w:name="_Toc51064534"/>
      <w:bookmarkStart w:id="277" w:name="_Toc51065949"/>
      <w:bookmarkStart w:id="278" w:name="_Toc51067997"/>
      <w:bookmarkStart w:id="279" w:name="_Toc51105013"/>
      <w:bookmarkStart w:id="280" w:name="_Toc51106441"/>
      <w:bookmarkStart w:id="281" w:name="_Toc51108764"/>
      <w:bookmarkStart w:id="282" w:name="_Toc51019249"/>
      <w:bookmarkStart w:id="283" w:name="_Toc51056016"/>
      <w:bookmarkStart w:id="284" w:name="_Toc51057437"/>
      <w:bookmarkStart w:id="285" w:name="_Toc51058854"/>
      <w:bookmarkStart w:id="286" w:name="_Toc51060270"/>
      <w:bookmarkStart w:id="287" w:name="_Toc51061686"/>
      <w:bookmarkStart w:id="288" w:name="_Toc51063102"/>
      <w:bookmarkStart w:id="289" w:name="_Toc51064535"/>
      <w:bookmarkStart w:id="290" w:name="_Toc51065950"/>
      <w:bookmarkStart w:id="291" w:name="_Toc51067998"/>
      <w:bookmarkStart w:id="292" w:name="_Toc51105014"/>
      <w:bookmarkStart w:id="293" w:name="_Toc51106442"/>
      <w:bookmarkStart w:id="294" w:name="_Toc51108765"/>
      <w:bookmarkStart w:id="295" w:name="_Toc51019250"/>
      <w:bookmarkStart w:id="296" w:name="_Toc51056017"/>
      <w:bookmarkStart w:id="297" w:name="_Toc51057438"/>
      <w:bookmarkStart w:id="298" w:name="_Toc51058855"/>
      <w:bookmarkStart w:id="299" w:name="_Toc51060271"/>
      <w:bookmarkStart w:id="300" w:name="_Toc51061687"/>
      <w:bookmarkStart w:id="301" w:name="_Toc51063103"/>
      <w:bookmarkStart w:id="302" w:name="_Toc51064536"/>
      <w:bookmarkStart w:id="303" w:name="_Toc51065951"/>
      <w:bookmarkStart w:id="304" w:name="_Toc51067999"/>
      <w:bookmarkStart w:id="305" w:name="_Toc51105015"/>
      <w:bookmarkStart w:id="306" w:name="_Toc51106443"/>
      <w:bookmarkStart w:id="307" w:name="_Toc51108766"/>
      <w:bookmarkStart w:id="308" w:name="_Toc51019251"/>
      <w:bookmarkStart w:id="309" w:name="_Toc51056018"/>
      <w:bookmarkStart w:id="310" w:name="_Toc51057439"/>
      <w:bookmarkStart w:id="311" w:name="_Toc51058856"/>
      <w:bookmarkStart w:id="312" w:name="_Toc51060272"/>
      <w:bookmarkStart w:id="313" w:name="_Toc51061688"/>
      <w:bookmarkStart w:id="314" w:name="_Toc51063104"/>
      <w:bookmarkStart w:id="315" w:name="_Toc51064537"/>
      <w:bookmarkStart w:id="316" w:name="_Toc51065952"/>
      <w:bookmarkStart w:id="317" w:name="_Toc51068000"/>
      <w:bookmarkStart w:id="318" w:name="_Toc51105016"/>
      <w:bookmarkStart w:id="319" w:name="_Toc51106444"/>
      <w:bookmarkStart w:id="320" w:name="_Toc51108767"/>
      <w:bookmarkStart w:id="321" w:name="_Toc51019252"/>
      <w:bookmarkStart w:id="322" w:name="_Toc51056019"/>
      <w:bookmarkStart w:id="323" w:name="_Toc51057440"/>
      <w:bookmarkStart w:id="324" w:name="_Toc51058857"/>
      <w:bookmarkStart w:id="325" w:name="_Toc51060273"/>
      <w:bookmarkStart w:id="326" w:name="_Toc51061689"/>
      <w:bookmarkStart w:id="327" w:name="_Toc51063105"/>
      <w:bookmarkStart w:id="328" w:name="_Toc51064538"/>
      <w:bookmarkStart w:id="329" w:name="_Toc51065953"/>
      <w:bookmarkStart w:id="330" w:name="_Toc51068001"/>
      <w:bookmarkStart w:id="331" w:name="_Toc51105017"/>
      <w:bookmarkStart w:id="332" w:name="_Toc51106445"/>
      <w:bookmarkStart w:id="333" w:name="_Toc51108768"/>
      <w:bookmarkStart w:id="334" w:name="_Toc51019253"/>
      <w:bookmarkStart w:id="335" w:name="_Toc51056020"/>
      <w:bookmarkStart w:id="336" w:name="_Toc51057441"/>
      <w:bookmarkStart w:id="337" w:name="_Toc51058858"/>
      <w:bookmarkStart w:id="338" w:name="_Toc51060274"/>
      <w:bookmarkStart w:id="339" w:name="_Toc51061690"/>
      <w:bookmarkStart w:id="340" w:name="_Toc51063106"/>
      <w:bookmarkStart w:id="341" w:name="_Toc51064539"/>
      <w:bookmarkStart w:id="342" w:name="_Toc51065954"/>
      <w:bookmarkStart w:id="343" w:name="_Toc51068002"/>
      <w:bookmarkStart w:id="344" w:name="_Toc51105018"/>
      <w:bookmarkStart w:id="345" w:name="_Toc51106446"/>
      <w:bookmarkStart w:id="346" w:name="_Toc51108769"/>
      <w:bookmarkStart w:id="347" w:name="_Toc51019255"/>
      <w:bookmarkStart w:id="348" w:name="_Toc51056022"/>
      <w:bookmarkStart w:id="349" w:name="_Toc51057443"/>
      <w:bookmarkStart w:id="350" w:name="_Toc51058860"/>
      <w:bookmarkStart w:id="351" w:name="_Toc51060276"/>
      <w:bookmarkStart w:id="352" w:name="_Toc51061692"/>
      <w:bookmarkStart w:id="353" w:name="_Toc51063108"/>
      <w:bookmarkStart w:id="354" w:name="_Toc51064541"/>
      <w:bookmarkStart w:id="355" w:name="_Toc51065956"/>
      <w:bookmarkStart w:id="356" w:name="_Toc51068004"/>
      <w:bookmarkStart w:id="357" w:name="_Toc51105020"/>
      <w:bookmarkStart w:id="358" w:name="_Toc51106448"/>
      <w:bookmarkStart w:id="359" w:name="_Toc51108771"/>
      <w:bookmarkStart w:id="360" w:name="_Toc51019256"/>
      <w:bookmarkStart w:id="361" w:name="_Toc51056023"/>
      <w:bookmarkStart w:id="362" w:name="_Toc51057444"/>
      <w:bookmarkStart w:id="363" w:name="_Toc51058861"/>
      <w:bookmarkStart w:id="364" w:name="_Toc51060277"/>
      <w:bookmarkStart w:id="365" w:name="_Toc51061693"/>
      <w:bookmarkStart w:id="366" w:name="_Toc51063109"/>
      <w:bookmarkStart w:id="367" w:name="_Toc51064542"/>
      <w:bookmarkStart w:id="368" w:name="_Toc51065957"/>
      <w:bookmarkStart w:id="369" w:name="_Toc51068005"/>
      <w:bookmarkStart w:id="370" w:name="_Toc51105021"/>
      <w:bookmarkStart w:id="371" w:name="_Toc51106449"/>
      <w:bookmarkStart w:id="372" w:name="_Toc51108772"/>
      <w:bookmarkStart w:id="373" w:name="_Toc51019257"/>
      <w:bookmarkStart w:id="374" w:name="_Toc51056024"/>
      <w:bookmarkStart w:id="375" w:name="_Toc51057445"/>
      <w:bookmarkStart w:id="376" w:name="_Toc51058862"/>
      <w:bookmarkStart w:id="377" w:name="_Toc51060278"/>
      <w:bookmarkStart w:id="378" w:name="_Toc51061694"/>
      <w:bookmarkStart w:id="379" w:name="_Toc51063110"/>
      <w:bookmarkStart w:id="380" w:name="_Toc51064543"/>
      <w:bookmarkStart w:id="381" w:name="_Toc51065958"/>
      <w:bookmarkStart w:id="382" w:name="_Toc51068006"/>
      <w:bookmarkStart w:id="383" w:name="_Toc51105022"/>
      <w:bookmarkStart w:id="384" w:name="_Toc51106450"/>
      <w:bookmarkStart w:id="385" w:name="_Toc51108773"/>
      <w:bookmarkStart w:id="386" w:name="_Toc51019258"/>
      <w:bookmarkStart w:id="387" w:name="_Toc51056025"/>
      <w:bookmarkStart w:id="388" w:name="_Toc51057446"/>
      <w:bookmarkStart w:id="389" w:name="_Toc51058863"/>
      <w:bookmarkStart w:id="390" w:name="_Toc51060279"/>
      <w:bookmarkStart w:id="391" w:name="_Toc51061695"/>
      <w:bookmarkStart w:id="392" w:name="_Toc51063111"/>
      <w:bookmarkStart w:id="393" w:name="_Toc51064544"/>
      <w:bookmarkStart w:id="394" w:name="_Toc51065959"/>
      <w:bookmarkStart w:id="395" w:name="_Toc51068007"/>
      <w:bookmarkStart w:id="396" w:name="_Toc51105023"/>
      <w:bookmarkStart w:id="397" w:name="_Toc51106451"/>
      <w:bookmarkStart w:id="398" w:name="_Toc51108774"/>
      <w:bookmarkStart w:id="399" w:name="_Toc51019259"/>
      <w:bookmarkStart w:id="400" w:name="_Toc51056026"/>
      <w:bookmarkStart w:id="401" w:name="_Toc51057447"/>
      <w:bookmarkStart w:id="402" w:name="_Toc51058864"/>
      <w:bookmarkStart w:id="403" w:name="_Toc51060280"/>
      <w:bookmarkStart w:id="404" w:name="_Toc51061696"/>
      <w:bookmarkStart w:id="405" w:name="_Toc51063112"/>
      <w:bookmarkStart w:id="406" w:name="_Toc51064545"/>
      <w:bookmarkStart w:id="407" w:name="_Toc51065960"/>
      <w:bookmarkStart w:id="408" w:name="_Toc51068008"/>
      <w:bookmarkStart w:id="409" w:name="_Toc51105024"/>
      <w:bookmarkStart w:id="410" w:name="_Toc51106452"/>
      <w:bookmarkStart w:id="411" w:name="_Toc51108775"/>
      <w:bookmarkStart w:id="412" w:name="_Toc51019261"/>
      <w:bookmarkStart w:id="413" w:name="_Toc51056028"/>
      <w:bookmarkStart w:id="414" w:name="_Toc51057449"/>
      <w:bookmarkStart w:id="415" w:name="_Toc51058866"/>
      <w:bookmarkStart w:id="416" w:name="_Toc51060282"/>
      <w:bookmarkStart w:id="417" w:name="_Toc51061698"/>
      <w:bookmarkStart w:id="418" w:name="_Toc51063114"/>
      <w:bookmarkStart w:id="419" w:name="_Toc51064547"/>
      <w:bookmarkStart w:id="420" w:name="_Toc51065962"/>
      <w:bookmarkStart w:id="421" w:name="_Toc51068010"/>
      <w:bookmarkStart w:id="422" w:name="_Toc51105026"/>
      <w:bookmarkStart w:id="423" w:name="_Toc51106454"/>
      <w:bookmarkStart w:id="424" w:name="_Toc51108777"/>
      <w:bookmarkStart w:id="425" w:name="_Toc51019266"/>
      <w:bookmarkStart w:id="426" w:name="_Toc51056033"/>
      <w:bookmarkStart w:id="427" w:name="_Toc51057454"/>
      <w:bookmarkStart w:id="428" w:name="_Toc51058871"/>
      <w:bookmarkStart w:id="429" w:name="_Toc51060287"/>
      <w:bookmarkStart w:id="430" w:name="_Toc51061703"/>
      <w:bookmarkStart w:id="431" w:name="_Toc51063119"/>
      <w:bookmarkStart w:id="432" w:name="_Toc51064552"/>
      <w:bookmarkStart w:id="433" w:name="_Toc51065967"/>
      <w:bookmarkStart w:id="434" w:name="_Toc51068015"/>
      <w:bookmarkStart w:id="435" w:name="_Toc51105031"/>
      <w:bookmarkStart w:id="436" w:name="_Toc51106459"/>
      <w:bookmarkStart w:id="437" w:name="_Toc51108782"/>
      <w:bookmarkStart w:id="438" w:name="_Toc51019268"/>
      <w:bookmarkStart w:id="439" w:name="_Toc51056035"/>
      <w:bookmarkStart w:id="440" w:name="_Toc51057456"/>
      <w:bookmarkStart w:id="441" w:name="_Toc51058873"/>
      <w:bookmarkStart w:id="442" w:name="_Toc51060289"/>
      <w:bookmarkStart w:id="443" w:name="_Toc51061705"/>
      <w:bookmarkStart w:id="444" w:name="_Toc51063121"/>
      <w:bookmarkStart w:id="445" w:name="_Toc51064554"/>
      <w:bookmarkStart w:id="446" w:name="_Toc51065969"/>
      <w:bookmarkStart w:id="447" w:name="_Toc51068017"/>
      <w:bookmarkStart w:id="448" w:name="_Toc51105033"/>
      <w:bookmarkStart w:id="449" w:name="_Toc51106461"/>
      <w:bookmarkStart w:id="450" w:name="_Toc51108784"/>
      <w:bookmarkStart w:id="451" w:name="_Toc51019270"/>
      <w:bookmarkStart w:id="452" w:name="_Toc51056037"/>
      <w:bookmarkStart w:id="453" w:name="_Toc51057458"/>
      <w:bookmarkStart w:id="454" w:name="_Toc51058875"/>
      <w:bookmarkStart w:id="455" w:name="_Toc51060291"/>
      <w:bookmarkStart w:id="456" w:name="_Toc51061707"/>
      <w:bookmarkStart w:id="457" w:name="_Toc51063123"/>
      <w:bookmarkStart w:id="458" w:name="_Toc51064556"/>
      <w:bookmarkStart w:id="459" w:name="_Toc51065971"/>
      <w:bookmarkStart w:id="460" w:name="_Toc51068019"/>
      <w:bookmarkStart w:id="461" w:name="_Toc51105035"/>
      <w:bookmarkStart w:id="462" w:name="_Toc51106463"/>
      <w:bookmarkStart w:id="463" w:name="_Toc51108786"/>
      <w:bookmarkStart w:id="464" w:name="_Toc51019272"/>
      <w:bookmarkStart w:id="465" w:name="_Toc51056039"/>
      <w:bookmarkStart w:id="466" w:name="_Toc51057460"/>
      <w:bookmarkStart w:id="467" w:name="_Toc51058877"/>
      <w:bookmarkStart w:id="468" w:name="_Toc51060293"/>
      <w:bookmarkStart w:id="469" w:name="_Toc51061709"/>
      <w:bookmarkStart w:id="470" w:name="_Toc51063125"/>
      <w:bookmarkStart w:id="471" w:name="_Toc51064558"/>
      <w:bookmarkStart w:id="472" w:name="_Toc51065973"/>
      <w:bookmarkStart w:id="473" w:name="_Toc51068021"/>
      <w:bookmarkStart w:id="474" w:name="_Toc51105037"/>
      <w:bookmarkStart w:id="475" w:name="_Toc51106465"/>
      <w:bookmarkStart w:id="476" w:name="_Toc51108788"/>
      <w:bookmarkStart w:id="477" w:name="_Toc51019274"/>
      <w:bookmarkStart w:id="478" w:name="_Toc51056041"/>
      <w:bookmarkStart w:id="479" w:name="_Toc51057462"/>
      <w:bookmarkStart w:id="480" w:name="_Toc51058879"/>
      <w:bookmarkStart w:id="481" w:name="_Toc51060295"/>
      <w:bookmarkStart w:id="482" w:name="_Toc51061711"/>
      <w:bookmarkStart w:id="483" w:name="_Toc51063127"/>
      <w:bookmarkStart w:id="484" w:name="_Toc51064560"/>
      <w:bookmarkStart w:id="485" w:name="_Toc51065975"/>
      <w:bookmarkStart w:id="486" w:name="_Toc51068023"/>
      <w:bookmarkStart w:id="487" w:name="_Toc51105039"/>
      <w:bookmarkStart w:id="488" w:name="_Toc51106467"/>
      <w:bookmarkStart w:id="489" w:name="_Toc51108790"/>
      <w:bookmarkStart w:id="490" w:name="_Toc51019275"/>
      <w:bookmarkStart w:id="491" w:name="_Toc51056042"/>
      <w:bookmarkStart w:id="492" w:name="_Toc51057463"/>
      <w:bookmarkStart w:id="493" w:name="_Toc51058880"/>
      <w:bookmarkStart w:id="494" w:name="_Toc51060296"/>
      <w:bookmarkStart w:id="495" w:name="_Toc51061712"/>
      <w:bookmarkStart w:id="496" w:name="_Toc51063128"/>
      <w:bookmarkStart w:id="497" w:name="_Toc51064561"/>
      <w:bookmarkStart w:id="498" w:name="_Toc51065976"/>
      <w:bookmarkStart w:id="499" w:name="_Toc51068024"/>
      <w:bookmarkStart w:id="500" w:name="_Toc51105040"/>
      <w:bookmarkStart w:id="501" w:name="_Toc51106468"/>
      <w:bookmarkStart w:id="502" w:name="_Toc51108791"/>
      <w:bookmarkStart w:id="503" w:name="_Toc51019276"/>
      <w:bookmarkStart w:id="504" w:name="_Toc51056043"/>
      <w:bookmarkStart w:id="505" w:name="_Toc51057464"/>
      <w:bookmarkStart w:id="506" w:name="_Toc51058881"/>
      <w:bookmarkStart w:id="507" w:name="_Toc51060297"/>
      <w:bookmarkStart w:id="508" w:name="_Toc51061713"/>
      <w:bookmarkStart w:id="509" w:name="_Toc51063129"/>
      <w:bookmarkStart w:id="510" w:name="_Toc51064562"/>
      <w:bookmarkStart w:id="511" w:name="_Toc51065977"/>
      <w:bookmarkStart w:id="512" w:name="_Toc51068025"/>
      <w:bookmarkStart w:id="513" w:name="_Toc51105041"/>
      <w:bookmarkStart w:id="514" w:name="_Toc51106469"/>
      <w:bookmarkStart w:id="515" w:name="_Toc51108792"/>
      <w:bookmarkStart w:id="516" w:name="_Toc51019277"/>
      <w:bookmarkStart w:id="517" w:name="_Toc51056044"/>
      <w:bookmarkStart w:id="518" w:name="_Toc51057465"/>
      <w:bookmarkStart w:id="519" w:name="_Toc51058882"/>
      <w:bookmarkStart w:id="520" w:name="_Toc51060298"/>
      <w:bookmarkStart w:id="521" w:name="_Toc51061714"/>
      <w:bookmarkStart w:id="522" w:name="_Toc51063130"/>
      <w:bookmarkStart w:id="523" w:name="_Toc51064563"/>
      <w:bookmarkStart w:id="524" w:name="_Toc51065978"/>
      <w:bookmarkStart w:id="525" w:name="_Toc51068026"/>
      <w:bookmarkStart w:id="526" w:name="_Toc51105042"/>
      <w:bookmarkStart w:id="527" w:name="_Toc51106470"/>
      <w:bookmarkStart w:id="528" w:name="_Toc51108793"/>
      <w:bookmarkStart w:id="529" w:name="_Toc51019278"/>
      <w:bookmarkStart w:id="530" w:name="_Toc51056045"/>
      <w:bookmarkStart w:id="531" w:name="_Toc51057466"/>
      <w:bookmarkStart w:id="532" w:name="_Toc51058883"/>
      <w:bookmarkStart w:id="533" w:name="_Toc51060299"/>
      <w:bookmarkStart w:id="534" w:name="_Toc51061715"/>
      <w:bookmarkStart w:id="535" w:name="_Toc51063131"/>
      <w:bookmarkStart w:id="536" w:name="_Toc51064564"/>
      <w:bookmarkStart w:id="537" w:name="_Toc51065979"/>
      <w:bookmarkStart w:id="538" w:name="_Toc51068027"/>
      <w:bookmarkStart w:id="539" w:name="_Toc51105043"/>
      <w:bookmarkStart w:id="540" w:name="_Toc51106471"/>
      <w:bookmarkStart w:id="541" w:name="_Toc51108794"/>
      <w:bookmarkStart w:id="542" w:name="_Toc51019281"/>
      <w:bookmarkStart w:id="543" w:name="_Toc51056048"/>
      <w:bookmarkStart w:id="544" w:name="_Toc51057469"/>
      <w:bookmarkStart w:id="545" w:name="_Toc51058886"/>
      <w:bookmarkStart w:id="546" w:name="_Toc51060302"/>
      <w:bookmarkStart w:id="547" w:name="_Toc51061718"/>
      <w:bookmarkStart w:id="548" w:name="_Toc51063134"/>
      <w:bookmarkStart w:id="549" w:name="_Toc51064567"/>
      <w:bookmarkStart w:id="550" w:name="_Toc51065982"/>
      <w:bookmarkStart w:id="551" w:name="_Toc51068030"/>
      <w:bookmarkStart w:id="552" w:name="_Toc51105046"/>
      <w:bookmarkStart w:id="553" w:name="_Toc51106474"/>
      <w:bookmarkStart w:id="554" w:name="_Toc51108797"/>
      <w:bookmarkStart w:id="555" w:name="_Toc51019283"/>
      <w:bookmarkStart w:id="556" w:name="_Toc51056050"/>
      <w:bookmarkStart w:id="557" w:name="_Toc51057471"/>
      <w:bookmarkStart w:id="558" w:name="_Toc51058888"/>
      <w:bookmarkStart w:id="559" w:name="_Toc51060304"/>
      <w:bookmarkStart w:id="560" w:name="_Toc51061720"/>
      <w:bookmarkStart w:id="561" w:name="_Toc51063136"/>
      <w:bookmarkStart w:id="562" w:name="_Toc51064569"/>
      <w:bookmarkStart w:id="563" w:name="_Toc51065984"/>
      <w:bookmarkStart w:id="564" w:name="_Toc51068032"/>
      <w:bookmarkStart w:id="565" w:name="_Toc51105048"/>
      <w:bookmarkStart w:id="566" w:name="_Toc51106476"/>
      <w:bookmarkStart w:id="567" w:name="_Toc51108799"/>
      <w:bookmarkStart w:id="568" w:name="_Toc51019284"/>
      <w:bookmarkStart w:id="569" w:name="_Toc51056051"/>
      <w:bookmarkStart w:id="570" w:name="_Toc51057472"/>
      <w:bookmarkStart w:id="571" w:name="_Toc51058889"/>
      <w:bookmarkStart w:id="572" w:name="_Toc51060305"/>
      <w:bookmarkStart w:id="573" w:name="_Toc51061721"/>
      <w:bookmarkStart w:id="574" w:name="_Toc51063137"/>
      <w:bookmarkStart w:id="575" w:name="_Toc51064570"/>
      <w:bookmarkStart w:id="576" w:name="_Toc51065985"/>
      <w:bookmarkStart w:id="577" w:name="_Toc51068033"/>
      <w:bookmarkStart w:id="578" w:name="_Toc51105049"/>
      <w:bookmarkStart w:id="579" w:name="_Toc51106477"/>
      <w:bookmarkStart w:id="580" w:name="_Toc51108800"/>
      <w:bookmarkStart w:id="581" w:name="_Toc51019285"/>
      <w:bookmarkStart w:id="582" w:name="_Toc51056052"/>
      <w:bookmarkStart w:id="583" w:name="_Toc51057473"/>
      <w:bookmarkStart w:id="584" w:name="_Toc51058890"/>
      <w:bookmarkStart w:id="585" w:name="_Toc51060306"/>
      <w:bookmarkStart w:id="586" w:name="_Toc51061722"/>
      <w:bookmarkStart w:id="587" w:name="_Toc51063138"/>
      <w:bookmarkStart w:id="588" w:name="_Toc51064571"/>
      <w:bookmarkStart w:id="589" w:name="_Toc51065986"/>
      <w:bookmarkStart w:id="590" w:name="_Toc51068034"/>
      <w:bookmarkStart w:id="591" w:name="_Toc51105050"/>
      <w:bookmarkStart w:id="592" w:name="_Toc51106478"/>
      <w:bookmarkStart w:id="593" w:name="_Toc51108801"/>
      <w:bookmarkStart w:id="594" w:name="_Toc40952507"/>
      <w:bookmarkStart w:id="595" w:name="_Toc40952594"/>
      <w:bookmarkStart w:id="596" w:name="_Toc40952666"/>
      <w:bookmarkStart w:id="597" w:name="_Toc40952738"/>
      <w:bookmarkStart w:id="598" w:name="_Toc40952810"/>
      <w:bookmarkStart w:id="599" w:name="_Toc40952989"/>
      <w:bookmarkStart w:id="600" w:name="_Toc40956673"/>
      <w:bookmarkStart w:id="601" w:name="_Toc40959262"/>
      <w:bookmarkStart w:id="602" w:name="_Toc40952508"/>
      <w:bookmarkStart w:id="603" w:name="_Toc40952595"/>
      <w:bookmarkStart w:id="604" w:name="_Toc40952667"/>
      <w:bookmarkStart w:id="605" w:name="_Toc40952739"/>
      <w:bookmarkStart w:id="606" w:name="_Toc40952811"/>
      <w:bookmarkStart w:id="607" w:name="_Toc40952990"/>
      <w:bookmarkStart w:id="608" w:name="_Toc40956674"/>
      <w:bookmarkStart w:id="609" w:name="_Toc40959263"/>
      <w:bookmarkStart w:id="610" w:name="_Toc40952509"/>
      <w:bookmarkStart w:id="611" w:name="_Toc40952596"/>
      <w:bookmarkStart w:id="612" w:name="_Toc40952668"/>
      <w:bookmarkStart w:id="613" w:name="_Toc40952740"/>
      <w:bookmarkStart w:id="614" w:name="_Toc40952812"/>
      <w:bookmarkStart w:id="615" w:name="_Toc40952991"/>
      <w:bookmarkStart w:id="616" w:name="_Toc40956675"/>
      <w:bookmarkStart w:id="617" w:name="_Toc40959264"/>
      <w:bookmarkStart w:id="618" w:name="_Toc51019286"/>
      <w:bookmarkStart w:id="619" w:name="_Toc51056053"/>
      <w:bookmarkStart w:id="620" w:name="_Toc51057474"/>
      <w:bookmarkStart w:id="621" w:name="_Toc51058891"/>
      <w:bookmarkStart w:id="622" w:name="_Toc51060307"/>
      <w:bookmarkStart w:id="623" w:name="_Toc51061723"/>
      <w:bookmarkStart w:id="624" w:name="_Toc51063139"/>
      <w:bookmarkStart w:id="625" w:name="_Toc51064572"/>
      <w:bookmarkStart w:id="626" w:name="_Toc51065987"/>
      <w:bookmarkStart w:id="627" w:name="_Toc51068035"/>
      <w:bookmarkStart w:id="628" w:name="_Toc51105051"/>
      <w:bookmarkStart w:id="629" w:name="_Toc51106479"/>
      <w:bookmarkStart w:id="630" w:name="_Toc51108802"/>
      <w:bookmarkStart w:id="631" w:name="_Toc51019287"/>
      <w:bookmarkStart w:id="632" w:name="_Toc51056054"/>
      <w:bookmarkStart w:id="633" w:name="_Toc51057475"/>
      <w:bookmarkStart w:id="634" w:name="_Toc51058892"/>
      <w:bookmarkStart w:id="635" w:name="_Toc51060308"/>
      <w:bookmarkStart w:id="636" w:name="_Toc51061724"/>
      <w:bookmarkStart w:id="637" w:name="_Toc51063140"/>
      <w:bookmarkStart w:id="638" w:name="_Toc51064573"/>
      <w:bookmarkStart w:id="639" w:name="_Toc51065988"/>
      <w:bookmarkStart w:id="640" w:name="_Toc51068036"/>
      <w:bookmarkStart w:id="641" w:name="_Toc51105052"/>
      <w:bookmarkStart w:id="642" w:name="_Toc51106480"/>
      <w:bookmarkStart w:id="643" w:name="_Toc51108803"/>
      <w:bookmarkStart w:id="644" w:name="_Toc51019288"/>
      <w:bookmarkStart w:id="645" w:name="_Toc51056055"/>
      <w:bookmarkStart w:id="646" w:name="_Toc51057476"/>
      <w:bookmarkStart w:id="647" w:name="_Toc51058893"/>
      <w:bookmarkStart w:id="648" w:name="_Toc51060309"/>
      <w:bookmarkStart w:id="649" w:name="_Toc51061725"/>
      <w:bookmarkStart w:id="650" w:name="_Toc51063141"/>
      <w:bookmarkStart w:id="651" w:name="_Toc51064574"/>
      <w:bookmarkStart w:id="652" w:name="_Toc51065989"/>
      <w:bookmarkStart w:id="653" w:name="_Toc51068037"/>
      <w:bookmarkStart w:id="654" w:name="_Toc51105053"/>
      <w:bookmarkStart w:id="655" w:name="_Toc51106481"/>
      <w:bookmarkStart w:id="656" w:name="_Toc51108804"/>
      <w:bookmarkStart w:id="657" w:name="_Toc51019289"/>
      <w:bookmarkStart w:id="658" w:name="_Toc51056056"/>
      <w:bookmarkStart w:id="659" w:name="_Toc51057477"/>
      <w:bookmarkStart w:id="660" w:name="_Toc51058894"/>
      <w:bookmarkStart w:id="661" w:name="_Toc51060310"/>
      <w:bookmarkStart w:id="662" w:name="_Toc51061726"/>
      <w:bookmarkStart w:id="663" w:name="_Toc51063142"/>
      <w:bookmarkStart w:id="664" w:name="_Toc51064575"/>
      <w:bookmarkStart w:id="665" w:name="_Toc51065990"/>
      <w:bookmarkStart w:id="666" w:name="_Toc51068038"/>
      <w:bookmarkStart w:id="667" w:name="_Toc51105054"/>
      <w:bookmarkStart w:id="668" w:name="_Toc51106482"/>
      <w:bookmarkStart w:id="669" w:name="_Toc51108805"/>
      <w:bookmarkStart w:id="670" w:name="_Toc51019290"/>
      <w:bookmarkStart w:id="671" w:name="_Toc51056057"/>
      <w:bookmarkStart w:id="672" w:name="_Toc51057478"/>
      <w:bookmarkStart w:id="673" w:name="_Toc51058895"/>
      <w:bookmarkStart w:id="674" w:name="_Toc51060311"/>
      <w:bookmarkStart w:id="675" w:name="_Toc51061727"/>
      <w:bookmarkStart w:id="676" w:name="_Toc51063143"/>
      <w:bookmarkStart w:id="677" w:name="_Toc51064576"/>
      <w:bookmarkStart w:id="678" w:name="_Toc51065991"/>
      <w:bookmarkStart w:id="679" w:name="_Toc51068039"/>
      <w:bookmarkStart w:id="680" w:name="_Toc51105055"/>
      <w:bookmarkStart w:id="681" w:name="_Toc51106483"/>
      <w:bookmarkStart w:id="682" w:name="_Toc51108806"/>
      <w:bookmarkStart w:id="683" w:name="_Toc51019291"/>
      <w:bookmarkStart w:id="684" w:name="_Toc51056058"/>
      <w:bookmarkStart w:id="685" w:name="_Toc51057479"/>
      <w:bookmarkStart w:id="686" w:name="_Toc51058896"/>
      <w:bookmarkStart w:id="687" w:name="_Toc51060312"/>
      <w:bookmarkStart w:id="688" w:name="_Toc51061728"/>
      <w:bookmarkStart w:id="689" w:name="_Toc51063144"/>
      <w:bookmarkStart w:id="690" w:name="_Toc51064577"/>
      <w:bookmarkStart w:id="691" w:name="_Toc51065992"/>
      <w:bookmarkStart w:id="692" w:name="_Toc51068040"/>
      <w:bookmarkStart w:id="693" w:name="_Toc51105056"/>
      <w:bookmarkStart w:id="694" w:name="_Toc51106484"/>
      <w:bookmarkStart w:id="695" w:name="_Toc51108807"/>
      <w:bookmarkStart w:id="696" w:name="_Toc51019292"/>
      <w:bookmarkStart w:id="697" w:name="_Toc51056059"/>
      <w:bookmarkStart w:id="698" w:name="_Toc51057480"/>
      <w:bookmarkStart w:id="699" w:name="_Toc51058897"/>
      <w:bookmarkStart w:id="700" w:name="_Toc51060313"/>
      <w:bookmarkStart w:id="701" w:name="_Toc51061729"/>
      <w:bookmarkStart w:id="702" w:name="_Toc51063145"/>
      <w:bookmarkStart w:id="703" w:name="_Toc51064578"/>
      <w:bookmarkStart w:id="704" w:name="_Toc51065993"/>
      <w:bookmarkStart w:id="705" w:name="_Toc51068041"/>
      <w:bookmarkStart w:id="706" w:name="_Toc51105057"/>
      <w:bookmarkStart w:id="707" w:name="_Toc51106485"/>
      <w:bookmarkStart w:id="708" w:name="_Toc51108808"/>
      <w:bookmarkStart w:id="709" w:name="_Toc51019293"/>
      <w:bookmarkStart w:id="710" w:name="_Toc51056060"/>
      <w:bookmarkStart w:id="711" w:name="_Toc51057481"/>
      <w:bookmarkStart w:id="712" w:name="_Toc51058898"/>
      <w:bookmarkStart w:id="713" w:name="_Toc51060314"/>
      <w:bookmarkStart w:id="714" w:name="_Toc51061730"/>
      <w:bookmarkStart w:id="715" w:name="_Toc51063146"/>
      <w:bookmarkStart w:id="716" w:name="_Toc51064579"/>
      <w:bookmarkStart w:id="717" w:name="_Toc51065994"/>
      <w:bookmarkStart w:id="718" w:name="_Toc51068042"/>
      <w:bookmarkStart w:id="719" w:name="_Toc51105058"/>
      <w:bookmarkStart w:id="720" w:name="_Toc51106486"/>
      <w:bookmarkStart w:id="721" w:name="_Toc51108809"/>
      <w:bookmarkStart w:id="722" w:name="_Toc51019294"/>
      <w:bookmarkStart w:id="723" w:name="_Toc51056061"/>
      <w:bookmarkStart w:id="724" w:name="_Toc51057482"/>
      <w:bookmarkStart w:id="725" w:name="_Toc51058899"/>
      <w:bookmarkStart w:id="726" w:name="_Toc51060315"/>
      <w:bookmarkStart w:id="727" w:name="_Toc51061731"/>
      <w:bookmarkStart w:id="728" w:name="_Toc51063147"/>
      <w:bookmarkStart w:id="729" w:name="_Toc51064580"/>
      <w:bookmarkStart w:id="730" w:name="_Toc51065995"/>
      <w:bookmarkStart w:id="731" w:name="_Toc51068043"/>
      <w:bookmarkStart w:id="732" w:name="_Toc51105059"/>
      <w:bookmarkStart w:id="733" w:name="_Toc51106487"/>
      <w:bookmarkStart w:id="734" w:name="_Toc51108810"/>
      <w:bookmarkStart w:id="735" w:name="_Toc51019296"/>
      <w:bookmarkStart w:id="736" w:name="_Toc51056063"/>
      <w:bookmarkStart w:id="737" w:name="_Toc51057484"/>
      <w:bookmarkStart w:id="738" w:name="_Toc51058901"/>
      <w:bookmarkStart w:id="739" w:name="_Toc51060317"/>
      <w:bookmarkStart w:id="740" w:name="_Toc51061733"/>
      <w:bookmarkStart w:id="741" w:name="_Toc51063149"/>
      <w:bookmarkStart w:id="742" w:name="_Toc51064582"/>
      <w:bookmarkStart w:id="743" w:name="_Toc51065997"/>
      <w:bookmarkStart w:id="744" w:name="_Toc51068045"/>
      <w:bookmarkStart w:id="745" w:name="_Toc51105061"/>
      <w:bookmarkStart w:id="746" w:name="_Toc51106489"/>
      <w:bookmarkStart w:id="747" w:name="_Toc51108812"/>
      <w:bookmarkStart w:id="748" w:name="_Toc51019297"/>
      <w:bookmarkStart w:id="749" w:name="_Toc51056064"/>
      <w:bookmarkStart w:id="750" w:name="_Toc51057485"/>
      <w:bookmarkStart w:id="751" w:name="_Toc51058902"/>
      <w:bookmarkStart w:id="752" w:name="_Toc51060318"/>
      <w:bookmarkStart w:id="753" w:name="_Toc51061734"/>
      <w:bookmarkStart w:id="754" w:name="_Toc51063150"/>
      <w:bookmarkStart w:id="755" w:name="_Toc51064583"/>
      <w:bookmarkStart w:id="756" w:name="_Toc51065998"/>
      <w:bookmarkStart w:id="757" w:name="_Toc51068046"/>
      <w:bookmarkStart w:id="758" w:name="_Toc51105062"/>
      <w:bookmarkStart w:id="759" w:name="_Toc51106490"/>
      <w:bookmarkStart w:id="760" w:name="_Toc51108813"/>
      <w:bookmarkStart w:id="761" w:name="_Toc51019298"/>
      <w:bookmarkStart w:id="762" w:name="_Toc51056065"/>
      <w:bookmarkStart w:id="763" w:name="_Toc51057486"/>
      <w:bookmarkStart w:id="764" w:name="_Toc51058903"/>
      <w:bookmarkStart w:id="765" w:name="_Toc51060319"/>
      <w:bookmarkStart w:id="766" w:name="_Toc51061735"/>
      <w:bookmarkStart w:id="767" w:name="_Toc51063151"/>
      <w:bookmarkStart w:id="768" w:name="_Toc51064584"/>
      <w:bookmarkStart w:id="769" w:name="_Toc51065999"/>
      <w:bookmarkStart w:id="770" w:name="_Toc51068047"/>
      <w:bookmarkStart w:id="771" w:name="_Toc51105063"/>
      <w:bookmarkStart w:id="772" w:name="_Toc51106491"/>
      <w:bookmarkStart w:id="773" w:name="_Toc51108814"/>
      <w:bookmarkStart w:id="774" w:name="_Toc51019299"/>
      <w:bookmarkStart w:id="775" w:name="_Toc51056066"/>
      <w:bookmarkStart w:id="776" w:name="_Toc51057487"/>
      <w:bookmarkStart w:id="777" w:name="_Toc51058904"/>
      <w:bookmarkStart w:id="778" w:name="_Toc51060320"/>
      <w:bookmarkStart w:id="779" w:name="_Toc51061736"/>
      <w:bookmarkStart w:id="780" w:name="_Toc51063152"/>
      <w:bookmarkStart w:id="781" w:name="_Toc51064585"/>
      <w:bookmarkStart w:id="782" w:name="_Toc51066000"/>
      <w:bookmarkStart w:id="783" w:name="_Toc51068048"/>
      <w:bookmarkStart w:id="784" w:name="_Toc51105064"/>
      <w:bookmarkStart w:id="785" w:name="_Toc51106492"/>
      <w:bookmarkStart w:id="786" w:name="_Toc51108815"/>
      <w:bookmarkStart w:id="787" w:name="_Toc51019300"/>
      <w:bookmarkStart w:id="788" w:name="_Toc51056067"/>
      <w:bookmarkStart w:id="789" w:name="_Toc51057488"/>
      <w:bookmarkStart w:id="790" w:name="_Toc51058905"/>
      <w:bookmarkStart w:id="791" w:name="_Toc51060321"/>
      <w:bookmarkStart w:id="792" w:name="_Toc51061737"/>
      <w:bookmarkStart w:id="793" w:name="_Toc51063153"/>
      <w:bookmarkStart w:id="794" w:name="_Toc51064586"/>
      <w:bookmarkStart w:id="795" w:name="_Toc51066001"/>
      <w:bookmarkStart w:id="796" w:name="_Toc51068049"/>
      <w:bookmarkStart w:id="797" w:name="_Toc51105065"/>
      <w:bookmarkStart w:id="798" w:name="_Toc51106493"/>
      <w:bookmarkStart w:id="799" w:name="_Toc51108816"/>
      <w:bookmarkStart w:id="800" w:name="_Toc51019302"/>
      <w:bookmarkStart w:id="801" w:name="_Toc51056069"/>
      <w:bookmarkStart w:id="802" w:name="_Toc51057490"/>
      <w:bookmarkStart w:id="803" w:name="_Toc51058907"/>
      <w:bookmarkStart w:id="804" w:name="_Toc51060323"/>
      <w:bookmarkStart w:id="805" w:name="_Toc51061739"/>
      <w:bookmarkStart w:id="806" w:name="_Toc51063155"/>
      <w:bookmarkStart w:id="807" w:name="_Toc51064588"/>
      <w:bookmarkStart w:id="808" w:name="_Toc51066003"/>
      <w:bookmarkStart w:id="809" w:name="_Toc51068051"/>
      <w:bookmarkStart w:id="810" w:name="_Toc51105067"/>
      <w:bookmarkStart w:id="811" w:name="_Toc51106495"/>
      <w:bookmarkStart w:id="812" w:name="_Toc51108818"/>
      <w:bookmarkStart w:id="813" w:name="_Toc51019303"/>
      <w:bookmarkStart w:id="814" w:name="_Toc51056070"/>
      <w:bookmarkStart w:id="815" w:name="_Toc51057491"/>
      <w:bookmarkStart w:id="816" w:name="_Toc51058908"/>
      <w:bookmarkStart w:id="817" w:name="_Toc51060324"/>
      <w:bookmarkStart w:id="818" w:name="_Toc51061740"/>
      <w:bookmarkStart w:id="819" w:name="_Toc51063156"/>
      <w:bookmarkStart w:id="820" w:name="_Toc51064589"/>
      <w:bookmarkStart w:id="821" w:name="_Toc51066004"/>
      <w:bookmarkStart w:id="822" w:name="_Toc51068052"/>
      <w:bookmarkStart w:id="823" w:name="_Toc51105068"/>
      <w:bookmarkStart w:id="824" w:name="_Toc51106496"/>
      <w:bookmarkStart w:id="825" w:name="_Toc51108819"/>
      <w:bookmarkStart w:id="826" w:name="_Toc51019304"/>
      <w:bookmarkStart w:id="827" w:name="_Toc51056071"/>
      <w:bookmarkStart w:id="828" w:name="_Toc51057492"/>
      <w:bookmarkStart w:id="829" w:name="_Toc51058909"/>
      <w:bookmarkStart w:id="830" w:name="_Toc51060325"/>
      <w:bookmarkStart w:id="831" w:name="_Toc51061741"/>
      <w:bookmarkStart w:id="832" w:name="_Toc51063157"/>
      <w:bookmarkStart w:id="833" w:name="_Toc51064590"/>
      <w:bookmarkStart w:id="834" w:name="_Toc51066005"/>
      <w:bookmarkStart w:id="835" w:name="_Toc51068053"/>
      <w:bookmarkStart w:id="836" w:name="_Toc51105069"/>
      <w:bookmarkStart w:id="837" w:name="_Toc51106497"/>
      <w:bookmarkStart w:id="838" w:name="_Toc51108820"/>
      <w:bookmarkStart w:id="839" w:name="_Toc51019306"/>
      <w:bookmarkStart w:id="840" w:name="_Toc51056073"/>
      <w:bookmarkStart w:id="841" w:name="_Toc51057494"/>
      <w:bookmarkStart w:id="842" w:name="_Toc51058911"/>
      <w:bookmarkStart w:id="843" w:name="_Toc51060327"/>
      <w:bookmarkStart w:id="844" w:name="_Toc51061743"/>
      <w:bookmarkStart w:id="845" w:name="_Toc51063159"/>
      <w:bookmarkStart w:id="846" w:name="_Toc51064592"/>
      <w:bookmarkStart w:id="847" w:name="_Toc51066007"/>
      <w:bookmarkStart w:id="848" w:name="_Toc51068055"/>
      <w:bookmarkStart w:id="849" w:name="_Toc51105071"/>
      <w:bookmarkStart w:id="850" w:name="_Toc51106499"/>
      <w:bookmarkStart w:id="851" w:name="_Toc51108822"/>
      <w:bookmarkStart w:id="852" w:name="_Toc51019309"/>
      <w:bookmarkStart w:id="853" w:name="_Toc51056076"/>
      <w:bookmarkStart w:id="854" w:name="_Toc51057497"/>
      <w:bookmarkStart w:id="855" w:name="_Toc51058914"/>
      <w:bookmarkStart w:id="856" w:name="_Toc51060330"/>
      <w:bookmarkStart w:id="857" w:name="_Toc51061746"/>
      <w:bookmarkStart w:id="858" w:name="_Toc51063162"/>
      <w:bookmarkStart w:id="859" w:name="_Toc51064595"/>
      <w:bookmarkStart w:id="860" w:name="_Toc51066010"/>
      <w:bookmarkStart w:id="861" w:name="_Toc51068058"/>
      <w:bookmarkStart w:id="862" w:name="_Toc51105074"/>
      <w:bookmarkStart w:id="863" w:name="_Toc51106502"/>
      <w:bookmarkStart w:id="864" w:name="_Toc51108825"/>
      <w:bookmarkStart w:id="865" w:name="_Toc51019310"/>
      <w:bookmarkStart w:id="866" w:name="_Toc51056077"/>
      <w:bookmarkStart w:id="867" w:name="_Toc51057498"/>
      <w:bookmarkStart w:id="868" w:name="_Toc51058915"/>
      <w:bookmarkStart w:id="869" w:name="_Toc51060331"/>
      <w:bookmarkStart w:id="870" w:name="_Toc51061747"/>
      <w:bookmarkStart w:id="871" w:name="_Toc51063163"/>
      <w:bookmarkStart w:id="872" w:name="_Toc51064596"/>
      <w:bookmarkStart w:id="873" w:name="_Toc51066011"/>
      <w:bookmarkStart w:id="874" w:name="_Toc51068059"/>
      <w:bookmarkStart w:id="875" w:name="_Toc51105075"/>
      <w:bookmarkStart w:id="876" w:name="_Toc51106503"/>
      <w:bookmarkStart w:id="877" w:name="_Toc51108826"/>
      <w:bookmarkStart w:id="878" w:name="_Toc51019311"/>
      <w:bookmarkStart w:id="879" w:name="_Toc51056078"/>
      <w:bookmarkStart w:id="880" w:name="_Toc51057499"/>
      <w:bookmarkStart w:id="881" w:name="_Toc51058916"/>
      <w:bookmarkStart w:id="882" w:name="_Toc51060332"/>
      <w:bookmarkStart w:id="883" w:name="_Toc51061748"/>
      <w:bookmarkStart w:id="884" w:name="_Toc51063164"/>
      <w:bookmarkStart w:id="885" w:name="_Toc51064597"/>
      <w:bookmarkStart w:id="886" w:name="_Toc51066012"/>
      <w:bookmarkStart w:id="887" w:name="_Toc51068060"/>
      <w:bookmarkStart w:id="888" w:name="_Toc51105076"/>
      <w:bookmarkStart w:id="889" w:name="_Toc51106504"/>
      <w:bookmarkStart w:id="890" w:name="_Toc51108827"/>
      <w:bookmarkStart w:id="891" w:name="_Toc51019312"/>
      <w:bookmarkStart w:id="892" w:name="_Toc51056079"/>
      <w:bookmarkStart w:id="893" w:name="_Toc51057500"/>
      <w:bookmarkStart w:id="894" w:name="_Toc51058917"/>
      <w:bookmarkStart w:id="895" w:name="_Toc51060333"/>
      <w:bookmarkStart w:id="896" w:name="_Toc51061749"/>
      <w:bookmarkStart w:id="897" w:name="_Toc51063165"/>
      <w:bookmarkStart w:id="898" w:name="_Toc51064598"/>
      <w:bookmarkStart w:id="899" w:name="_Toc51066013"/>
      <w:bookmarkStart w:id="900" w:name="_Toc51068061"/>
      <w:bookmarkStart w:id="901" w:name="_Toc51105077"/>
      <w:bookmarkStart w:id="902" w:name="_Toc51106505"/>
      <w:bookmarkStart w:id="903" w:name="_Toc51108828"/>
      <w:bookmarkStart w:id="904" w:name="_Toc51019313"/>
      <w:bookmarkStart w:id="905" w:name="_Toc51056080"/>
      <w:bookmarkStart w:id="906" w:name="_Toc51057501"/>
      <w:bookmarkStart w:id="907" w:name="_Toc51058918"/>
      <w:bookmarkStart w:id="908" w:name="_Toc51060334"/>
      <w:bookmarkStart w:id="909" w:name="_Toc51061750"/>
      <w:bookmarkStart w:id="910" w:name="_Toc51063166"/>
      <w:bookmarkStart w:id="911" w:name="_Toc51064599"/>
      <w:bookmarkStart w:id="912" w:name="_Toc51066014"/>
      <w:bookmarkStart w:id="913" w:name="_Toc51068062"/>
      <w:bookmarkStart w:id="914" w:name="_Toc51105078"/>
      <w:bookmarkStart w:id="915" w:name="_Toc51106506"/>
      <w:bookmarkStart w:id="916" w:name="_Toc51108829"/>
      <w:bookmarkStart w:id="917" w:name="_Toc51019328"/>
      <w:bookmarkStart w:id="918" w:name="_Toc51056095"/>
      <w:bookmarkStart w:id="919" w:name="_Toc51057516"/>
      <w:bookmarkStart w:id="920" w:name="_Toc51058933"/>
      <w:bookmarkStart w:id="921" w:name="_Toc51060349"/>
      <w:bookmarkStart w:id="922" w:name="_Toc51061765"/>
      <w:bookmarkStart w:id="923" w:name="_Toc51063181"/>
      <w:bookmarkStart w:id="924" w:name="_Toc51064614"/>
      <w:bookmarkStart w:id="925" w:name="_Toc51066029"/>
      <w:bookmarkStart w:id="926" w:name="_Toc51068077"/>
      <w:bookmarkStart w:id="927" w:name="_Toc51105093"/>
      <w:bookmarkStart w:id="928" w:name="_Toc51106521"/>
      <w:bookmarkStart w:id="929" w:name="_Toc51108844"/>
      <w:bookmarkStart w:id="930" w:name="_Toc51019329"/>
      <w:bookmarkStart w:id="931" w:name="_Toc51056096"/>
      <w:bookmarkStart w:id="932" w:name="_Toc51057517"/>
      <w:bookmarkStart w:id="933" w:name="_Toc51058934"/>
      <w:bookmarkStart w:id="934" w:name="_Toc51060350"/>
      <w:bookmarkStart w:id="935" w:name="_Toc51061766"/>
      <w:bookmarkStart w:id="936" w:name="_Toc51063182"/>
      <w:bookmarkStart w:id="937" w:name="_Toc51064615"/>
      <w:bookmarkStart w:id="938" w:name="_Toc51066030"/>
      <w:bookmarkStart w:id="939" w:name="_Toc51068078"/>
      <w:bookmarkStart w:id="940" w:name="_Toc51105094"/>
      <w:bookmarkStart w:id="941" w:name="_Toc51106522"/>
      <w:bookmarkStart w:id="942" w:name="_Toc51108845"/>
      <w:bookmarkStart w:id="943" w:name="_Toc51019330"/>
      <w:bookmarkStart w:id="944" w:name="_Toc51056097"/>
      <w:bookmarkStart w:id="945" w:name="_Toc51057518"/>
      <w:bookmarkStart w:id="946" w:name="_Toc51058935"/>
      <w:bookmarkStart w:id="947" w:name="_Toc51060351"/>
      <w:bookmarkStart w:id="948" w:name="_Toc51061767"/>
      <w:bookmarkStart w:id="949" w:name="_Toc51063183"/>
      <w:bookmarkStart w:id="950" w:name="_Toc51064616"/>
      <w:bookmarkStart w:id="951" w:name="_Toc51066031"/>
      <w:bookmarkStart w:id="952" w:name="_Toc51068079"/>
      <w:bookmarkStart w:id="953" w:name="_Toc51105095"/>
      <w:bookmarkStart w:id="954" w:name="_Toc51106523"/>
      <w:bookmarkStart w:id="955" w:name="_Toc51108846"/>
      <w:bookmarkStart w:id="956" w:name="_Toc51019331"/>
      <w:bookmarkStart w:id="957" w:name="_Toc51056098"/>
      <w:bookmarkStart w:id="958" w:name="_Toc51057519"/>
      <w:bookmarkStart w:id="959" w:name="_Toc51058936"/>
      <w:bookmarkStart w:id="960" w:name="_Toc51060352"/>
      <w:bookmarkStart w:id="961" w:name="_Toc51061768"/>
      <w:bookmarkStart w:id="962" w:name="_Toc51063184"/>
      <w:bookmarkStart w:id="963" w:name="_Toc51064617"/>
      <w:bookmarkStart w:id="964" w:name="_Toc51066032"/>
      <w:bookmarkStart w:id="965" w:name="_Toc51068080"/>
      <w:bookmarkStart w:id="966" w:name="_Toc51105096"/>
      <w:bookmarkStart w:id="967" w:name="_Toc51106524"/>
      <w:bookmarkStart w:id="968" w:name="_Toc51108847"/>
      <w:bookmarkStart w:id="969" w:name="_Toc51019332"/>
      <w:bookmarkStart w:id="970" w:name="_Toc51056099"/>
      <w:bookmarkStart w:id="971" w:name="_Toc51057520"/>
      <w:bookmarkStart w:id="972" w:name="_Toc51058937"/>
      <w:bookmarkStart w:id="973" w:name="_Toc51060353"/>
      <w:bookmarkStart w:id="974" w:name="_Toc51061769"/>
      <w:bookmarkStart w:id="975" w:name="_Toc51063185"/>
      <w:bookmarkStart w:id="976" w:name="_Toc51064618"/>
      <w:bookmarkStart w:id="977" w:name="_Toc51066033"/>
      <w:bookmarkStart w:id="978" w:name="_Toc51068081"/>
      <w:bookmarkStart w:id="979" w:name="_Toc51105097"/>
      <w:bookmarkStart w:id="980" w:name="_Toc51106525"/>
      <w:bookmarkStart w:id="981" w:name="_Toc51108848"/>
      <w:bookmarkStart w:id="982" w:name="_Toc51019333"/>
      <w:bookmarkStart w:id="983" w:name="_Toc51056100"/>
      <w:bookmarkStart w:id="984" w:name="_Toc51057521"/>
      <w:bookmarkStart w:id="985" w:name="_Toc51058938"/>
      <w:bookmarkStart w:id="986" w:name="_Toc51060354"/>
      <w:bookmarkStart w:id="987" w:name="_Toc51061770"/>
      <w:bookmarkStart w:id="988" w:name="_Toc51063186"/>
      <w:bookmarkStart w:id="989" w:name="_Toc51064619"/>
      <w:bookmarkStart w:id="990" w:name="_Toc51066034"/>
      <w:bookmarkStart w:id="991" w:name="_Toc51068082"/>
      <w:bookmarkStart w:id="992" w:name="_Toc51105098"/>
      <w:bookmarkStart w:id="993" w:name="_Toc51106526"/>
      <w:bookmarkStart w:id="994" w:name="_Toc51108849"/>
      <w:bookmarkStart w:id="995" w:name="_Toc51019334"/>
      <w:bookmarkStart w:id="996" w:name="_Toc51056101"/>
      <w:bookmarkStart w:id="997" w:name="_Toc51057522"/>
      <w:bookmarkStart w:id="998" w:name="_Toc51058939"/>
      <w:bookmarkStart w:id="999" w:name="_Toc51060355"/>
      <w:bookmarkStart w:id="1000" w:name="_Toc51061771"/>
      <w:bookmarkStart w:id="1001" w:name="_Toc51063187"/>
      <w:bookmarkStart w:id="1002" w:name="_Toc51064620"/>
      <w:bookmarkStart w:id="1003" w:name="_Toc51066035"/>
      <w:bookmarkStart w:id="1004" w:name="_Toc51068083"/>
      <w:bookmarkStart w:id="1005" w:name="_Toc51105099"/>
      <w:bookmarkStart w:id="1006" w:name="_Toc51106527"/>
      <w:bookmarkStart w:id="1007" w:name="_Toc51108850"/>
      <w:bookmarkStart w:id="1008" w:name="_Toc51019336"/>
      <w:bookmarkStart w:id="1009" w:name="_Toc51056103"/>
      <w:bookmarkStart w:id="1010" w:name="_Toc51057524"/>
      <w:bookmarkStart w:id="1011" w:name="_Toc51058941"/>
      <w:bookmarkStart w:id="1012" w:name="_Toc51060357"/>
      <w:bookmarkStart w:id="1013" w:name="_Toc51061773"/>
      <w:bookmarkStart w:id="1014" w:name="_Toc51063189"/>
      <w:bookmarkStart w:id="1015" w:name="_Toc51064622"/>
      <w:bookmarkStart w:id="1016" w:name="_Toc51066037"/>
      <w:bookmarkStart w:id="1017" w:name="_Toc51068085"/>
      <w:bookmarkStart w:id="1018" w:name="_Toc51105101"/>
      <w:bookmarkStart w:id="1019" w:name="_Toc51106529"/>
      <w:bookmarkStart w:id="1020" w:name="_Toc51108852"/>
      <w:bookmarkStart w:id="1021" w:name="_Toc51019337"/>
      <w:bookmarkStart w:id="1022" w:name="_Toc51056104"/>
      <w:bookmarkStart w:id="1023" w:name="_Toc51057525"/>
      <w:bookmarkStart w:id="1024" w:name="_Toc51058942"/>
      <w:bookmarkStart w:id="1025" w:name="_Toc51060358"/>
      <w:bookmarkStart w:id="1026" w:name="_Toc51061774"/>
      <w:bookmarkStart w:id="1027" w:name="_Toc51063190"/>
      <w:bookmarkStart w:id="1028" w:name="_Toc51064623"/>
      <w:bookmarkStart w:id="1029" w:name="_Toc51066038"/>
      <w:bookmarkStart w:id="1030" w:name="_Toc51068086"/>
      <w:bookmarkStart w:id="1031" w:name="_Toc51105102"/>
      <w:bookmarkStart w:id="1032" w:name="_Toc51106530"/>
      <w:bookmarkStart w:id="1033" w:name="_Toc51108853"/>
      <w:bookmarkStart w:id="1034" w:name="_Toc31673149"/>
      <w:bookmarkStart w:id="1035" w:name="_Toc31673988"/>
      <w:bookmarkStart w:id="1036" w:name="_Toc31674830"/>
      <w:bookmarkStart w:id="1037" w:name="_Toc31673150"/>
      <w:bookmarkStart w:id="1038" w:name="_Toc31673989"/>
      <w:bookmarkStart w:id="1039" w:name="_Toc31674831"/>
      <w:bookmarkStart w:id="1040" w:name="_Toc51019338"/>
      <w:bookmarkStart w:id="1041" w:name="_Toc51056105"/>
      <w:bookmarkStart w:id="1042" w:name="_Toc51057526"/>
      <w:bookmarkStart w:id="1043" w:name="_Toc51058943"/>
      <w:bookmarkStart w:id="1044" w:name="_Toc51060359"/>
      <w:bookmarkStart w:id="1045" w:name="_Toc51061775"/>
      <w:bookmarkStart w:id="1046" w:name="_Toc51063191"/>
      <w:bookmarkStart w:id="1047" w:name="_Toc51064624"/>
      <w:bookmarkStart w:id="1048" w:name="_Toc51066039"/>
      <w:bookmarkStart w:id="1049" w:name="_Toc51068087"/>
      <w:bookmarkStart w:id="1050" w:name="_Toc51105103"/>
      <w:bookmarkStart w:id="1051" w:name="_Toc51106531"/>
      <w:bookmarkStart w:id="1052" w:name="_Toc51108854"/>
      <w:bookmarkStart w:id="1053" w:name="_Toc51019339"/>
      <w:bookmarkStart w:id="1054" w:name="_Toc51056106"/>
      <w:bookmarkStart w:id="1055" w:name="_Toc51057527"/>
      <w:bookmarkStart w:id="1056" w:name="_Toc51058944"/>
      <w:bookmarkStart w:id="1057" w:name="_Toc51060360"/>
      <w:bookmarkStart w:id="1058" w:name="_Toc51061776"/>
      <w:bookmarkStart w:id="1059" w:name="_Toc51063192"/>
      <w:bookmarkStart w:id="1060" w:name="_Toc51064625"/>
      <w:bookmarkStart w:id="1061" w:name="_Toc51066040"/>
      <w:bookmarkStart w:id="1062" w:name="_Toc51068088"/>
      <w:bookmarkStart w:id="1063" w:name="_Toc51105104"/>
      <w:bookmarkStart w:id="1064" w:name="_Toc51106532"/>
      <w:bookmarkStart w:id="1065" w:name="_Toc51108855"/>
      <w:bookmarkStart w:id="1066" w:name="_Toc51019341"/>
      <w:bookmarkStart w:id="1067" w:name="_Toc51056108"/>
      <w:bookmarkStart w:id="1068" w:name="_Toc51057529"/>
      <w:bookmarkStart w:id="1069" w:name="_Toc51058946"/>
      <w:bookmarkStart w:id="1070" w:name="_Toc51060362"/>
      <w:bookmarkStart w:id="1071" w:name="_Toc51061778"/>
      <w:bookmarkStart w:id="1072" w:name="_Toc51063194"/>
      <w:bookmarkStart w:id="1073" w:name="_Toc51064627"/>
      <w:bookmarkStart w:id="1074" w:name="_Toc51066042"/>
      <w:bookmarkStart w:id="1075" w:name="_Toc51068090"/>
      <w:bookmarkStart w:id="1076" w:name="_Toc51105106"/>
      <w:bookmarkStart w:id="1077" w:name="_Toc51106534"/>
      <w:bookmarkStart w:id="1078" w:name="_Toc51108857"/>
      <w:bookmarkStart w:id="1079" w:name="_Toc51019343"/>
      <w:bookmarkStart w:id="1080" w:name="_Toc51056110"/>
      <w:bookmarkStart w:id="1081" w:name="_Toc51057531"/>
      <w:bookmarkStart w:id="1082" w:name="_Toc51058948"/>
      <w:bookmarkStart w:id="1083" w:name="_Toc51060364"/>
      <w:bookmarkStart w:id="1084" w:name="_Toc51061780"/>
      <w:bookmarkStart w:id="1085" w:name="_Toc51063196"/>
      <w:bookmarkStart w:id="1086" w:name="_Toc51064629"/>
      <w:bookmarkStart w:id="1087" w:name="_Toc51066044"/>
      <w:bookmarkStart w:id="1088" w:name="_Toc51068092"/>
      <w:bookmarkStart w:id="1089" w:name="_Toc51105108"/>
      <w:bookmarkStart w:id="1090" w:name="_Toc51106536"/>
      <w:bookmarkStart w:id="1091" w:name="_Toc51108859"/>
      <w:bookmarkStart w:id="1092" w:name="_Toc51019345"/>
      <w:bookmarkStart w:id="1093" w:name="_Toc51056112"/>
      <w:bookmarkStart w:id="1094" w:name="_Toc51057533"/>
      <w:bookmarkStart w:id="1095" w:name="_Toc51058950"/>
      <w:bookmarkStart w:id="1096" w:name="_Toc51060366"/>
      <w:bookmarkStart w:id="1097" w:name="_Toc51061782"/>
      <w:bookmarkStart w:id="1098" w:name="_Toc51063198"/>
      <w:bookmarkStart w:id="1099" w:name="_Toc51064631"/>
      <w:bookmarkStart w:id="1100" w:name="_Toc51066046"/>
      <w:bookmarkStart w:id="1101" w:name="_Toc51068094"/>
      <w:bookmarkStart w:id="1102" w:name="_Toc51105110"/>
      <w:bookmarkStart w:id="1103" w:name="_Toc51106538"/>
      <w:bookmarkStart w:id="1104" w:name="_Toc51108861"/>
      <w:bookmarkStart w:id="1105" w:name="_Toc51019347"/>
      <w:bookmarkStart w:id="1106" w:name="_Toc51056114"/>
      <w:bookmarkStart w:id="1107" w:name="_Toc51057535"/>
      <w:bookmarkStart w:id="1108" w:name="_Toc51058952"/>
      <w:bookmarkStart w:id="1109" w:name="_Toc51060368"/>
      <w:bookmarkStart w:id="1110" w:name="_Toc51061784"/>
      <w:bookmarkStart w:id="1111" w:name="_Toc51063200"/>
      <w:bookmarkStart w:id="1112" w:name="_Toc51064633"/>
      <w:bookmarkStart w:id="1113" w:name="_Toc51066048"/>
      <w:bookmarkStart w:id="1114" w:name="_Toc51068096"/>
      <w:bookmarkStart w:id="1115" w:name="_Toc51105112"/>
      <w:bookmarkStart w:id="1116" w:name="_Toc51106540"/>
      <w:bookmarkStart w:id="1117" w:name="_Toc51108863"/>
      <w:bookmarkStart w:id="1118" w:name="_Toc51019348"/>
      <w:bookmarkStart w:id="1119" w:name="_Toc51056115"/>
      <w:bookmarkStart w:id="1120" w:name="_Toc51057536"/>
      <w:bookmarkStart w:id="1121" w:name="_Toc51058953"/>
      <w:bookmarkStart w:id="1122" w:name="_Toc51060369"/>
      <w:bookmarkStart w:id="1123" w:name="_Toc51061785"/>
      <w:bookmarkStart w:id="1124" w:name="_Toc51063201"/>
      <w:bookmarkStart w:id="1125" w:name="_Toc51064634"/>
      <w:bookmarkStart w:id="1126" w:name="_Toc51066049"/>
      <w:bookmarkStart w:id="1127" w:name="_Toc51068097"/>
      <w:bookmarkStart w:id="1128" w:name="_Toc51105113"/>
      <w:bookmarkStart w:id="1129" w:name="_Toc51106541"/>
      <w:bookmarkStart w:id="1130" w:name="_Toc51108864"/>
      <w:bookmarkStart w:id="1131" w:name="_Toc51019349"/>
      <w:bookmarkStart w:id="1132" w:name="_Toc51056116"/>
      <w:bookmarkStart w:id="1133" w:name="_Toc51057537"/>
      <w:bookmarkStart w:id="1134" w:name="_Toc51058954"/>
      <w:bookmarkStart w:id="1135" w:name="_Toc51060370"/>
      <w:bookmarkStart w:id="1136" w:name="_Toc51061786"/>
      <w:bookmarkStart w:id="1137" w:name="_Toc51063202"/>
      <w:bookmarkStart w:id="1138" w:name="_Toc51064635"/>
      <w:bookmarkStart w:id="1139" w:name="_Toc51066050"/>
      <w:bookmarkStart w:id="1140" w:name="_Toc51068098"/>
      <w:bookmarkStart w:id="1141" w:name="_Toc51105114"/>
      <w:bookmarkStart w:id="1142" w:name="_Toc51106542"/>
      <w:bookmarkStart w:id="1143" w:name="_Toc51108865"/>
      <w:bookmarkStart w:id="1144" w:name="_Toc51019350"/>
      <w:bookmarkStart w:id="1145" w:name="_Toc51056117"/>
      <w:bookmarkStart w:id="1146" w:name="_Toc51057538"/>
      <w:bookmarkStart w:id="1147" w:name="_Toc51058955"/>
      <w:bookmarkStart w:id="1148" w:name="_Toc51060371"/>
      <w:bookmarkStart w:id="1149" w:name="_Toc51061787"/>
      <w:bookmarkStart w:id="1150" w:name="_Toc51063203"/>
      <w:bookmarkStart w:id="1151" w:name="_Toc51064636"/>
      <w:bookmarkStart w:id="1152" w:name="_Toc51066051"/>
      <w:bookmarkStart w:id="1153" w:name="_Toc51068099"/>
      <w:bookmarkStart w:id="1154" w:name="_Toc51105115"/>
      <w:bookmarkStart w:id="1155" w:name="_Toc51106543"/>
      <w:bookmarkStart w:id="1156" w:name="_Toc51108866"/>
      <w:bookmarkStart w:id="1157" w:name="_Toc51019351"/>
      <w:bookmarkStart w:id="1158" w:name="_Toc51056118"/>
      <w:bookmarkStart w:id="1159" w:name="_Toc51057539"/>
      <w:bookmarkStart w:id="1160" w:name="_Toc51058956"/>
      <w:bookmarkStart w:id="1161" w:name="_Toc51060372"/>
      <w:bookmarkStart w:id="1162" w:name="_Toc51061788"/>
      <w:bookmarkStart w:id="1163" w:name="_Toc51063204"/>
      <w:bookmarkStart w:id="1164" w:name="_Toc51064637"/>
      <w:bookmarkStart w:id="1165" w:name="_Toc51066052"/>
      <w:bookmarkStart w:id="1166" w:name="_Toc51068100"/>
      <w:bookmarkStart w:id="1167" w:name="_Toc51105116"/>
      <w:bookmarkStart w:id="1168" w:name="_Toc51106544"/>
      <w:bookmarkStart w:id="1169" w:name="_Toc51108867"/>
      <w:bookmarkStart w:id="1170" w:name="_Toc51019352"/>
      <w:bookmarkStart w:id="1171" w:name="_Toc51056119"/>
      <w:bookmarkStart w:id="1172" w:name="_Toc51057540"/>
      <w:bookmarkStart w:id="1173" w:name="_Toc51058957"/>
      <w:bookmarkStart w:id="1174" w:name="_Toc51060373"/>
      <w:bookmarkStart w:id="1175" w:name="_Toc51061789"/>
      <w:bookmarkStart w:id="1176" w:name="_Toc51063205"/>
      <w:bookmarkStart w:id="1177" w:name="_Toc51064638"/>
      <w:bookmarkStart w:id="1178" w:name="_Toc51066053"/>
      <w:bookmarkStart w:id="1179" w:name="_Toc51068101"/>
      <w:bookmarkStart w:id="1180" w:name="_Toc51105117"/>
      <w:bookmarkStart w:id="1181" w:name="_Toc51106545"/>
      <w:bookmarkStart w:id="1182" w:name="_Toc51108868"/>
      <w:bookmarkStart w:id="1183" w:name="_Toc51019353"/>
      <w:bookmarkStart w:id="1184" w:name="_Toc51056120"/>
      <w:bookmarkStart w:id="1185" w:name="_Toc51057541"/>
      <w:bookmarkStart w:id="1186" w:name="_Toc51058958"/>
      <w:bookmarkStart w:id="1187" w:name="_Toc51060374"/>
      <w:bookmarkStart w:id="1188" w:name="_Toc51061790"/>
      <w:bookmarkStart w:id="1189" w:name="_Toc51063206"/>
      <w:bookmarkStart w:id="1190" w:name="_Toc51064639"/>
      <w:bookmarkStart w:id="1191" w:name="_Toc51066054"/>
      <w:bookmarkStart w:id="1192" w:name="_Toc51068102"/>
      <w:bookmarkStart w:id="1193" w:name="_Toc51105118"/>
      <w:bookmarkStart w:id="1194" w:name="_Toc51106546"/>
      <w:bookmarkStart w:id="1195" w:name="_Toc51108869"/>
      <w:bookmarkStart w:id="1196" w:name="_Toc51019354"/>
      <w:bookmarkStart w:id="1197" w:name="_Toc51056121"/>
      <w:bookmarkStart w:id="1198" w:name="_Toc51057542"/>
      <w:bookmarkStart w:id="1199" w:name="_Toc51058959"/>
      <w:bookmarkStart w:id="1200" w:name="_Toc51060375"/>
      <w:bookmarkStart w:id="1201" w:name="_Toc51061791"/>
      <w:bookmarkStart w:id="1202" w:name="_Toc51063207"/>
      <w:bookmarkStart w:id="1203" w:name="_Toc51064640"/>
      <w:bookmarkStart w:id="1204" w:name="_Toc51066055"/>
      <w:bookmarkStart w:id="1205" w:name="_Toc51068103"/>
      <w:bookmarkStart w:id="1206" w:name="_Toc51105119"/>
      <w:bookmarkStart w:id="1207" w:name="_Toc51106547"/>
      <w:bookmarkStart w:id="1208" w:name="_Toc51108870"/>
      <w:bookmarkStart w:id="1209" w:name="_Toc51019356"/>
      <w:bookmarkStart w:id="1210" w:name="_Toc51056123"/>
      <w:bookmarkStart w:id="1211" w:name="_Toc51057544"/>
      <w:bookmarkStart w:id="1212" w:name="_Toc51058961"/>
      <w:bookmarkStart w:id="1213" w:name="_Toc51060377"/>
      <w:bookmarkStart w:id="1214" w:name="_Toc51061793"/>
      <w:bookmarkStart w:id="1215" w:name="_Toc51063209"/>
      <w:bookmarkStart w:id="1216" w:name="_Toc51064642"/>
      <w:bookmarkStart w:id="1217" w:name="_Toc51066057"/>
      <w:bookmarkStart w:id="1218" w:name="_Toc51068105"/>
      <w:bookmarkStart w:id="1219" w:name="_Toc51105121"/>
      <w:bookmarkStart w:id="1220" w:name="_Toc51106549"/>
      <w:bookmarkStart w:id="1221" w:name="_Toc51108872"/>
      <w:bookmarkStart w:id="1222" w:name="_Toc51019357"/>
      <w:bookmarkStart w:id="1223" w:name="_Toc51056124"/>
      <w:bookmarkStart w:id="1224" w:name="_Toc51057545"/>
      <w:bookmarkStart w:id="1225" w:name="_Toc51058962"/>
      <w:bookmarkStart w:id="1226" w:name="_Toc51060378"/>
      <w:bookmarkStart w:id="1227" w:name="_Toc51061794"/>
      <w:bookmarkStart w:id="1228" w:name="_Toc51063210"/>
      <w:bookmarkStart w:id="1229" w:name="_Toc51064643"/>
      <w:bookmarkStart w:id="1230" w:name="_Toc51066058"/>
      <w:bookmarkStart w:id="1231" w:name="_Toc51068106"/>
      <w:bookmarkStart w:id="1232" w:name="_Toc51105122"/>
      <w:bookmarkStart w:id="1233" w:name="_Toc51106550"/>
      <w:bookmarkStart w:id="1234" w:name="_Toc51108873"/>
      <w:bookmarkStart w:id="1235" w:name="_Toc51019358"/>
      <w:bookmarkStart w:id="1236" w:name="_Toc51056125"/>
      <w:bookmarkStart w:id="1237" w:name="_Toc51057546"/>
      <w:bookmarkStart w:id="1238" w:name="_Toc51058963"/>
      <w:bookmarkStart w:id="1239" w:name="_Toc51060379"/>
      <w:bookmarkStart w:id="1240" w:name="_Toc51061795"/>
      <w:bookmarkStart w:id="1241" w:name="_Toc51063211"/>
      <w:bookmarkStart w:id="1242" w:name="_Toc51064644"/>
      <w:bookmarkStart w:id="1243" w:name="_Toc51066059"/>
      <w:bookmarkStart w:id="1244" w:name="_Toc51068107"/>
      <w:bookmarkStart w:id="1245" w:name="_Toc51105123"/>
      <w:bookmarkStart w:id="1246" w:name="_Toc51106551"/>
      <w:bookmarkStart w:id="1247" w:name="_Toc51108874"/>
      <w:bookmarkStart w:id="1248" w:name="_Toc51019359"/>
      <w:bookmarkStart w:id="1249" w:name="_Toc51056126"/>
      <w:bookmarkStart w:id="1250" w:name="_Toc51057547"/>
      <w:bookmarkStart w:id="1251" w:name="_Toc51058964"/>
      <w:bookmarkStart w:id="1252" w:name="_Toc51060380"/>
      <w:bookmarkStart w:id="1253" w:name="_Toc51061796"/>
      <w:bookmarkStart w:id="1254" w:name="_Toc51063212"/>
      <w:bookmarkStart w:id="1255" w:name="_Toc51064645"/>
      <w:bookmarkStart w:id="1256" w:name="_Toc51066060"/>
      <w:bookmarkStart w:id="1257" w:name="_Toc51068108"/>
      <w:bookmarkStart w:id="1258" w:name="_Toc51105124"/>
      <w:bookmarkStart w:id="1259" w:name="_Toc51106552"/>
      <w:bookmarkStart w:id="1260" w:name="_Toc51108875"/>
      <w:bookmarkStart w:id="1261" w:name="_Toc51019360"/>
      <w:bookmarkStart w:id="1262" w:name="_Toc51056127"/>
      <w:bookmarkStart w:id="1263" w:name="_Toc51057548"/>
      <w:bookmarkStart w:id="1264" w:name="_Toc51058965"/>
      <w:bookmarkStart w:id="1265" w:name="_Toc51060381"/>
      <w:bookmarkStart w:id="1266" w:name="_Toc51061797"/>
      <w:bookmarkStart w:id="1267" w:name="_Toc51063213"/>
      <w:bookmarkStart w:id="1268" w:name="_Toc51064646"/>
      <w:bookmarkStart w:id="1269" w:name="_Toc51066061"/>
      <w:bookmarkStart w:id="1270" w:name="_Toc51068109"/>
      <w:bookmarkStart w:id="1271" w:name="_Toc51105125"/>
      <w:bookmarkStart w:id="1272" w:name="_Toc51106553"/>
      <w:bookmarkStart w:id="1273" w:name="_Toc51108876"/>
      <w:bookmarkStart w:id="1274" w:name="_Toc51019361"/>
      <w:bookmarkStart w:id="1275" w:name="_Toc51056128"/>
      <w:bookmarkStart w:id="1276" w:name="_Toc51057549"/>
      <w:bookmarkStart w:id="1277" w:name="_Toc51058966"/>
      <w:bookmarkStart w:id="1278" w:name="_Toc51060382"/>
      <w:bookmarkStart w:id="1279" w:name="_Toc51061798"/>
      <w:bookmarkStart w:id="1280" w:name="_Toc51063214"/>
      <w:bookmarkStart w:id="1281" w:name="_Toc51064647"/>
      <w:bookmarkStart w:id="1282" w:name="_Toc51066062"/>
      <w:bookmarkStart w:id="1283" w:name="_Toc51068110"/>
      <w:bookmarkStart w:id="1284" w:name="_Toc51105126"/>
      <w:bookmarkStart w:id="1285" w:name="_Toc51106554"/>
      <w:bookmarkStart w:id="1286" w:name="_Toc51108877"/>
      <w:bookmarkStart w:id="1287" w:name="_Toc51019362"/>
      <w:bookmarkStart w:id="1288" w:name="_Toc51056129"/>
      <w:bookmarkStart w:id="1289" w:name="_Toc51057550"/>
      <w:bookmarkStart w:id="1290" w:name="_Toc51058967"/>
      <w:bookmarkStart w:id="1291" w:name="_Toc51060383"/>
      <w:bookmarkStart w:id="1292" w:name="_Toc51061799"/>
      <w:bookmarkStart w:id="1293" w:name="_Toc51063215"/>
      <w:bookmarkStart w:id="1294" w:name="_Toc51064648"/>
      <w:bookmarkStart w:id="1295" w:name="_Toc51066063"/>
      <w:bookmarkStart w:id="1296" w:name="_Toc51068111"/>
      <w:bookmarkStart w:id="1297" w:name="_Toc51105127"/>
      <w:bookmarkStart w:id="1298" w:name="_Toc51106555"/>
      <w:bookmarkStart w:id="1299" w:name="_Toc51108878"/>
      <w:bookmarkStart w:id="1300" w:name="_Toc51019364"/>
      <w:bookmarkStart w:id="1301" w:name="_Toc51056131"/>
      <w:bookmarkStart w:id="1302" w:name="_Toc51057552"/>
      <w:bookmarkStart w:id="1303" w:name="_Toc51058969"/>
      <w:bookmarkStart w:id="1304" w:name="_Toc51060385"/>
      <w:bookmarkStart w:id="1305" w:name="_Toc51061801"/>
      <w:bookmarkStart w:id="1306" w:name="_Toc51063217"/>
      <w:bookmarkStart w:id="1307" w:name="_Toc51064650"/>
      <w:bookmarkStart w:id="1308" w:name="_Toc51066065"/>
      <w:bookmarkStart w:id="1309" w:name="_Toc51068113"/>
      <w:bookmarkStart w:id="1310" w:name="_Toc51105129"/>
      <w:bookmarkStart w:id="1311" w:name="_Toc51106557"/>
      <w:bookmarkStart w:id="1312" w:name="_Toc51108880"/>
      <w:bookmarkStart w:id="1313" w:name="_Toc51019366"/>
      <w:bookmarkStart w:id="1314" w:name="_Toc51056133"/>
      <w:bookmarkStart w:id="1315" w:name="_Toc51057554"/>
      <w:bookmarkStart w:id="1316" w:name="_Toc51058971"/>
      <w:bookmarkStart w:id="1317" w:name="_Toc51060387"/>
      <w:bookmarkStart w:id="1318" w:name="_Toc51061803"/>
      <w:bookmarkStart w:id="1319" w:name="_Toc51063219"/>
      <w:bookmarkStart w:id="1320" w:name="_Toc51064652"/>
      <w:bookmarkStart w:id="1321" w:name="_Toc51066067"/>
      <w:bookmarkStart w:id="1322" w:name="_Toc51068115"/>
      <w:bookmarkStart w:id="1323" w:name="_Toc51105131"/>
      <w:bookmarkStart w:id="1324" w:name="_Toc51106559"/>
      <w:bookmarkStart w:id="1325" w:name="_Toc51108882"/>
      <w:bookmarkStart w:id="1326" w:name="_Toc51019367"/>
      <w:bookmarkStart w:id="1327" w:name="_Toc51056134"/>
      <w:bookmarkStart w:id="1328" w:name="_Toc51057555"/>
      <w:bookmarkStart w:id="1329" w:name="_Toc51058972"/>
      <w:bookmarkStart w:id="1330" w:name="_Toc51060388"/>
      <w:bookmarkStart w:id="1331" w:name="_Toc51061804"/>
      <w:bookmarkStart w:id="1332" w:name="_Toc51063220"/>
      <w:bookmarkStart w:id="1333" w:name="_Toc51064653"/>
      <w:bookmarkStart w:id="1334" w:name="_Toc51066068"/>
      <w:bookmarkStart w:id="1335" w:name="_Toc51068116"/>
      <w:bookmarkStart w:id="1336" w:name="_Toc51105132"/>
      <w:bookmarkStart w:id="1337" w:name="_Toc51106560"/>
      <w:bookmarkStart w:id="1338" w:name="_Toc51108883"/>
      <w:bookmarkStart w:id="1339" w:name="_Toc51019368"/>
      <w:bookmarkStart w:id="1340" w:name="_Toc51056135"/>
      <w:bookmarkStart w:id="1341" w:name="_Toc51057556"/>
      <w:bookmarkStart w:id="1342" w:name="_Toc51058973"/>
      <w:bookmarkStart w:id="1343" w:name="_Toc51060389"/>
      <w:bookmarkStart w:id="1344" w:name="_Toc51061805"/>
      <w:bookmarkStart w:id="1345" w:name="_Toc51063221"/>
      <w:bookmarkStart w:id="1346" w:name="_Toc51064654"/>
      <w:bookmarkStart w:id="1347" w:name="_Toc51066069"/>
      <w:bookmarkStart w:id="1348" w:name="_Toc51068117"/>
      <w:bookmarkStart w:id="1349" w:name="_Toc51105133"/>
      <w:bookmarkStart w:id="1350" w:name="_Toc51106561"/>
      <w:bookmarkStart w:id="1351" w:name="_Toc51108884"/>
      <w:bookmarkStart w:id="1352" w:name="_Toc51019369"/>
      <w:bookmarkStart w:id="1353" w:name="_Toc51056136"/>
      <w:bookmarkStart w:id="1354" w:name="_Toc51057557"/>
      <w:bookmarkStart w:id="1355" w:name="_Toc51058974"/>
      <w:bookmarkStart w:id="1356" w:name="_Toc51060390"/>
      <w:bookmarkStart w:id="1357" w:name="_Toc51061806"/>
      <w:bookmarkStart w:id="1358" w:name="_Toc51063222"/>
      <w:bookmarkStart w:id="1359" w:name="_Toc51064655"/>
      <w:bookmarkStart w:id="1360" w:name="_Toc51066070"/>
      <w:bookmarkStart w:id="1361" w:name="_Toc51068118"/>
      <w:bookmarkStart w:id="1362" w:name="_Toc51105134"/>
      <w:bookmarkStart w:id="1363" w:name="_Toc51106562"/>
      <w:bookmarkStart w:id="1364" w:name="_Toc51108885"/>
      <w:bookmarkStart w:id="1365" w:name="_Toc51019370"/>
      <w:bookmarkStart w:id="1366" w:name="_Toc51056137"/>
      <w:bookmarkStart w:id="1367" w:name="_Toc51057558"/>
      <w:bookmarkStart w:id="1368" w:name="_Toc51058975"/>
      <w:bookmarkStart w:id="1369" w:name="_Toc51060391"/>
      <w:bookmarkStart w:id="1370" w:name="_Toc51061807"/>
      <w:bookmarkStart w:id="1371" w:name="_Toc51063223"/>
      <w:bookmarkStart w:id="1372" w:name="_Toc51064656"/>
      <w:bookmarkStart w:id="1373" w:name="_Toc51066071"/>
      <w:bookmarkStart w:id="1374" w:name="_Toc51068119"/>
      <w:bookmarkStart w:id="1375" w:name="_Toc51105135"/>
      <w:bookmarkStart w:id="1376" w:name="_Toc51106563"/>
      <w:bookmarkStart w:id="1377" w:name="_Toc51108886"/>
      <w:bookmarkStart w:id="1378" w:name="_Toc51019371"/>
      <w:bookmarkStart w:id="1379" w:name="_Toc51056138"/>
      <w:bookmarkStart w:id="1380" w:name="_Toc51057559"/>
      <w:bookmarkStart w:id="1381" w:name="_Toc51058976"/>
      <w:bookmarkStart w:id="1382" w:name="_Toc51060392"/>
      <w:bookmarkStart w:id="1383" w:name="_Toc51061808"/>
      <w:bookmarkStart w:id="1384" w:name="_Toc51063224"/>
      <w:bookmarkStart w:id="1385" w:name="_Toc51064657"/>
      <w:bookmarkStart w:id="1386" w:name="_Toc51066072"/>
      <w:bookmarkStart w:id="1387" w:name="_Toc51068120"/>
      <w:bookmarkStart w:id="1388" w:name="_Toc51105136"/>
      <w:bookmarkStart w:id="1389" w:name="_Toc51106564"/>
      <w:bookmarkStart w:id="1390" w:name="_Toc51108887"/>
      <w:bookmarkStart w:id="1391" w:name="_Toc51019372"/>
      <w:bookmarkStart w:id="1392" w:name="_Toc51056139"/>
      <w:bookmarkStart w:id="1393" w:name="_Toc51057560"/>
      <w:bookmarkStart w:id="1394" w:name="_Toc51058977"/>
      <w:bookmarkStart w:id="1395" w:name="_Toc51060393"/>
      <w:bookmarkStart w:id="1396" w:name="_Toc51061809"/>
      <w:bookmarkStart w:id="1397" w:name="_Toc51063225"/>
      <w:bookmarkStart w:id="1398" w:name="_Toc51064658"/>
      <w:bookmarkStart w:id="1399" w:name="_Toc51066073"/>
      <w:bookmarkStart w:id="1400" w:name="_Toc51068121"/>
      <w:bookmarkStart w:id="1401" w:name="_Toc51105137"/>
      <w:bookmarkStart w:id="1402" w:name="_Toc51106565"/>
      <w:bookmarkStart w:id="1403" w:name="_Toc51108888"/>
      <w:bookmarkStart w:id="1404" w:name="_Toc51019373"/>
      <w:bookmarkStart w:id="1405" w:name="_Toc51056140"/>
      <w:bookmarkStart w:id="1406" w:name="_Toc51057561"/>
      <w:bookmarkStart w:id="1407" w:name="_Toc51058978"/>
      <w:bookmarkStart w:id="1408" w:name="_Toc51060394"/>
      <w:bookmarkStart w:id="1409" w:name="_Toc51061810"/>
      <w:bookmarkStart w:id="1410" w:name="_Toc51063226"/>
      <w:bookmarkStart w:id="1411" w:name="_Toc51064659"/>
      <w:bookmarkStart w:id="1412" w:name="_Toc51066074"/>
      <w:bookmarkStart w:id="1413" w:name="_Toc51068122"/>
      <w:bookmarkStart w:id="1414" w:name="_Toc51105138"/>
      <w:bookmarkStart w:id="1415" w:name="_Toc51106566"/>
      <w:bookmarkStart w:id="1416" w:name="_Toc51108889"/>
      <w:bookmarkStart w:id="1417" w:name="_Toc51019374"/>
      <w:bookmarkStart w:id="1418" w:name="_Toc51056141"/>
      <w:bookmarkStart w:id="1419" w:name="_Toc51057562"/>
      <w:bookmarkStart w:id="1420" w:name="_Toc51058979"/>
      <w:bookmarkStart w:id="1421" w:name="_Toc51060395"/>
      <w:bookmarkStart w:id="1422" w:name="_Toc51061811"/>
      <w:bookmarkStart w:id="1423" w:name="_Toc51063227"/>
      <w:bookmarkStart w:id="1424" w:name="_Toc51064660"/>
      <w:bookmarkStart w:id="1425" w:name="_Toc51066075"/>
      <w:bookmarkStart w:id="1426" w:name="_Toc51068123"/>
      <w:bookmarkStart w:id="1427" w:name="_Toc51105139"/>
      <w:bookmarkStart w:id="1428" w:name="_Toc51106567"/>
      <w:bookmarkStart w:id="1429" w:name="_Toc51108890"/>
      <w:bookmarkStart w:id="1430" w:name="_Toc51019376"/>
      <w:bookmarkStart w:id="1431" w:name="_Toc51056143"/>
      <w:bookmarkStart w:id="1432" w:name="_Toc51057564"/>
      <w:bookmarkStart w:id="1433" w:name="_Toc51058981"/>
      <w:bookmarkStart w:id="1434" w:name="_Toc51060397"/>
      <w:bookmarkStart w:id="1435" w:name="_Toc51061813"/>
      <w:bookmarkStart w:id="1436" w:name="_Toc51063229"/>
      <w:bookmarkStart w:id="1437" w:name="_Toc51064662"/>
      <w:bookmarkStart w:id="1438" w:name="_Toc51066077"/>
      <w:bookmarkStart w:id="1439" w:name="_Toc51068125"/>
      <w:bookmarkStart w:id="1440" w:name="_Toc51105141"/>
      <w:bookmarkStart w:id="1441" w:name="_Toc51106569"/>
      <w:bookmarkStart w:id="1442" w:name="_Toc51108892"/>
      <w:bookmarkStart w:id="1443" w:name="_Toc51019378"/>
      <w:bookmarkStart w:id="1444" w:name="_Toc51056145"/>
      <w:bookmarkStart w:id="1445" w:name="_Toc51057566"/>
      <w:bookmarkStart w:id="1446" w:name="_Toc51058983"/>
      <w:bookmarkStart w:id="1447" w:name="_Toc51060399"/>
      <w:bookmarkStart w:id="1448" w:name="_Toc51061815"/>
      <w:bookmarkStart w:id="1449" w:name="_Toc51063231"/>
      <w:bookmarkStart w:id="1450" w:name="_Toc51064664"/>
      <w:bookmarkStart w:id="1451" w:name="_Toc51066079"/>
      <w:bookmarkStart w:id="1452" w:name="_Toc51068127"/>
      <w:bookmarkStart w:id="1453" w:name="_Toc51105143"/>
      <w:bookmarkStart w:id="1454" w:name="_Toc51106571"/>
      <w:bookmarkStart w:id="1455" w:name="_Toc51108894"/>
      <w:bookmarkStart w:id="1456" w:name="_Toc51019379"/>
      <w:bookmarkStart w:id="1457" w:name="_Toc51056146"/>
      <w:bookmarkStart w:id="1458" w:name="_Toc51057567"/>
      <w:bookmarkStart w:id="1459" w:name="_Toc51058984"/>
      <w:bookmarkStart w:id="1460" w:name="_Toc51060400"/>
      <w:bookmarkStart w:id="1461" w:name="_Toc51061816"/>
      <w:bookmarkStart w:id="1462" w:name="_Toc51063232"/>
      <w:bookmarkStart w:id="1463" w:name="_Toc51064665"/>
      <w:bookmarkStart w:id="1464" w:name="_Toc51066080"/>
      <w:bookmarkStart w:id="1465" w:name="_Toc51068128"/>
      <w:bookmarkStart w:id="1466" w:name="_Toc51105144"/>
      <w:bookmarkStart w:id="1467" w:name="_Toc51106572"/>
      <w:bookmarkStart w:id="1468" w:name="_Toc51108895"/>
      <w:bookmarkStart w:id="1469" w:name="_Toc51019381"/>
      <w:bookmarkStart w:id="1470" w:name="_Toc51056148"/>
      <w:bookmarkStart w:id="1471" w:name="_Toc51057569"/>
      <w:bookmarkStart w:id="1472" w:name="_Toc51058986"/>
      <w:bookmarkStart w:id="1473" w:name="_Toc51060402"/>
      <w:bookmarkStart w:id="1474" w:name="_Toc51061818"/>
      <w:bookmarkStart w:id="1475" w:name="_Toc51063234"/>
      <w:bookmarkStart w:id="1476" w:name="_Toc51064667"/>
      <w:bookmarkStart w:id="1477" w:name="_Toc51066082"/>
      <w:bookmarkStart w:id="1478" w:name="_Toc51068130"/>
      <w:bookmarkStart w:id="1479" w:name="_Toc51105146"/>
      <w:bookmarkStart w:id="1480" w:name="_Toc51106574"/>
      <w:bookmarkStart w:id="1481" w:name="_Toc51108897"/>
      <w:bookmarkStart w:id="1482" w:name="_Toc51019382"/>
      <w:bookmarkStart w:id="1483" w:name="_Toc51056149"/>
      <w:bookmarkStart w:id="1484" w:name="_Toc51057570"/>
      <w:bookmarkStart w:id="1485" w:name="_Toc51058987"/>
      <w:bookmarkStart w:id="1486" w:name="_Toc51060403"/>
      <w:bookmarkStart w:id="1487" w:name="_Toc51061819"/>
      <w:bookmarkStart w:id="1488" w:name="_Toc51063235"/>
      <w:bookmarkStart w:id="1489" w:name="_Toc51064668"/>
      <w:bookmarkStart w:id="1490" w:name="_Toc51066083"/>
      <w:bookmarkStart w:id="1491" w:name="_Toc51068131"/>
      <w:bookmarkStart w:id="1492" w:name="_Toc51105147"/>
      <w:bookmarkStart w:id="1493" w:name="_Toc51106575"/>
      <w:bookmarkStart w:id="1494" w:name="_Toc51108898"/>
      <w:bookmarkStart w:id="1495" w:name="_Toc51019383"/>
      <w:bookmarkStart w:id="1496" w:name="_Toc51056150"/>
      <w:bookmarkStart w:id="1497" w:name="_Toc51057571"/>
      <w:bookmarkStart w:id="1498" w:name="_Toc51058988"/>
      <w:bookmarkStart w:id="1499" w:name="_Toc51060404"/>
      <w:bookmarkStart w:id="1500" w:name="_Toc51061820"/>
      <w:bookmarkStart w:id="1501" w:name="_Toc51063236"/>
      <w:bookmarkStart w:id="1502" w:name="_Toc51064669"/>
      <w:bookmarkStart w:id="1503" w:name="_Toc51066084"/>
      <w:bookmarkStart w:id="1504" w:name="_Toc51068132"/>
      <w:bookmarkStart w:id="1505" w:name="_Toc51105148"/>
      <w:bookmarkStart w:id="1506" w:name="_Toc51106576"/>
      <w:bookmarkStart w:id="1507" w:name="_Toc51108899"/>
      <w:bookmarkStart w:id="1508" w:name="_Toc51019385"/>
      <w:bookmarkStart w:id="1509" w:name="_Toc51056152"/>
      <w:bookmarkStart w:id="1510" w:name="_Toc51057573"/>
      <w:bookmarkStart w:id="1511" w:name="_Toc51058990"/>
      <w:bookmarkStart w:id="1512" w:name="_Toc51060406"/>
      <w:bookmarkStart w:id="1513" w:name="_Toc51061822"/>
      <w:bookmarkStart w:id="1514" w:name="_Toc51063238"/>
      <w:bookmarkStart w:id="1515" w:name="_Toc51064671"/>
      <w:bookmarkStart w:id="1516" w:name="_Toc51066086"/>
      <w:bookmarkStart w:id="1517" w:name="_Toc51068134"/>
      <w:bookmarkStart w:id="1518" w:name="_Toc51105150"/>
      <w:bookmarkStart w:id="1519" w:name="_Toc51106578"/>
      <w:bookmarkStart w:id="1520" w:name="_Toc51108901"/>
      <w:bookmarkStart w:id="1521" w:name="_Toc51019386"/>
      <w:bookmarkStart w:id="1522" w:name="_Toc51056153"/>
      <w:bookmarkStart w:id="1523" w:name="_Toc51057574"/>
      <w:bookmarkStart w:id="1524" w:name="_Toc51058991"/>
      <w:bookmarkStart w:id="1525" w:name="_Toc51060407"/>
      <w:bookmarkStart w:id="1526" w:name="_Toc51061823"/>
      <w:bookmarkStart w:id="1527" w:name="_Toc51063239"/>
      <w:bookmarkStart w:id="1528" w:name="_Toc51064672"/>
      <w:bookmarkStart w:id="1529" w:name="_Toc51066087"/>
      <w:bookmarkStart w:id="1530" w:name="_Toc51068135"/>
      <w:bookmarkStart w:id="1531" w:name="_Toc51105151"/>
      <w:bookmarkStart w:id="1532" w:name="_Toc51106579"/>
      <w:bookmarkStart w:id="1533" w:name="_Toc51108902"/>
      <w:bookmarkStart w:id="1534" w:name="_Toc51019387"/>
      <w:bookmarkStart w:id="1535" w:name="_Toc51056154"/>
      <w:bookmarkStart w:id="1536" w:name="_Toc51057575"/>
      <w:bookmarkStart w:id="1537" w:name="_Toc51058992"/>
      <w:bookmarkStart w:id="1538" w:name="_Toc51060408"/>
      <w:bookmarkStart w:id="1539" w:name="_Toc51061824"/>
      <w:bookmarkStart w:id="1540" w:name="_Toc51063240"/>
      <w:bookmarkStart w:id="1541" w:name="_Toc51064673"/>
      <w:bookmarkStart w:id="1542" w:name="_Toc51066088"/>
      <w:bookmarkStart w:id="1543" w:name="_Toc51068136"/>
      <w:bookmarkStart w:id="1544" w:name="_Toc51105152"/>
      <w:bookmarkStart w:id="1545" w:name="_Toc51106580"/>
      <w:bookmarkStart w:id="1546" w:name="_Toc51108903"/>
      <w:bookmarkStart w:id="1547" w:name="_Toc42064700"/>
      <w:bookmarkStart w:id="1548" w:name="_Toc51019388"/>
      <w:bookmarkStart w:id="1549" w:name="_Toc51056155"/>
      <w:bookmarkStart w:id="1550" w:name="_Toc51057576"/>
      <w:bookmarkStart w:id="1551" w:name="_Toc51058993"/>
      <w:bookmarkStart w:id="1552" w:name="_Toc51060409"/>
      <w:bookmarkStart w:id="1553" w:name="_Toc51061825"/>
      <w:bookmarkStart w:id="1554" w:name="_Toc51063241"/>
      <w:bookmarkStart w:id="1555" w:name="_Toc51064674"/>
      <w:bookmarkStart w:id="1556" w:name="_Toc51066089"/>
      <w:bookmarkStart w:id="1557" w:name="_Toc51068137"/>
      <w:bookmarkStart w:id="1558" w:name="_Toc51105153"/>
      <w:bookmarkStart w:id="1559" w:name="_Toc51106581"/>
      <w:bookmarkStart w:id="1560" w:name="_Toc51108904"/>
      <w:bookmarkStart w:id="1561" w:name="_Toc51019389"/>
      <w:bookmarkStart w:id="1562" w:name="_Toc51056156"/>
      <w:bookmarkStart w:id="1563" w:name="_Toc51057577"/>
      <w:bookmarkStart w:id="1564" w:name="_Toc51058994"/>
      <w:bookmarkStart w:id="1565" w:name="_Toc51060410"/>
      <w:bookmarkStart w:id="1566" w:name="_Toc51061826"/>
      <w:bookmarkStart w:id="1567" w:name="_Toc51063242"/>
      <w:bookmarkStart w:id="1568" w:name="_Toc51064675"/>
      <w:bookmarkStart w:id="1569" w:name="_Toc51066090"/>
      <w:bookmarkStart w:id="1570" w:name="_Toc51068138"/>
      <w:bookmarkStart w:id="1571" w:name="_Toc51105154"/>
      <w:bookmarkStart w:id="1572" w:name="_Toc51106582"/>
      <w:bookmarkStart w:id="1573" w:name="_Toc51108905"/>
      <w:bookmarkStart w:id="1574" w:name="_Toc51019391"/>
      <w:bookmarkStart w:id="1575" w:name="_Toc51056158"/>
      <w:bookmarkStart w:id="1576" w:name="_Toc51057579"/>
      <w:bookmarkStart w:id="1577" w:name="_Toc51058996"/>
      <w:bookmarkStart w:id="1578" w:name="_Toc51060412"/>
      <w:bookmarkStart w:id="1579" w:name="_Toc51061828"/>
      <w:bookmarkStart w:id="1580" w:name="_Toc51063244"/>
      <w:bookmarkStart w:id="1581" w:name="_Toc51064677"/>
      <w:bookmarkStart w:id="1582" w:name="_Toc51066092"/>
      <w:bookmarkStart w:id="1583" w:name="_Toc51068140"/>
      <w:bookmarkStart w:id="1584" w:name="_Toc51105156"/>
      <w:bookmarkStart w:id="1585" w:name="_Toc51106584"/>
      <w:bookmarkStart w:id="1586" w:name="_Toc51108907"/>
      <w:bookmarkStart w:id="1587" w:name="_Toc51019393"/>
      <w:bookmarkStart w:id="1588" w:name="_Toc51056160"/>
      <w:bookmarkStart w:id="1589" w:name="_Toc51057581"/>
      <w:bookmarkStart w:id="1590" w:name="_Toc51058998"/>
      <w:bookmarkStart w:id="1591" w:name="_Toc51060414"/>
      <w:bookmarkStart w:id="1592" w:name="_Toc51061830"/>
      <w:bookmarkStart w:id="1593" w:name="_Toc51063246"/>
      <w:bookmarkStart w:id="1594" w:name="_Toc51064679"/>
      <w:bookmarkStart w:id="1595" w:name="_Toc51066094"/>
      <w:bookmarkStart w:id="1596" w:name="_Toc51068142"/>
      <w:bookmarkStart w:id="1597" w:name="_Toc51105158"/>
      <w:bookmarkStart w:id="1598" w:name="_Toc51106586"/>
      <w:bookmarkStart w:id="1599" w:name="_Toc51108909"/>
      <w:bookmarkStart w:id="1600" w:name="_Toc51019395"/>
      <w:bookmarkStart w:id="1601" w:name="_Toc51056162"/>
      <w:bookmarkStart w:id="1602" w:name="_Toc51057583"/>
      <w:bookmarkStart w:id="1603" w:name="_Toc51059000"/>
      <w:bookmarkStart w:id="1604" w:name="_Toc51060416"/>
      <w:bookmarkStart w:id="1605" w:name="_Toc51061832"/>
      <w:bookmarkStart w:id="1606" w:name="_Toc51063248"/>
      <w:bookmarkStart w:id="1607" w:name="_Toc51064681"/>
      <w:bookmarkStart w:id="1608" w:name="_Toc51066096"/>
      <w:bookmarkStart w:id="1609" w:name="_Toc51068144"/>
      <w:bookmarkStart w:id="1610" w:name="_Toc51105160"/>
      <w:bookmarkStart w:id="1611" w:name="_Toc51106588"/>
      <w:bookmarkStart w:id="1612" w:name="_Toc51108911"/>
      <w:bookmarkStart w:id="1613" w:name="_Toc51019396"/>
      <w:bookmarkStart w:id="1614" w:name="_Toc51056163"/>
      <w:bookmarkStart w:id="1615" w:name="_Toc51057584"/>
      <w:bookmarkStart w:id="1616" w:name="_Toc51059001"/>
      <w:bookmarkStart w:id="1617" w:name="_Toc51060417"/>
      <w:bookmarkStart w:id="1618" w:name="_Toc51061833"/>
      <w:bookmarkStart w:id="1619" w:name="_Toc51063249"/>
      <w:bookmarkStart w:id="1620" w:name="_Toc51064682"/>
      <w:bookmarkStart w:id="1621" w:name="_Toc51066097"/>
      <w:bookmarkStart w:id="1622" w:name="_Toc51068145"/>
      <w:bookmarkStart w:id="1623" w:name="_Toc51105161"/>
      <w:bookmarkStart w:id="1624" w:name="_Toc51106589"/>
      <w:bookmarkStart w:id="1625" w:name="_Toc51108912"/>
      <w:bookmarkStart w:id="1626" w:name="_Toc51019398"/>
      <w:bookmarkStart w:id="1627" w:name="_Toc51056165"/>
      <w:bookmarkStart w:id="1628" w:name="_Toc51057586"/>
      <w:bookmarkStart w:id="1629" w:name="_Toc51059003"/>
      <w:bookmarkStart w:id="1630" w:name="_Toc51060419"/>
      <w:bookmarkStart w:id="1631" w:name="_Toc51061835"/>
      <w:bookmarkStart w:id="1632" w:name="_Toc51063251"/>
      <w:bookmarkStart w:id="1633" w:name="_Toc51064684"/>
      <w:bookmarkStart w:id="1634" w:name="_Toc51066099"/>
      <w:bookmarkStart w:id="1635" w:name="_Toc51068147"/>
      <w:bookmarkStart w:id="1636" w:name="_Toc51105163"/>
      <w:bookmarkStart w:id="1637" w:name="_Toc51106591"/>
      <w:bookmarkStart w:id="1638" w:name="_Toc51108914"/>
      <w:bookmarkStart w:id="1639" w:name="_Toc51019399"/>
      <w:bookmarkStart w:id="1640" w:name="_Toc51056166"/>
      <w:bookmarkStart w:id="1641" w:name="_Toc51057587"/>
      <w:bookmarkStart w:id="1642" w:name="_Toc51059004"/>
      <w:bookmarkStart w:id="1643" w:name="_Toc51060420"/>
      <w:bookmarkStart w:id="1644" w:name="_Toc51061836"/>
      <w:bookmarkStart w:id="1645" w:name="_Toc51063252"/>
      <w:bookmarkStart w:id="1646" w:name="_Toc51064685"/>
      <w:bookmarkStart w:id="1647" w:name="_Toc51066100"/>
      <w:bookmarkStart w:id="1648" w:name="_Toc51068148"/>
      <w:bookmarkStart w:id="1649" w:name="_Toc51105164"/>
      <w:bookmarkStart w:id="1650" w:name="_Toc51106592"/>
      <w:bookmarkStart w:id="1651" w:name="_Toc51108915"/>
      <w:bookmarkStart w:id="1652" w:name="_Toc51019400"/>
      <w:bookmarkStart w:id="1653" w:name="_Toc51056167"/>
      <w:bookmarkStart w:id="1654" w:name="_Toc51057588"/>
      <w:bookmarkStart w:id="1655" w:name="_Toc51059005"/>
      <w:bookmarkStart w:id="1656" w:name="_Toc51060421"/>
      <w:bookmarkStart w:id="1657" w:name="_Toc51061837"/>
      <w:bookmarkStart w:id="1658" w:name="_Toc51063253"/>
      <w:bookmarkStart w:id="1659" w:name="_Toc51064686"/>
      <w:bookmarkStart w:id="1660" w:name="_Toc51066101"/>
      <w:bookmarkStart w:id="1661" w:name="_Toc51068149"/>
      <w:bookmarkStart w:id="1662" w:name="_Toc51105165"/>
      <w:bookmarkStart w:id="1663" w:name="_Toc51106593"/>
      <w:bookmarkStart w:id="1664" w:name="_Toc51108916"/>
      <w:bookmarkStart w:id="1665" w:name="_Toc51019401"/>
      <w:bookmarkStart w:id="1666" w:name="_Toc51056168"/>
      <w:bookmarkStart w:id="1667" w:name="_Toc51057589"/>
      <w:bookmarkStart w:id="1668" w:name="_Toc51059006"/>
      <w:bookmarkStart w:id="1669" w:name="_Toc51060422"/>
      <w:bookmarkStart w:id="1670" w:name="_Toc51061838"/>
      <w:bookmarkStart w:id="1671" w:name="_Toc51063254"/>
      <w:bookmarkStart w:id="1672" w:name="_Toc51064687"/>
      <w:bookmarkStart w:id="1673" w:name="_Toc51066102"/>
      <w:bookmarkStart w:id="1674" w:name="_Toc51068150"/>
      <w:bookmarkStart w:id="1675" w:name="_Toc51105166"/>
      <w:bookmarkStart w:id="1676" w:name="_Toc51106594"/>
      <w:bookmarkStart w:id="1677" w:name="_Toc51108917"/>
      <w:bookmarkStart w:id="1678" w:name="_Toc51019402"/>
      <w:bookmarkStart w:id="1679" w:name="_Toc51056169"/>
      <w:bookmarkStart w:id="1680" w:name="_Toc51057590"/>
      <w:bookmarkStart w:id="1681" w:name="_Toc51059007"/>
      <w:bookmarkStart w:id="1682" w:name="_Toc51060423"/>
      <w:bookmarkStart w:id="1683" w:name="_Toc51061839"/>
      <w:bookmarkStart w:id="1684" w:name="_Toc51063255"/>
      <w:bookmarkStart w:id="1685" w:name="_Toc51064688"/>
      <w:bookmarkStart w:id="1686" w:name="_Toc51066103"/>
      <w:bookmarkStart w:id="1687" w:name="_Toc51068151"/>
      <w:bookmarkStart w:id="1688" w:name="_Toc51105167"/>
      <w:bookmarkStart w:id="1689" w:name="_Toc51106595"/>
      <w:bookmarkStart w:id="1690" w:name="_Toc51108918"/>
      <w:bookmarkStart w:id="1691" w:name="_Toc51019404"/>
      <w:bookmarkStart w:id="1692" w:name="_Toc51056171"/>
      <w:bookmarkStart w:id="1693" w:name="_Toc51057592"/>
      <w:bookmarkStart w:id="1694" w:name="_Toc51059009"/>
      <w:bookmarkStart w:id="1695" w:name="_Toc51060425"/>
      <w:bookmarkStart w:id="1696" w:name="_Toc51061841"/>
      <w:bookmarkStart w:id="1697" w:name="_Toc51063257"/>
      <w:bookmarkStart w:id="1698" w:name="_Toc51064690"/>
      <w:bookmarkStart w:id="1699" w:name="_Toc51066105"/>
      <w:bookmarkStart w:id="1700" w:name="_Toc51068153"/>
      <w:bookmarkStart w:id="1701" w:name="_Toc51105169"/>
      <w:bookmarkStart w:id="1702" w:name="_Toc51106597"/>
      <w:bookmarkStart w:id="1703" w:name="_Toc51108920"/>
      <w:bookmarkStart w:id="1704" w:name="_Toc51019405"/>
      <w:bookmarkStart w:id="1705" w:name="_Toc51056172"/>
      <w:bookmarkStart w:id="1706" w:name="_Toc51057593"/>
      <w:bookmarkStart w:id="1707" w:name="_Toc51059010"/>
      <w:bookmarkStart w:id="1708" w:name="_Toc51060426"/>
      <w:bookmarkStart w:id="1709" w:name="_Toc51061842"/>
      <w:bookmarkStart w:id="1710" w:name="_Toc51063258"/>
      <w:bookmarkStart w:id="1711" w:name="_Toc51064691"/>
      <w:bookmarkStart w:id="1712" w:name="_Toc51066106"/>
      <w:bookmarkStart w:id="1713" w:name="_Toc51068154"/>
      <w:bookmarkStart w:id="1714" w:name="_Toc51105170"/>
      <w:bookmarkStart w:id="1715" w:name="_Toc51106598"/>
      <w:bookmarkStart w:id="1716" w:name="_Toc51108921"/>
      <w:bookmarkStart w:id="1717" w:name="_Toc51019406"/>
      <w:bookmarkStart w:id="1718" w:name="_Toc51056173"/>
      <w:bookmarkStart w:id="1719" w:name="_Toc51057594"/>
      <w:bookmarkStart w:id="1720" w:name="_Toc51059011"/>
      <w:bookmarkStart w:id="1721" w:name="_Toc51060427"/>
      <w:bookmarkStart w:id="1722" w:name="_Toc51061843"/>
      <w:bookmarkStart w:id="1723" w:name="_Toc51063259"/>
      <w:bookmarkStart w:id="1724" w:name="_Toc51064692"/>
      <w:bookmarkStart w:id="1725" w:name="_Toc51066107"/>
      <w:bookmarkStart w:id="1726" w:name="_Toc51068155"/>
      <w:bookmarkStart w:id="1727" w:name="_Toc51105171"/>
      <w:bookmarkStart w:id="1728" w:name="_Toc51106599"/>
      <w:bookmarkStart w:id="1729" w:name="_Toc51108922"/>
      <w:bookmarkStart w:id="1730" w:name="_Toc51019407"/>
      <w:bookmarkStart w:id="1731" w:name="_Toc51056174"/>
      <w:bookmarkStart w:id="1732" w:name="_Toc51057595"/>
      <w:bookmarkStart w:id="1733" w:name="_Toc51059012"/>
      <w:bookmarkStart w:id="1734" w:name="_Toc51060428"/>
      <w:bookmarkStart w:id="1735" w:name="_Toc51061844"/>
      <w:bookmarkStart w:id="1736" w:name="_Toc51063260"/>
      <w:bookmarkStart w:id="1737" w:name="_Toc51064693"/>
      <w:bookmarkStart w:id="1738" w:name="_Toc51066108"/>
      <w:bookmarkStart w:id="1739" w:name="_Toc51068156"/>
      <w:bookmarkStart w:id="1740" w:name="_Toc51105172"/>
      <w:bookmarkStart w:id="1741" w:name="_Toc51106600"/>
      <w:bookmarkStart w:id="1742" w:name="_Toc51108923"/>
      <w:bookmarkStart w:id="1743" w:name="_Toc51019408"/>
      <w:bookmarkStart w:id="1744" w:name="_Toc51056175"/>
      <w:bookmarkStart w:id="1745" w:name="_Toc51057596"/>
      <w:bookmarkStart w:id="1746" w:name="_Toc51059013"/>
      <w:bookmarkStart w:id="1747" w:name="_Toc51060429"/>
      <w:bookmarkStart w:id="1748" w:name="_Toc51061845"/>
      <w:bookmarkStart w:id="1749" w:name="_Toc51063261"/>
      <w:bookmarkStart w:id="1750" w:name="_Toc51064694"/>
      <w:bookmarkStart w:id="1751" w:name="_Toc51066109"/>
      <w:bookmarkStart w:id="1752" w:name="_Toc51068157"/>
      <w:bookmarkStart w:id="1753" w:name="_Toc51105173"/>
      <w:bookmarkStart w:id="1754" w:name="_Toc51106601"/>
      <w:bookmarkStart w:id="1755" w:name="_Toc51108924"/>
      <w:bookmarkStart w:id="1756" w:name="_Toc51019409"/>
      <w:bookmarkStart w:id="1757" w:name="_Toc51056176"/>
      <w:bookmarkStart w:id="1758" w:name="_Toc51057597"/>
      <w:bookmarkStart w:id="1759" w:name="_Toc51059014"/>
      <w:bookmarkStart w:id="1760" w:name="_Toc51060430"/>
      <w:bookmarkStart w:id="1761" w:name="_Toc51061846"/>
      <w:bookmarkStart w:id="1762" w:name="_Toc51063262"/>
      <w:bookmarkStart w:id="1763" w:name="_Toc51064695"/>
      <w:bookmarkStart w:id="1764" w:name="_Toc51066110"/>
      <w:bookmarkStart w:id="1765" w:name="_Toc51068158"/>
      <w:bookmarkStart w:id="1766" w:name="_Toc51105174"/>
      <w:bookmarkStart w:id="1767" w:name="_Toc51106602"/>
      <w:bookmarkStart w:id="1768" w:name="_Toc51108925"/>
      <w:bookmarkStart w:id="1769" w:name="_Toc51019411"/>
      <w:bookmarkStart w:id="1770" w:name="_Toc51056178"/>
      <w:bookmarkStart w:id="1771" w:name="_Toc51057599"/>
      <w:bookmarkStart w:id="1772" w:name="_Toc51059016"/>
      <w:bookmarkStart w:id="1773" w:name="_Toc51060432"/>
      <w:bookmarkStart w:id="1774" w:name="_Toc51061848"/>
      <w:bookmarkStart w:id="1775" w:name="_Toc51063264"/>
      <w:bookmarkStart w:id="1776" w:name="_Toc51064697"/>
      <w:bookmarkStart w:id="1777" w:name="_Toc51066112"/>
      <w:bookmarkStart w:id="1778" w:name="_Toc51068160"/>
      <w:bookmarkStart w:id="1779" w:name="_Toc51105176"/>
      <w:bookmarkStart w:id="1780" w:name="_Toc51106604"/>
      <w:bookmarkStart w:id="1781" w:name="_Toc51108927"/>
      <w:bookmarkStart w:id="1782" w:name="_Toc51019413"/>
      <w:bookmarkStart w:id="1783" w:name="_Toc51056180"/>
      <w:bookmarkStart w:id="1784" w:name="_Toc51057601"/>
      <w:bookmarkStart w:id="1785" w:name="_Toc51059018"/>
      <w:bookmarkStart w:id="1786" w:name="_Toc51060434"/>
      <w:bookmarkStart w:id="1787" w:name="_Toc51061850"/>
      <w:bookmarkStart w:id="1788" w:name="_Toc51063266"/>
      <w:bookmarkStart w:id="1789" w:name="_Toc51064699"/>
      <w:bookmarkStart w:id="1790" w:name="_Toc51066114"/>
      <w:bookmarkStart w:id="1791" w:name="_Toc51068162"/>
      <w:bookmarkStart w:id="1792" w:name="_Toc51105178"/>
      <w:bookmarkStart w:id="1793" w:name="_Toc51106606"/>
      <w:bookmarkStart w:id="1794" w:name="_Toc51108929"/>
      <w:bookmarkStart w:id="1795" w:name="_Toc51019414"/>
      <w:bookmarkStart w:id="1796" w:name="_Toc51056181"/>
      <w:bookmarkStart w:id="1797" w:name="_Toc51057602"/>
      <w:bookmarkStart w:id="1798" w:name="_Toc51059019"/>
      <w:bookmarkStart w:id="1799" w:name="_Toc51060435"/>
      <w:bookmarkStart w:id="1800" w:name="_Toc51061851"/>
      <w:bookmarkStart w:id="1801" w:name="_Toc51063267"/>
      <w:bookmarkStart w:id="1802" w:name="_Toc51064700"/>
      <w:bookmarkStart w:id="1803" w:name="_Toc51066115"/>
      <w:bookmarkStart w:id="1804" w:name="_Toc51068163"/>
      <w:bookmarkStart w:id="1805" w:name="_Toc51105179"/>
      <w:bookmarkStart w:id="1806" w:name="_Toc51106607"/>
      <w:bookmarkStart w:id="1807" w:name="_Toc51108930"/>
      <w:bookmarkStart w:id="1808" w:name="_Toc51019415"/>
      <w:bookmarkStart w:id="1809" w:name="_Toc51056182"/>
      <w:bookmarkStart w:id="1810" w:name="_Toc51057603"/>
      <w:bookmarkStart w:id="1811" w:name="_Toc51059020"/>
      <w:bookmarkStart w:id="1812" w:name="_Toc51060436"/>
      <w:bookmarkStart w:id="1813" w:name="_Toc51061852"/>
      <w:bookmarkStart w:id="1814" w:name="_Toc51063268"/>
      <w:bookmarkStart w:id="1815" w:name="_Toc51064701"/>
      <w:bookmarkStart w:id="1816" w:name="_Toc51066116"/>
      <w:bookmarkStart w:id="1817" w:name="_Toc51068164"/>
      <w:bookmarkStart w:id="1818" w:name="_Toc51105180"/>
      <w:bookmarkStart w:id="1819" w:name="_Toc51106608"/>
      <w:bookmarkStart w:id="1820" w:name="_Toc51108931"/>
      <w:bookmarkStart w:id="1821" w:name="_Toc51019416"/>
      <w:bookmarkStart w:id="1822" w:name="_Toc51056183"/>
      <w:bookmarkStart w:id="1823" w:name="_Toc51057604"/>
      <w:bookmarkStart w:id="1824" w:name="_Toc51059021"/>
      <w:bookmarkStart w:id="1825" w:name="_Toc51060437"/>
      <w:bookmarkStart w:id="1826" w:name="_Toc51061853"/>
      <w:bookmarkStart w:id="1827" w:name="_Toc51063269"/>
      <w:bookmarkStart w:id="1828" w:name="_Toc51064702"/>
      <w:bookmarkStart w:id="1829" w:name="_Toc51066117"/>
      <w:bookmarkStart w:id="1830" w:name="_Toc51068165"/>
      <w:bookmarkStart w:id="1831" w:name="_Toc51105181"/>
      <w:bookmarkStart w:id="1832" w:name="_Toc51106609"/>
      <w:bookmarkStart w:id="1833" w:name="_Toc51108932"/>
      <w:bookmarkStart w:id="1834" w:name="_Toc51019417"/>
      <w:bookmarkStart w:id="1835" w:name="_Toc51056184"/>
      <w:bookmarkStart w:id="1836" w:name="_Toc51057605"/>
      <w:bookmarkStart w:id="1837" w:name="_Toc51059022"/>
      <w:bookmarkStart w:id="1838" w:name="_Toc51060438"/>
      <w:bookmarkStart w:id="1839" w:name="_Toc51061854"/>
      <w:bookmarkStart w:id="1840" w:name="_Toc51063270"/>
      <w:bookmarkStart w:id="1841" w:name="_Toc51064703"/>
      <w:bookmarkStart w:id="1842" w:name="_Toc51066118"/>
      <w:bookmarkStart w:id="1843" w:name="_Toc51068166"/>
      <w:bookmarkStart w:id="1844" w:name="_Toc51105182"/>
      <w:bookmarkStart w:id="1845" w:name="_Toc51106610"/>
      <w:bookmarkStart w:id="1846" w:name="_Toc51108933"/>
      <w:bookmarkStart w:id="1847" w:name="_Toc51019418"/>
      <w:bookmarkStart w:id="1848" w:name="_Toc51056185"/>
      <w:bookmarkStart w:id="1849" w:name="_Toc51057606"/>
      <w:bookmarkStart w:id="1850" w:name="_Toc51059023"/>
      <w:bookmarkStart w:id="1851" w:name="_Toc51060439"/>
      <w:bookmarkStart w:id="1852" w:name="_Toc51061855"/>
      <w:bookmarkStart w:id="1853" w:name="_Toc51063271"/>
      <w:bookmarkStart w:id="1854" w:name="_Toc51064704"/>
      <w:bookmarkStart w:id="1855" w:name="_Toc51066119"/>
      <w:bookmarkStart w:id="1856" w:name="_Toc51068167"/>
      <w:bookmarkStart w:id="1857" w:name="_Toc51105183"/>
      <w:bookmarkStart w:id="1858" w:name="_Toc51106611"/>
      <w:bookmarkStart w:id="1859" w:name="_Toc51108934"/>
      <w:bookmarkStart w:id="1860" w:name="_Toc51019419"/>
      <w:bookmarkStart w:id="1861" w:name="_Toc51056186"/>
      <w:bookmarkStart w:id="1862" w:name="_Toc51057607"/>
      <w:bookmarkStart w:id="1863" w:name="_Toc51059024"/>
      <w:bookmarkStart w:id="1864" w:name="_Toc51060440"/>
      <w:bookmarkStart w:id="1865" w:name="_Toc51061856"/>
      <w:bookmarkStart w:id="1866" w:name="_Toc51063272"/>
      <w:bookmarkStart w:id="1867" w:name="_Toc51064705"/>
      <w:bookmarkStart w:id="1868" w:name="_Toc51066120"/>
      <w:bookmarkStart w:id="1869" w:name="_Toc51068168"/>
      <w:bookmarkStart w:id="1870" w:name="_Toc51105184"/>
      <w:bookmarkStart w:id="1871" w:name="_Toc51106612"/>
      <w:bookmarkStart w:id="1872" w:name="_Toc51108935"/>
      <w:bookmarkStart w:id="1873" w:name="_Toc51019420"/>
      <w:bookmarkStart w:id="1874" w:name="_Toc51056187"/>
      <w:bookmarkStart w:id="1875" w:name="_Toc51057608"/>
      <w:bookmarkStart w:id="1876" w:name="_Toc51059025"/>
      <w:bookmarkStart w:id="1877" w:name="_Toc51060441"/>
      <w:bookmarkStart w:id="1878" w:name="_Toc51061857"/>
      <w:bookmarkStart w:id="1879" w:name="_Toc51063273"/>
      <w:bookmarkStart w:id="1880" w:name="_Toc51064706"/>
      <w:bookmarkStart w:id="1881" w:name="_Toc51066121"/>
      <w:bookmarkStart w:id="1882" w:name="_Toc51068169"/>
      <w:bookmarkStart w:id="1883" w:name="_Toc51105185"/>
      <w:bookmarkStart w:id="1884" w:name="_Toc51106613"/>
      <w:bookmarkStart w:id="1885" w:name="_Toc51108936"/>
      <w:bookmarkStart w:id="1886" w:name="_Toc51019421"/>
      <w:bookmarkStart w:id="1887" w:name="_Toc51056188"/>
      <w:bookmarkStart w:id="1888" w:name="_Toc51057609"/>
      <w:bookmarkStart w:id="1889" w:name="_Toc51059026"/>
      <w:bookmarkStart w:id="1890" w:name="_Toc51060442"/>
      <w:bookmarkStart w:id="1891" w:name="_Toc51061858"/>
      <w:bookmarkStart w:id="1892" w:name="_Toc51063274"/>
      <w:bookmarkStart w:id="1893" w:name="_Toc51064707"/>
      <w:bookmarkStart w:id="1894" w:name="_Toc51066122"/>
      <w:bookmarkStart w:id="1895" w:name="_Toc51068170"/>
      <w:bookmarkStart w:id="1896" w:name="_Toc51105186"/>
      <w:bookmarkStart w:id="1897" w:name="_Toc51106614"/>
      <w:bookmarkStart w:id="1898" w:name="_Toc51108937"/>
      <w:bookmarkStart w:id="1899" w:name="_Toc51019422"/>
      <w:bookmarkStart w:id="1900" w:name="_Toc51056189"/>
      <w:bookmarkStart w:id="1901" w:name="_Toc51057610"/>
      <w:bookmarkStart w:id="1902" w:name="_Toc51059027"/>
      <w:bookmarkStart w:id="1903" w:name="_Toc51060443"/>
      <w:bookmarkStart w:id="1904" w:name="_Toc51061859"/>
      <w:bookmarkStart w:id="1905" w:name="_Toc51063275"/>
      <w:bookmarkStart w:id="1906" w:name="_Toc51064708"/>
      <w:bookmarkStart w:id="1907" w:name="_Toc51066123"/>
      <w:bookmarkStart w:id="1908" w:name="_Toc51068171"/>
      <w:bookmarkStart w:id="1909" w:name="_Toc51105187"/>
      <w:bookmarkStart w:id="1910" w:name="_Toc51106615"/>
      <w:bookmarkStart w:id="1911" w:name="_Toc51108938"/>
      <w:bookmarkStart w:id="1912" w:name="_Toc51019423"/>
      <w:bookmarkStart w:id="1913" w:name="_Toc51056190"/>
      <w:bookmarkStart w:id="1914" w:name="_Toc51057611"/>
      <w:bookmarkStart w:id="1915" w:name="_Toc51059028"/>
      <w:bookmarkStart w:id="1916" w:name="_Toc51060444"/>
      <w:bookmarkStart w:id="1917" w:name="_Toc51061860"/>
      <w:bookmarkStart w:id="1918" w:name="_Toc51063276"/>
      <w:bookmarkStart w:id="1919" w:name="_Toc51064709"/>
      <w:bookmarkStart w:id="1920" w:name="_Toc51066124"/>
      <w:bookmarkStart w:id="1921" w:name="_Toc51068172"/>
      <w:bookmarkStart w:id="1922" w:name="_Toc51105188"/>
      <w:bookmarkStart w:id="1923" w:name="_Toc51106616"/>
      <w:bookmarkStart w:id="1924" w:name="_Toc51108939"/>
      <w:bookmarkStart w:id="1925" w:name="_Toc51019424"/>
      <w:bookmarkStart w:id="1926" w:name="_Toc51056191"/>
      <w:bookmarkStart w:id="1927" w:name="_Toc51057612"/>
      <w:bookmarkStart w:id="1928" w:name="_Toc51059029"/>
      <w:bookmarkStart w:id="1929" w:name="_Toc51060445"/>
      <w:bookmarkStart w:id="1930" w:name="_Toc51061861"/>
      <w:bookmarkStart w:id="1931" w:name="_Toc51063277"/>
      <w:bookmarkStart w:id="1932" w:name="_Toc51064710"/>
      <w:bookmarkStart w:id="1933" w:name="_Toc51066125"/>
      <w:bookmarkStart w:id="1934" w:name="_Toc51068173"/>
      <w:bookmarkStart w:id="1935" w:name="_Toc51105189"/>
      <w:bookmarkStart w:id="1936" w:name="_Toc51106617"/>
      <w:bookmarkStart w:id="1937" w:name="_Toc51108940"/>
      <w:bookmarkStart w:id="1938" w:name="_Toc51019425"/>
      <w:bookmarkStart w:id="1939" w:name="_Toc51056192"/>
      <w:bookmarkStart w:id="1940" w:name="_Toc51057613"/>
      <w:bookmarkStart w:id="1941" w:name="_Toc51059030"/>
      <w:bookmarkStart w:id="1942" w:name="_Toc51060446"/>
      <w:bookmarkStart w:id="1943" w:name="_Toc51061862"/>
      <w:bookmarkStart w:id="1944" w:name="_Toc51063278"/>
      <w:bookmarkStart w:id="1945" w:name="_Toc51064711"/>
      <w:bookmarkStart w:id="1946" w:name="_Toc51066126"/>
      <w:bookmarkStart w:id="1947" w:name="_Toc51068174"/>
      <w:bookmarkStart w:id="1948" w:name="_Toc51105190"/>
      <w:bookmarkStart w:id="1949" w:name="_Toc51106618"/>
      <w:bookmarkStart w:id="1950" w:name="_Toc51108941"/>
      <w:bookmarkStart w:id="1951" w:name="_Toc51019426"/>
      <w:bookmarkStart w:id="1952" w:name="_Toc51056193"/>
      <w:bookmarkStart w:id="1953" w:name="_Toc51057614"/>
      <w:bookmarkStart w:id="1954" w:name="_Toc51059031"/>
      <w:bookmarkStart w:id="1955" w:name="_Toc51060447"/>
      <w:bookmarkStart w:id="1956" w:name="_Toc51061863"/>
      <w:bookmarkStart w:id="1957" w:name="_Toc51063279"/>
      <w:bookmarkStart w:id="1958" w:name="_Toc51064712"/>
      <w:bookmarkStart w:id="1959" w:name="_Toc51066127"/>
      <w:bookmarkStart w:id="1960" w:name="_Toc51068175"/>
      <w:bookmarkStart w:id="1961" w:name="_Toc51105191"/>
      <w:bookmarkStart w:id="1962" w:name="_Toc51106619"/>
      <w:bookmarkStart w:id="1963" w:name="_Toc51108942"/>
      <w:bookmarkStart w:id="1964" w:name="_Toc51019427"/>
      <w:bookmarkStart w:id="1965" w:name="_Toc51056194"/>
      <w:bookmarkStart w:id="1966" w:name="_Toc51057615"/>
      <w:bookmarkStart w:id="1967" w:name="_Toc51059032"/>
      <w:bookmarkStart w:id="1968" w:name="_Toc51060448"/>
      <w:bookmarkStart w:id="1969" w:name="_Toc51061864"/>
      <w:bookmarkStart w:id="1970" w:name="_Toc51063280"/>
      <w:bookmarkStart w:id="1971" w:name="_Toc51064713"/>
      <w:bookmarkStart w:id="1972" w:name="_Toc51066128"/>
      <w:bookmarkStart w:id="1973" w:name="_Toc51068176"/>
      <w:bookmarkStart w:id="1974" w:name="_Toc51105192"/>
      <w:bookmarkStart w:id="1975" w:name="_Toc51106620"/>
      <w:bookmarkStart w:id="1976" w:name="_Toc51108943"/>
      <w:bookmarkStart w:id="1977" w:name="_Toc51019428"/>
      <w:bookmarkStart w:id="1978" w:name="_Toc51056195"/>
      <w:bookmarkStart w:id="1979" w:name="_Toc51057616"/>
      <w:bookmarkStart w:id="1980" w:name="_Toc51059033"/>
      <w:bookmarkStart w:id="1981" w:name="_Toc51060449"/>
      <w:bookmarkStart w:id="1982" w:name="_Toc51061865"/>
      <w:bookmarkStart w:id="1983" w:name="_Toc51063281"/>
      <w:bookmarkStart w:id="1984" w:name="_Toc51064714"/>
      <w:bookmarkStart w:id="1985" w:name="_Toc51066129"/>
      <w:bookmarkStart w:id="1986" w:name="_Toc51068177"/>
      <w:bookmarkStart w:id="1987" w:name="_Toc51105193"/>
      <w:bookmarkStart w:id="1988" w:name="_Toc51106621"/>
      <w:bookmarkStart w:id="1989" w:name="_Toc51108944"/>
      <w:bookmarkStart w:id="1990" w:name="_Toc51019429"/>
      <w:bookmarkStart w:id="1991" w:name="_Toc51056196"/>
      <w:bookmarkStart w:id="1992" w:name="_Toc51057617"/>
      <w:bookmarkStart w:id="1993" w:name="_Toc51059034"/>
      <w:bookmarkStart w:id="1994" w:name="_Toc51060450"/>
      <w:bookmarkStart w:id="1995" w:name="_Toc51061866"/>
      <w:bookmarkStart w:id="1996" w:name="_Toc51063282"/>
      <w:bookmarkStart w:id="1997" w:name="_Toc51064715"/>
      <w:bookmarkStart w:id="1998" w:name="_Toc51066130"/>
      <w:bookmarkStart w:id="1999" w:name="_Toc51068178"/>
      <w:bookmarkStart w:id="2000" w:name="_Toc51105194"/>
      <w:bookmarkStart w:id="2001" w:name="_Toc51106622"/>
      <w:bookmarkStart w:id="2002" w:name="_Toc51108945"/>
      <w:bookmarkStart w:id="2003" w:name="_Toc51019430"/>
      <w:bookmarkStart w:id="2004" w:name="_Toc51056197"/>
      <w:bookmarkStart w:id="2005" w:name="_Toc51057618"/>
      <w:bookmarkStart w:id="2006" w:name="_Toc51059035"/>
      <w:bookmarkStart w:id="2007" w:name="_Toc51060451"/>
      <w:bookmarkStart w:id="2008" w:name="_Toc51061867"/>
      <w:bookmarkStart w:id="2009" w:name="_Toc51063283"/>
      <w:bookmarkStart w:id="2010" w:name="_Toc51064716"/>
      <w:bookmarkStart w:id="2011" w:name="_Toc51066131"/>
      <w:bookmarkStart w:id="2012" w:name="_Toc51068179"/>
      <w:bookmarkStart w:id="2013" w:name="_Toc51105195"/>
      <w:bookmarkStart w:id="2014" w:name="_Toc51106623"/>
      <w:bookmarkStart w:id="2015" w:name="_Toc51108946"/>
      <w:bookmarkStart w:id="2016" w:name="_Toc51019434"/>
      <w:bookmarkStart w:id="2017" w:name="_Toc51056201"/>
      <w:bookmarkStart w:id="2018" w:name="_Toc51057622"/>
      <w:bookmarkStart w:id="2019" w:name="_Toc51059039"/>
      <w:bookmarkStart w:id="2020" w:name="_Toc51060455"/>
      <w:bookmarkStart w:id="2021" w:name="_Toc51061871"/>
      <w:bookmarkStart w:id="2022" w:name="_Toc51063287"/>
      <w:bookmarkStart w:id="2023" w:name="_Toc51064720"/>
      <w:bookmarkStart w:id="2024" w:name="_Toc51066135"/>
      <w:bookmarkStart w:id="2025" w:name="_Toc51068183"/>
      <w:bookmarkStart w:id="2026" w:name="_Toc51105199"/>
      <w:bookmarkStart w:id="2027" w:name="_Toc51106627"/>
      <w:bookmarkStart w:id="2028" w:name="_Toc51108950"/>
      <w:bookmarkStart w:id="2029" w:name="_Toc51019458"/>
      <w:bookmarkStart w:id="2030" w:name="_Toc51056225"/>
      <w:bookmarkStart w:id="2031" w:name="_Toc51057646"/>
      <w:bookmarkStart w:id="2032" w:name="_Toc51059063"/>
      <w:bookmarkStart w:id="2033" w:name="_Toc51060479"/>
      <w:bookmarkStart w:id="2034" w:name="_Toc51061895"/>
      <w:bookmarkStart w:id="2035" w:name="_Toc51063311"/>
      <w:bookmarkStart w:id="2036" w:name="_Toc51064744"/>
      <w:bookmarkStart w:id="2037" w:name="_Toc51066159"/>
      <w:bookmarkStart w:id="2038" w:name="_Toc51068207"/>
      <w:bookmarkStart w:id="2039" w:name="_Toc51105223"/>
      <w:bookmarkStart w:id="2040" w:name="_Toc51106651"/>
      <w:bookmarkStart w:id="2041" w:name="_Toc51108974"/>
      <w:bookmarkStart w:id="2042" w:name="_Toc51019459"/>
      <w:bookmarkStart w:id="2043" w:name="_Toc51056226"/>
      <w:bookmarkStart w:id="2044" w:name="_Toc51057647"/>
      <w:bookmarkStart w:id="2045" w:name="_Toc51059064"/>
      <w:bookmarkStart w:id="2046" w:name="_Toc51060480"/>
      <w:bookmarkStart w:id="2047" w:name="_Toc51061896"/>
      <w:bookmarkStart w:id="2048" w:name="_Toc51063312"/>
      <w:bookmarkStart w:id="2049" w:name="_Toc51064745"/>
      <w:bookmarkStart w:id="2050" w:name="_Toc51066160"/>
      <w:bookmarkStart w:id="2051" w:name="_Toc51068208"/>
      <w:bookmarkStart w:id="2052" w:name="_Toc51105224"/>
      <w:bookmarkStart w:id="2053" w:name="_Toc51106652"/>
      <w:bookmarkStart w:id="2054" w:name="_Toc51108975"/>
      <w:bookmarkStart w:id="2055" w:name="_Toc51019461"/>
      <w:bookmarkStart w:id="2056" w:name="_Toc51056228"/>
      <w:bookmarkStart w:id="2057" w:name="_Toc51057649"/>
      <w:bookmarkStart w:id="2058" w:name="_Toc51059066"/>
      <w:bookmarkStart w:id="2059" w:name="_Toc51060482"/>
      <w:bookmarkStart w:id="2060" w:name="_Toc51061898"/>
      <w:bookmarkStart w:id="2061" w:name="_Toc51063314"/>
      <w:bookmarkStart w:id="2062" w:name="_Toc51064747"/>
      <w:bookmarkStart w:id="2063" w:name="_Toc51066162"/>
      <w:bookmarkStart w:id="2064" w:name="_Toc51068210"/>
      <w:bookmarkStart w:id="2065" w:name="_Toc51105226"/>
      <w:bookmarkStart w:id="2066" w:name="_Toc51106654"/>
      <w:bookmarkStart w:id="2067" w:name="_Toc51108977"/>
      <w:bookmarkStart w:id="2068" w:name="_Toc51019462"/>
      <w:bookmarkStart w:id="2069" w:name="_Toc51056229"/>
      <w:bookmarkStart w:id="2070" w:name="_Toc51057650"/>
      <w:bookmarkStart w:id="2071" w:name="_Toc51059067"/>
      <w:bookmarkStart w:id="2072" w:name="_Toc51060483"/>
      <w:bookmarkStart w:id="2073" w:name="_Toc51061899"/>
      <w:bookmarkStart w:id="2074" w:name="_Toc51063315"/>
      <w:bookmarkStart w:id="2075" w:name="_Toc51064748"/>
      <w:bookmarkStart w:id="2076" w:name="_Toc51066163"/>
      <w:bookmarkStart w:id="2077" w:name="_Toc51068211"/>
      <w:bookmarkStart w:id="2078" w:name="_Toc51105227"/>
      <w:bookmarkStart w:id="2079" w:name="_Toc51106655"/>
      <w:bookmarkStart w:id="2080" w:name="_Toc51108978"/>
      <w:bookmarkStart w:id="2081" w:name="_Toc51019463"/>
      <w:bookmarkStart w:id="2082" w:name="_Toc51056230"/>
      <w:bookmarkStart w:id="2083" w:name="_Toc51057651"/>
      <w:bookmarkStart w:id="2084" w:name="_Toc51059068"/>
      <w:bookmarkStart w:id="2085" w:name="_Toc51060484"/>
      <w:bookmarkStart w:id="2086" w:name="_Toc51061900"/>
      <w:bookmarkStart w:id="2087" w:name="_Toc51063316"/>
      <w:bookmarkStart w:id="2088" w:name="_Toc51064749"/>
      <w:bookmarkStart w:id="2089" w:name="_Toc51066164"/>
      <w:bookmarkStart w:id="2090" w:name="_Toc51068212"/>
      <w:bookmarkStart w:id="2091" w:name="_Toc51105228"/>
      <w:bookmarkStart w:id="2092" w:name="_Toc51106656"/>
      <w:bookmarkStart w:id="2093" w:name="_Toc51108979"/>
      <w:bookmarkStart w:id="2094" w:name="_Toc51019464"/>
      <w:bookmarkStart w:id="2095" w:name="_Toc51056231"/>
      <w:bookmarkStart w:id="2096" w:name="_Toc51057652"/>
      <w:bookmarkStart w:id="2097" w:name="_Toc51059069"/>
      <w:bookmarkStart w:id="2098" w:name="_Toc51060485"/>
      <w:bookmarkStart w:id="2099" w:name="_Toc51061901"/>
      <w:bookmarkStart w:id="2100" w:name="_Toc51063317"/>
      <w:bookmarkStart w:id="2101" w:name="_Toc51064750"/>
      <w:bookmarkStart w:id="2102" w:name="_Toc51066165"/>
      <w:bookmarkStart w:id="2103" w:name="_Toc51068213"/>
      <w:bookmarkStart w:id="2104" w:name="_Toc51105229"/>
      <w:bookmarkStart w:id="2105" w:name="_Toc51106657"/>
      <w:bookmarkStart w:id="2106" w:name="_Toc51108980"/>
      <w:bookmarkStart w:id="2107" w:name="_Toc51019465"/>
      <w:bookmarkStart w:id="2108" w:name="_Toc51056232"/>
      <w:bookmarkStart w:id="2109" w:name="_Toc51057653"/>
      <w:bookmarkStart w:id="2110" w:name="_Toc51059070"/>
      <w:bookmarkStart w:id="2111" w:name="_Toc51060486"/>
      <w:bookmarkStart w:id="2112" w:name="_Toc51061902"/>
      <w:bookmarkStart w:id="2113" w:name="_Toc51063318"/>
      <w:bookmarkStart w:id="2114" w:name="_Toc51064751"/>
      <w:bookmarkStart w:id="2115" w:name="_Toc51066166"/>
      <w:bookmarkStart w:id="2116" w:name="_Toc51068214"/>
      <w:bookmarkStart w:id="2117" w:name="_Toc51105230"/>
      <w:bookmarkStart w:id="2118" w:name="_Toc51106658"/>
      <w:bookmarkStart w:id="2119" w:name="_Toc51108981"/>
      <w:bookmarkStart w:id="2120" w:name="_Toc51019467"/>
      <w:bookmarkStart w:id="2121" w:name="_Toc51056234"/>
      <w:bookmarkStart w:id="2122" w:name="_Toc51057655"/>
      <w:bookmarkStart w:id="2123" w:name="_Toc51059072"/>
      <w:bookmarkStart w:id="2124" w:name="_Toc51060488"/>
      <w:bookmarkStart w:id="2125" w:name="_Toc51061904"/>
      <w:bookmarkStart w:id="2126" w:name="_Toc51063320"/>
      <w:bookmarkStart w:id="2127" w:name="_Toc51064753"/>
      <w:bookmarkStart w:id="2128" w:name="_Toc51066168"/>
      <w:bookmarkStart w:id="2129" w:name="_Toc51068216"/>
      <w:bookmarkStart w:id="2130" w:name="_Toc51105232"/>
      <w:bookmarkStart w:id="2131" w:name="_Toc51106660"/>
      <w:bookmarkStart w:id="2132" w:name="_Toc51108983"/>
      <w:bookmarkStart w:id="2133" w:name="_Toc51019468"/>
      <w:bookmarkStart w:id="2134" w:name="_Toc51056235"/>
      <w:bookmarkStart w:id="2135" w:name="_Toc51057656"/>
      <w:bookmarkStart w:id="2136" w:name="_Toc51059073"/>
      <w:bookmarkStart w:id="2137" w:name="_Toc51060489"/>
      <w:bookmarkStart w:id="2138" w:name="_Toc51061905"/>
      <w:bookmarkStart w:id="2139" w:name="_Toc51063321"/>
      <w:bookmarkStart w:id="2140" w:name="_Toc51064754"/>
      <w:bookmarkStart w:id="2141" w:name="_Toc51066169"/>
      <w:bookmarkStart w:id="2142" w:name="_Toc51068217"/>
      <w:bookmarkStart w:id="2143" w:name="_Toc51105233"/>
      <w:bookmarkStart w:id="2144" w:name="_Toc51106661"/>
      <w:bookmarkStart w:id="2145" w:name="_Toc51108984"/>
      <w:bookmarkStart w:id="2146" w:name="_Toc51019472"/>
      <w:bookmarkStart w:id="2147" w:name="_Toc51056239"/>
      <w:bookmarkStart w:id="2148" w:name="_Toc51057660"/>
      <w:bookmarkStart w:id="2149" w:name="_Toc51059077"/>
      <w:bookmarkStart w:id="2150" w:name="_Toc51060493"/>
      <w:bookmarkStart w:id="2151" w:name="_Toc51061909"/>
      <w:bookmarkStart w:id="2152" w:name="_Toc51063325"/>
      <w:bookmarkStart w:id="2153" w:name="_Toc51064758"/>
      <w:bookmarkStart w:id="2154" w:name="_Toc51066173"/>
      <w:bookmarkStart w:id="2155" w:name="_Toc51068221"/>
      <w:bookmarkStart w:id="2156" w:name="_Toc51105237"/>
      <w:bookmarkStart w:id="2157" w:name="_Toc51106665"/>
      <w:bookmarkStart w:id="2158" w:name="_Toc51108988"/>
      <w:bookmarkStart w:id="2159" w:name="_Toc51019538"/>
      <w:bookmarkStart w:id="2160" w:name="_Toc51056305"/>
      <w:bookmarkStart w:id="2161" w:name="_Toc51057726"/>
      <w:bookmarkStart w:id="2162" w:name="_Toc51059143"/>
      <w:bookmarkStart w:id="2163" w:name="_Toc51060559"/>
      <w:bookmarkStart w:id="2164" w:name="_Toc51061975"/>
      <w:bookmarkStart w:id="2165" w:name="_Toc51063391"/>
      <w:bookmarkStart w:id="2166" w:name="_Toc51064824"/>
      <w:bookmarkStart w:id="2167" w:name="_Toc51066239"/>
      <w:bookmarkStart w:id="2168" w:name="_Toc51068287"/>
      <w:bookmarkStart w:id="2169" w:name="_Toc51105303"/>
      <w:bookmarkStart w:id="2170" w:name="_Toc51106731"/>
      <w:bookmarkStart w:id="2171" w:name="_Toc51109054"/>
      <w:bookmarkStart w:id="2172" w:name="_Toc51019539"/>
      <w:bookmarkStart w:id="2173" w:name="_Toc51056306"/>
      <w:bookmarkStart w:id="2174" w:name="_Toc51057727"/>
      <w:bookmarkStart w:id="2175" w:name="_Toc51059144"/>
      <w:bookmarkStart w:id="2176" w:name="_Toc51060560"/>
      <w:bookmarkStart w:id="2177" w:name="_Toc51061976"/>
      <w:bookmarkStart w:id="2178" w:name="_Toc51063392"/>
      <w:bookmarkStart w:id="2179" w:name="_Toc51064825"/>
      <w:bookmarkStart w:id="2180" w:name="_Toc51066240"/>
      <w:bookmarkStart w:id="2181" w:name="_Toc51068288"/>
      <w:bookmarkStart w:id="2182" w:name="_Toc51105304"/>
      <w:bookmarkStart w:id="2183" w:name="_Toc51106732"/>
      <w:bookmarkStart w:id="2184" w:name="_Toc51109055"/>
      <w:bookmarkStart w:id="2185" w:name="_Toc51019540"/>
      <w:bookmarkStart w:id="2186" w:name="_Toc51056307"/>
      <w:bookmarkStart w:id="2187" w:name="_Toc51057728"/>
      <w:bookmarkStart w:id="2188" w:name="_Toc51059145"/>
      <w:bookmarkStart w:id="2189" w:name="_Toc51060561"/>
      <w:bookmarkStart w:id="2190" w:name="_Toc51061977"/>
      <w:bookmarkStart w:id="2191" w:name="_Toc51063393"/>
      <w:bookmarkStart w:id="2192" w:name="_Toc51064826"/>
      <w:bookmarkStart w:id="2193" w:name="_Toc51066241"/>
      <w:bookmarkStart w:id="2194" w:name="_Toc51068289"/>
      <w:bookmarkStart w:id="2195" w:name="_Toc51105305"/>
      <w:bookmarkStart w:id="2196" w:name="_Toc51106733"/>
      <w:bookmarkStart w:id="2197" w:name="_Toc51109056"/>
      <w:bookmarkStart w:id="2198" w:name="_Toc51019541"/>
      <w:bookmarkStart w:id="2199" w:name="_Toc51056308"/>
      <w:bookmarkStart w:id="2200" w:name="_Toc51057729"/>
      <w:bookmarkStart w:id="2201" w:name="_Toc51059146"/>
      <w:bookmarkStart w:id="2202" w:name="_Toc51060562"/>
      <w:bookmarkStart w:id="2203" w:name="_Toc51061978"/>
      <w:bookmarkStart w:id="2204" w:name="_Toc51063394"/>
      <w:bookmarkStart w:id="2205" w:name="_Toc51064827"/>
      <w:bookmarkStart w:id="2206" w:name="_Toc51066242"/>
      <w:bookmarkStart w:id="2207" w:name="_Toc51068290"/>
      <w:bookmarkStart w:id="2208" w:name="_Toc51105306"/>
      <w:bookmarkStart w:id="2209" w:name="_Toc51106734"/>
      <w:bookmarkStart w:id="2210" w:name="_Toc51109057"/>
      <w:bookmarkStart w:id="2211" w:name="_Toc51019542"/>
      <w:bookmarkStart w:id="2212" w:name="_Toc51056309"/>
      <w:bookmarkStart w:id="2213" w:name="_Toc51057730"/>
      <w:bookmarkStart w:id="2214" w:name="_Toc51059147"/>
      <w:bookmarkStart w:id="2215" w:name="_Toc51060563"/>
      <w:bookmarkStart w:id="2216" w:name="_Toc51061979"/>
      <w:bookmarkStart w:id="2217" w:name="_Toc51063395"/>
      <w:bookmarkStart w:id="2218" w:name="_Toc51064828"/>
      <w:bookmarkStart w:id="2219" w:name="_Toc51066243"/>
      <w:bookmarkStart w:id="2220" w:name="_Toc51068291"/>
      <w:bookmarkStart w:id="2221" w:name="_Toc51105307"/>
      <w:bookmarkStart w:id="2222" w:name="_Toc51106735"/>
      <w:bookmarkStart w:id="2223" w:name="_Toc51109058"/>
      <w:bookmarkStart w:id="2224" w:name="_Toc51019543"/>
      <w:bookmarkStart w:id="2225" w:name="_Toc51056310"/>
      <w:bookmarkStart w:id="2226" w:name="_Toc51057731"/>
      <w:bookmarkStart w:id="2227" w:name="_Toc51059148"/>
      <w:bookmarkStart w:id="2228" w:name="_Toc51060564"/>
      <w:bookmarkStart w:id="2229" w:name="_Toc51061980"/>
      <w:bookmarkStart w:id="2230" w:name="_Toc51063396"/>
      <w:bookmarkStart w:id="2231" w:name="_Toc51064829"/>
      <w:bookmarkStart w:id="2232" w:name="_Toc51066244"/>
      <w:bookmarkStart w:id="2233" w:name="_Toc51068292"/>
      <w:bookmarkStart w:id="2234" w:name="_Toc51105308"/>
      <w:bookmarkStart w:id="2235" w:name="_Toc51106736"/>
      <w:bookmarkStart w:id="2236" w:name="_Toc51109059"/>
      <w:bookmarkStart w:id="2237" w:name="_Toc51019544"/>
      <w:bookmarkStart w:id="2238" w:name="_Toc51056311"/>
      <w:bookmarkStart w:id="2239" w:name="_Toc51057732"/>
      <w:bookmarkStart w:id="2240" w:name="_Toc51059149"/>
      <w:bookmarkStart w:id="2241" w:name="_Toc51060565"/>
      <w:bookmarkStart w:id="2242" w:name="_Toc51061981"/>
      <w:bookmarkStart w:id="2243" w:name="_Toc51063397"/>
      <w:bookmarkStart w:id="2244" w:name="_Toc51064830"/>
      <w:bookmarkStart w:id="2245" w:name="_Toc51066245"/>
      <w:bookmarkStart w:id="2246" w:name="_Toc51068293"/>
      <w:bookmarkStart w:id="2247" w:name="_Toc51105309"/>
      <w:bookmarkStart w:id="2248" w:name="_Toc51106737"/>
      <w:bookmarkStart w:id="2249" w:name="_Toc51109060"/>
      <w:bookmarkStart w:id="2250" w:name="_Toc51019545"/>
      <w:bookmarkStart w:id="2251" w:name="_Toc51056312"/>
      <w:bookmarkStart w:id="2252" w:name="_Toc51057733"/>
      <w:bookmarkStart w:id="2253" w:name="_Toc51059150"/>
      <w:bookmarkStart w:id="2254" w:name="_Toc51060566"/>
      <w:bookmarkStart w:id="2255" w:name="_Toc51061982"/>
      <w:bookmarkStart w:id="2256" w:name="_Toc51063398"/>
      <w:bookmarkStart w:id="2257" w:name="_Toc51064831"/>
      <w:bookmarkStart w:id="2258" w:name="_Toc51066246"/>
      <w:bookmarkStart w:id="2259" w:name="_Toc51068294"/>
      <w:bookmarkStart w:id="2260" w:name="_Toc51105310"/>
      <w:bookmarkStart w:id="2261" w:name="_Toc51106738"/>
      <w:bookmarkStart w:id="2262" w:name="_Toc51109061"/>
      <w:bookmarkStart w:id="2263" w:name="_Toc51019546"/>
      <w:bookmarkStart w:id="2264" w:name="_Toc51056313"/>
      <w:bookmarkStart w:id="2265" w:name="_Toc51057734"/>
      <w:bookmarkStart w:id="2266" w:name="_Toc51059151"/>
      <w:bookmarkStart w:id="2267" w:name="_Toc51060567"/>
      <w:bookmarkStart w:id="2268" w:name="_Toc51061983"/>
      <w:bookmarkStart w:id="2269" w:name="_Toc51063399"/>
      <w:bookmarkStart w:id="2270" w:name="_Toc51064832"/>
      <w:bookmarkStart w:id="2271" w:name="_Toc51066247"/>
      <w:bookmarkStart w:id="2272" w:name="_Toc51068295"/>
      <w:bookmarkStart w:id="2273" w:name="_Toc51105311"/>
      <w:bookmarkStart w:id="2274" w:name="_Toc51106739"/>
      <w:bookmarkStart w:id="2275" w:name="_Toc51109062"/>
      <w:bookmarkStart w:id="2276" w:name="_Toc51019547"/>
      <w:bookmarkStart w:id="2277" w:name="_Toc51056314"/>
      <w:bookmarkStart w:id="2278" w:name="_Toc51057735"/>
      <w:bookmarkStart w:id="2279" w:name="_Toc51059152"/>
      <w:bookmarkStart w:id="2280" w:name="_Toc51060568"/>
      <w:bookmarkStart w:id="2281" w:name="_Toc51061984"/>
      <w:bookmarkStart w:id="2282" w:name="_Toc51063400"/>
      <w:bookmarkStart w:id="2283" w:name="_Toc51064833"/>
      <w:bookmarkStart w:id="2284" w:name="_Toc51066248"/>
      <w:bookmarkStart w:id="2285" w:name="_Toc51068296"/>
      <w:bookmarkStart w:id="2286" w:name="_Toc51105312"/>
      <w:bookmarkStart w:id="2287" w:name="_Toc51106740"/>
      <w:bookmarkStart w:id="2288" w:name="_Toc51109063"/>
      <w:bookmarkStart w:id="2289" w:name="_Toc51019548"/>
      <w:bookmarkStart w:id="2290" w:name="_Toc51056315"/>
      <w:bookmarkStart w:id="2291" w:name="_Toc51057736"/>
      <w:bookmarkStart w:id="2292" w:name="_Toc51059153"/>
      <w:bookmarkStart w:id="2293" w:name="_Toc51060569"/>
      <w:bookmarkStart w:id="2294" w:name="_Toc51061985"/>
      <w:bookmarkStart w:id="2295" w:name="_Toc51063401"/>
      <w:bookmarkStart w:id="2296" w:name="_Toc51064834"/>
      <w:bookmarkStart w:id="2297" w:name="_Toc51066249"/>
      <w:bookmarkStart w:id="2298" w:name="_Toc51068297"/>
      <w:bookmarkStart w:id="2299" w:name="_Toc51105313"/>
      <w:bookmarkStart w:id="2300" w:name="_Toc51106741"/>
      <w:bookmarkStart w:id="2301" w:name="_Toc51109064"/>
      <w:bookmarkStart w:id="2302" w:name="_Toc51019549"/>
      <w:bookmarkStart w:id="2303" w:name="_Toc51056316"/>
      <w:bookmarkStart w:id="2304" w:name="_Toc51057737"/>
      <w:bookmarkStart w:id="2305" w:name="_Toc51059154"/>
      <w:bookmarkStart w:id="2306" w:name="_Toc51060570"/>
      <w:bookmarkStart w:id="2307" w:name="_Toc51061986"/>
      <w:bookmarkStart w:id="2308" w:name="_Toc51063402"/>
      <w:bookmarkStart w:id="2309" w:name="_Toc51064835"/>
      <w:bookmarkStart w:id="2310" w:name="_Toc51066250"/>
      <w:bookmarkStart w:id="2311" w:name="_Toc51068298"/>
      <w:bookmarkStart w:id="2312" w:name="_Toc51105314"/>
      <w:bookmarkStart w:id="2313" w:name="_Toc51106742"/>
      <w:bookmarkStart w:id="2314" w:name="_Toc51109065"/>
      <w:bookmarkStart w:id="2315" w:name="_Toc51019550"/>
      <w:bookmarkStart w:id="2316" w:name="_Toc51056317"/>
      <w:bookmarkStart w:id="2317" w:name="_Toc51057738"/>
      <w:bookmarkStart w:id="2318" w:name="_Toc51059155"/>
      <w:bookmarkStart w:id="2319" w:name="_Toc51060571"/>
      <w:bookmarkStart w:id="2320" w:name="_Toc51061987"/>
      <w:bookmarkStart w:id="2321" w:name="_Toc51063403"/>
      <w:bookmarkStart w:id="2322" w:name="_Toc51064836"/>
      <w:bookmarkStart w:id="2323" w:name="_Toc51066251"/>
      <w:bookmarkStart w:id="2324" w:name="_Toc51068299"/>
      <w:bookmarkStart w:id="2325" w:name="_Toc51105315"/>
      <w:bookmarkStart w:id="2326" w:name="_Toc51106743"/>
      <w:bookmarkStart w:id="2327" w:name="_Toc51109066"/>
      <w:bookmarkStart w:id="2328" w:name="_Toc51019551"/>
      <w:bookmarkStart w:id="2329" w:name="_Toc51056318"/>
      <w:bookmarkStart w:id="2330" w:name="_Toc51057739"/>
      <w:bookmarkStart w:id="2331" w:name="_Toc51059156"/>
      <w:bookmarkStart w:id="2332" w:name="_Toc51060572"/>
      <w:bookmarkStart w:id="2333" w:name="_Toc51061988"/>
      <w:bookmarkStart w:id="2334" w:name="_Toc51063404"/>
      <w:bookmarkStart w:id="2335" w:name="_Toc51064837"/>
      <w:bookmarkStart w:id="2336" w:name="_Toc51066252"/>
      <w:bookmarkStart w:id="2337" w:name="_Toc51068300"/>
      <w:bookmarkStart w:id="2338" w:name="_Toc51105316"/>
      <w:bookmarkStart w:id="2339" w:name="_Toc51106744"/>
      <w:bookmarkStart w:id="2340" w:name="_Toc51109067"/>
      <w:bookmarkStart w:id="2341" w:name="_Toc51019552"/>
      <w:bookmarkStart w:id="2342" w:name="_Toc51056319"/>
      <w:bookmarkStart w:id="2343" w:name="_Toc51057740"/>
      <w:bookmarkStart w:id="2344" w:name="_Toc51059157"/>
      <w:bookmarkStart w:id="2345" w:name="_Toc51060573"/>
      <w:bookmarkStart w:id="2346" w:name="_Toc51061989"/>
      <w:bookmarkStart w:id="2347" w:name="_Toc51063405"/>
      <w:bookmarkStart w:id="2348" w:name="_Toc51064838"/>
      <w:bookmarkStart w:id="2349" w:name="_Toc51066253"/>
      <w:bookmarkStart w:id="2350" w:name="_Toc51068301"/>
      <w:bookmarkStart w:id="2351" w:name="_Toc51105317"/>
      <w:bookmarkStart w:id="2352" w:name="_Toc51106745"/>
      <w:bookmarkStart w:id="2353" w:name="_Toc51109068"/>
      <w:bookmarkStart w:id="2354" w:name="_Toc51019553"/>
      <w:bookmarkStart w:id="2355" w:name="_Toc51056320"/>
      <w:bookmarkStart w:id="2356" w:name="_Toc51057741"/>
      <w:bookmarkStart w:id="2357" w:name="_Toc51059158"/>
      <w:bookmarkStart w:id="2358" w:name="_Toc51060574"/>
      <w:bookmarkStart w:id="2359" w:name="_Toc51061990"/>
      <w:bookmarkStart w:id="2360" w:name="_Toc51063406"/>
      <w:bookmarkStart w:id="2361" w:name="_Toc51064839"/>
      <w:bookmarkStart w:id="2362" w:name="_Toc51066254"/>
      <w:bookmarkStart w:id="2363" w:name="_Toc51068302"/>
      <w:bookmarkStart w:id="2364" w:name="_Toc51105318"/>
      <w:bookmarkStart w:id="2365" w:name="_Toc51106746"/>
      <w:bookmarkStart w:id="2366" w:name="_Toc51109069"/>
      <w:bookmarkStart w:id="2367" w:name="_Toc51019554"/>
      <w:bookmarkStart w:id="2368" w:name="_Toc51056321"/>
      <w:bookmarkStart w:id="2369" w:name="_Toc51057742"/>
      <w:bookmarkStart w:id="2370" w:name="_Toc51059159"/>
      <w:bookmarkStart w:id="2371" w:name="_Toc51060575"/>
      <w:bookmarkStart w:id="2372" w:name="_Toc51061991"/>
      <w:bookmarkStart w:id="2373" w:name="_Toc51063407"/>
      <w:bookmarkStart w:id="2374" w:name="_Toc51064840"/>
      <w:bookmarkStart w:id="2375" w:name="_Toc51066255"/>
      <w:bookmarkStart w:id="2376" w:name="_Toc51068303"/>
      <w:bookmarkStart w:id="2377" w:name="_Toc51105319"/>
      <w:bookmarkStart w:id="2378" w:name="_Toc51106747"/>
      <w:bookmarkStart w:id="2379" w:name="_Toc51109070"/>
      <w:bookmarkStart w:id="2380" w:name="_Toc51019555"/>
      <w:bookmarkStart w:id="2381" w:name="_Toc51056322"/>
      <w:bookmarkStart w:id="2382" w:name="_Toc51057743"/>
      <w:bookmarkStart w:id="2383" w:name="_Toc51059160"/>
      <w:bookmarkStart w:id="2384" w:name="_Toc51060576"/>
      <w:bookmarkStart w:id="2385" w:name="_Toc51061992"/>
      <w:bookmarkStart w:id="2386" w:name="_Toc51063408"/>
      <w:bookmarkStart w:id="2387" w:name="_Toc51064841"/>
      <w:bookmarkStart w:id="2388" w:name="_Toc51066256"/>
      <w:bookmarkStart w:id="2389" w:name="_Toc51068304"/>
      <w:bookmarkStart w:id="2390" w:name="_Toc51105320"/>
      <w:bookmarkStart w:id="2391" w:name="_Toc51106748"/>
      <w:bookmarkStart w:id="2392" w:name="_Toc51109071"/>
      <w:bookmarkStart w:id="2393" w:name="_Toc51019556"/>
      <w:bookmarkStart w:id="2394" w:name="_Toc51056323"/>
      <w:bookmarkStart w:id="2395" w:name="_Toc51057744"/>
      <w:bookmarkStart w:id="2396" w:name="_Toc51059161"/>
      <w:bookmarkStart w:id="2397" w:name="_Toc51060577"/>
      <w:bookmarkStart w:id="2398" w:name="_Toc51061993"/>
      <w:bookmarkStart w:id="2399" w:name="_Toc51063409"/>
      <w:bookmarkStart w:id="2400" w:name="_Toc51064842"/>
      <w:bookmarkStart w:id="2401" w:name="_Toc51066257"/>
      <w:bookmarkStart w:id="2402" w:name="_Toc51068305"/>
      <w:bookmarkStart w:id="2403" w:name="_Toc51105321"/>
      <w:bookmarkStart w:id="2404" w:name="_Toc51106749"/>
      <w:bookmarkStart w:id="2405" w:name="_Toc51109072"/>
      <w:bookmarkStart w:id="2406" w:name="_Toc51019557"/>
      <w:bookmarkStart w:id="2407" w:name="_Toc51056324"/>
      <w:bookmarkStart w:id="2408" w:name="_Toc51057745"/>
      <w:bookmarkStart w:id="2409" w:name="_Toc51059162"/>
      <w:bookmarkStart w:id="2410" w:name="_Toc51060578"/>
      <w:bookmarkStart w:id="2411" w:name="_Toc51061994"/>
      <w:bookmarkStart w:id="2412" w:name="_Toc51063410"/>
      <w:bookmarkStart w:id="2413" w:name="_Toc51064843"/>
      <w:bookmarkStart w:id="2414" w:name="_Toc51066258"/>
      <w:bookmarkStart w:id="2415" w:name="_Toc51068306"/>
      <w:bookmarkStart w:id="2416" w:name="_Toc51105322"/>
      <w:bookmarkStart w:id="2417" w:name="_Toc51106750"/>
      <w:bookmarkStart w:id="2418" w:name="_Toc51109073"/>
      <w:bookmarkStart w:id="2419" w:name="_Toc51019558"/>
      <w:bookmarkStart w:id="2420" w:name="_Toc51056325"/>
      <w:bookmarkStart w:id="2421" w:name="_Toc51057746"/>
      <w:bookmarkStart w:id="2422" w:name="_Toc51059163"/>
      <w:bookmarkStart w:id="2423" w:name="_Toc51060579"/>
      <w:bookmarkStart w:id="2424" w:name="_Toc51061995"/>
      <w:bookmarkStart w:id="2425" w:name="_Toc51063411"/>
      <w:bookmarkStart w:id="2426" w:name="_Toc51064844"/>
      <w:bookmarkStart w:id="2427" w:name="_Toc51066259"/>
      <w:bookmarkStart w:id="2428" w:name="_Toc51068307"/>
      <w:bookmarkStart w:id="2429" w:name="_Toc51105323"/>
      <w:bookmarkStart w:id="2430" w:name="_Toc51106751"/>
      <w:bookmarkStart w:id="2431" w:name="_Toc51109074"/>
      <w:bookmarkStart w:id="2432" w:name="_Toc51019562"/>
      <w:bookmarkStart w:id="2433" w:name="_Toc51056329"/>
      <w:bookmarkStart w:id="2434" w:name="_Toc51057750"/>
      <w:bookmarkStart w:id="2435" w:name="_Toc51059167"/>
      <w:bookmarkStart w:id="2436" w:name="_Toc51060583"/>
      <w:bookmarkStart w:id="2437" w:name="_Toc51061999"/>
      <w:bookmarkStart w:id="2438" w:name="_Toc51063415"/>
      <w:bookmarkStart w:id="2439" w:name="_Toc51064848"/>
      <w:bookmarkStart w:id="2440" w:name="_Toc51066263"/>
      <w:bookmarkStart w:id="2441" w:name="_Toc51068311"/>
      <w:bookmarkStart w:id="2442" w:name="_Toc51105327"/>
      <w:bookmarkStart w:id="2443" w:name="_Toc51106755"/>
      <w:bookmarkStart w:id="2444" w:name="_Toc51109078"/>
      <w:bookmarkStart w:id="2445" w:name="_Toc51019586"/>
      <w:bookmarkStart w:id="2446" w:name="_Toc51056353"/>
      <w:bookmarkStart w:id="2447" w:name="_Toc51057774"/>
      <w:bookmarkStart w:id="2448" w:name="_Toc51059191"/>
      <w:bookmarkStart w:id="2449" w:name="_Toc51060607"/>
      <w:bookmarkStart w:id="2450" w:name="_Toc51062023"/>
      <w:bookmarkStart w:id="2451" w:name="_Toc51063439"/>
      <w:bookmarkStart w:id="2452" w:name="_Toc51064872"/>
      <w:bookmarkStart w:id="2453" w:name="_Toc51066287"/>
      <w:bookmarkStart w:id="2454" w:name="_Toc51068335"/>
      <w:bookmarkStart w:id="2455" w:name="_Toc51105351"/>
      <w:bookmarkStart w:id="2456" w:name="_Toc51106779"/>
      <w:bookmarkStart w:id="2457" w:name="_Toc51109102"/>
      <w:bookmarkStart w:id="2458" w:name="_Toc51019587"/>
      <w:bookmarkStart w:id="2459" w:name="_Toc51056354"/>
      <w:bookmarkStart w:id="2460" w:name="_Toc51057775"/>
      <w:bookmarkStart w:id="2461" w:name="_Toc51059192"/>
      <w:bookmarkStart w:id="2462" w:name="_Toc51060608"/>
      <w:bookmarkStart w:id="2463" w:name="_Toc51062024"/>
      <w:bookmarkStart w:id="2464" w:name="_Toc51063440"/>
      <w:bookmarkStart w:id="2465" w:name="_Toc51064873"/>
      <w:bookmarkStart w:id="2466" w:name="_Toc51066288"/>
      <w:bookmarkStart w:id="2467" w:name="_Toc51068336"/>
      <w:bookmarkStart w:id="2468" w:name="_Toc51105352"/>
      <w:bookmarkStart w:id="2469" w:name="_Toc51106780"/>
      <w:bookmarkStart w:id="2470" w:name="_Toc51109103"/>
      <w:bookmarkStart w:id="2471" w:name="_Toc51019588"/>
      <w:bookmarkStart w:id="2472" w:name="_Toc51056355"/>
      <w:bookmarkStart w:id="2473" w:name="_Toc51057776"/>
      <w:bookmarkStart w:id="2474" w:name="_Toc51059193"/>
      <w:bookmarkStart w:id="2475" w:name="_Toc51060609"/>
      <w:bookmarkStart w:id="2476" w:name="_Toc51062025"/>
      <w:bookmarkStart w:id="2477" w:name="_Toc51063441"/>
      <w:bookmarkStart w:id="2478" w:name="_Toc51064874"/>
      <w:bookmarkStart w:id="2479" w:name="_Toc51066289"/>
      <w:bookmarkStart w:id="2480" w:name="_Toc51068337"/>
      <w:bookmarkStart w:id="2481" w:name="_Toc51105353"/>
      <w:bookmarkStart w:id="2482" w:name="_Toc51106781"/>
      <w:bookmarkStart w:id="2483" w:name="_Toc51109104"/>
      <w:bookmarkStart w:id="2484" w:name="_Toc51019589"/>
      <w:bookmarkStart w:id="2485" w:name="_Toc51056356"/>
      <w:bookmarkStart w:id="2486" w:name="_Toc51057777"/>
      <w:bookmarkStart w:id="2487" w:name="_Toc51059194"/>
      <w:bookmarkStart w:id="2488" w:name="_Toc51060610"/>
      <w:bookmarkStart w:id="2489" w:name="_Toc51062026"/>
      <w:bookmarkStart w:id="2490" w:name="_Toc51063442"/>
      <w:bookmarkStart w:id="2491" w:name="_Toc51064875"/>
      <w:bookmarkStart w:id="2492" w:name="_Toc51066290"/>
      <w:bookmarkStart w:id="2493" w:name="_Toc51068338"/>
      <w:bookmarkStart w:id="2494" w:name="_Toc51105354"/>
      <w:bookmarkStart w:id="2495" w:name="_Toc51106782"/>
      <w:bookmarkStart w:id="2496" w:name="_Toc51109105"/>
      <w:bookmarkStart w:id="2497" w:name="_Toc51019590"/>
      <w:bookmarkStart w:id="2498" w:name="_Toc51056357"/>
      <w:bookmarkStart w:id="2499" w:name="_Toc51057778"/>
      <w:bookmarkStart w:id="2500" w:name="_Toc51059195"/>
      <w:bookmarkStart w:id="2501" w:name="_Toc51060611"/>
      <w:bookmarkStart w:id="2502" w:name="_Toc51062027"/>
      <w:bookmarkStart w:id="2503" w:name="_Toc51063443"/>
      <w:bookmarkStart w:id="2504" w:name="_Toc51064876"/>
      <w:bookmarkStart w:id="2505" w:name="_Toc51066291"/>
      <w:bookmarkStart w:id="2506" w:name="_Toc51068339"/>
      <w:bookmarkStart w:id="2507" w:name="_Toc51105355"/>
      <w:bookmarkStart w:id="2508" w:name="_Toc51106783"/>
      <w:bookmarkStart w:id="2509" w:name="_Toc51109106"/>
      <w:bookmarkStart w:id="2510" w:name="_Toc51019591"/>
      <w:bookmarkStart w:id="2511" w:name="_Toc51056358"/>
      <w:bookmarkStart w:id="2512" w:name="_Toc51057779"/>
      <w:bookmarkStart w:id="2513" w:name="_Toc51059196"/>
      <w:bookmarkStart w:id="2514" w:name="_Toc51060612"/>
      <w:bookmarkStart w:id="2515" w:name="_Toc51062028"/>
      <w:bookmarkStart w:id="2516" w:name="_Toc51063444"/>
      <w:bookmarkStart w:id="2517" w:name="_Toc51064877"/>
      <w:bookmarkStart w:id="2518" w:name="_Toc51066292"/>
      <w:bookmarkStart w:id="2519" w:name="_Toc51068340"/>
      <w:bookmarkStart w:id="2520" w:name="_Toc51105356"/>
      <w:bookmarkStart w:id="2521" w:name="_Toc51106784"/>
      <w:bookmarkStart w:id="2522" w:name="_Toc51109107"/>
      <w:bookmarkStart w:id="2523" w:name="_Toc51019592"/>
      <w:bookmarkStart w:id="2524" w:name="_Toc51056359"/>
      <w:bookmarkStart w:id="2525" w:name="_Toc51057780"/>
      <w:bookmarkStart w:id="2526" w:name="_Toc51059197"/>
      <w:bookmarkStart w:id="2527" w:name="_Toc51060613"/>
      <w:bookmarkStart w:id="2528" w:name="_Toc51062029"/>
      <w:bookmarkStart w:id="2529" w:name="_Toc51063445"/>
      <w:bookmarkStart w:id="2530" w:name="_Toc51064878"/>
      <w:bookmarkStart w:id="2531" w:name="_Toc51066293"/>
      <w:bookmarkStart w:id="2532" w:name="_Toc51068341"/>
      <w:bookmarkStart w:id="2533" w:name="_Toc51105357"/>
      <w:bookmarkStart w:id="2534" w:name="_Toc51106785"/>
      <w:bookmarkStart w:id="2535" w:name="_Toc51109108"/>
      <w:bookmarkStart w:id="2536" w:name="_Toc51019593"/>
      <w:bookmarkStart w:id="2537" w:name="_Toc51056360"/>
      <w:bookmarkStart w:id="2538" w:name="_Toc51057781"/>
      <w:bookmarkStart w:id="2539" w:name="_Toc51059198"/>
      <w:bookmarkStart w:id="2540" w:name="_Toc51060614"/>
      <w:bookmarkStart w:id="2541" w:name="_Toc51062030"/>
      <w:bookmarkStart w:id="2542" w:name="_Toc51063446"/>
      <w:bookmarkStart w:id="2543" w:name="_Toc51064879"/>
      <w:bookmarkStart w:id="2544" w:name="_Toc51066294"/>
      <w:bookmarkStart w:id="2545" w:name="_Toc51068342"/>
      <w:bookmarkStart w:id="2546" w:name="_Toc51105358"/>
      <w:bookmarkStart w:id="2547" w:name="_Toc51106786"/>
      <w:bookmarkStart w:id="2548" w:name="_Toc51109109"/>
      <w:bookmarkStart w:id="2549" w:name="_Toc51019594"/>
      <w:bookmarkStart w:id="2550" w:name="_Toc51056361"/>
      <w:bookmarkStart w:id="2551" w:name="_Toc51057782"/>
      <w:bookmarkStart w:id="2552" w:name="_Toc51059199"/>
      <w:bookmarkStart w:id="2553" w:name="_Toc51060615"/>
      <w:bookmarkStart w:id="2554" w:name="_Toc51062031"/>
      <w:bookmarkStart w:id="2555" w:name="_Toc51063447"/>
      <w:bookmarkStart w:id="2556" w:name="_Toc51064880"/>
      <w:bookmarkStart w:id="2557" w:name="_Toc51066295"/>
      <w:bookmarkStart w:id="2558" w:name="_Toc51068343"/>
      <w:bookmarkStart w:id="2559" w:name="_Toc51105359"/>
      <w:bookmarkStart w:id="2560" w:name="_Toc51106787"/>
      <w:bookmarkStart w:id="2561" w:name="_Toc51109110"/>
      <w:bookmarkStart w:id="2562" w:name="_Toc51019595"/>
      <w:bookmarkStart w:id="2563" w:name="_Toc51056362"/>
      <w:bookmarkStart w:id="2564" w:name="_Toc51057783"/>
      <w:bookmarkStart w:id="2565" w:name="_Toc51059200"/>
      <w:bookmarkStart w:id="2566" w:name="_Toc51060616"/>
      <w:bookmarkStart w:id="2567" w:name="_Toc51062032"/>
      <w:bookmarkStart w:id="2568" w:name="_Toc51063448"/>
      <w:bookmarkStart w:id="2569" w:name="_Toc51064881"/>
      <w:bookmarkStart w:id="2570" w:name="_Toc51066296"/>
      <w:bookmarkStart w:id="2571" w:name="_Toc51068344"/>
      <w:bookmarkStart w:id="2572" w:name="_Toc51105360"/>
      <w:bookmarkStart w:id="2573" w:name="_Toc51106788"/>
      <w:bookmarkStart w:id="2574" w:name="_Toc51109111"/>
      <w:bookmarkStart w:id="2575" w:name="_Toc51019599"/>
      <w:bookmarkStart w:id="2576" w:name="_Toc51056366"/>
      <w:bookmarkStart w:id="2577" w:name="_Toc51057787"/>
      <w:bookmarkStart w:id="2578" w:name="_Toc51059204"/>
      <w:bookmarkStart w:id="2579" w:name="_Toc51060620"/>
      <w:bookmarkStart w:id="2580" w:name="_Toc51062036"/>
      <w:bookmarkStart w:id="2581" w:name="_Toc51063452"/>
      <w:bookmarkStart w:id="2582" w:name="_Toc51064885"/>
      <w:bookmarkStart w:id="2583" w:name="_Toc51066300"/>
      <w:bookmarkStart w:id="2584" w:name="_Toc51068348"/>
      <w:bookmarkStart w:id="2585" w:name="_Toc51105364"/>
      <w:bookmarkStart w:id="2586" w:name="_Toc51106792"/>
      <w:bookmarkStart w:id="2587" w:name="_Toc51109115"/>
      <w:bookmarkStart w:id="2588" w:name="_Toc51019653"/>
      <w:bookmarkStart w:id="2589" w:name="_Toc51056420"/>
      <w:bookmarkStart w:id="2590" w:name="_Toc51057841"/>
      <w:bookmarkStart w:id="2591" w:name="_Toc51059258"/>
      <w:bookmarkStart w:id="2592" w:name="_Toc51060674"/>
      <w:bookmarkStart w:id="2593" w:name="_Toc51062090"/>
      <w:bookmarkStart w:id="2594" w:name="_Toc51063506"/>
      <w:bookmarkStart w:id="2595" w:name="_Toc51064939"/>
      <w:bookmarkStart w:id="2596" w:name="_Toc51066354"/>
      <w:bookmarkStart w:id="2597" w:name="_Toc51068402"/>
      <w:bookmarkStart w:id="2598" w:name="_Toc51105418"/>
      <w:bookmarkStart w:id="2599" w:name="_Toc51106846"/>
      <w:bookmarkStart w:id="2600" w:name="_Toc51109169"/>
      <w:bookmarkStart w:id="2601" w:name="_Toc51019654"/>
      <w:bookmarkStart w:id="2602" w:name="_Toc51056421"/>
      <w:bookmarkStart w:id="2603" w:name="_Toc51057842"/>
      <w:bookmarkStart w:id="2604" w:name="_Toc51059259"/>
      <w:bookmarkStart w:id="2605" w:name="_Toc51060675"/>
      <w:bookmarkStart w:id="2606" w:name="_Toc51062091"/>
      <w:bookmarkStart w:id="2607" w:name="_Toc51063507"/>
      <w:bookmarkStart w:id="2608" w:name="_Toc51064940"/>
      <w:bookmarkStart w:id="2609" w:name="_Toc51066355"/>
      <w:bookmarkStart w:id="2610" w:name="_Toc51068403"/>
      <w:bookmarkStart w:id="2611" w:name="_Toc51105419"/>
      <w:bookmarkStart w:id="2612" w:name="_Toc51106847"/>
      <w:bookmarkStart w:id="2613" w:name="_Toc51109170"/>
      <w:bookmarkStart w:id="2614" w:name="_Toc51019656"/>
      <w:bookmarkStart w:id="2615" w:name="_Toc51056423"/>
      <w:bookmarkStart w:id="2616" w:name="_Toc51057844"/>
      <w:bookmarkStart w:id="2617" w:name="_Toc51059261"/>
      <w:bookmarkStart w:id="2618" w:name="_Toc51060677"/>
      <w:bookmarkStart w:id="2619" w:name="_Toc51062093"/>
      <w:bookmarkStart w:id="2620" w:name="_Toc51063509"/>
      <w:bookmarkStart w:id="2621" w:name="_Toc51064942"/>
      <w:bookmarkStart w:id="2622" w:name="_Toc51066357"/>
      <w:bookmarkStart w:id="2623" w:name="_Toc51068405"/>
      <w:bookmarkStart w:id="2624" w:name="_Toc51105421"/>
      <w:bookmarkStart w:id="2625" w:name="_Toc51106849"/>
      <w:bookmarkStart w:id="2626" w:name="_Toc51109172"/>
      <w:bookmarkStart w:id="2627" w:name="_Toc51019657"/>
      <w:bookmarkStart w:id="2628" w:name="_Toc51056424"/>
      <w:bookmarkStart w:id="2629" w:name="_Toc51057845"/>
      <w:bookmarkStart w:id="2630" w:name="_Toc51059262"/>
      <w:bookmarkStart w:id="2631" w:name="_Toc51060678"/>
      <w:bookmarkStart w:id="2632" w:name="_Toc51062094"/>
      <w:bookmarkStart w:id="2633" w:name="_Toc51063510"/>
      <w:bookmarkStart w:id="2634" w:name="_Toc51064943"/>
      <w:bookmarkStart w:id="2635" w:name="_Toc51066358"/>
      <w:bookmarkStart w:id="2636" w:name="_Toc51068406"/>
      <w:bookmarkStart w:id="2637" w:name="_Toc51105422"/>
      <w:bookmarkStart w:id="2638" w:name="_Toc51106850"/>
      <w:bookmarkStart w:id="2639" w:name="_Toc51109173"/>
      <w:bookmarkStart w:id="2640" w:name="_Toc51019658"/>
      <w:bookmarkStart w:id="2641" w:name="_Toc51056425"/>
      <w:bookmarkStart w:id="2642" w:name="_Toc51057846"/>
      <w:bookmarkStart w:id="2643" w:name="_Toc51059263"/>
      <w:bookmarkStart w:id="2644" w:name="_Toc51060679"/>
      <w:bookmarkStart w:id="2645" w:name="_Toc51062095"/>
      <w:bookmarkStart w:id="2646" w:name="_Toc51063511"/>
      <w:bookmarkStart w:id="2647" w:name="_Toc51064944"/>
      <w:bookmarkStart w:id="2648" w:name="_Toc51066359"/>
      <w:bookmarkStart w:id="2649" w:name="_Toc51068407"/>
      <w:bookmarkStart w:id="2650" w:name="_Toc51105423"/>
      <w:bookmarkStart w:id="2651" w:name="_Toc51106851"/>
      <w:bookmarkStart w:id="2652" w:name="_Toc51109174"/>
      <w:bookmarkStart w:id="2653" w:name="_Toc51019659"/>
      <w:bookmarkStart w:id="2654" w:name="_Toc51056426"/>
      <w:bookmarkStart w:id="2655" w:name="_Toc51057847"/>
      <w:bookmarkStart w:id="2656" w:name="_Toc51059264"/>
      <w:bookmarkStart w:id="2657" w:name="_Toc51060680"/>
      <w:bookmarkStart w:id="2658" w:name="_Toc51062096"/>
      <w:bookmarkStart w:id="2659" w:name="_Toc51063512"/>
      <w:bookmarkStart w:id="2660" w:name="_Toc51064945"/>
      <w:bookmarkStart w:id="2661" w:name="_Toc51066360"/>
      <w:bookmarkStart w:id="2662" w:name="_Toc51068408"/>
      <w:bookmarkStart w:id="2663" w:name="_Toc51105424"/>
      <w:bookmarkStart w:id="2664" w:name="_Toc51106852"/>
      <w:bookmarkStart w:id="2665" w:name="_Toc51109175"/>
      <w:bookmarkStart w:id="2666" w:name="_Toc51019660"/>
      <w:bookmarkStart w:id="2667" w:name="_Toc51056427"/>
      <w:bookmarkStart w:id="2668" w:name="_Toc51057848"/>
      <w:bookmarkStart w:id="2669" w:name="_Toc51059265"/>
      <w:bookmarkStart w:id="2670" w:name="_Toc51060681"/>
      <w:bookmarkStart w:id="2671" w:name="_Toc51062097"/>
      <w:bookmarkStart w:id="2672" w:name="_Toc51063513"/>
      <w:bookmarkStart w:id="2673" w:name="_Toc51064946"/>
      <w:bookmarkStart w:id="2674" w:name="_Toc51066361"/>
      <w:bookmarkStart w:id="2675" w:name="_Toc51068409"/>
      <w:bookmarkStart w:id="2676" w:name="_Toc51105425"/>
      <w:bookmarkStart w:id="2677" w:name="_Toc51106853"/>
      <w:bookmarkStart w:id="2678" w:name="_Toc51109176"/>
      <w:bookmarkStart w:id="2679" w:name="_Toc51019661"/>
      <w:bookmarkStart w:id="2680" w:name="_Toc51056428"/>
      <w:bookmarkStart w:id="2681" w:name="_Toc51057849"/>
      <w:bookmarkStart w:id="2682" w:name="_Toc51059266"/>
      <w:bookmarkStart w:id="2683" w:name="_Toc51060682"/>
      <w:bookmarkStart w:id="2684" w:name="_Toc51062098"/>
      <w:bookmarkStart w:id="2685" w:name="_Toc51063514"/>
      <w:bookmarkStart w:id="2686" w:name="_Toc51064947"/>
      <w:bookmarkStart w:id="2687" w:name="_Toc51066362"/>
      <w:bookmarkStart w:id="2688" w:name="_Toc51068410"/>
      <w:bookmarkStart w:id="2689" w:name="_Toc51105426"/>
      <w:bookmarkStart w:id="2690" w:name="_Toc51106854"/>
      <w:bookmarkStart w:id="2691" w:name="_Toc51109177"/>
      <w:bookmarkStart w:id="2692" w:name="_Toc51019662"/>
      <w:bookmarkStart w:id="2693" w:name="_Toc51056429"/>
      <w:bookmarkStart w:id="2694" w:name="_Toc51057850"/>
      <w:bookmarkStart w:id="2695" w:name="_Toc51059267"/>
      <w:bookmarkStart w:id="2696" w:name="_Toc51060683"/>
      <w:bookmarkStart w:id="2697" w:name="_Toc51062099"/>
      <w:bookmarkStart w:id="2698" w:name="_Toc51063515"/>
      <w:bookmarkStart w:id="2699" w:name="_Toc51064948"/>
      <w:bookmarkStart w:id="2700" w:name="_Toc51066363"/>
      <w:bookmarkStart w:id="2701" w:name="_Toc51068411"/>
      <w:bookmarkStart w:id="2702" w:name="_Toc51105427"/>
      <w:bookmarkStart w:id="2703" w:name="_Toc51106855"/>
      <w:bookmarkStart w:id="2704" w:name="_Toc51109178"/>
      <w:bookmarkStart w:id="2705" w:name="_Toc51019663"/>
      <w:bookmarkStart w:id="2706" w:name="_Toc51056430"/>
      <w:bookmarkStart w:id="2707" w:name="_Toc51057851"/>
      <w:bookmarkStart w:id="2708" w:name="_Toc51059268"/>
      <w:bookmarkStart w:id="2709" w:name="_Toc51060684"/>
      <w:bookmarkStart w:id="2710" w:name="_Toc51062100"/>
      <w:bookmarkStart w:id="2711" w:name="_Toc51063516"/>
      <w:bookmarkStart w:id="2712" w:name="_Toc51064949"/>
      <w:bookmarkStart w:id="2713" w:name="_Toc51066364"/>
      <w:bookmarkStart w:id="2714" w:name="_Toc51068412"/>
      <w:bookmarkStart w:id="2715" w:name="_Toc51105428"/>
      <w:bookmarkStart w:id="2716" w:name="_Toc51106856"/>
      <w:bookmarkStart w:id="2717" w:name="_Toc51109179"/>
      <w:bookmarkStart w:id="2718" w:name="_Toc51019664"/>
      <w:bookmarkStart w:id="2719" w:name="_Toc51056431"/>
      <w:bookmarkStart w:id="2720" w:name="_Toc51057852"/>
      <w:bookmarkStart w:id="2721" w:name="_Toc51059269"/>
      <w:bookmarkStart w:id="2722" w:name="_Toc51060685"/>
      <w:bookmarkStart w:id="2723" w:name="_Toc51062101"/>
      <w:bookmarkStart w:id="2724" w:name="_Toc51063517"/>
      <w:bookmarkStart w:id="2725" w:name="_Toc51064950"/>
      <w:bookmarkStart w:id="2726" w:name="_Toc51066365"/>
      <w:bookmarkStart w:id="2727" w:name="_Toc51068413"/>
      <w:bookmarkStart w:id="2728" w:name="_Toc51105429"/>
      <w:bookmarkStart w:id="2729" w:name="_Toc51106857"/>
      <w:bookmarkStart w:id="2730" w:name="_Toc51109180"/>
      <w:bookmarkStart w:id="2731" w:name="_Toc51019665"/>
      <w:bookmarkStart w:id="2732" w:name="_Toc51056432"/>
      <w:bookmarkStart w:id="2733" w:name="_Toc51057853"/>
      <w:bookmarkStart w:id="2734" w:name="_Toc51059270"/>
      <w:bookmarkStart w:id="2735" w:name="_Toc51060686"/>
      <w:bookmarkStart w:id="2736" w:name="_Toc51062102"/>
      <w:bookmarkStart w:id="2737" w:name="_Toc51063518"/>
      <w:bookmarkStart w:id="2738" w:name="_Toc51064951"/>
      <w:bookmarkStart w:id="2739" w:name="_Toc51066366"/>
      <w:bookmarkStart w:id="2740" w:name="_Toc51068414"/>
      <w:bookmarkStart w:id="2741" w:name="_Toc51105430"/>
      <w:bookmarkStart w:id="2742" w:name="_Toc51106858"/>
      <w:bookmarkStart w:id="2743" w:name="_Toc51109181"/>
      <w:bookmarkStart w:id="2744" w:name="_Toc51019666"/>
      <w:bookmarkStart w:id="2745" w:name="_Toc51056433"/>
      <w:bookmarkStart w:id="2746" w:name="_Toc51057854"/>
      <w:bookmarkStart w:id="2747" w:name="_Toc51059271"/>
      <w:bookmarkStart w:id="2748" w:name="_Toc51060687"/>
      <w:bookmarkStart w:id="2749" w:name="_Toc51062103"/>
      <w:bookmarkStart w:id="2750" w:name="_Toc51063519"/>
      <w:bookmarkStart w:id="2751" w:name="_Toc51064952"/>
      <w:bookmarkStart w:id="2752" w:name="_Toc51066367"/>
      <w:bookmarkStart w:id="2753" w:name="_Toc51068415"/>
      <w:bookmarkStart w:id="2754" w:name="_Toc51105431"/>
      <w:bookmarkStart w:id="2755" w:name="_Toc51106859"/>
      <w:bookmarkStart w:id="2756" w:name="_Toc51109182"/>
      <w:bookmarkStart w:id="2757" w:name="_Toc51019667"/>
      <w:bookmarkStart w:id="2758" w:name="_Toc51056434"/>
      <w:bookmarkStart w:id="2759" w:name="_Toc51057855"/>
      <w:bookmarkStart w:id="2760" w:name="_Toc51059272"/>
      <w:bookmarkStart w:id="2761" w:name="_Toc51060688"/>
      <w:bookmarkStart w:id="2762" w:name="_Toc51062104"/>
      <w:bookmarkStart w:id="2763" w:name="_Toc51063520"/>
      <w:bookmarkStart w:id="2764" w:name="_Toc51064953"/>
      <w:bookmarkStart w:id="2765" w:name="_Toc51066368"/>
      <w:bookmarkStart w:id="2766" w:name="_Toc51068416"/>
      <w:bookmarkStart w:id="2767" w:name="_Toc51105432"/>
      <w:bookmarkStart w:id="2768" w:name="_Toc51106860"/>
      <w:bookmarkStart w:id="2769" w:name="_Toc51109183"/>
      <w:bookmarkStart w:id="2770" w:name="_Toc51019668"/>
      <w:bookmarkStart w:id="2771" w:name="_Toc51056435"/>
      <w:bookmarkStart w:id="2772" w:name="_Toc51057856"/>
      <w:bookmarkStart w:id="2773" w:name="_Toc51059273"/>
      <w:bookmarkStart w:id="2774" w:name="_Toc51060689"/>
      <w:bookmarkStart w:id="2775" w:name="_Toc51062105"/>
      <w:bookmarkStart w:id="2776" w:name="_Toc51063521"/>
      <w:bookmarkStart w:id="2777" w:name="_Toc51064954"/>
      <w:bookmarkStart w:id="2778" w:name="_Toc51066369"/>
      <w:bookmarkStart w:id="2779" w:name="_Toc51068417"/>
      <w:bookmarkStart w:id="2780" w:name="_Toc51105433"/>
      <w:bookmarkStart w:id="2781" w:name="_Toc51106861"/>
      <w:bookmarkStart w:id="2782" w:name="_Toc51109184"/>
      <w:bookmarkStart w:id="2783" w:name="_Toc51019669"/>
      <w:bookmarkStart w:id="2784" w:name="_Toc51056436"/>
      <w:bookmarkStart w:id="2785" w:name="_Toc51057857"/>
      <w:bookmarkStart w:id="2786" w:name="_Toc51059274"/>
      <w:bookmarkStart w:id="2787" w:name="_Toc51060690"/>
      <w:bookmarkStart w:id="2788" w:name="_Toc51062106"/>
      <w:bookmarkStart w:id="2789" w:name="_Toc51063522"/>
      <w:bookmarkStart w:id="2790" w:name="_Toc51064955"/>
      <w:bookmarkStart w:id="2791" w:name="_Toc51066370"/>
      <w:bookmarkStart w:id="2792" w:name="_Toc51068418"/>
      <w:bookmarkStart w:id="2793" w:name="_Toc51105434"/>
      <w:bookmarkStart w:id="2794" w:name="_Toc51106862"/>
      <w:bookmarkStart w:id="2795" w:name="_Toc51109185"/>
      <w:bookmarkStart w:id="2796" w:name="_Toc51019670"/>
      <w:bookmarkStart w:id="2797" w:name="_Toc51056437"/>
      <w:bookmarkStart w:id="2798" w:name="_Toc51057858"/>
      <w:bookmarkStart w:id="2799" w:name="_Toc51059275"/>
      <w:bookmarkStart w:id="2800" w:name="_Toc51060691"/>
      <w:bookmarkStart w:id="2801" w:name="_Toc51062107"/>
      <w:bookmarkStart w:id="2802" w:name="_Toc51063523"/>
      <w:bookmarkStart w:id="2803" w:name="_Toc51064956"/>
      <w:bookmarkStart w:id="2804" w:name="_Toc51066371"/>
      <w:bookmarkStart w:id="2805" w:name="_Toc51068419"/>
      <w:bookmarkStart w:id="2806" w:name="_Toc51105435"/>
      <w:bookmarkStart w:id="2807" w:name="_Toc51106863"/>
      <w:bookmarkStart w:id="2808" w:name="_Toc51109186"/>
      <w:bookmarkStart w:id="2809" w:name="_Toc51019671"/>
      <w:bookmarkStart w:id="2810" w:name="_Toc51056438"/>
      <w:bookmarkStart w:id="2811" w:name="_Toc51057859"/>
      <w:bookmarkStart w:id="2812" w:name="_Toc51059276"/>
      <w:bookmarkStart w:id="2813" w:name="_Toc51060692"/>
      <w:bookmarkStart w:id="2814" w:name="_Toc51062108"/>
      <w:bookmarkStart w:id="2815" w:name="_Toc51063524"/>
      <w:bookmarkStart w:id="2816" w:name="_Toc51064957"/>
      <w:bookmarkStart w:id="2817" w:name="_Toc51066372"/>
      <w:bookmarkStart w:id="2818" w:name="_Toc51068420"/>
      <w:bookmarkStart w:id="2819" w:name="_Toc51105436"/>
      <w:bookmarkStart w:id="2820" w:name="_Toc51106864"/>
      <w:bookmarkStart w:id="2821" w:name="_Toc51109187"/>
      <w:bookmarkStart w:id="2822" w:name="_Toc51019672"/>
      <w:bookmarkStart w:id="2823" w:name="_Toc51056439"/>
      <w:bookmarkStart w:id="2824" w:name="_Toc51057860"/>
      <w:bookmarkStart w:id="2825" w:name="_Toc51059277"/>
      <w:bookmarkStart w:id="2826" w:name="_Toc51060693"/>
      <w:bookmarkStart w:id="2827" w:name="_Toc51062109"/>
      <w:bookmarkStart w:id="2828" w:name="_Toc51063525"/>
      <w:bookmarkStart w:id="2829" w:name="_Toc51064958"/>
      <w:bookmarkStart w:id="2830" w:name="_Toc51066373"/>
      <w:bookmarkStart w:id="2831" w:name="_Toc51068421"/>
      <w:bookmarkStart w:id="2832" w:name="_Toc51105437"/>
      <w:bookmarkStart w:id="2833" w:name="_Toc51106865"/>
      <w:bookmarkStart w:id="2834" w:name="_Toc51109188"/>
      <w:bookmarkStart w:id="2835" w:name="_Toc51019676"/>
      <w:bookmarkStart w:id="2836" w:name="_Toc51056443"/>
      <w:bookmarkStart w:id="2837" w:name="_Toc51057864"/>
      <w:bookmarkStart w:id="2838" w:name="_Toc51059281"/>
      <w:bookmarkStart w:id="2839" w:name="_Toc51060697"/>
      <w:bookmarkStart w:id="2840" w:name="_Toc51062113"/>
      <w:bookmarkStart w:id="2841" w:name="_Toc51063529"/>
      <w:bookmarkStart w:id="2842" w:name="_Toc51064962"/>
      <w:bookmarkStart w:id="2843" w:name="_Toc51066377"/>
      <w:bookmarkStart w:id="2844" w:name="_Toc51068425"/>
      <w:bookmarkStart w:id="2845" w:name="_Toc51105441"/>
      <w:bookmarkStart w:id="2846" w:name="_Toc51106869"/>
      <w:bookmarkStart w:id="2847" w:name="_Toc51109192"/>
      <w:bookmarkStart w:id="2848" w:name="_Toc51019707"/>
      <w:bookmarkStart w:id="2849" w:name="_Toc51056474"/>
      <w:bookmarkStart w:id="2850" w:name="_Toc51057895"/>
      <w:bookmarkStart w:id="2851" w:name="_Toc51059312"/>
      <w:bookmarkStart w:id="2852" w:name="_Toc51060728"/>
      <w:bookmarkStart w:id="2853" w:name="_Toc51062144"/>
      <w:bookmarkStart w:id="2854" w:name="_Toc51063560"/>
      <w:bookmarkStart w:id="2855" w:name="_Toc51064993"/>
      <w:bookmarkStart w:id="2856" w:name="_Toc51066408"/>
      <w:bookmarkStart w:id="2857" w:name="_Toc51068456"/>
      <w:bookmarkStart w:id="2858" w:name="_Toc51105472"/>
      <w:bookmarkStart w:id="2859" w:name="_Toc51106900"/>
      <w:bookmarkStart w:id="2860" w:name="_Toc51109223"/>
      <w:bookmarkStart w:id="2861" w:name="_Toc51019708"/>
      <w:bookmarkStart w:id="2862" w:name="_Toc51056475"/>
      <w:bookmarkStart w:id="2863" w:name="_Toc51057896"/>
      <w:bookmarkStart w:id="2864" w:name="_Toc51059313"/>
      <w:bookmarkStart w:id="2865" w:name="_Toc51060729"/>
      <w:bookmarkStart w:id="2866" w:name="_Toc51062145"/>
      <w:bookmarkStart w:id="2867" w:name="_Toc51063561"/>
      <w:bookmarkStart w:id="2868" w:name="_Toc51064994"/>
      <w:bookmarkStart w:id="2869" w:name="_Toc51066409"/>
      <w:bookmarkStart w:id="2870" w:name="_Toc51068457"/>
      <w:bookmarkStart w:id="2871" w:name="_Toc51105473"/>
      <w:bookmarkStart w:id="2872" w:name="_Toc51106901"/>
      <w:bookmarkStart w:id="2873" w:name="_Toc51109224"/>
      <w:bookmarkStart w:id="2874" w:name="_Toc51019709"/>
      <w:bookmarkStart w:id="2875" w:name="_Toc51056476"/>
      <w:bookmarkStart w:id="2876" w:name="_Toc51057897"/>
      <w:bookmarkStart w:id="2877" w:name="_Toc51059314"/>
      <w:bookmarkStart w:id="2878" w:name="_Toc51060730"/>
      <w:bookmarkStart w:id="2879" w:name="_Toc51062146"/>
      <w:bookmarkStart w:id="2880" w:name="_Toc51063562"/>
      <w:bookmarkStart w:id="2881" w:name="_Toc51064995"/>
      <w:bookmarkStart w:id="2882" w:name="_Toc51066410"/>
      <w:bookmarkStart w:id="2883" w:name="_Toc51068458"/>
      <w:bookmarkStart w:id="2884" w:name="_Toc51105474"/>
      <w:bookmarkStart w:id="2885" w:name="_Toc51106902"/>
      <w:bookmarkStart w:id="2886" w:name="_Toc51109225"/>
      <w:bookmarkStart w:id="2887" w:name="_Toc51019710"/>
      <w:bookmarkStart w:id="2888" w:name="_Toc51056477"/>
      <w:bookmarkStart w:id="2889" w:name="_Toc51057898"/>
      <w:bookmarkStart w:id="2890" w:name="_Toc51059315"/>
      <w:bookmarkStart w:id="2891" w:name="_Toc51060731"/>
      <w:bookmarkStart w:id="2892" w:name="_Toc51062147"/>
      <w:bookmarkStart w:id="2893" w:name="_Toc51063563"/>
      <w:bookmarkStart w:id="2894" w:name="_Toc51064996"/>
      <w:bookmarkStart w:id="2895" w:name="_Toc51066411"/>
      <w:bookmarkStart w:id="2896" w:name="_Toc51068459"/>
      <w:bookmarkStart w:id="2897" w:name="_Toc51105475"/>
      <w:bookmarkStart w:id="2898" w:name="_Toc51106903"/>
      <w:bookmarkStart w:id="2899" w:name="_Toc51109226"/>
      <w:bookmarkStart w:id="2900" w:name="_Toc51019711"/>
      <w:bookmarkStart w:id="2901" w:name="_Toc51056478"/>
      <w:bookmarkStart w:id="2902" w:name="_Toc51057899"/>
      <w:bookmarkStart w:id="2903" w:name="_Toc51059316"/>
      <w:bookmarkStart w:id="2904" w:name="_Toc51060732"/>
      <w:bookmarkStart w:id="2905" w:name="_Toc51062148"/>
      <w:bookmarkStart w:id="2906" w:name="_Toc51063564"/>
      <w:bookmarkStart w:id="2907" w:name="_Toc51064997"/>
      <w:bookmarkStart w:id="2908" w:name="_Toc51066412"/>
      <w:bookmarkStart w:id="2909" w:name="_Toc51068460"/>
      <w:bookmarkStart w:id="2910" w:name="_Toc51105476"/>
      <w:bookmarkStart w:id="2911" w:name="_Toc51106904"/>
      <w:bookmarkStart w:id="2912" w:name="_Toc51109227"/>
      <w:bookmarkStart w:id="2913" w:name="_Toc51019712"/>
      <w:bookmarkStart w:id="2914" w:name="_Toc51056479"/>
      <w:bookmarkStart w:id="2915" w:name="_Toc51057900"/>
      <w:bookmarkStart w:id="2916" w:name="_Toc51059317"/>
      <w:bookmarkStart w:id="2917" w:name="_Toc51060733"/>
      <w:bookmarkStart w:id="2918" w:name="_Toc51062149"/>
      <w:bookmarkStart w:id="2919" w:name="_Toc51063565"/>
      <w:bookmarkStart w:id="2920" w:name="_Toc51064998"/>
      <w:bookmarkStart w:id="2921" w:name="_Toc51066413"/>
      <w:bookmarkStart w:id="2922" w:name="_Toc51068461"/>
      <w:bookmarkStart w:id="2923" w:name="_Toc51105477"/>
      <w:bookmarkStart w:id="2924" w:name="_Toc51106905"/>
      <w:bookmarkStart w:id="2925" w:name="_Toc51109228"/>
      <w:bookmarkStart w:id="2926" w:name="_Toc51019713"/>
      <w:bookmarkStart w:id="2927" w:name="_Toc51056480"/>
      <w:bookmarkStart w:id="2928" w:name="_Toc51057901"/>
      <w:bookmarkStart w:id="2929" w:name="_Toc51059318"/>
      <w:bookmarkStart w:id="2930" w:name="_Toc51060734"/>
      <w:bookmarkStart w:id="2931" w:name="_Toc51062150"/>
      <w:bookmarkStart w:id="2932" w:name="_Toc51063566"/>
      <w:bookmarkStart w:id="2933" w:name="_Toc51064999"/>
      <w:bookmarkStart w:id="2934" w:name="_Toc51066414"/>
      <w:bookmarkStart w:id="2935" w:name="_Toc51068462"/>
      <w:bookmarkStart w:id="2936" w:name="_Toc51105478"/>
      <w:bookmarkStart w:id="2937" w:name="_Toc51106906"/>
      <w:bookmarkStart w:id="2938" w:name="_Toc51109229"/>
      <w:bookmarkStart w:id="2939" w:name="_Toc51019714"/>
      <w:bookmarkStart w:id="2940" w:name="_Toc51056481"/>
      <w:bookmarkStart w:id="2941" w:name="_Toc51057902"/>
      <w:bookmarkStart w:id="2942" w:name="_Toc51059319"/>
      <w:bookmarkStart w:id="2943" w:name="_Toc51060735"/>
      <w:bookmarkStart w:id="2944" w:name="_Toc51062151"/>
      <w:bookmarkStart w:id="2945" w:name="_Toc51063567"/>
      <w:bookmarkStart w:id="2946" w:name="_Toc51065000"/>
      <w:bookmarkStart w:id="2947" w:name="_Toc51066415"/>
      <w:bookmarkStart w:id="2948" w:name="_Toc51068463"/>
      <w:bookmarkStart w:id="2949" w:name="_Toc51105479"/>
      <w:bookmarkStart w:id="2950" w:name="_Toc51106907"/>
      <w:bookmarkStart w:id="2951" w:name="_Toc51109230"/>
      <w:bookmarkStart w:id="2952" w:name="_Toc51019715"/>
      <w:bookmarkStart w:id="2953" w:name="_Toc51056482"/>
      <w:bookmarkStart w:id="2954" w:name="_Toc51057903"/>
      <w:bookmarkStart w:id="2955" w:name="_Toc51059320"/>
      <w:bookmarkStart w:id="2956" w:name="_Toc51060736"/>
      <w:bookmarkStart w:id="2957" w:name="_Toc51062152"/>
      <w:bookmarkStart w:id="2958" w:name="_Toc51063568"/>
      <w:bookmarkStart w:id="2959" w:name="_Toc51065001"/>
      <w:bookmarkStart w:id="2960" w:name="_Toc51066416"/>
      <w:bookmarkStart w:id="2961" w:name="_Toc51068464"/>
      <w:bookmarkStart w:id="2962" w:name="_Toc51105480"/>
      <w:bookmarkStart w:id="2963" w:name="_Toc51106908"/>
      <w:bookmarkStart w:id="2964" w:name="_Toc51109231"/>
      <w:bookmarkStart w:id="2965" w:name="_Toc51019716"/>
      <w:bookmarkStart w:id="2966" w:name="_Toc51056483"/>
      <w:bookmarkStart w:id="2967" w:name="_Toc51057904"/>
      <w:bookmarkStart w:id="2968" w:name="_Toc51059321"/>
      <w:bookmarkStart w:id="2969" w:name="_Toc51060737"/>
      <w:bookmarkStart w:id="2970" w:name="_Toc51062153"/>
      <w:bookmarkStart w:id="2971" w:name="_Toc51063569"/>
      <w:bookmarkStart w:id="2972" w:name="_Toc51065002"/>
      <w:bookmarkStart w:id="2973" w:name="_Toc51066417"/>
      <w:bookmarkStart w:id="2974" w:name="_Toc51068465"/>
      <w:bookmarkStart w:id="2975" w:name="_Toc51105481"/>
      <w:bookmarkStart w:id="2976" w:name="_Toc51106909"/>
      <w:bookmarkStart w:id="2977" w:name="_Toc51109232"/>
      <w:bookmarkStart w:id="2978" w:name="_Toc51019718"/>
      <w:bookmarkStart w:id="2979" w:name="_Toc51056485"/>
      <w:bookmarkStart w:id="2980" w:name="_Toc51057906"/>
      <w:bookmarkStart w:id="2981" w:name="_Toc51059323"/>
      <w:bookmarkStart w:id="2982" w:name="_Toc51060739"/>
      <w:bookmarkStart w:id="2983" w:name="_Toc51062155"/>
      <w:bookmarkStart w:id="2984" w:name="_Toc51063571"/>
      <w:bookmarkStart w:id="2985" w:name="_Toc51065004"/>
      <w:bookmarkStart w:id="2986" w:name="_Toc51066419"/>
      <w:bookmarkStart w:id="2987" w:name="_Toc51068467"/>
      <w:bookmarkStart w:id="2988" w:name="_Toc51105483"/>
      <w:bookmarkStart w:id="2989" w:name="_Toc51106911"/>
      <w:bookmarkStart w:id="2990" w:name="_Toc51109234"/>
      <w:bookmarkStart w:id="2991" w:name="_Toc51019719"/>
      <w:bookmarkStart w:id="2992" w:name="_Toc51056486"/>
      <w:bookmarkStart w:id="2993" w:name="_Toc51057907"/>
      <w:bookmarkStart w:id="2994" w:name="_Toc51059324"/>
      <w:bookmarkStart w:id="2995" w:name="_Toc51060740"/>
      <w:bookmarkStart w:id="2996" w:name="_Toc51062156"/>
      <w:bookmarkStart w:id="2997" w:name="_Toc51063572"/>
      <w:bookmarkStart w:id="2998" w:name="_Toc51065005"/>
      <w:bookmarkStart w:id="2999" w:name="_Toc51066420"/>
      <w:bookmarkStart w:id="3000" w:name="_Toc51068468"/>
      <w:bookmarkStart w:id="3001" w:name="_Toc51105484"/>
      <w:bookmarkStart w:id="3002" w:name="_Toc51106912"/>
      <w:bookmarkStart w:id="3003" w:name="_Toc51109235"/>
      <w:bookmarkStart w:id="3004" w:name="_Toc51019721"/>
      <w:bookmarkStart w:id="3005" w:name="_Toc51056488"/>
      <w:bookmarkStart w:id="3006" w:name="_Toc51057909"/>
      <w:bookmarkStart w:id="3007" w:name="_Toc51059326"/>
      <w:bookmarkStart w:id="3008" w:name="_Toc51060742"/>
      <w:bookmarkStart w:id="3009" w:name="_Toc51062158"/>
      <w:bookmarkStart w:id="3010" w:name="_Toc51063574"/>
      <w:bookmarkStart w:id="3011" w:name="_Toc51065007"/>
      <w:bookmarkStart w:id="3012" w:name="_Toc51066422"/>
      <w:bookmarkStart w:id="3013" w:name="_Toc51068470"/>
      <w:bookmarkStart w:id="3014" w:name="_Toc51105486"/>
      <w:bookmarkStart w:id="3015" w:name="_Toc51106914"/>
      <w:bookmarkStart w:id="3016" w:name="_Toc51109237"/>
      <w:bookmarkStart w:id="3017" w:name="_Toc51019723"/>
      <w:bookmarkStart w:id="3018" w:name="_Toc51056490"/>
      <w:bookmarkStart w:id="3019" w:name="_Toc51057911"/>
      <w:bookmarkStart w:id="3020" w:name="_Toc51059328"/>
      <w:bookmarkStart w:id="3021" w:name="_Toc51060744"/>
      <w:bookmarkStart w:id="3022" w:name="_Toc51062160"/>
      <w:bookmarkStart w:id="3023" w:name="_Toc51063576"/>
      <w:bookmarkStart w:id="3024" w:name="_Toc51065009"/>
      <w:bookmarkStart w:id="3025" w:name="_Toc51066424"/>
      <w:bookmarkStart w:id="3026" w:name="_Toc51068472"/>
      <w:bookmarkStart w:id="3027" w:name="_Toc51105488"/>
      <w:bookmarkStart w:id="3028" w:name="_Toc51106916"/>
      <w:bookmarkStart w:id="3029" w:name="_Toc51109239"/>
      <w:bookmarkStart w:id="3030" w:name="_Toc51019725"/>
      <w:bookmarkStart w:id="3031" w:name="_Toc51056492"/>
      <w:bookmarkStart w:id="3032" w:name="_Toc51057913"/>
      <w:bookmarkStart w:id="3033" w:name="_Toc51059330"/>
      <w:bookmarkStart w:id="3034" w:name="_Toc51060746"/>
      <w:bookmarkStart w:id="3035" w:name="_Toc51062162"/>
      <w:bookmarkStart w:id="3036" w:name="_Toc51063578"/>
      <w:bookmarkStart w:id="3037" w:name="_Toc51065011"/>
      <w:bookmarkStart w:id="3038" w:name="_Toc51066426"/>
      <w:bookmarkStart w:id="3039" w:name="_Toc51068474"/>
      <w:bookmarkStart w:id="3040" w:name="_Toc51105490"/>
      <w:bookmarkStart w:id="3041" w:name="_Toc51106918"/>
      <w:bookmarkStart w:id="3042" w:name="_Toc51109241"/>
      <w:bookmarkStart w:id="3043" w:name="_Toc51019726"/>
      <w:bookmarkStart w:id="3044" w:name="_Toc51056493"/>
      <w:bookmarkStart w:id="3045" w:name="_Toc51057914"/>
      <w:bookmarkStart w:id="3046" w:name="_Toc51059331"/>
      <w:bookmarkStart w:id="3047" w:name="_Toc51060747"/>
      <w:bookmarkStart w:id="3048" w:name="_Toc51062163"/>
      <w:bookmarkStart w:id="3049" w:name="_Toc51063579"/>
      <w:bookmarkStart w:id="3050" w:name="_Toc51065012"/>
      <w:bookmarkStart w:id="3051" w:name="_Toc51066427"/>
      <w:bookmarkStart w:id="3052" w:name="_Toc51068475"/>
      <w:bookmarkStart w:id="3053" w:name="_Toc51105491"/>
      <w:bookmarkStart w:id="3054" w:name="_Toc51106919"/>
      <w:bookmarkStart w:id="3055" w:name="_Toc51109242"/>
      <w:bookmarkStart w:id="3056" w:name="_Toc51019728"/>
      <w:bookmarkStart w:id="3057" w:name="_Toc51056495"/>
      <w:bookmarkStart w:id="3058" w:name="_Toc51057916"/>
      <w:bookmarkStart w:id="3059" w:name="_Toc51059333"/>
      <w:bookmarkStart w:id="3060" w:name="_Toc51060749"/>
      <w:bookmarkStart w:id="3061" w:name="_Toc51062165"/>
      <w:bookmarkStart w:id="3062" w:name="_Toc51063581"/>
      <w:bookmarkStart w:id="3063" w:name="_Toc51065014"/>
      <w:bookmarkStart w:id="3064" w:name="_Toc51066429"/>
      <w:bookmarkStart w:id="3065" w:name="_Toc51068477"/>
      <w:bookmarkStart w:id="3066" w:name="_Toc51105493"/>
      <w:bookmarkStart w:id="3067" w:name="_Toc51106921"/>
      <w:bookmarkStart w:id="3068" w:name="_Toc51109244"/>
      <w:bookmarkStart w:id="3069" w:name="_Toc51019729"/>
      <w:bookmarkStart w:id="3070" w:name="_Toc51056496"/>
      <w:bookmarkStart w:id="3071" w:name="_Toc51057917"/>
      <w:bookmarkStart w:id="3072" w:name="_Toc51059334"/>
      <w:bookmarkStart w:id="3073" w:name="_Toc51060750"/>
      <w:bookmarkStart w:id="3074" w:name="_Toc51062166"/>
      <w:bookmarkStart w:id="3075" w:name="_Toc51063582"/>
      <w:bookmarkStart w:id="3076" w:name="_Toc51065015"/>
      <w:bookmarkStart w:id="3077" w:name="_Toc51066430"/>
      <w:bookmarkStart w:id="3078" w:name="_Toc51068478"/>
      <w:bookmarkStart w:id="3079" w:name="_Toc51105494"/>
      <w:bookmarkStart w:id="3080" w:name="_Toc51106922"/>
      <w:bookmarkStart w:id="3081" w:name="_Toc51109245"/>
      <w:bookmarkStart w:id="3082" w:name="_Toc90462232"/>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r>
        <w:t xml:space="preserve">Učinkovitost </w:t>
      </w:r>
      <w:r w:rsidR="00F13942">
        <w:t xml:space="preserve">rabe inputov v kmetijski proizvodnji </w:t>
      </w:r>
      <w:r w:rsidR="00821817">
        <w:t>(vmesna po</w:t>
      </w:r>
      <w:r w:rsidR="00F13942">
        <w:t>trošnja</w:t>
      </w:r>
      <w:r w:rsidR="00821817">
        <w:t>)</w:t>
      </w:r>
      <w:bookmarkEnd w:id="3082"/>
    </w:p>
    <w:p w14:paraId="2A90CA8A" w14:textId="77777777" w:rsidR="00421F08" w:rsidRDefault="00421F08" w:rsidP="007613FE">
      <w:pPr>
        <w:pStyle w:val="1"/>
        <w:spacing w:before="0"/>
      </w:pPr>
    </w:p>
    <w:p w14:paraId="759CE3B8" w14:textId="77777777" w:rsidR="00FC732C" w:rsidRDefault="00FC732C" w:rsidP="007613FE">
      <w:pPr>
        <w:pStyle w:val="ZPtekst"/>
        <w:spacing w:before="0" w:line="260" w:lineRule="atLeast"/>
      </w:pPr>
    </w:p>
    <w:p w14:paraId="1908C64C" w14:textId="6515F784" w:rsidR="00FC732C" w:rsidRDefault="00FC732C" w:rsidP="005B2A49">
      <w:pPr>
        <w:pStyle w:val="Naslov2"/>
      </w:pPr>
      <w:bookmarkStart w:id="3083" w:name="_Toc90462233"/>
      <w:r>
        <w:rPr>
          <w:noProof/>
          <w:lang w:eastAsia="sl-SI"/>
        </w:rPr>
        <w:t>P</w:t>
      </w:r>
      <w:r w:rsidRPr="00304C05">
        <w:rPr>
          <w:noProof/>
          <w:lang w:eastAsia="sl-SI"/>
        </w:rPr>
        <w:t>rihodkovno-stroškovna struktura podjetniškega dohodka</w:t>
      </w:r>
      <w:bookmarkEnd w:id="3083"/>
    </w:p>
    <w:p w14:paraId="4DD05E3F" w14:textId="77777777" w:rsidR="00FC732C" w:rsidRDefault="00FC732C" w:rsidP="007613FE">
      <w:pPr>
        <w:pStyle w:val="ZPtekst"/>
        <w:spacing w:before="0" w:line="260" w:lineRule="atLeast"/>
      </w:pPr>
    </w:p>
    <w:p w14:paraId="6BDFABEF" w14:textId="514E8EFD" w:rsidR="003B7FDB" w:rsidRPr="00304C05" w:rsidRDefault="004D263E" w:rsidP="007613FE">
      <w:pPr>
        <w:pStyle w:val="ZPtekst"/>
        <w:spacing w:before="0" w:line="260" w:lineRule="atLeast"/>
        <w:rPr>
          <w:noProof/>
          <w:sz w:val="24"/>
          <w:lang w:eastAsia="sl-SI"/>
        </w:rPr>
      </w:pPr>
      <w:r w:rsidRPr="00304C05">
        <w:t>Donosnost kmetijskih gospodarstev in njihov podjetniški dohodek je odvisen tudi od stroškov proizvodnje. Na rast produktivnosti vplivajo tudi spremembe v kakovosti vhodnih materialov (surovin), ki so lahko posledica bodisi sprememb kakovosti posameznega vložka (posamezni učinek) ali pa</w:t>
      </w:r>
      <w:r w:rsidRPr="00304C05">
        <w:rPr>
          <w:szCs w:val="20"/>
          <w:lang w:eastAsia="en-US"/>
        </w:rPr>
        <w:t xml:space="preserve"> sprememb sestave le-teh v smeri učinkovitejših vložkov (strukturni učinek)</w:t>
      </w:r>
      <w:r w:rsidR="001859F5" w:rsidRPr="00304C05">
        <w:rPr>
          <w:szCs w:val="20"/>
          <w:lang w:eastAsia="en-US"/>
        </w:rPr>
        <w:t xml:space="preserve"> in učinkovitejša uporaba le-teh</w:t>
      </w:r>
      <w:r w:rsidRPr="00304C05">
        <w:rPr>
          <w:szCs w:val="20"/>
          <w:lang w:eastAsia="en-US"/>
        </w:rPr>
        <w:t>.</w:t>
      </w:r>
      <w:r w:rsidRPr="00304C05">
        <w:rPr>
          <w:noProof/>
          <w:sz w:val="24"/>
          <w:lang w:eastAsia="sl-SI"/>
        </w:rPr>
        <w:t xml:space="preserve"> </w:t>
      </w:r>
      <w:r w:rsidR="003B7FDB" w:rsidRPr="00304C05">
        <w:rPr>
          <w:noProof/>
          <w:szCs w:val="20"/>
          <w:lang w:eastAsia="sl-SI"/>
        </w:rPr>
        <w:t>Poleg produktivnosti zemljišč lahko tudi vmesna potrošnja daje približno oceno intenzivnosti kmetijske proizvodnje.</w:t>
      </w:r>
    </w:p>
    <w:p w14:paraId="4DC065FC" w14:textId="77777777" w:rsidR="003B7FDB" w:rsidRPr="00304C05" w:rsidRDefault="003B7FDB" w:rsidP="007613FE">
      <w:pPr>
        <w:pStyle w:val="ZPtekst"/>
        <w:spacing w:before="0" w:line="260" w:lineRule="atLeast"/>
        <w:rPr>
          <w:noProof/>
          <w:sz w:val="24"/>
          <w:lang w:eastAsia="sl-SI"/>
        </w:rPr>
      </w:pPr>
    </w:p>
    <w:p w14:paraId="316CF182" w14:textId="016AAF98" w:rsidR="003B7FDB" w:rsidRPr="00304C05" w:rsidRDefault="003B7FDB" w:rsidP="007613FE">
      <w:pPr>
        <w:pStyle w:val="ZPtekst"/>
        <w:spacing w:before="0" w:line="260" w:lineRule="atLeast"/>
        <w:rPr>
          <w:noProof/>
          <w:szCs w:val="20"/>
          <w:lang w:eastAsia="sl-SI"/>
        </w:rPr>
      </w:pPr>
      <w:r w:rsidRPr="00304C05">
        <w:rPr>
          <w:szCs w:val="20"/>
        </w:rPr>
        <w:t>Vmesno potrošnjo predstavljajo blago in storitve, ki se potrošijo v procesu kmetijske proizvodnje. V kmetijstvu zajema vmesna potrošnja nakupe surovin in pomožnih materialov, kot so živalska krma, energija, gorivo, olja in maziva, semena, gnojila in sredstva za izboljšanje tal, zaščito rastlin, veterinarske storitve, popravila in vzdrževanje stavb in opreme.</w:t>
      </w:r>
      <w:r w:rsidRPr="00304C05" w:rsidDel="0029768A">
        <w:rPr>
          <w:szCs w:val="20"/>
          <w:lang w:eastAsia="sl-SI"/>
        </w:rPr>
        <w:t xml:space="preserve"> </w:t>
      </w:r>
    </w:p>
    <w:p w14:paraId="1C00313F" w14:textId="77777777" w:rsidR="003B7FDB" w:rsidRPr="00304C05" w:rsidRDefault="003B7FDB" w:rsidP="007613FE">
      <w:pPr>
        <w:pStyle w:val="ZPtekst"/>
        <w:spacing w:before="0" w:line="260" w:lineRule="atLeast"/>
        <w:rPr>
          <w:szCs w:val="20"/>
        </w:rPr>
      </w:pPr>
    </w:p>
    <w:p w14:paraId="7D103991" w14:textId="7C96D417" w:rsidR="00E07320" w:rsidRPr="00304C05" w:rsidRDefault="00F839C7" w:rsidP="007613FE">
      <w:pPr>
        <w:pStyle w:val="ZPtekst"/>
        <w:spacing w:before="0" w:line="260" w:lineRule="atLeast"/>
        <w:rPr>
          <w:noProof/>
          <w:szCs w:val="20"/>
          <w:lang w:eastAsia="sl-SI"/>
        </w:rPr>
      </w:pPr>
      <w:r w:rsidRPr="00304C05">
        <w:rPr>
          <w:noProof/>
          <w:szCs w:val="20"/>
          <w:lang w:eastAsia="sl-SI"/>
        </w:rPr>
        <w:t xml:space="preserve">Kot je razvidno </w:t>
      </w:r>
      <w:r w:rsidR="00CC740A" w:rsidRPr="00304C05">
        <w:rPr>
          <w:noProof/>
          <w:szCs w:val="20"/>
          <w:lang w:eastAsia="sl-SI"/>
        </w:rPr>
        <w:t>iz prikaza (</w:t>
      </w:r>
      <w:r w:rsidR="000346FC" w:rsidRPr="00304C05">
        <w:rPr>
          <w:noProof/>
          <w:szCs w:val="20"/>
          <w:lang w:eastAsia="sl-SI"/>
        </w:rPr>
        <w:fldChar w:fldCharType="begin"/>
      </w:r>
      <w:r w:rsidR="000346FC" w:rsidRPr="00304C05">
        <w:rPr>
          <w:noProof/>
          <w:szCs w:val="20"/>
          <w:lang w:eastAsia="sl-SI"/>
        </w:rPr>
        <w:instrText xml:space="preserve"> REF _Ref54811219 \h  \* MERGEFORMAT </w:instrText>
      </w:r>
      <w:r w:rsidR="000346FC" w:rsidRPr="00304C05">
        <w:rPr>
          <w:noProof/>
          <w:szCs w:val="20"/>
          <w:lang w:eastAsia="sl-SI"/>
        </w:rPr>
      </w:r>
      <w:r w:rsidR="000346FC" w:rsidRPr="00304C05">
        <w:rPr>
          <w:noProof/>
          <w:szCs w:val="20"/>
          <w:lang w:eastAsia="sl-SI"/>
        </w:rPr>
        <w:fldChar w:fldCharType="separate"/>
      </w:r>
      <w:r w:rsidR="0088117A" w:rsidRPr="0088117A">
        <w:rPr>
          <w:noProof/>
          <w:szCs w:val="20"/>
          <w:lang w:eastAsia="sl-SI"/>
        </w:rPr>
        <w:t xml:space="preserve">Slika </w:t>
      </w:r>
      <w:r w:rsidR="0088117A">
        <w:rPr>
          <w:noProof/>
          <w:lang w:eastAsia="sl-SI"/>
        </w:rPr>
        <w:t>34</w:t>
      </w:r>
      <w:r w:rsidR="000346FC" w:rsidRPr="00304C05">
        <w:rPr>
          <w:noProof/>
          <w:szCs w:val="20"/>
          <w:lang w:eastAsia="sl-SI"/>
        </w:rPr>
        <w:fldChar w:fldCharType="end"/>
      </w:r>
      <w:r w:rsidR="00CC740A" w:rsidRPr="00304C05">
        <w:rPr>
          <w:noProof/>
          <w:szCs w:val="20"/>
          <w:lang w:eastAsia="sl-SI"/>
        </w:rPr>
        <w:t>)</w:t>
      </w:r>
      <w:r w:rsidRPr="00304C05">
        <w:rPr>
          <w:noProof/>
          <w:szCs w:val="20"/>
          <w:lang w:eastAsia="sl-SI"/>
        </w:rPr>
        <w:t xml:space="preserve">, kjer je prikazana prihodkovno-stroškovna struktura podjetniškega dohodka, </w:t>
      </w:r>
      <w:r w:rsidR="003C2BD6" w:rsidRPr="00304C05">
        <w:rPr>
          <w:noProof/>
          <w:szCs w:val="20"/>
          <w:lang w:eastAsia="sl-SI"/>
        </w:rPr>
        <w:t xml:space="preserve">imata v strukturi stroškov najvišji delež </w:t>
      </w:r>
      <w:r w:rsidR="003306D0" w:rsidRPr="00304C05">
        <w:rPr>
          <w:noProof/>
          <w:szCs w:val="20"/>
          <w:lang w:eastAsia="sl-SI"/>
        </w:rPr>
        <w:t>krma (34 %)</w:t>
      </w:r>
      <w:r w:rsidR="003B7FDB" w:rsidRPr="00304C05">
        <w:rPr>
          <w:noProof/>
          <w:szCs w:val="20"/>
          <w:lang w:eastAsia="sl-SI"/>
        </w:rPr>
        <w:t xml:space="preserve">, ki </w:t>
      </w:r>
      <w:r w:rsidR="00A6739E" w:rsidRPr="00304C05">
        <w:rPr>
          <w:noProof/>
          <w:szCs w:val="20"/>
          <w:lang w:eastAsia="sl-SI"/>
        </w:rPr>
        <w:t>je del vmesne potrošnje</w:t>
      </w:r>
      <w:r w:rsidR="003B7FDB" w:rsidRPr="00304C05">
        <w:rPr>
          <w:noProof/>
          <w:szCs w:val="20"/>
          <w:lang w:eastAsia="sl-SI"/>
        </w:rPr>
        <w:t>,</w:t>
      </w:r>
      <w:r w:rsidRPr="00304C05">
        <w:rPr>
          <w:noProof/>
          <w:szCs w:val="20"/>
          <w:lang w:eastAsia="sl-SI"/>
        </w:rPr>
        <w:t xml:space="preserve"> in </w:t>
      </w:r>
      <w:r w:rsidR="003306D0" w:rsidRPr="00304C05">
        <w:rPr>
          <w:noProof/>
          <w:szCs w:val="20"/>
          <w:lang w:eastAsia="sl-SI"/>
        </w:rPr>
        <w:t>potrošnja stalnega kapitala</w:t>
      </w:r>
      <w:r w:rsidR="003C2BD6" w:rsidRPr="00304C05">
        <w:rPr>
          <w:noProof/>
          <w:szCs w:val="20"/>
          <w:lang w:eastAsia="sl-SI"/>
        </w:rPr>
        <w:t xml:space="preserve"> (</w:t>
      </w:r>
      <w:r w:rsidR="003306D0" w:rsidRPr="00304C05">
        <w:rPr>
          <w:noProof/>
          <w:szCs w:val="20"/>
          <w:lang w:eastAsia="sl-SI"/>
        </w:rPr>
        <w:t>23</w:t>
      </w:r>
      <w:r w:rsidR="003C2BD6" w:rsidRPr="00304C05">
        <w:rPr>
          <w:noProof/>
          <w:szCs w:val="20"/>
          <w:lang w:eastAsia="sl-SI"/>
        </w:rPr>
        <w:t xml:space="preserve"> %)</w:t>
      </w:r>
      <w:r w:rsidR="00E07320" w:rsidRPr="00304C05">
        <w:rPr>
          <w:noProof/>
          <w:szCs w:val="20"/>
          <w:lang w:eastAsia="sl-SI"/>
        </w:rPr>
        <w:t xml:space="preserve">. </w:t>
      </w:r>
      <w:r w:rsidR="003306D0" w:rsidRPr="00304C05">
        <w:rPr>
          <w:noProof/>
          <w:szCs w:val="20"/>
          <w:lang w:eastAsia="sl-SI"/>
        </w:rPr>
        <w:t xml:space="preserve">V strukturi vmesne </w:t>
      </w:r>
      <w:r w:rsidR="003B7FDB" w:rsidRPr="00304C05">
        <w:rPr>
          <w:noProof/>
          <w:szCs w:val="20"/>
          <w:lang w:eastAsia="sl-SI"/>
        </w:rPr>
        <w:t xml:space="preserve">potrošnje pa </w:t>
      </w:r>
      <w:r w:rsidR="003306D0" w:rsidRPr="00304C05">
        <w:rPr>
          <w:noProof/>
          <w:szCs w:val="20"/>
          <w:lang w:eastAsia="sl-SI"/>
        </w:rPr>
        <w:t>imata</w:t>
      </w:r>
      <w:r w:rsidR="003C2BD6" w:rsidRPr="00304C05">
        <w:rPr>
          <w:noProof/>
          <w:szCs w:val="20"/>
          <w:lang w:eastAsia="sl-SI"/>
        </w:rPr>
        <w:t xml:space="preserve"> najvišji delež s</w:t>
      </w:r>
      <w:r w:rsidRPr="00304C05">
        <w:rPr>
          <w:noProof/>
          <w:szCs w:val="20"/>
          <w:lang w:eastAsia="sl-SI"/>
        </w:rPr>
        <w:t>troška krme in ener</w:t>
      </w:r>
      <w:r w:rsidR="003C2BD6" w:rsidRPr="00304C05">
        <w:rPr>
          <w:noProof/>
          <w:szCs w:val="20"/>
          <w:lang w:eastAsia="sl-SI"/>
        </w:rPr>
        <w:t xml:space="preserve">gije (66 </w:t>
      </w:r>
      <w:r w:rsidR="003306D0" w:rsidRPr="00304C05">
        <w:rPr>
          <w:noProof/>
          <w:szCs w:val="20"/>
          <w:lang w:eastAsia="sl-SI"/>
        </w:rPr>
        <w:t>%), pri čemer se n</w:t>
      </w:r>
      <w:r w:rsidR="00E07320" w:rsidRPr="00304C05">
        <w:rPr>
          <w:noProof/>
          <w:szCs w:val="20"/>
          <w:lang w:eastAsia="sl-SI"/>
        </w:rPr>
        <w:t xml:space="preserve">jun delež v obdobju 2005–2018 ni </w:t>
      </w:r>
      <w:r w:rsidR="009F2C57" w:rsidRPr="00304C05">
        <w:rPr>
          <w:noProof/>
          <w:szCs w:val="20"/>
          <w:lang w:eastAsia="sl-SI"/>
        </w:rPr>
        <w:t xml:space="preserve">bistveno </w:t>
      </w:r>
      <w:r w:rsidR="00E07320" w:rsidRPr="00304C05">
        <w:rPr>
          <w:noProof/>
          <w:szCs w:val="20"/>
          <w:lang w:eastAsia="sl-SI"/>
        </w:rPr>
        <w:t xml:space="preserve">spreminjal, prav tako so </w:t>
      </w:r>
      <w:r w:rsidR="00A6739E" w:rsidRPr="00304C05">
        <w:rPr>
          <w:noProof/>
          <w:szCs w:val="20"/>
          <w:lang w:eastAsia="sl-SI"/>
        </w:rPr>
        <w:t>v strukturi vmesne potrošnje</w:t>
      </w:r>
      <w:r w:rsidR="00252ACD" w:rsidRPr="00304C05">
        <w:rPr>
          <w:noProof/>
          <w:szCs w:val="20"/>
          <w:lang w:eastAsia="sl-SI"/>
        </w:rPr>
        <w:t xml:space="preserve"> </w:t>
      </w:r>
      <w:r w:rsidR="009F2C57" w:rsidRPr="00304C05">
        <w:rPr>
          <w:noProof/>
          <w:szCs w:val="20"/>
          <w:lang w:eastAsia="sl-SI"/>
        </w:rPr>
        <w:t xml:space="preserve">ostali </w:t>
      </w:r>
      <w:r w:rsidR="000346FC" w:rsidRPr="00304C05">
        <w:rPr>
          <w:noProof/>
          <w:szCs w:val="20"/>
          <w:lang w:eastAsia="sl-SI"/>
        </w:rPr>
        <w:t>relativno</w:t>
      </w:r>
      <w:r w:rsidR="009F2C57" w:rsidRPr="00304C05">
        <w:rPr>
          <w:noProof/>
          <w:szCs w:val="20"/>
          <w:lang w:eastAsia="sl-SI"/>
        </w:rPr>
        <w:t xml:space="preserve"> nespremenjeni tudi </w:t>
      </w:r>
      <w:r w:rsidR="00E07320" w:rsidRPr="00304C05">
        <w:rPr>
          <w:noProof/>
          <w:szCs w:val="20"/>
          <w:lang w:eastAsia="sl-SI"/>
        </w:rPr>
        <w:t xml:space="preserve">deleži ostalih vmesnih inputov. </w:t>
      </w:r>
    </w:p>
    <w:p w14:paraId="75974D83" w14:textId="77777777" w:rsidR="00D25F36" w:rsidRPr="00304C05" w:rsidRDefault="00D25F36" w:rsidP="007613FE">
      <w:pPr>
        <w:pStyle w:val="ZPtekst"/>
        <w:spacing w:before="0" w:line="260" w:lineRule="atLeast"/>
        <w:rPr>
          <w:noProof/>
          <w:sz w:val="24"/>
          <w:lang w:eastAsia="sl-SI"/>
        </w:rPr>
      </w:pPr>
    </w:p>
    <w:p w14:paraId="37D839E1" w14:textId="39E66550" w:rsidR="00951FFA" w:rsidRPr="00E155C1" w:rsidRDefault="00D25F36" w:rsidP="00304C05">
      <w:pPr>
        <w:pStyle w:val="SCSlika0"/>
        <w:rPr>
          <w:bCs/>
          <w:noProof/>
          <w:sz w:val="18"/>
          <w:lang w:eastAsia="sl-SI"/>
        </w:rPr>
      </w:pPr>
      <w:bookmarkStart w:id="3084" w:name="_Ref54811219"/>
      <w:bookmarkStart w:id="3085" w:name="_Toc89851077"/>
      <w:r w:rsidRPr="00E155C1">
        <w:rPr>
          <w:noProof/>
          <w:sz w:val="20"/>
          <w:lang w:eastAsia="sl-SI"/>
        </w:rPr>
        <w:t xml:space="preserve">Slika </w:t>
      </w:r>
      <w:r w:rsidRPr="00E155C1">
        <w:rPr>
          <w:noProof/>
          <w:sz w:val="20"/>
          <w:lang w:eastAsia="sl-SI"/>
        </w:rPr>
        <w:fldChar w:fldCharType="begin"/>
      </w:r>
      <w:r w:rsidRPr="00E155C1">
        <w:rPr>
          <w:noProof/>
          <w:sz w:val="20"/>
          <w:lang w:eastAsia="sl-SI"/>
        </w:rPr>
        <w:instrText xml:space="preserve"> SEQ Slika \* ARABIC </w:instrText>
      </w:r>
      <w:r w:rsidRPr="00E155C1">
        <w:rPr>
          <w:noProof/>
          <w:sz w:val="20"/>
          <w:lang w:eastAsia="sl-SI"/>
        </w:rPr>
        <w:fldChar w:fldCharType="separate"/>
      </w:r>
      <w:r w:rsidR="00F25435">
        <w:rPr>
          <w:noProof/>
          <w:sz w:val="20"/>
          <w:lang w:eastAsia="sl-SI"/>
        </w:rPr>
        <w:t>35</w:t>
      </w:r>
      <w:r w:rsidRPr="00E155C1">
        <w:rPr>
          <w:noProof/>
          <w:sz w:val="20"/>
          <w:lang w:eastAsia="sl-SI"/>
        </w:rPr>
        <w:fldChar w:fldCharType="end"/>
      </w:r>
      <w:bookmarkEnd w:id="3084"/>
      <w:r w:rsidRPr="00E155C1">
        <w:rPr>
          <w:noProof/>
          <w:sz w:val="20"/>
          <w:lang w:eastAsia="sl-SI"/>
        </w:rPr>
        <w:t>: Prihodkov</w:t>
      </w:r>
      <w:r w:rsidR="00693A75" w:rsidRPr="00E155C1">
        <w:rPr>
          <w:noProof/>
          <w:sz w:val="20"/>
          <w:lang w:eastAsia="sl-SI"/>
        </w:rPr>
        <w:t>n</w:t>
      </w:r>
      <w:r w:rsidRPr="00E155C1">
        <w:rPr>
          <w:noProof/>
          <w:sz w:val="20"/>
          <w:lang w:eastAsia="sl-SI"/>
        </w:rPr>
        <w:t>o</w:t>
      </w:r>
      <w:r w:rsidR="00693A75" w:rsidRPr="00E155C1">
        <w:rPr>
          <w:noProof/>
          <w:sz w:val="20"/>
          <w:lang w:eastAsia="sl-SI"/>
        </w:rPr>
        <w:t>-</w:t>
      </w:r>
      <w:r w:rsidRPr="00E155C1">
        <w:rPr>
          <w:sz w:val="20"/>
          <w:lang w:eastAsia="sl-SI"/>
        </w:rPr>
        <w:t>stroškovna struktura podjetniškega dohodka, 2005</w:t>
      </w:r>
      <w:r w:rsidR="00821817" w:rsidRPr="00E155C1">
        <w:rPr>
          <w:bCs/>
          <w:noProof/>
          <w:sz w:val="20"/>
          <w:lang w:eastAsia="sl-SI"/>
        </w:rPr>
        <w:t>–</w:t>
      </w:r>
      <w:r w:rsidRPr="00E155C1">
        <w:rPr>
          <w:sz w:val="20"/>
          <w:lang w:eastAsia="sl-SI"/>
        </w:rPr>
        <w:t>2018, Slovenija, (realne cene), mio EUR</w:t>
      </w:r>
      <w:bookmarkEnd w:id="3085"/>
      <w:r w:rsidRPr="00E155C1">
        <w:rPr>
          <w:sz w:val="20"/>
          <w:lang w:eastAsia="sl-SI"/>
        </w:rPr>
        <w:t xml:space="preserve"> </w:t>
      </w:r>
    </w:p>
    <w:p w14:paraId="2ACB4A0A" w14:textId="329DCA67" w:rsidR="00951FFA" w:rsidRDefault="00951FFA" w:rsidP="00D25F36">
      <w:pPr>
        <w:pStyle w:val="ZPtekst"/>
        <w:rPr>
          <w:bCs/>
          <w:noProof/>
          <w:sz w:val="20"/>
          <w:lang w:eastAsia="sl-SI"/>
        </w:rPr>
      </w:pPr>
      <w:r>
        <w:rPr>
          <w:noProof/>
          <w:lang w:eastAsia="sl-SI"/>
        </w:rPr>
        <w:drawing>
          <wp:inline distT="0" distB="0" distL="0" distR="0" wp14:anchorId="1BC7A461" wp14:editId="0320318E">
            <wp:extent cx="5732145" cy="4629150"/>
            <wp:effectExtent l="0" t="0" r="1905"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2CC731" w14:textId="1A4E93B2" w:rsidR="00D25F36" w:rsidRDefault="00D25F36" w:rsidP="00D25F36">
      <w:pPr>
        <w:pStyle w:val="ZPtekst"/>
        <w:spacing w:before="0" w:line="276" w:lineRule="auto"/>
        <w:rPr>
          <w:sz w:val="16"/>
          <w:szCs w:val="20"/>
        </w:rPr>
      </w:pPr>
      <w:r w:rsidRPr="0047652B">
        <w:rPr>
          <w:sz w:val="16"/>
          <w:szCs w:val="20"/>
        </w:rPr>
        <w:t>Vir: EUROSTAT, preračun</w:t>
      </w:r>
      <w:r>
        <w:rPr>
          <w:sz w:val="16"/>
          <w:szCs w:val="20"/>
        </w:rPr>
        <w:t xml:space="preserve"> MKGP.</w:t>
      </w:r>
    </w:p>
    <w:p w14:paraId="3988C13F" w14:textId="1342CB9A" w:rsidR="004D505D" w:rsidRDefault="004D505D" w:rsidP="007613FE">
      <w:pPr>
        <w:pStyle w:val="ZPtekst"/>
        <w:spacing w:before="0" w:line="260" w:lineRule="atLeast"/>
        <w:rPr>
          <w:sz w:val="20"/>
          <w:szCs w:val="20"/>
        </w:rPr>
      </w:pPr>
    </w:p>
    <w:p w14:paraId="3BB7EA6A" w14:textId="0D5E584F" w:rsidR="00421F08" w:rsidRDefault="007C5FCE" w:rsidP="00304C05">
      <w:pPr>
        <w:rPr>
          <w:lang w:eastAsia="en-US"/>
        </w:rPr>
      </w:pPr>
      <w:r>
        <w:rPr>
          <w:lang w:eastAsia="en-US"/>
        </w:rPr>
        <w:t>D</w:t>
      </w:r>
      <w:r w:rsidR="005035C5">
        <w:rPr>
          <w:lang w:eastAsia="en-US"/>
        </w:rPr>
        <w:t xml:space="preserve">elež vmesne potrošnje v celotni kmetijski proizvodnji </w:t>
      </w:r>
      <w:r w:rsidR="003B7FDB">
        <w:rPr>
          <w:lang w:eastAsia="en-US"/>
        </w:rPr>
        <w:t xml:space="preserve">se </w:t>
      </w:r>
      <w:r w:rsidR="005035C5">
        <w:rPr>
          <w:lang w:eastAsia="en-US"/>
        </w:rPr>
        <w:t xml:space="preserve">je </w:t>
      </w:r>
      <w:r w:rsidR="00F93A0D">
        <w:rPr>
          <w:lang w:eastAsia="en-US"/>
        </w:rPr>
        <w:t xml:space="preserve">v Sloveniji </w:t>
      </w:r>
      <w:r w:rsidR="005035C5">
        <w:rPr>
          <w:lang w:eastAsia="en-US"/>
        </w:rPr>
        <w:t>v obdobju 200</w:t>
      </w:r>
      <w:r w:rsidR="00DA3182">
        <w:rPr>
          <w:lang w:eastAsia="en-US"/>
        </w:rPr>
        <w:t>5</w:t>
      </w:r>
      <w:r w:rsidR="0074258D">
        <w:rPr>
          <w:lang w:eastAsia="en-US"/>
        </w:rPr>
        <w:t>–</w:t>
      </w:r>
      <w:r w:rsidR="005035C5">
        <w:rPr>
          <w:lang w:eastAsia="en-US"/>
        </w:rPr>
        <w:t>201</w:t>
      </w:r>
      <w:r w:rsidR="00F93A0D">
        <w:rPr>
          <w:lang w:eastAsia="en-US"/>
        </w:rPr>
        <w:t>6</w:t>
      </w:r>
      <w:r w:rsidR="005035C5">
        <w:rPr>
          <w:lang w:eastAsia="en-US"/>
        </w:rPr>
        <w:t xml:space="preserve"> </w:t>
      </w:r>
      <w:r w:rsidR="003B7FDB">
        <w:rPr>
          <w:lang w:eastAsia="en-US"/>
        </w:rPr>
        <w:t xml:space="preserve">gibal </w:t>
      </w:r>
      <w:r w:rsidR="005035C5">
        <w:rPr>
          <w:lang w:eastAsia="en-US"/>
        </w:rPr>
        <w:t>med 5</w:t>
      </w:r>
      <w:r w:rsidR="00DA3182">
        <w:rPr>
          <w:lang w:eastAsia="en-US"/>
        </w:rPr>
        <w:t>5</w:t>
      </w:r>
      <w:r w:rsidR="005035C5">
        <w:rPr>
          <w:lang w:eastAsia="en-US"/>
        </w:rPr>
        <w:t xml:space="preserve"> % in 6</w:t>
      </w:r>
      <w:r w:rsidR="00F93A0D">
        <w:rPr>
          <w:lang w:eastAsia="en-US"/>
        </w:rPr>
        <w:t>2</w:t>
      </w:r>
      <w:r w:rsidR="005035C5">
        <w:rPr>
          <w:lang w:eastAsia="en-US"/>
        </w:rPr>
        <w:t xml:space="preserve"> %</w:t>
      </w:r>
      <w:r w:rsidR="00F93A0D">
        <w:rPr>
          <w:lang w:eastAsia="en-US"/>
        </w:rPr>
        <w:t xml:space="preserve"> in je bil, razen v letu 2011, nad povprečjem </w:t>
      </w:r>
      <w:r w:rsidR="00653F73">
        <w:rPr>
          <w:lang w:eastAsia="en-US"/>
        </w:rPr>
        <w:t xml:space="preserve">tega deleža v </w:t>
      </w:r>
      <w:r w:rsidR="00F93A0D">
        <w:rPr>
          <w:lang w:eastAsia="en-US"/>
        </w:rPr>
        <w:t>EU-28</w:t>
      </w:r>
      <w:r w:rsidR="005035C5">
        <w:rPr>
          <w:lang w:eastAsia="en-US"/>
        </w:rPr>
        <w:t xml:space="preserve">. </w:t>
      </w:r>
    </w:p>
    <w:p w14:paraId="776E9833" w14:textId="77777777" w:rsidR="00CC740A" w:rsidRDefault="00CC740A" w:rsidP="00304C05">
      <w:pPr>
        <w:rPr>
          <w:lang w:eastAsia="en-US"/>
        </w:rPr>
      </w:pPr>
    </w:p>
    <w:p w14:paraId="19A8C937" w14:textId="084A1A11" w:rsidR="007C00D8" w:rsidRPr="00E155C1" w:rsidRDefault="007C00D8" w:rsidP="00304C05">
      <w:pPr>
        <w:pStyle w:val="SCSlika0"/>
        <w:rPr>
          <w:sz w:val="20"/>
          <w:lang w:eastAsia="en-US"/>
        </w:rPr>
      </w:pPr>
      <w:bookmarkStart w:id="3086" w:name="_Toc89851078"/>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sidRPr="00E155C1">
        <w:rPr>
          <w:noProof/>
          <w:sz w:val="20"/>
        </w:rPr>
        <w:t>36</w:t>
      </w:r>
      <w:r w:rsidR="009F2591" w:rsidRPr="00E155C1">
        <w:rPr>
          <w:noProof/>
          <w:sz w:val="20"/>
        </w:rPr>
        <w:fldChar w:fldCharType="end"/>
      </w:r>
      <w:r w:rsidRPr="00E155C1">
        <w:rPr>
          <w:sz w:val="20"/>
        </w:rPr>
        <w:t xml:space="preserve">: Delež vmesne potrošnje v </w:t>
      </w:r>
      <w:r w:rsidR="003B7FDB" w:rsidRPr="00E155C1">
        <w:rPr>
          <w:sz w:val="20"/>
        </w:rPr>
        <w:t xml:space="preserve">celotni </w:t>
      </w:r>
      <w:r w:rsidRPr="00E155C1">
        <w:rPr>
          <w:sz w:val="20"/>
        </w:rPr>
        <w:t>kmetijski proizvodnji (v stalnih cenah, 2005=100), Slovenij</w:t>
      </w:r>
      <w:r w:rsidR="003B7FDB" w:rsidRPr="00E155C1">
        <w:rPr>
          <w:sz w:val="20"/>
        </w:rPr>
        <w:t>a</w:t>
      </w:r>
      <w:r w:rsidRPr="00E155C1">
        <w:rPr>
          <w:sz w:val="20"/>
        </w:rPr>
        <w:t xml:space="preserve"> in EU-28, 2005</w:t>
      </w:r>
      <w:r w:rsidR="008646A4" w:rsidRPr="00E155C1">
        <w:rPr>
          <w:sz w:val="20"/>
        </w:rPr>
        <w:t>–</w:t>
      </w:r>
      <w:r w:rsidRPr="00E155C1">
        <w:rPr>
          <w:sz w:val="20"/>
        </w:rPr>
        <w:t>2016</w:t>
      </w:r>
      <w:bookmarkEnd w:id="3086"/>
      <w:r w:rsidRPr="00E155C1">
        <w:rPr>
          <w:sz w:val="20"/>
        </w:rPr>
        <w:t xml:space="preserve"> </w:t>
      </w:r>
    </w:p>
    <w:p w14:paraId="7B3BFB40" w14:textId="77777777" w:rsidR="005035C5" w:rsidRDefault="00F93A0D" w:rsidP="009F3567">
      <w:pPr>
        <w:spacing w:line="276" w:lineRule="auto"/>
        <w:rPr>
          <w:sz w:val="20"/>
          <w:szCs w:val="20"/>
          <w:lang w:eastAsia="en-US"/>
        </w:rPr>
      </w:pPr>
      <w:r>
        <w:rPr>
          <w:noProof/>
          <w:lang w:eastAsia="sl-SI"/>
        </w:rPr>
        <w:drawing>
          <wp:inline distT="0" distB="0" distL="0" distR="0" wp14:anchorId="33D60612" wp14:editId="227075E2">
            <wp:extent cx="5698066" cy="2201333"/>
            <wp:effectExtent l="0" t="0" r="17145" b="8890"/>
            <wp:docPr id="50"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22AFE6" w14:textId="77777777" w:rsidR="00653F73" w:rsidRDefault="00653F73" w:rsidP="009F3567">
      <w:pPr>
        <w:spacing w:before="0" w:line="276" w:lineRule="auto"/>
        <w:rPr>
          <w:sz w:val="16"/>
          <w:szCs w:val="16"/>
        </w:rPr>
      </w:pPr>
      <w:r w:rsidRPr="0047652B">
        <w:rPr>
          <w:sz w:val="16"/>
          <w:szCs w:val="16"/>
        </w:rPr>
        <w:t>Vir: Eurostat</w:t>
      </w:r>
    </w:p>
    <w:p w14:paraId="4F63F22D" w14:textId="3C594D9D" w:rsidR="00025B89" w:rsidRDefault="00025B89" w:rsidP="00304C05">
      <w:pPr>
        <w:rPr>
          <w:lang w:eastAsia="en-US"/>
        </w:rPr>
      </w:pPr>
      <w:r>
        <w:rPr>
          <w:lang w:eastAsia="en-US"/>
        </w:rPr>
        <w:t xml:space="preserve">V letu 2019 je znašal delež vmesne potrošnje v vrednosti celotne kmetijske proizvodnje (v tekočih cenah) 57 %, kar je na ravni povprečja EU-28. </w:t>
      </w:r>
    </w:p>
    <w:p w14:paraId="4903541B" w14:textId="77777777" w:rsidR="00A6739E" w:rsidRDefault="00A6739E" w:rsidP="00025B89">
      <w:pPr>
        <w:spacing w:line="276" w:lineRule="auto"/>
        <w:rPr>
          <w:sz w:val="20"/>
          <w:szCs w:val="20"/>
          <w:lang w:eastAsia="en-US"/>
        </w:rPr>
      </w:pPr>
    </w:p>
    <w:p w14:paraId="1C165E04" w14:textId="3C8FCD43" w:rsidR="00CF7C01" w:rsidRPr="00E155C1" w:rsidRDefault="00CF7C01" w:rsidP="00304C05">
      <w:pPr>
        <w:pStyle w:val="SCSlika0"/>
        <w:rPr>
          <w:sz w:val="20"/>
          <w:lang w:eastAsia="en-US"/>
        </w:rPr>
      </w:pPr>
      <w:bookmarkStart w:id="3087" w:name="_Toc89851079"/>
      <w:r w:rsidRPr="00E155C1">
        <w:rPr>
          <w:sz w:val="20"/>
          <w:lang w:eastAsia="en-US"/>
        </w:rPr>
        <w:t xml:space="preserve">Slika </w:t>
      </w:r>
      <w:r w:rsidRPr="00E155C1">
        <w:rPr>
          <w:sz w:val="20"/>
          <w:lang w:eastAsia="en-US"/>
        </w:rPr>
        <w:fldChar w:fldCharType="begin"/>
      </w:r>
      <w:r w:rsidRPr="00E155C1">
        <w:rPr>
          <w:sz w:val="20"/>
          <w:lang w:eastAsia="en-US"/>
        </w:rPr>
        <w:instrText xml:space="preserve"> SEQ Slika \* ARABIC </w:instrText>
      </w:r>
      <w:r w:rsidRPr="00E155C1">
        <w:rPr>
          <w:sz w:val="20"/>
          <w:lang w:eastAsia="en-US"/>
        </w:rPr>
        <w:fldChar w:fldCharType="separate"/>
      </w:r>
      <w:r w:rsidR="00F25435">
        <w:rPr>
          <w:noProof/>
          <w:sz w:val="20"/>
          <w:lang w:eastAsia="en-US"/>
        </w:rPr>
        <w:t>37</w:t>
      </w:r>
      <w:r w:rsidRPr="00E155C1">
        <w:rPr>
          <w:sz w:val="20"/>
          <w:lang w:eastAsia="en-US"/>
        </w:rPr>
        <w:fldChar w:fldCharType="end"/>
      </w:r>
      <w:r w:rsidRPr="00E155C1">
        <w:rPr>
          <w:sz w:val="20"/>
          <w:lang w:eastAsia="en-US"/>
        </w:rPr>
        <w:t xml:space="preserve">: Delež vmesne potrošnje v kmetijski proizvodnji, EU, leto 2019, </w:t>
      </w:r>
      <w:r w:rsidR="00821817" w:rsidRPr="00E155C1">
        <w:rPr>
          <w:sz w:val="20"/>
          <w:lang w:eastAsia="en-US"/>
        </w:rPr>
        <w:t xml:space="preserve">v </w:t>
      </w:r>
      <w:r w:rsidRPr="00E155C1">
        <w:rPr>
          <w:sz w:val="20"/>
          <w:lang w:eastAsia="en-US"/>
        </w:rPr>
        <w:t>tekoč</w:t>
      </w:r>
      <w:r w:rsidR="00821817" w:rsidRPr="00E155C1">
        <w:rPr>
          <w:sz w:val="20"/>
          <w:lang w:eastAsia="en-US"/>
        </w:rPr>
        <w:t>ih</w:t>
      </w:r>
      <w:r w:rsidRPr="00E155C1">
        <w:rPr>
          <w:sz w:val="20"/>
          <w:lang w:eastAsia="en-US"/>
        </w:rPr>
        <w:t xml:space="preserve"> cen</w:t>
      </w:r>
      <w:r w:rsidR="00821817" w:rsidRPr="00E155C1">
        <w:rPr>
          <w:sz w:val="20"/>
          <w:lang w:eastAsia="en-US"/>
        </w:rPr>
        <w:t>ah</w:t>
      </w:r>
      <w:bookmarkEnd w:id="3087"/>
      <w:r w:rsidRPr="00E155C1">
        <w:rPr>
          <w:sz w:val="20"/>
          <w:lang w:eastAsia="en-US"/>
        </w:rPr>
        <w:t xml:space="preserve">  </w:t>
      </w:r>
    </w:p>
    <w:p w14:paraId="1ACFEB4F" w14:textId="77777777" w:rsidR="00CF7C01" w:rsidRDefault="00CF7C01" w:rsidP="00CF7C01">
      <w:pPr>
        <w:spacing w:line="276" w:lineRule="auto"/>
        <w:rPr>
          <w:sz w:val="20"/>
          <w:szCs w:val="20"/>
          <w:lang w:eastAsia="en-US"/>
        </w:rPr>
      </w:pPr>
      <w:r>
        <w:rPr>
          <w:noProof/>
          <w:lang w:eastAsia="sl-SI"/>
        </w:rPr>
        <w:drawing>
          <wp:inline distT="0" distB="0" distL="0" distR="0" wp14:anchorId="7BDBE222" wp14:editId="2823E424">
            <wp:extent cx="4648200" cy="4549140"/>
            <wp:effectExtent l="0" t="0" r="0" b="381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82F41E" w14:textId="6CA1E120" w:rsidR="00CF7C01" w:rsidRDefault="00CF7C01" w:rsidP="00CF7C01">
      <w:pPr>
        <w:spacing w:line="276" w:lineRule="auto"/>
        <w:rPr>
          <w:sz w:val="16"/>
          <w:szCs w:val="16"/>
          <w:lang w:eastAsia="en-US"/>
        </w:rPr>
      </w:pPr>
      <w:r w:rsidRPr="008720AC">
        <w:rPr>
          <w:sz w:val="16"/>
          <w:szCs w:val="16"/>
          <w:lang w:eastAsia="en-US"/>
        </w:rPr>
        <w:t>Vir: EUROSTAT</w:t>
      </w:r>
      <w:r w:rsidR="00535382">
        <w:rPr>
          <w:sz w:val="16"/>
          <w:szCs w:val="16"/>
          <w:lang w:eastAsia="en-US"/>
        </w:rPr>
        <w:t>.</w:t>
      </w:r>
    </w:p>
    <w:p w14:paraId="6F4F24D6" w14:textId="77777777" w:rsidR="00CC740A" w:rsidRDefault="00CC740A" w:rsidP="007613FE">
      <w:pPr>
        <w:spacing w:before="0" w:line="260" w:lineRule="atLeast"/>
        <w:rPr>
          <w:sz w:val="20"/>
          <w:szCs w:val="20"/>
          <w:lang w:eastAsia="en-US"/>
        </w:rPr>
      </w:pPr>
    </w:p>
    <w:p w14:paraId="6DC36F60" w14:textId="571C2F4B" w:rsidR="00A029F1" w:rsidRPr="00304C05" w:rsidRDefault="00A029F1" w:rsidP="007613FE">
      <w:pPr>
        <w:spacing w:before="0" w:line="260" w:lineRule="atLeast"/>
        <w:rPr>
          <w:szCs w:val="20"/>
          <w:lang w:eastAsia="en-US"/>
        </w:rPr>
      </w:pPr>
      <w:r w:rsidRPr="00304C05">
        <w:rPr>
          <w:szCs w:val="20"/>
          <w:lang w:eastAsia="en-US"/>
        </w:rPr>
        <w:t>V obdobju 2005</w:t>
      </w:r>
      <w:r w:rsidR="000346FC" w:rsidRPr="00304C05">
        <w:rPr>
          <w:szCs w:val="20"/>
          <w:lang w:eastAsia="en-US"/>
        </w:rPr>
        <w:t>–</w:t>
      </w:r>
      <w:r w:rsidRPr="00304C05">
        <w:rPr>
          <w:szCs w:val="20"/>
          <w:lang w:eastAsia="en-US"/>
        </w:rPr>
        <w:t>2019 je bilo gibanje obsega kmetijske proizvodnje v Sloveniji neenakomerno</w:t>
      </w:r>
      <w:r w:rsidR="00CF7848" w:rsidRPr="00304C05">
        <w:rPr>
          <w:szCs w:val="20"/>
          <w:lang w:eastAsia="en-US"/>
        </w:rPr>
        <w:t xml:space="preserve"> </w:t>
      </w:r>
      <w:r w:rsidRPr="00304C05">
        <w:rPr>
          <w:szCs w:val="20"/>
          <w:lang w:eastAsia="en-US"/>
        </w:rPr>
        <w:t>(</w:t>
      </w:r>
      <w:r w:rsidR="00B75320" w:rsidRPr="00304C05">
        <w:rPr>
          <w:szCs w:val="20"/>
          <w:lang w:eastAsia="en-US"/>
        </w:rPr>
        <w:t>zabeležena rast</w:t>
      </w:r>
      <w:r w:rsidR="00FC380A" w:rsidRPr="00304C05">
        <w:rPr>
          <w:szCs w:val="20"/>
          <w:lang w:eastAsia="en-US"/>
        </w:rPr>
        <w:t xml:space="preserve"> +</w:t>
      </w:r>
      <w:r w:rsidRPr="00304C05">
        <w:rPr>
          <w:szCs w:val="20"/>
          <w:lang w:eastAsia="en-US"/>
        </w:rPr>
        <w:t>3,7 %), medtem ko je bila rast obsega kmetijske proizvodnje v EU-28 razmeroma enakomerna (skupaj +</w:t>
      </w:r>
      <w:r w:rsidR="00FC380A" w:rsidRPr="00304C05">
        <w:rPr>
          <w:szCs w:val="20"/>
          <w:lang w:eastAsia="en-US"/>
        </w:rPr>
        <w:t xml:space="preserve">10,6 </w:t>
      </w:r>
      <w:r w:rsidRPr="00304C05">
        <w:rPr>
          <w:szCs w:val="20"/>
          <w:lang w:eastAsia="en-US"/>
        </w:rPr>
        <w:t xml:space="preserve">%). </w:t>
      </w:r>
      <w:r w:rsidR="00A33C70" w:rsidRPr="00304C05">
        <w:rPr>
          <w:szCs w:val="20"/>
          <w:lang w:eastAsia="en-US"/>
        </w:rPr>
        <w:t>V istem obdobju se je obseg v</w:t>
      </w:r>
      <w:r w:rsidRPr="00304C05">
        <w:rPr>
          <w:szCs w:val="20"/>
          <w:lang w:eastAsia="en-US"/>
        </w:rPr>
        <w:t xml:space="preserve">mesne potrošnje v </w:t>
      </w:r>
      <w:r w:rsidR="00A33C70" w:rsidRPr="00304C05">
        <w:rPr>
          <w:szCs w:val="20"/>
          <w:lang w:eastAsia="en-US"/>
        </w:rPr>
        <w:t>Sloveniji zmanjšal</w:t>
      </w:r>
      <w:r w:rsidRPr="00304C05">
        <w:rPr>
          <w:szCs w:val="20"/>
          <w:lang w:eastAsia="en-US"/>
        </w:rPr>
        <w:t xml:space="preserve"> za 9,5 %</w:t>
      </w:r>
      <w:r w:rsidR="00FC380A" w:rsidRPr="00304C05">
        <w:rPr>
          <w:szCs w:val="20"/>
          <w:lang w:eastAsia="en-US"/>
        </w:rPr>
        <w:t>, na nivoju EU-28 pa povečal za 6,7 %</w:t>
      </w:r>
      <w:r w:rsidR="00A33C70" w:rsidRPr="00304C05">
        <w:rPr>
          <w:szCs w:val="20"/>
          <w:lang w:eastAsia="en-US"/>
        </w:rPr>
        <w:t xml:space="preserve">. Za Slovenijo </w:t>
      </w:r>
      <w:r w:rsidR="00071D4F" w:rsidRPr="00304C05">
        <w:rPr>
          <w:szCs w:val="20"/>
          <w:lang w:eastAsia="en-US"/>
        </w:rPr>
        <w:t xml:space="preserve">zato </w:t>
      </w:r>
      <w:r w:rsidR="00A33C70" w:rsidRPr="00304C05">
        <w:rPr>
          <w:szCs w:val="20"/>
          <w:lang w:eastAsia="en-US"/>
        </w:rPr>
        <w:t xml:space="preserve">ne moremo trditi, da je rast kmetijske proizvodnje odraz rasti vmesne potrošnje (kar </w:t>
      </w:r>
      <w:r w:rsidR="00FC380A" w:rsidRPr="00304C05">
        <w:rPr>
          <w:szCs w:val="20"/>
          <w:lang w:eastAsia="en-US"/>
        </w:rPr>
        <w:t xml:space="preserve">sicer </w:t>
      </w:r>
      <w:r w:rsidR="00A33C70" w:rsidRPr="00304C05">
        <w:rPr>
          <w:szCs w:val="20"/>
          <w:lang w:eastAsia="en-US"/>
        </w:rPr>
        <w:t xml:space="preserve">velja na nivoju EU), temveč lahko iz </w:t>
      </w:r>
      <w:r w:rsidR="00FC380A" w:rsidRPr="00304C05">
        <w:rPr>
          <w:szCs w:val="20"/>
          <w:lang w:eastAsia="en-US"/>
        </w:rPr>
        <w:t>podatkov o gibanju obsega vmesne potrošnje v primerjavi z obsegom kmetijske proizvodnje</w:t>
      </w:r>
      <w:r w:rsidR="00A33C70" w:rsidRPr="00304C05">
        <w:rPr>
          <w:szCs w:val="20"/>
          <w:lang w:eastAsia="en-US"/>
        </w:rPr>
        <w:t xml:space="preserve"> sklepamo, da spremembe v obsegu vmesne potrošnje deloma odražajo spremembe v strukturi kmetijske proizvodnje, </w:t>
      </w:r>
      <w:r w:rsidR="00FC380A" w:rsidRPr="00304C05">
        <w:rPr>
          <w:szCs w:val="20"/>
          <w:lang w:eastAsia="en-US"/>
        </w:rPr>
        <w:t>deloma pa</w:t>
      </w:r>
      <w:r w:rsidR="00A33C70" w:rsidRPr="00304C05">
        <w:rPr>
          <w:szCs w:val="20"/>
          <w:lang w:eastAsia="en-US"/>
        </w:rPr>
        <w:t xml:space="preserve"> tudi večjo učinkovitost virov. </w:t>
      </w:r>
      <w:r w:rsidR="000346FC" w:rsidRPr="00304C05">
        <w:rPr>
          <w:szCs w:val="20"/>
          <w:lang w:eastAsia="en-US"/>
        </w:rPr>
        <w:t>(EUROSTAT, 2019)</w:t>
      </w:r>
    </w:p>
    <w:p w14:paraId="0F595B4B" w14:textId="77777777" w:rsidR="00CC740A" w:rsidRDefault="00CC740A" w:rsidP="007613FE">
      <w:pPr>
        <w:spacing w:before="0" w:line="260" w:lineRule="atLeast"/>
        <w:rPr>
          <w:sz w:val="20"/>
          <w:szCs w:val="20"/>
          <w:lang w:eastAsia="en-US"/>
        </w:rPr>
      </w:pPr>
    </w:p>
    <w:p w14:paraId="49347BD0" w14:textId="278DEF23" w:rsidR="007C5FCE" w:rsidRPr="00E155C1" w:rsidRDefault="007C5FCE" w:rsidP="00304C05">
      <w:pPr>
        <w:pStyle w:val="SCSlika0"/>
        <w:rPr>
          <w:sz w:val="20"/>
          <w:lang w:eastAsia="en-US"/>
        </w:rPr>
      </w:pPr>
      <w:bookmarkStart w:id="3088" w:name="_Toc89851080"/>
      <w:r w:rsidRPr="00E155C1">
        <w:rPr>
          <w:sz w:val="20"/>
          <w:lang w:eastAsia="en-US"/>
        </w:rPr>
        <w:t xml:space="preserve">Slika </w:t>
      </w:r>
      <w:r w:rsidRPr="00E155C1">
        <w:rPr>
          <w:sz w:val="20"/>
          <w:lang w:eastAsia="en-US"/>
        </w:rPr>
        <w:fldChar w:fldCharType="begin"/>
      </w:r>
      <w:r w:rsidRPr="00E155C1">
        <w:rPr>
          <w:sz w:val="20"/>
          <w:lang w:eastAsia="en-US"/>
        </w:rPr>
        <w:instrText xml:space="preserve"> SEQ Slika \* ARABIC </w:instrText>
      </w:r>
      <w:r w:rsidRPr="00E155C1">
        <w:rPr>
          <w:sz w:val="20"/>
          <w:lang w:eastAsia="en-US"/>
        </w:rPr>
        <w:fldChar w:fldCharType="separate"/>
      </w:r>
      <w:r w:rsidR="00F25435">
        <w:rPr>
          <w:noProof/>
          <w:sz w:val="20"/>
          <w:lang w:eastAsia="en-US"/>
        </w:rPr>
        <w:t>38</w:t>
      </w:r>
      <w:r w:rsidRPr="00E155C1">
        <w:rPr>
          <w:sz w:val="20"/>
          <w:lang w:eastAsia="en-US"/>
        </w:rPr>
        <w:fldChar w:fldCharType="end"/>
      </w:r>
      <w:r w:rsidRPr="00E155C1">
        <w:rPr>
          <w:sz w:val="20"/>
          <w:lang w:eastAsia="en-US"/>
        </w:rPr>
        <w:t>: Indeks obsega kmetijske proizvodnje in vmesne potrošnje, Slovenija in EU-28, 2005</w:t>
      </w:r>
      <w:r w:rsidR="00071D4F" w:rsidRPr="00E155C1">
        <w:rPr>
          <w:sz w:val="20"/>
          <w:lang w:eastAsia="en-US"/>
        </w:rPr>
        <w:t>-</w:t>
      </w:r>
      <w:r w:rsidRPr="00E155C1">
        <w:rPr>
          <w:sz w:val="20"/>
          <w:lang w:eastAsia="en-US"/>
        </w:rPr>
        <w:t>2019, v stalnih cenah (2005=100)</w:t>
      </w:r>
      <w:bookmarkEnd w:id="3088"/>
      <w:r w:rsidRPr="00E155C1">
        <w:rPr>
          <w:sz w:val="20"/>
          <w:lang w:eastAsia="en-US"/>
        </w:rPr>
        <w:t xml:space="preserve">  </w:t>
      </w:r>
    </w:p>
    <w:p w14:paraId="19CC64E6" w14:textId="50B83F34" w:rsidR="00D01902" w:rsidRDefault="00D01902" w:rsidP="007C5FCE">
      <w:pPr>
        <w:spacing w:line="276" w:lineRule="auto"/>
        <w:rPr>
          <w:sz w:val="20"/>
          <w:szCs w:val="20"/>
          <w:lang w:eastAsia="en-US"/>
        </w:rPr>
      </w:pPr>
      <w:r>
        <w:rPr>
          <w:noProof/>
          <w:lang w:eastAsia="sl-SI"/>
        </w:rPr>
        <w:drawing>
          <wp:inline distT="0" distB="0" distL="0" distR="0" wp14:anchorId="6F242488" wp14:editId="1FC18A89">
            <wp:extent cx="5760720" cy="2369820"/>
            <wp:effectExtent l="0" t="0" r="11430" b="11430"/>
            <wp:docPr id="1631865552" name="Grafikon 1631865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629381" w14:textId="6FAE18B2" w:rsidR="00FC380A" w:rsidRDefault="00FC380A" w:rsidP="00551D9B">
      <w:pPr>
        <w:spacing w:before="0" w:line="276" w:lineRule="auto"/>
        <w:rPr>
          <w:sz w:val="20"/>
          <w:szCs w:val="20"/>
          <w:highlight w:val="yellow"/>
          <w:lang w:eastAsia="en-US"/>
        </w:rPr>
      </w:pPr>
      <w:r w:rsidRPr="0047652B">
        <w:rPr>
          <w:sz w:val="16"/>
          <w:szCs w:val="16"/>
        </w:rPr>
        <w:t>Vir: Eurostat</w:t>
      </w:r>
      <w:r w:rsidR="000346FC">
        <w:rPr>
          <w:sz w:val="16"/>
          <w:szCs w:val="16"/>
        </w:rPr>
        <w:t xml:space="preserve">. </w:t>
      </w:r>
    </w:p>
    <w:p w14:paraId="36484E9F" w14:textId="77777777" w:rsidR="00025B89" w:rsidRDefault="00025B89" w:rsidP="007613FE">
      <w:pPr>
        <w:spacing w:before="0" w:line="260" w:lineRule="atLeast"/>
        <w:rPr>
          <w:sz w:val="20"/>
          <w:szCs w:val="20"/>
          <w:lang w:eastAsia="en-US"/>
        </w:rPr>
      </w:pPr>
    </w:p>
    <w:p w14:paraId="2C8A1C09" w14:textId="24E57D8E" w:rsidR="00025B89" w:rsidRPr="00304C05" w:rsidRDefault="00025B89" w:rsidP="007613FE">
      <w:pPr>
        <w:spacing w:before="0" w:line="260" w:lineRule="atLeast"/>
        <w:rPr>
          <w:szCs w:val="20"/>
          <w:lang w:eastAsia="en-US"/>
        </w:rPr>
      </w:pPr>
      <w:r w:rsidRPr="00304C05">
        <w:rPr>
          <w:szCs w:val="20"/>
          <w:lang w:eastAsia="en-US"/>
        </w:rPr>
        <w:t>Glede vrednosti vmesne potrošnje na hektar KZU kot pokazatelju uporabljenih tehnologij in proizvodnih stroškov med Slovenijo in povprečjem EU-28</w:t>
      </w:r>
      <w:r w:rsidR="00CC18A4" w:rsidRPr="00304C05">
        <w:rPr>
          <w:szCs w:val="20"/>
          <w:lang w:eastAsia="en-US"/>
        </w:rPr>
        <w:t xml:space="preserve"> ni večjih razlik</w:t>
      </w:r>
      <w:r w:rsidRPr="00304C05">
        <w:rPr>
          <w:szCs w:val="20"/>
          <w:lang w:eastAsia="en-US"/>
        </w:rPr>
        <w:t>. Vmesna potrošnja na hektar KZU</w:t>
      </w:r>
      <w:r w:rsidR="00B90461" w:rsidRPr="00304C05">
        <w:rPr>
          <w:rStyle w:val="Sprotnaopomba-sklic"/>
          <w:sz w:val="22"/>
          <w:lang w:eastAsia="en-US"/>
        </w:rPr>
        <w:footnoteReference w:id="16"/>
      </w:r>
      <w:r w:rsidRPr="00304C05">
        <w:rPr>
          <w:szCs w:val="20"/>
          <w:lang w:eastAsia="en-US"/>
        </w:rPr>
        <w:t xml:space="preserve"> je leta 2013 v Sloveniji znašala 1.014 EUR/ha oz. 94 % povprečja EU-28 (1.075 EUR/ha KZU), v letu 2016 pa je bila s 1.144 EUR/ha KZU </w:t>
      </w:r>
      <w:r w:rsidR="00B90461" w:rsidRPr="00304C05">
        <w:rPr>
          <w:szCs w:val="20"/>
          <w:lang w:eastAsia="en-US"/>
        </w:rPr>
        <w:t xml:space="preserve">za 3,4 % </w:t>
      </w:r>
      <w:r w:rsidRPr="00304C05">
        <w:rPr>
          <w:szCs w:val="20"/>
          <w:lang w:eastAsia="en-US"/>
        </w:rPr>
        <w:t xml:space="preserve">višja od povprečja EU-28 (1.106 EUR/ha KZU). </w:t>
      </w:r>
    </w:p>
    <w:p w14:paraId="130E7EAA" w14:textId="77777777" w:rsidR="00CC740A" w:rsidRPr="00304C05" w:rsidRDefault="00CC740A" w:rsidP="007613FE">
      <w:pPr>
        <w:spacing w:before="0" w:line="260" w:lineRule="atLeast"/>
        <w:rPr>
          <w:szCs w:val="20"/>
          <w:lang w:eastAsia="en-US"/>
        </w:rPr>
      </w:pPr>
    </w:p>
    <w:p w14:paraId="25BDD980" w14:textId="63467ABE" w:rsidR="000346FC" w:rsidRPr="00304C05" w:rsidRDefault="0037317E" w:rsidP="007613FE">
      <w:pPr>
        <w:spacing w:before="0" w:line="260" w:lineRule="atLeast"/>
        <w:rPr>
          <w:szCs w:val="20"/>
          <w:lang w:eastAsia="en-US"/>
        </w:rPr>
      </w:pPr>
      <w:r w:rsidRPr="00304C05">
        <w:rPr>
          <w:szCs w:val="20"/>
          <w:lang w:eastAsia="en-US"/>
        </w:rPr>
        <w:t xml:space="preserve">Učinkovitost </w:t>
      </w:r>
      <w:r w:rsidR="00412C47" w:rsidRPr="00304C05">
        <w:rPr>
          <w:szCs w:val="20"/>
          <w:lang w:eastAsia="en-US"/>
        </w:rPr>
        <w:t>v</w:t>
      </w:r>
      <w:r w:rsidRPr="00304C05">
        <w:rPr>
          <w:szCs w:val="20"/>
          <w:lang w:eastAsia="en-US"/>
        </w:rPr>
        <w:t xml:space="preserve"> </w:t>
      </w:r>
      <w:r w:rsidR="00412C47" w:rsidRPr="00304C05">
        <w:rPr>
          <w:szCs w:val="20"/>
          <w:lang w:eastAsia="en-US"/>
        </w:rPr>
        <w:t xml:space="preserve">kmetijski proizvodnji </w:t>
      </w:r>
      <w:r w:rsidR="00D71131" w:rsidRPr="00304C05">
        <w:rPr>
          <w:szCs w:val="20"/>
          <w:lang w:eastAsia="en-US"/>
        </w:rPr>
        <w:t xml:space="preserve">porabljenega blaga in storitev </w:t>
      </w:r>
      <w:r w:rsidR="00412C47" w:rsidRPr="00304C05">
        <w:rPr>
          <w:szCs w:val="20"/>
          <w:lang w:eastAsia="en-US"/>
        </w:rPr>
        <w:t>(vmesna</w:t>
      </w:r>
      <w:r w:rsidRPr="00304C05">
        <w:rPr>
          <w:szCs w:val="20"/>
          <w:lang w:eastAsia="en-US"/>
        </w:rPr>
        <w:t xml:space="preserve"> </w:t>
      </w:r>
      <w:r w:rsidR="00412C47" w:rsidRPr="00304C05">
        <w:rPr>
          <w:szCs w:val="20"/>
          <w:lang w:eastAsia="en-US"/>
        </w:rPr>
        <w:t>potrošnja)</w:t>
      </w:r>
      <w:r w:rsidRPr="00304C05">
        <w:rPr>
          <w:szCs w:val="20"/>
          <w:lang w:eastAsia="en-US"/>
        </w:rPr>
        <w:t xml:space="preserve"> lahko</w:t>
      </w:r>
      <w:r w:rsidR="001B0217" w:rsidRPr="00304C05">
        <w:rPr>
          <w:szCs w:val="20"/>
          <w:lang w:eastAsia="en-US"/>
        </w:rPr>
        <w:t xml:space="preserve"> prikažemo tudi z razmerjem </w:t>
      </w:r>
      <w:r w:rsidRPr="00304C05">
        <w:rPr>
          <w:szCs w:val="20"/>
          <w:lang w:eastAsia="en-US"/>
        </w:rPr>
        <w:t>med bruto dodan</w:t>
      </w:r>
      <w:r w:rsidR="00C41780" w:rsidRPr="00304C05">
        <w:rPr>
          <w:szCs w:val="20"/>
          <w:lang w:eastAsia="en-US"/>
        </w:rPr>
        <w:t>o vrednostjo</w:t>
      </w:r>
      <w:r w:rsidRPr="00304C05">
        <w:rPr>
          <w:szCs w:val="20"/>
          <w:lang w:eastAsia="en-US"/>
        </w:rPr>
        <w:t xml:space="preserve"> in vmesno potrošnjo</w:t>
      </w:r>
      <w:r w:rsidR="00B95EA6" w:rsidRPr="00304C05">
        <w:rPr>
          <w:szCs w:val="20"/>
          <w:lang w:eastAsia="en-US"/>
        </w:rPr>
        <w:t xml:space="preserve"> (Ševčíková M., 2003)</w:t>
      </w:r>
      <w:r w:rsidRPr="00304C05">
        <w:rPr>
          <w:szCs w:val="20"/>
          <w:lang w:eastAsia="en-US"/>
        </w:rPr>
        <w:t xml:space="preserve">. </w:t>
      </w:r>
      <w:r w:rsidR="00CC740A" w:rsidRPr="00304C05">
        <w:rPr>
          <w:szCs w:val="20"/>
          <w:lang w:eastAsia="en-US"/>
        </w:rPr>
        <w:t xml:space="preserve">V </w:t>
      </w:r>
      <w:r w:rsidR="00663A1D" w:rsidRPr="00304C05">
        <w:rPr>
          <w:szCs w:val="20"/>
          <w:lang w:eastAsia="en-US"/>
        </w:rPr>
        <w:t>slovenskem kmetijstvu v</w:t>
      </w:r>
      <w:r w:rsidR="00E07A6C" w:rsidRPr="00304C05">
        <w:rPr>
          <w:szCs w:val="20"/>
          <w:lang w:eastAsia="en-US"/>
        </w:rPr>
        <w:t xml:space="preserve"> letu 2019</w:t>
      </w:r>
      <w:r w:rsidRPr="00304C05">
        <w:rPr>
          <w:szCs w:val="20"/>
          <w:lang w:eastAsia="en-US"/>
        </w:rPr>
        <w:t xml:space="preserve"> na vsak evro</w:t>
      </w:r>
      <w:r w:rsidR="00E07A6C" w:rsidRPr="00304C05">
        <w:rPr>
          <w:szCs w:val="20"/>
          <w:lang w:eastAsia="en-US"/>
        </w:rPr>
        <w:t xml:space="preserve"> </w:t>
      </w:r>
      <w:r w:rsidR="00CC18A4" w:rsidRPr="00304C05">
        <w:rPr>
          <w:szCs w:val="20"/>
          <w:lang w:eastAsia="en-US"/>
        </w:rPr>
        <w:t>vmesne potrošnje</w:t>
      </w:r>
      <w:r w:rsidRPr="00304C05">
        <w:rPr>
          <w:szCs w:val="20"/>
          <w:lang w:eastAsia="en-US"/>
        </w:rPr>
        <w:t xml:space="preserve"> </w:t>
      </w:r>
      <w:r w:rsidR="00502BCA" w:rsidRPr="00304C05">
        <w:rPr>
          <w:szCs w:val="20"/>
          <w:lang w:eastAsia="en-US"/>
        </w:rPr>
        <w:t>ustvarjene</w:t>
      </w:r>
      <w:r w:rsidRPr="00304C05">
        <w:rPr>
          <w:szCs w:val="20"/>
          <w:lang w:eastAsia="en-US"/>
        </w:rPr>
        <w:t xml:space="preserve"> </w:t>
      </w:r>
      <w:r w:rsidR="00576C0D" w:rsidRPr="00304C05">
        <w:rPr>
          <w:szCs w:val="20"/>
          <w:lang w:eastAsia="en-US"/>
        </w:rPr>
        <w:t>0,</w:t>
      </w:r>
      <w:r w:rsidR="001B0217" w:rsidRPr="00304C05">
        <w:rPr>
          <w:szCs w:val="20"/>
          <w:lang w:eastAsia="en-US"/>
        </w:rPr>
        <w:t xml:space="preserve">76 EUR </w:t>
      </w:r>
      <w:r w:rsidRPr="00304C05">
        <w:rPr>
          <w:szCs w:val="20"/>
          <w:lang w:eastAsia="en-US"/>
        </w:rPr>
        <w:t xml:space="preserve">bruto </w:t>
      </w:r>
      <w:r w:rsidR="001B0217" w:rsidRPr="00304C05">
        <w:rPr>
          <w:szCs w:val="20"/>
          <w:lang w:eastAsia="en-US"/>
        </w:rPr>
        <w:t>dodane</w:t>
      </w:r>
      <w:r w:rsidRPr="00304C05">
        <w:rPr>
          <w:szCs w:val="20"/>
          <w:lang w:eastAsia="en-US"/>
        </w:rPr>
        <w:t xml:space="preserve"> vrednost</w:t>
      </w:r>
      <w:r w:rsidR="001B0217" w:rsidRPr="00304C05">
        <w:rPr>
          <w:szCs w:val="20"/>
          <w:lang w:eastAsia="en-US"/>
        </w:rPr>
        <w:t>i</w:t>
      </w:r>
      <w:r w:rsidR="00CC740A" w:rsidRPr="00304C05">
        <w:rPr>
          <w:szCs w:val="20"/>
          <w:lang w:eastAsia="en-US"/>
        </w:rPr>
        <w:t xml:space="preserve"> (</w:t>
      </w:r>
      <w:r w:rsidR="00CC740A" w:rsidRPr="00304C05">
        <w:rPr>
          <w:szCs w:val="20"/>
          <w:lang w:eastAsia="en-US"/>
        </w:rPr>
        <w:fldChar w:fldCharType="begin"/>
      </w:r>
      <w:r w:rsidR="00CC740A" w:rsidRPr="00304C05">
        <w:rPr>
          <w:szCs w:val="20"/>
          <w:lang w:eastAsia="en-US"/>
        </w:rPr>
        <w:instrText xml:space="preserve"> REF _Ref54811593 \h  \* MERGEFORMAT </w:instrText>
      </w:r>
      <w:r w:rsidR="00CC740A" w:rsidRPr="00304C05">
        <w:rPr>
          <w:szCs w:val="20"/>
          <w:lang w:eastAsia="en-US"/>
        </w:rPr>
      </w:r>
      <w:r w:rsidR="00CC740A" w:rsidRPr="00304C05">
        <w:rPr>
          <w:szCs w:val="20"/>
          <w:lang w:eastAsia="en-US"/>
        </w:rPr>
        <w:fldChar w:fldCharType="separate"/>
      </w:r>
      <w:r w:rsidR="0088117A" w:rsidRPr="0088117A">
        <w:rPr>
          <w:szCs w:val="20"/>
        </w:rPr>
        <w:t>Slika</w:t>
      </w:r>
      <w:r w:rsidR="0088117A" w:rsidRPr="0088117A">
        <w:rPr>
          <w:noProof/>
          <w:szCs w:val="20"/>
        </w:rPr>
        <w:t xml:space="preserve"> </w:t>
      </w:r>
      <w:r w:rsidR="0088117A" w:rsidRPr="0088117A">
        <w:rPr>
          <w:noProof/>
          <w:szCs w:val="16"/>
        </w:rPr>
        <w:t>38</w:t>
      </w:r>
      <w:r w:rsidR="00CC740A" w:rsidRPr="00304C05">
        <w:rPr>
          <w:szCs w:val="20"/>
          <w:lang w:eastAsia="en-US"/>
        </w:rPr>
        <w:fldChar w:fldCharType="end"/>
      </w:r>
      <w:r w:rsidR="00CC740A" w:rsidRPr="00304C05">
        <w:rPr>
          <w:szCs w:val="20"/>
          <w:lang w:eastAsia="en-US"/>
        </w:rPr>
        <w:t>)</w:t>
      </w:r>
      <w:r w:rsidRPr="00304C05">
        <w:rPr>
          <w:szCs w:val="20"/>
          <w:lang w:eastAsia="en-US"/>
        </w:rPr>
        <w:t>. V EU-28 je bilo razmerje podobno (0,74 EUR)</w:t>
      </w:r>
      <w:r w:rsidR="00502BCA" w:rsidRPr="00304C05">
        <w:rPr>
          <w:szCs w:val="20"/>
          <w:lang w:eastAsia="en-US"/>
        </w:rPr>
        <w:t xml:space="preserve">. </w:t>
      </w:r>
    </w:p>
    <w:p w14:paraId="4DEF4564" w14:textId="77777777" w:rsidR="00CC740A" w:rsidRPr="00304C05" w:rsidRDefault="00CC740A" w:rsidP="007613FE">
      <w:pPr>
        <w:spacing w:before="0" w:line="260" w:lineRule="atLeast"/>
        <w:rPr>
          <w:szCs w:val="20"/>
          <w:lang w:eastAsia="en-US"/>
        </w:rPr>
      </w:pPr>
    </w:p>
    <w:p w14:paraId="3A7D8D16" w14:textId="51C879AA" w:rsidR="00724395" w:rsidRPr="00304C05" w:rsidRDefault="00595B86" w:rsidP="007613FE">
      <w:pPr>
        <w:spacing w:before="0" w:line="260" w:lineRule="atLeast"/>
        <w:rPr>
          <w:szCs w:val="20"/>
          <w:lang w:eastAsia="en-US"/>
        </w:rPr>
      </w:pPr>
      <w:r w:rsidRPr="00304C05">
        <w:rPr>
          <w:szCs w:val="20"/>
          <w:lang w:eastAsia="en-US"/>
        </w:rPr>
        <w:t xml:space="preserve">Iz teh kazalcev je razvidno, kolikšna je stroškovna učinkovitost rabe inputov v kmetijskih proizvodnji (pri čemer se zavedamo prepletenosti vplivov številnih eksternih faktorjev, kot so nihanja cen inputov, </w:t>
      </w:r>
      <w:r w:rsidR="00A20A54" w:rsidRPr="00304C05">
        <w:rPr>
          <w:szCs w:val="20"/>
          <w:lang w:eastAsia="en-US"/>
        </w:rPr>
        <w:t>na delež vmesne potrošnje pa izrazito vpliva tudi tip kmetijske proizvodnje</w:t>
      </w:r>
      <w:r w:rsidRPr="00304C05">
        <w:rPr>
          <w:szCs w:val="20"/>
          <w:lang w:eastAsia="en-US"/>
        </w:rPr>
        <w:t>).</w:t>
      </w:r>
      <w:r w:rsidR="00CC740A" w:rsidRPr="00304C05">
        <w:rPr>
          <w:szCs w:val="20"/>
          <w:lang w:eastAsia="en-US"/>
        </w:rPr>
        <w:t xml:space="preserve"> </w:t>
      </w:r>
      <w:r w:rsidR="00A20A54" w:rsidRPr="00304C05">
        <w:rPr>
          <w:szCs w:val="20"/>
          <w:lang w:eastAsia="en-US"/>
        </w:rPr>
        <w:t>Na stroškovno učinkovitost vpliva obseg uporabljenih inputov glede na kmetijski output, uspešnost kombinacije inputov in pa kakovost uporabljenih inputov</w:t>
      </w:r>
      <w:r w:rsidR="00A6739E" w:rsidRPr="00304C05">
        <w:rPr>
          <w:szCs w:val="20"/>
          <w:lang w:eastAsia="en-US"/>
        </w:rPr>
        <w:t xml:space="preserve">. </w:t>
      </w:r>
      <w:r w:rsidRPr="00304C05">
        <w:rPr>
          <w:szCs w:val="20"/>
          <w:lang w:eastAsia="en-US"/>
        </w:rPr>
        <w:t xml:space="preserve">Slovensko kmetijstvo se po teh kazalcih nahaja v povprečju EU-28. </w:t>
      </w:r>
    </w:p>
    <w:p w14:paraId="12F03CD6" w14:textId="77777777" w:rsidR="00CC740A" w:rsidRPr="002A60EF" w:rsidRDefault="00CC740A" w:rsidP="007613FE">
      <w:pPr>
        <w:spacing w:before="0" w:line="260" w:lineRule="atLeast"/>
        <w:rPr>
          <w:sz w:val="20"/>
          <w:szCs w:val="20"/>
          <w:lang w:eastAsia="en-US"/>
        </w:rPr>
      </w:pPr>
    </w:p>
    <w:p w14:paraId="620E6294" w14:textId="56813669" w:rsidR="00502BCA" w:rsidRPr="00E155C1" w:rsidRDefault="007C5FCE" w:rsidP="00304C05">
      <w:pPr>
        <w:pStyle w:val="SCSlika0"/>
        <w:rPr>
          <w:sz w:val="20"/>
        </w:rPr>
      </w:pPr>
      <w:bookmarkStart w:id="3089" w:name="_Ref54811593"/>
      <w:bookmarkStart w:id="3090" w:name="_Toc89851081"/>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Pr>
          <w:noProof/>
          <w:sz w:val="20"/>
        </w:rPr>
        <w:t>39</w:t>
      </w:r>
      <w:r w:rsidR="009F2591" w:rsidRPr="00E155C1">
        <w:rPr>
          <w:noProof/>
          <w:sz w:val="20"/>
        </w:rPr>
        <w:fldChar w:fldCharType="end"/>
      </w:r>
      <w:bookmarkEnd w:id="3089"/>
      <w:r w:rsidRPr="00E155C1">
        <w:rPr>
          <w:sz w:val="20"/>
        </w:rPr>
        <w:t xml:space="preserve">: </w:t>
      </w:r>
      <w:r w:rsidR="00502BCA" w:rsidRPr="00E155C1">
        <w:rPr>
          <w:sz w:val="20"/>
          <w:lang w:val="en-US"/>
        </w:rPr>
        <w:t>Razmerje med</w:t>
      </w:r>
      <w:r w:rsidR="00502BCA" w:rsidRPr="00E155C1">
        <w:rPr>
          <w:sz w:val="20"/>
        </w:rPr>
        <w:t xml:space="preserve"> bruto dodano vrednostjo in vmesno potrošnjo</w:t>
      </w:r>
      <w:r w:rsidR="00821817" w:rsidRPr="00E155C1">
        <w:rPr>
          <w:sz w:val="20"/>
        </w:rPr>
        <w:t>,</w:t>
      </w:r>
      <w:r w:rsidR="008054A7" w:rsidRPr="00E155C1">
        <w:rPr>
          <w:sz w:val="20"/>
        </w:rPr>
        <w:t xml:space="preserve"> 2019</w:t>
      </w:r>
      <w:r w:rsidR="00821817" w:rsidRPr="00E155C1">
        <w:rPr>
          <w:sz w:val="20"/>
        </w:rPr>
        <w:t>,</w:t>
      </w:r>
      <w:r w:rsidR="008054A7" w:rsidRPr="00E155C1">
        <w:rPr>
          <w:sz w:val="20"/>
        </w:rPr>
        <w:t xml:space="preserve"> EU, v </w:t>
      </w:r>
      <w:r w:rsidR="008361C3" w:rsidRPr="00E155C1">
        <w:rPr>
          <w:sz w:val="20"/>
        </w:rPr>
        <w:t>EUR</w:t>
      </w:r>
      <w:r w:rsidR="00502BCA" w:rsidRPr="00E155C1">
        <w:rPr>
          <w:sz w:val="20"/>
        </w:rPr>
        <w:t xml:space="preserve">, </w:t>
      </w:r>
      <w:r w:rsidR="00821817" w:rsidRPr="00E155C1">
        <w:rPr>
          <w:sz w:val="20"/>
        </w:rPr>
        <w:t>v tekočih</w:t>
      </w:r>
      <w:r w:rsidR="00502BCA" w:rsidRPr="00E155C1">
        <w:rPr>
          <w:sz w:val="20"/>
        </w:rPr>
        <w:t xml:space="preserve"> cen</w:t>
      </w:r>
      <w:r w:rsidR="00821817" w:rsidRPr="00E155C1">
        <w:rPr>
          <w:sz w:val="20"/>
        </w:rPr>
        <w:t>ah</w:t>
      </w:r>
      <w:bookmarkEnd w:id="3090"/>
    </w:p>
    <w:p w14:paraId="3F97F0F3" w14:textId="5877B15B" w:rsidR="008B2BE1" w:rsidRDefault="008B2BE1" w:rsidP="00502BCA">
      <w:pPr>
        <w:spacing w:line="276" w:lineRule="auto"/>
        <w:rPr>
          <w:sz w:val="20"/>
          <w:szCs w:val="16"/>
        </w:rPr>
      </w:pPr>
      <w:r w:rsidRPr="0023001C">
        <w:rPr>
          <w:noProof/>
          <w:lang w:eastAsia="sl-SI"/>
        </w:rPr>
        <w:drawing>
          <wp:inline distT="0" distB="0" distL="0" distR="0" wp14:anchorId="02DBD2AB" wp14:editId="559E2039">
            <wp:extent cx="4572000" cy="4975860"/>
            <wp:effectExtent l="0" t="0" r="0" b="1524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AF8315" w14:textId="77777777" w:rsidR="00D01902" w:rsidRDefault="00D01902" w:rsidP="00D01902">
      <w:pPr>
        <w:spacing w:before="0" w:line="276" w:lineRule="auto"/>
        <w:rPr>
          <w:sz w:val="20"/>
          <w:szCs w:val="20"/>
          <w:highlight w:val="yellow"/>
          <w:lang w:eastAsia="en-US"/>
        </w:rPr>
      </w:pPr>
      <w:r w:rsidRPr="0047652B">
        <w:rPr>
          <w:sz w:val="16"/>
          <w:szCs w:val="16"/>
        </w:rPr>
        <w:t>Vir: Eurostat</w:t>
      </w:r>
    </w:p>
    <w:p w14:paraId="76E491EE" w14:textId="4EC6E9AE" w:rsidR="00754A51" w:rsidRDefault="00754A51" w:rsidP="007613FE">
      <w:pPr>
        <w:pStyle w:val="Odstavek1"/>
      </w:pPr>
    </w:p>
    <w:p w14:paraId="3FFF8C5B" w14:textId="6769B1DB" w:rsidR="00FC732C" w:rsidRDefault="00FC732C" w:rsidP="007613FE">
      <w:pPr>
        <w:pStyle w:val="Odstavek1"/>
      </w:pPr>
    </w:p>
    <w:p w14:paraId="4606E1A6" w14:textId="77777777" w:rsidR="00FC732C" w:rsidRPr="004D1FCD" w:rsidRDefault="00FC732C" w:rsidP="00FC732C">
      <w:pPr>
        <w:pStyle w:val="Naslov2"/>
      </w:pPr>
      <w:bookmarkStart w:id="3091" w:name="_Toc90462234"/>
      <w:r w:rsidRPr="004D1FCD">
        <w:t>Ključne ugotovitve</w:t>
      </w:r>
      <w:bookmarkEnd w:id="3091"/>
    </w:p>
    <w:p w14:paraId="0D013BF5" w14:textId="0B1D9FF1" w:rsidR="00FC732C" w:rsidRDefault="00FC732C" w:rsidP="007613FE">
      <w:pPr>
        <w:pStyle w:val="Odstavek1"/>
      </w:pPr>
    </w:p>
    <w:p w14:paraId="57C333C1" w14:textId="11068591" w:rsidR="00D815DD" w:rsidRDefault="00D815DD" w:rsidP="00FC732C">
      <w:pPr>
        <w:pStyle w:val="Odstavekseznama"/>
        <w:numPr>
          <w:ilvl w:val="0"/>
          <w:numId w:val="2"/>
        </w:numPr>
        <w:spacing w:before="0" w:line="260" w:lineRule="atLeast"/>
        <w:ind w:left="426" w:hanging="284"/>
        <w:contextualSpacing/>
        <w:rPr>
          <w:rFonts w:ascii="Arial" w:hAnsi="Arial"/>
          <w:sz w:val="22"/>
        </w:rPr>
      </w:pPr>
      <w:r w:rsidRPr="00D815DD">
        <w:rPr>
          <w:rFonts w:ascii="Arial" w:hAnsi="Arial"/>
          <w:sz w:val="22"/>
        </w:rPr>
        <w:t>Delež vmesne potrošnje v celotni kmetijski proizvodnji se je v Sloveniji v obdobju 2005–2016 gibal med 55 % in 62 % in je bil, razen v letu 2011, nad povprečjem tega deleža v EU-28.</w:t>
      </w:r>
    </w:p>
    <w:p w14:paraId="423ECCF0" w14:textId="424745F5" w:rsidR="00D815DD" w:rsidRDefault="00D815DD" w:rsidP="00E155C1">
      <w:pPr>
        <w:pStyle w:val="Odstavekseznama"/>
        <w:numPr>
          <w:ilvl w:val="0"/>
          <w:numId w:val="2"/>
        </w:numPr>
        <w:spacing w:before="0" w:line="260" w:lineRule="atLeast"/>
        <w:ind w:left="426" w:hanging="284"/>
        <w:contextualSpacing/>
        <w:rPr>
          <w:rFonts w:ascii="Arial" w:hAnsi="Arial"/>
          <w:sz w:val="22"/>
        </w:rPr>
      </w:pPr>
      <w:r>
        <w:rPr>
          <w:rFonts w:ascii="Arial" w:hAnsi="Arial"/>
          <w:sz w:val="22"/>
        </w:rPr>
        <w:t xml:space="preserve">V </w:t>
      </w:r>
      <w:r w:rsidRPr="00D815DD">
        <w:rPr>
          <w:rFonts w:ascii="Arial" w:hAnsi="Arial"/>
          <w:sz w:val="22"/>
        </w:rPr>
        <w:t>strukturi stroškov</w:t>
      </w:r>
      <w:r>
        <w:rPr>
          <w:rFonts w:ascii="Arial" w:hAnsi="Arial"/>
          <w:sz w:val="22"/>
        </w:rPr>
        <w:t xml:space="preserve"> ima</w:t>
      </w:r>
      <w:r w:rsidRPr="00D815DD">
        <w:rPr>
          <w:rFonts w:ascii="Arial" w:hAnsi="Arial"/>
          <w:sz w:val="22"/>
        </w:rPr>
        <w:t xml:space="preserve"> najvišji delež krma (34 %), ki je del vmesne potrošnje, in potrošnja stalnega kapitala (23 %). V strukturi vmesne potrošnje pa imata najvišji delež stroška krme in energije (66 %), pri čemer se njun delež v obdobju 2005–2018 ni bistveno spreminjal, prav tako so v strukturi vmesne potrošnje ostali relativno nespremenjeni tudi deleži ostalih vmesnih inputov.</w:t>
      </w:r>
    </w:p>
    <w:p w14:paraId="300018E5" w14:textId="661892C3"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Rast obsega kmetijske proizvodnje v obdobju 2005–2019 ni odraz rasti vmesne potrošnje (kar sicer velja na nivoju povprečja EU), temveč spremembe v obsegu vmesne potrošnje deloma odražajo spremembe v strukturi kmetijske proizvodnje, deloma pa tudi večjo učinkovitost virov. </w:t>
      </w:r>
    </w:p>
    <w:p w14:paraId="0A8D9F1F" w14:textId="77777777" w:rsidR="00FC732C" w:rsidRDefault="00FC732C" w:rsidP="007613FE">
      <w:pPr>
        <w:pStyle w:val="Odstavek1"/>
      </w:pPr>
    </w:p>
    <w:p w14:paraId="1DDF7C13" w14:textId="7E4C4452" w:rsidR="000E73C4" w:rsidRDefault="000E73C4" w:rsidP="00304C05">
      <w:pPr>
        <w:pStyle w:val="Naslov1"/>
      </w:pPr>
      <w:bookmarkStart w:id="3092" w:name="_Toc90462235"/>
      <w:r>
        <w:t xml:space="preserve">Podrobnejša </w:t>
      </w:r>
      <w:r w:rsidR="004B1310">
        <w:t xml:space="preserve">mikroekonomska </w:t>
      </w:r>
      <w:r>
        <w:t xml:space="preserve">analiza </w:t>
      </w:r>
      <w:r w:rsidR="004B1310">
        <w:t xml:space="preserve">produktivnosti </w:t>
      </w:r>
      <w:r>
        <w:t>glede na tip kmetovanja, velikost kmetijskega gospodarstva ter območje kmetovanja</w:t>
      </w:r>
      <w:bookmarkEnd w:id="3092"/>
      <w:r w:rsidR="004B1310">
        <w:t xml:space="preserve"> </w:t>
      </w:r>
    </w:p>
    <w:p w14:paraId="2CCD7382" w14:textId="57B285FE" w:rsidR="000E73C4" w:rsidRDefault="000E73C4" w:rsidP="006E3DD0">
      <w:pPr>
        <w:pStyle w:val="Naslov1"/>
        <w:numPr>
          <w:ilvl w:val="0"/>
          <w:numId w:val="0"/>
        </w:numPr>
      </w:pPr>
    </w:p>
    <w:p w14:paraId="477DD37B" w14:textId="0F8239C8"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r w:rsidRPr="00E155C1">
        <w:rPr>
          <w:rFonts w:cs="Arial"/>
          <w:color w:val="000000" w:themeColor="text1"/>
          <w:sz w:val="22"/>
          <w:szCs w:val="20"/>
        </w:rPr>
        <w:t>V tem poglavju je prikazan podrobnejši pregled stanja določenih temeljnih mikroekonomskih kazalcev po posameznih proizvodnih usmeritvah iz podatkov FADN</w:t>
      </w:r>
      <w:r w:rsidR="00D1350A" w:rsidRPr="00E155C1">
        <w:rPr>
          <w:rFonts w:cs="Arial"/>
          <w:color w:val="000000" w:themeColor="text1"/>
          <w:sz w:val="22"/>
          <w:szCs w:val="20"/>
        </w:rPr>
        <w:t xml:space="preserve"> RICA</w:t>
      </w:r>
      <w:r w:rsidRPr="00E155C1">
        <w:rPr>
          <w:rFonts w:cs="Arial"/>
          <w:color w:val="000000" w:themeColor="text1"/>
          <w:sz w:val="22"/>
          <w:szCs w:val="20"/>
        </w:rPr>
        <w:t xml:space="preserve">. Pregled stanja se nanaša na uteženo povprečje obdobja 2015–2019, razen kjer je posebej omenjeno drugače. Analiza določenih mikroekonomskih kazalcev je sicer že vsebovana tudi že </w:t>
      </w:r>
      <w:r w:rsidR="0041369A">
        <w:rPr>
          <w:rFonts w:cs="Arial"/>
          <w:color w:val="000000" w:themeColor="text1"/>
          <w:sz w:val="22"/>
          <w:szCs w:val="20"/>
        </w:rPr>
        <w:t>v</w:t>
      </w:r>
      <w:r w:rsidR="0041369A" w:rsidRPr="00E155C1">
        <w:rPr>
          <w:rFonts w:cs="Arial"/>
          <w:color w:val="000000" w:themeColor="text1"/>
          <w:sz w:val="22"/>
          <w:szCs w:val="20"/>
        </w:rPr>
        <w:t xml:space="preserve"> analiz</w:t>
      </w:r>
      <w:r w:rsidR="0041369A">
        <w:rPr>
          <w:rFonts w:cs="Arial"/>
          <w:color w:val="000000" w:themeColor="text1"/>
          <w:sz w:val="22"/>
          <w:szCs w:val="20"/>
        </w:rPr>
        <w:t>i</w:t>
      </w:r>
      <w:r w:rsidR="0041369A" w:rsidRPr="00E155C1">
        <w:rPr>
          <w:rFonts w:cs="Arial"/>
          <w:color w:val="000000" w:themeColor="text1"/>
          <w:sz w:val="22"/>
          <w:szCs w:val="20"/>
        </w:rPr>
        <w:t xml:space="preserve"> </w:t>
      </w:r>
      <w:r w:rsidRPr="00E155C1">
        <w:rPr>
          <w:rFonts w:cs="Arial"/>
          <w:color w:val="000000" w:themeColor="text1"/>
          <w:sz w:val="22"/>
          <w:szCs w:val="20"/>
        </w:rPr>
        <w:t xml:space="preserve">stanja za specifični cilj 1 (zlasti o neto dodani vrednosti / PDM), a jih zaradi pomena teh podatkov za vidik produktivnosti in konkurenčnosti slovenskih kmetij podajamo še nekoliko bolj podrobneje razdelane v nadaljevanju tega poglavja. Pri tem smo se zlasti usmerili v prikaz stanja po proizvodnih usmeritvah (tipih) glede na ekonomsko in fizično velikost KMG. </w:t>
      </w:r>
      <w:r w:rsidR="0041369A">
        <w:rPr>
          <w:rFonts w:cs="Arial"/>
          <w:color w:val="000000" w:themeColor="text1"/>
          <w:sz w:val="22"/>
          <w:szCs w:val="20"/>
        </w:rPr>
        <w:t>Analizo smo nadgradili s kazalnikom ROA – donosnosti sredstev.</w:t>
      </w:r>
    </w:p>
    <w:p w14:paraId="4126F465"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p>
    <w:p w14:paraId="02E62B50" w14:textId="279F04D4" w:rsidR="005355EF" w:rsidRPr="005355EF" w:rsidRDefault="00134998" w:rsidP="005355EF">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sz w:val="22"/>
        </w:rPr>
      </w:pPr>
      <w:r w:rsidRPr="00E155C1">
        <w:rPr>
          <w:rFonts w:cs="Arial"/>
          <w:color w:val="000000" w:themeColor="text1"/>
          <w:sz w:val="22"/>
          <w:szCs w:val="20"/>
        </w:rPr>
        <w:t xml:space="preserve">Pri interpretaciji </w:t>
      </w:r>
      <w:r w:rsidR="0041369A">
        <w:rPr>
          <w:rFonts w:cs="Arial"/>
          <w:color w:val="000000" w:themeColor="text1"/>
          <w:sz w:val="22"/>
          <w:szCs w:val="20"/>
        </w:rPr>
        <w:t>FADN podatkov</w:t>
      </w:r>
      <w:r w:rsidR="0041369A" w:rsidRPr="00E155C1">
        <w:rPr>
          <w:rFonts w:cs="Arial"/>
          <w:color w:val="000000" w:themeColor="text1"/>
          <w:sz w:val="22"/>
          <w:szCs w:val="20"/>
        </w:rPr>
        <w:t xml:space="preserve"> </w:t>
      </w:r>
      <w:r w:rsidRPr="00E155C1">
        <w:rPr>
          <w:rFonts w:cs="Arial"/>
          <w:color w:val="000000" w:themeColor="text1"/>
          <w:sz w:val="22"/>
          <w:szCs w:val="20"/>
        </w:rPr>
        <w:t xml:space="preserve">je sicer potrebna previdnost. Kot </w:t>
      </w:r>
      <w:r w:rsidR="0041369A">
        <w:rPr>
          <w:rFonts w:cs="Arial"/>
          <w:color w:val="000000" w:themeColor="text1"/>
          <w:sz w:val="22"/>
          <w:szCs w:val="20"/>
        </w:rPr>
        <w:t>opozori tudi</w:t>
      </w:r>
      <w:r w:rsidR="0041369A" w:rsidRPr="00E155C1">
        <w:rPr>
          <w:rFonts w:cs="Arial"/>
          <w:color w:val="000000" w:themeColor="text1"/>
          <w:sz w:val="22"/>
          <w:szCs w:val="20"/>
        </w:rPr>
        <w:t xml:space="preserve"> </w:t>
      </w:r>
      <w:r w:rsidRPr="00E155C1">
        <w:rPr>
          <w:rFonts w:cs="Arial"/>
          <w:color w:val="000000" w:themeColor="text1"/>
          <w:sz w:val="22"/>
          <w:szCs w:val="20"/>
        </w:rPr>
        <w:t>že analiza specifičnega cilja 1, je vzorec KMG v FADN vzorcu neoptimalen, saj je za določene tipe kmetovanja vzorec premajhen (</w:t>
      </w:r>
      <w:r w:rsidR="00D1350A" w:rsidRPr="00E155C1">
        <w:rPr>
          <w:rFonts w:cs="Arial"/>
          <w:color w:val="000000" w:themeColor="text1"/>
          <w:sz w:val="22"/>
          <w:szCs w:val="20"/>
        </w:rPr>
        <w:t xml:space="preserve">npr. za </w:t>
      </w:r>
      <w:r w:rsidRPr="00E155C1">
        <w:rPr>
          <w:rFonts w:cs="Arial"/>
          <w:color w:val="000000" w:themeColor="text1"/>
          <w:sz w:val="22"/>
          <w:szCs w:val="20"/>
        </w:rPr>
        <w:t>vrtnarstvo</w:t>
      </w:r>
      <w:r w:rsidR="00D1350A" w:rsidRPr="00E155C1">
        <w:rPr>
          <w:rFonts w:cs="Arial"/>
          <w:color w:val="000000" w:themeColor="text1"/>
          <w:sz w:val="22"/>
          <w:szCs w:val="20"/>
        </w:rPr>
        <w:t>, vinogradništvo)</w:t>
      </w:r>
      <w:r w:rsidR="00C514A5" w:rsidRPr="00E155C1">
        <w:rPr>
          <w:rFonts w:cs="Arial"/>
          <w:color w:val="000000" w:themeColor="text1"/>
          <w:sz w:val="22"/>
          <w:szCs w:val="20"/>
        </w:rPr>
        <w:t>,</w:t>
      </w:r>
      <w:r w:rsidR="00D1350A" w:rsidRPr="00E155C1">
        <w:rPr>
          <w:rFonts w:cs="Arial"/>
          <w:color w:val="000000" w:themeColor="text1"/>
          <w:sz w:val="22"/>
          <w:szCs w:val="20"/>
        </w:rPr>
        <w:t xml:space="preserve"> </w:t>
      </w:r>
      <w:r w:rsidRPr="00E155C1">
        <w:rPr>
          <w:color w:val="000000" w:themeColor="text1"/>
          <w:sz w:val="22"/>
        </w:rPr>
        <w:t>zato so podatki premalo statistično značilni in jih ni mogoče uporabiti</w:t>
      </w:r>
      <w:r w:rsidR="00C514A5" w:rsidRPr="00E155C1">
        <w:rPr>
          <w:color w:val="000000" w:themeColor="text1"/>
          <w:sz w:val="22"/>
        </w:rPr>
        <w:t xml:space="preserve"> ali pa je potrebna pri zaključkih in interpretaciji izrazita previdnost</w:t>
      </w:r>
      <w:r w:rsidRPr="00E155C1">
        <w:rPr>
          <w:color w:val="000000" w:themeColor="text1"/>
          <w:sz w:val="22"/>
        </w:rPr>
        <w:t xml:space="preserve">. Ker je v slovensko FADN bazo vključenih tudi nadpovprečno veliko t. i. obveznikov, ki se morajo v sistem FADN vključiti ob uveljavljanju investicijskih podpor II. stebra SKP, so kazalniki amortizacije (SE360) posledično nekoliko precenjeni. To povzroči, da določeni kazalniki (npr. SE415 – neto dodana vrednost KMG ali SE420 – neto dohodek KMG, SE425 – neto dodana vrednost KMG/PDM…), ki vključujejo amortizacijo, slabše odražajo realno stanje. </w:t>
      </w:r>
      <w:r w:rsidR="005355EF">
        <w:rPr>
          <w:color w:val="000000" w:themeColor="text1"/>
          <w:sz w:val="22"/>
        </w:rPr>
        <w:t>Poleg tega je v</w:t>
      </w:r>
      <w:r w:rsidR="005355EF" w:rsidRPr="005355EF">
        <w:rPr>
          <w:color w:val="000000" w:themeColor="text1"/>
          <w:sz w:val="22"/>
        </w:rPr>
        <w:t xml:space="preserve"> Sloveniji od leta 2010 prag ekonomske velikosti kmetijskega gospodarstva za vključitev v vzorec FADN enak 4.000 EUR SO</w:t>
      </w:r>
      <w:r w:rsidR="005355EF">
        <w:rPr>
          <w:color w:val="000000" w:themeColor="text1"/>
          <w:sz w:val="22"/>
        </w:rPr>
        <w:t>, kar pomeni, da so manjše kmetije izključene</w:t>
      </w:r>
      <w:r w:rsidR="005355EF" w:rsidRPr="005355EF">
        <w:rPr>
          <w:color w:val="000000" w:themeColor="text1"/>
          <w:sz w:val="22"/>
        </w:rPr>
        <w:t>.</w:t>
      </w:r>
    </w:p>
    <w:p w14:paraId="7307488F" w14:textId="77777777" w:rsidR="005355EF" w:rsidRDefault="005355EF"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sz w:val="22"/>
        </w:rPr>
      </w:pPr>
    </w:p>
    <w:p w14:paraId="0E7A90F3" w14:textId="12D404B7" w:rsidR="00134998" w:rsidRPr="00E155C1" w:rsidRDefault="005355EF"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sz w:val="22"/>
        </w:rPr>
      </w:pPr>
      <w:r>
        <w:rPr>
          <w:color w:val="000000" w:themeColor="text1"/>
          <w:sz w:val="22"/>
        </w:rPr>
        <w:t xml:space="preserve">Kljub navedenim omejitvam </w:t>
      </w:r>
      <w:r w:rsidR="00134998" w:rsidRPr="00E155C1">
        <w:rPr>
          <w:color w:val="000000" w:themeColor="text1"/>
          <w:sz w:val="22"/>
        </w:rPr>
        <w:t xml:space="preserve">je </w:t>
      </w:r>
      <w:r>
        <w:rPr>
          <w:color w:val="000000" w:themeColor="text1"/>
          <w:sz w:val="22"/>
        </w:rPr>
        <w:t xml:space="preserve">vendarle </w:t>
      </w:r>
      <w:r w:rsidR="00134998" w:rsidRPr="00E155C1">
        <w:rPr>
          <w:color w:val="000000" w:themeColor="text1"/>
          <w:sz w:val="22"/>
        </w:rPr>
        <w:t>mogoče iz podatkov FADN nakazati vsaj določene razlike med posameznimi proizvodnimi tipi, ekonomskimi velikostmi KMG</w:t>
      </w:r>
      <w:r>
        <w:rPr>
          <w:color w:val="000000" w:themeColor="text1"/>
          <w:sz w:val="22"/>
        </w:rPr>
        <w:t xml:space="preserve"> ipd.,</w:t>
      </w:r>
      <w:r w:rsidR="00134998" w:rsidRPr="00E155C1">
        <w:rPr>
          <w:color w:val="000000" w:themeColor="text1"/>
          <w:sz w:val="22"/>
        </w:rPr>
        <w:t xml:space="preserve"> česar z makroekonomskimi analizami ni mogoče prikazati.  </w:t>
      </w:r>
    </w:p>
    <w:p w14:paraId="0F176DFB"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sz w:val="22"/>
        </w:rPr>
      </w:pPr>
    </w:p>
    <w:p w14:paraId="10E2F666" w14:textId="773B7F3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sz w:val="22"/>
        </w:rPr>
      </w:pPr>
      <w:r w:rsidRPr="00E155C1">
        <w:rPr>
          <w:color w:val="000000" w:themeColor="text1"/>
          <w:sz w:val="22"/>
        </w:rPr>
        <w:t>V nadaljevanju je s pomočjo analiz podatkov FADN</w:t>
      </w:r>
      <w:r w:rsidR="00C514A5" w:rsidRPr="00E155C1">
        <w:rPr>
          <w:color w:val="000000" w:themeColor="text1"/>
          <w:sz w:val="22"/>
        </w:rPr>
        <w:t xml:space="preserve"> RICA</w:t>
      </w:r>
      <w:r w:rsidRPr="00E155C1">
        <w:rPr>
          <w:color w:val="000000" w:themeColor="text1"/>
          <w:sz w:val="22"/>
        </w:rPr>
        <w:t xml:space="preserve">, ki jih je pripravil Kmetijski inštitut Slovenije in analiz MKGP prikazane zlasti razlike v neto dodani vrednosti / PDM med posameznimi proizvodnimi usmeritvami, velikostnimi razredi (ekonomskimi velikostnimi razredi in velikostnimi razredi KZU) ter območji (OMD, izven OMD). </w:t>
      </w:r>
    </w:p>
    <w:p w14:paraId="6E137414"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color w:val="000000" w:themeColor="text1"/>
        </w:rPr>
      </w:pPr>
    </w:p>
    <w:p w14:paraId="7B5918FA" w14:textId="77777777" w:rsidR="00134998" w:rsidRPr="00E155C1" w:rsidRDefault="00134998" w:rsidP="00134998">
      <w:pPr>
        <w:pStyle w:val="Guidelines"/>
        <w:numPr>
          <w:ilvl w:val="0"/>
          <w:numId w:val="211"/>
        </w:numPr>
        <w:pBdr>
          <w:top w:val="none" w:sz="0" w:space="0" w:color="auto"/>
          <w:left w:val="none" w:sz="0" w:space="0" w:color="auto"/>
          <w:bottom w:val="none" w:sz="0" w:space="0" w:color="auto"/>
          <w:right w:val="none" w:sz="0" w:space="0" w:color="auto"/>
        </w:pBdr>
        <w:spacing w:after="0" w:line="260" w:lineRule="atLeast"/>
        <w:rPr>
          <w:rFonts w:cs="Arial"/>
          <w:b/>
          <w:color w:val="auto"/>
          <w:sz w:val="22"/>
          <w:szCs w:val="20"/>
        </w:rPr>
      </w:pPr>
      <w:r w:rsidRPr="00E155C1">
        <w:rPr>
          <w:rFonts w:cs="Arial"/>
          <w:b/>
          <w:color w:val="auto"/>
          <w:sz w:val="22"/>
          <w:szCs w:val="20"/>
        </w:rPr>
        <w:t xml:space="preserve">Stanje PDM in ha KZU po različnih proizvodnih tipih in ekonomskih velikostnih razredih </w:t>
      </w:r>
    </w:p>
    <w:p w14:paraId="24201673"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p>
    <w:p w14:paraId="7E09F558" w14:textId="16487734"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r w:rsidRPr="00E155C1">
        <w:rPr>
          <w:rFonts w:cs="Arial"/>
          <w:color w:val="000000" w:themeColor="text1"/>
          <w:sz w:val="22"/>
          <w:szCs w:val="20"/>
        </w:rPr>
        <w:t>Iz  spodnjih preglednic izhaja sledeče: Povprečna ekonomska velikost KMG v obdobju 2015-2019 znaša 23.200 € SO. V uteženem povprečju dosegajo KMG, ki se ukvarjajo z vrtnarstvom, največjo ekonomsko velikost (155.300 € SO), najnižjo pa KMG, specializirana za pašno živino (13.600 € SO). Primerjalno po posameznih razredih ekonomske velikosti so razlike med posameznimi proizvodnimi tipi velike, še posebej pri KMG, specializiranimi za vinogradništvo in KMG, specializiranimi za rejo prašičev/perutnine, kjer ekonomska velikost KMG v razredu ekonomske velikosti nad 500.000 € SO presega vrednost iz prvega razreda za več kot 100-krat. KMG, ki se ukvarjajo s pašno živino, dosegajo praviloma najnižje ekonomske velikosti v vseh razredih. KMG, specializirane za poljedelstvo, in KMG, ki se ukvarjajo z mešano proizvodnjo, pa v velikostnem razredu nad 100.000 € SO pomembno povečajo svojo ekonomsko velikost in so po ekonomski velikosti takoj za KMG, ki se ukvarjajo z vrtnarstvom.</w:t>
      </w:r>
      <w:r w:rsidR="00C514A5" w:rsidRPr="00E155C1">
        <w:rPr>
          <w:rFonts w:cs="Arial"/>
          <w:color w:val="000000" w:themeColor="text1"/>
          <w:sz w:val="22"/>
          <w:szCs w:val="20"/>
        </w:rPr>
        <w:t xml:space="preserve"> Kot rečeno, so te velike razlike lahko tudi posledica neoptimalnega vzorca FADN zaradi premajhnega števila KMG v določenem proizvodnem tipu.</w:t>
      </w:r>
      <w:r w:rsidRPr="00E155C1">
        <w:rPr>
          <w:rFonts w:cs="Arial"/>
          <w:color w:val="000000" w:themeColor="text1"/>
          <w:sz w:val="22"/>
          <w:szCs w:val="20"/>
        </w:rPr>
        <w:t xml:space="preserve"> </w:t>
      </w:r>
    </w:p>
    <w:p w14:paraId="5F161A51"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p>
    <w:p w14:paraId="6DFC7E3F"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r w:rsidRPr="00E155C1">
        <w:rPr>
          <w:rFonts w:cs="Arial"/>
          <w:color w:val="000000" w:themeColor="text1"/>
          <w:sz w:val="22"/>
          <w:szCs w:val="20"/>
        </w:rPr>
        <w:t xml:space="preserve">Z večanjem ekonomske velikosti KMG se povečuje tudi število PDM, pri čemer imajo KMG v povprečju 1,3 PDM. KMG, ki se ukvarjajo z vrtnarstvom, dosegajo povprečno največ PDM (5,3 PDM), pri čemer se število PDM izrazito poveča v velikostnih razredih nad 100.000 € SO. Vrtnarstvo je tudi sicer delovno najbolj intenzivno. Tudi pri vinogradniških KMG je opazno povečanje PDM v velikostnih razredih nad 100.000 € SO, čeprav ne tako izrazito, kot je to pri vrtnarskih KMG. Najmanjše število PDM imajo KMG, ki se ukvarjajo s poljedelstvom (0,9 PDM), sledijo KMG z ostalimi trajnimi nasadi (1,1 PDM). Pri poljedelskih KMG je opazno povečanje PDM v velikostnem razredu nad 100.000 € SO. </w:t>
      </w:r>
    </w:p>
    <w:p w14:paraId="0A843B83"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p>
    <w:p w14:paraId="0DEBD78D"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r w:rsidRPr="00E155C1">
        <w:rPr>
          <w:rFonts w:cs="Arial"/>
          <w:color w:val="000000" w:themeColor="text1"/>
          <w:sz w:val="22"/>
          <w:szCs w:val="20"/>
        </w:rPr>
        <w:t xml:space="preserve">Povprečno razpolaga KMG z 10,3 KZU. KMG, ki se ukvarjajo z rejo prašičev/perutnine, gospodarijo  povprečno z največ KZU na KMG (21,4 KZU) medtem ko KMG z ostalimi trajnimi nasadi v povprečju le z 4,3 KZU/KMG. Pri KMG, ki se ukvarjajo s poljedelstvom, vinogradništvom, pašno živino in mešano (rastlinsko in živalsko proizvodnjo), je opazno občutno povečanje KZU v velikostnih razredih nad 100.000 € SO, pri KMG, ki se ukvarjajo z rejo prašičev/perutnine, pa nad 500.000 € SO. </w:t>
      </w:r>
    </w:p>
    <w:p w14:paraId="2BB8F039"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p>
    <w:p w14:paraId="70E496CB"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rPr>
      </w:pPr>
      <w:r w:rsidRPr="00E155C1">
        <w:rPr>
          <w:rFonts w:cs="Arial"/>
          <w:color w:val="000000" w:themeColor="text1"/>
          <w:sz w:val="22"/>
          <w:szCs w:val="20"/>
        </w:rPr>
        <w:t xml:space="preserve">Razmerje med PDM/KMG in fizično velikostjo KMG pokaže, da so najbolj učinkoviti KMG, ki se ukvarjajo  z rejo prašičev/perutnino (13,4 ha / PDM). S povečevanjem ekonomskega razreda se običajno povečuje produktivnost dela, vendar ne premosorazmerno. Višji kot je ekonomski razred, večja je učinkovitost vloženega dela na ha/KZU (relevantno npr. zlasti za rejo prašičev/perutnino).  </w:t>
      </w:r>
    </w:p>
    <w:p w14:paraId="0C79CCA8"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auto"/>
          <w:szCs w:val="20"/>
        </w:rPr>
      </w:pPr>
      <w:r>
        <w:rPr>
          <w:rFonts w:cs="Arial"/>
          <w:color w:val="auto"/>
          <w:szCs w:val="20"/>
        </w:rPr>
        <w:tab/>
      </w:r>
    </w:p>
    <w:p w14:paraId="37ACF384" w14:textId="6AC596BA"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bookmarkStart w:id="3093" w:name="_Toc89860999"/>
      <w:r w:rsidRPr="009A1A7D">
        <w:rPr>
          <w:rFonts w:cs="Arial"/>
          <w:color w:val="auto"/>
          <w:szCs w:val="20"/>
        </w:rPr>
        <w:t xml:space="preserve">Tabela </w:t>
      </w:r>
      <w:r w:rsidRPr="009A1A7D">
        <w:rPr>
          <w:rFonts w:cs="Arial"/>
          <w:color w:val="auto"/>
          <w:szCs w:val="20"/>
        </w:rPr>
        <w:fldChar w:fldCharType="begin"/>
      </w:r>
      <w:r w:rsidRPr="009A1A7D">
        <w:rPr>
          <w:rFonts w:cs="Arial"/>
          <w:color w:val="auto"/>
          <w:szCs w:val="20"/>
        </w:rPr>
        <w:instrText xml:space="preserve"> SEQ Tabela \* ARABIC </w:instrText>
      </w:r>
      <w:r w:rsidRPr="009A1A7D">
        <w:rPr>
          <w:rFonts w:cs="Arial"/>
          <w:color w:val="auto"/>
          <w:szCs w:val="20"/>
        </w:rPr>
        <w:fldChar w:fldCharType="separate"/>
      </w:r>
      <w:r w:rsidR="00F25435">
        <w:rPr>
          <w:rFonts w:cs="Arial"/>
          <w:noProof/>
          <w:color w:val="auto"/>
          <w:szCs w:val="20"/>
        </w:rPr>
        <w:t>6</w:t>
      </w:r>
      <w:r w:rsidRPr="009A1A7D">
        <w:rPr>
          <w:rFonts w:cs="Arial"/>
          <w:color w:val="auto"/>
          <w:szCs w:val="20"/>
        </w:rPr>
        <w:fldChar w:fldCharType="end"/>
      </w:r>
      <w:r w:rsidRPr="009A1A7D">
        <w:rPr>
          <w:rFonts w:cs="Arial"/>
          <w:color w:val="auto"/>
          <w:szCs w:val="20"/>
        </w:rPr>
        <w:t>: Ekonomska velikost KMG (v 1.000 € SO/KMG) po proizvodnih tipih, PDM/KMG po proizvodnih tipih in ekonomski velikosti, KZU/KMG po proizvodnih tipih in ekonomski velikosti za obdobje 2015–2019 (uteženi FADN podatki)</w:t>
      </w:r>
      <w:bookmarkEnd w:id="3093"/>
    </w:p>
    <w:p w14:paraId="0106E86C"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tbl>
      <w:tblPr>
        <w:tblW w:w="5000" w:type="pct"/>
        <w:tblLayout w:type="fixed"/>
        <w:tblCellMar>
          <w:left w:w="70" w:type="dxa"/>
          <w:right w:w="70" w:type="dxa"/>
        </w:tblCellMar>
        <w:tblLook w:val="04A0" w:firstRow="1" w:lastRow="0" w:firstColumn="1" w:lastColumn="0" w:noHBand="0" w:noVBand="1"/>
      </w:tblPr>
      <w:tblGrid>
        <w:gridCol w:w="1836"/>
        <w:gridCol w:w="735"/>
        <w:gridCol w:w="831"/>
        <w:gridCol w:w="1134"/>
        <w:gridCol w:w="882"/>
        <w:gridCol w:w="535"/>
        <w:gridCol w:w="851"/>
        <w:gridCol w:w="851"/>
        <w:gridCol w:w="709"/>
        <w:gridCol w:w="708"/>
      </w:tblGrid>
      <w:tr w:rsidR="00134998" w:rsidRPr="00F16FE3" w14:paraId="2616F9C5" w14:textId="77777777" w:rsidTr="009F4DF4">
        <w:trPr>
          <w:trHeight w:val="288"/>
        </w:trPr>
        <w:tc>
          <w:tcPr>
            <w:tcW w:w="4219" w:type="pct"/>
            <w:gridSpan w:val="8"/>
            <w:tcBorders>
              <w:top w:val="nil"/>
              <w:left w:val="nil"/>
              <w:bottom w:val="nil"/>
              <w:right w:val="nil"/>
            </w:tcBorders>
            <w:shd w:val="clear" w:color="auto" w:fill="auto"/>
            <w:noWrap/>
            <w:vAlign w:val="bottom"/>
            <w:hideMark/>
          </w:tcPr>
          <w:p w14:paraId="010F2612" w14:textId="77777777" w:rsidR="00134998" w:rsidRPr="00F16FE3" w:rsidRDefault="00134998" w:rsidP="009F4DF4">
            <w:pPr>
              <w:spacing w:line="240" w:lineRule="auto"/>
              <w:rPr>
                <w:rFonts w:ascii="Times New Roman" w:hAnsi="Times New Roman" w:cs="Times New Roman"/>
                <w:sz w:val="16"/>
                <w:szCs w:val="16"/>
                <w:lang w:eastAsia="sl-SI"/>
              </w:rPr>
            </w:pPr>
            <w:r w:rsidRPr="00F16FE3">
              <w:rPr>
                <w:rFonts w:ascii="Calibri" w:hAnsi="Calibri" w:cs="Calibri"/>
                <w:color w:val="1F497D" w:themeColor="text2"/>
                <w:sz w:val="16"/>
                <w:szCs w:val="16"/>
                <w:lang w:eastAsia="sl-SI"/>
              </w:rPr>
              <w:t> </w:t>
            </w:r>
            <w:r w:rsidRPr="00F16FE3">
              <w:rPr>
                <w:rFonts w:ascii="Calibri" w:hAnsi="Calibri" w:cs="Calibri"/>
                <w:b/>
                <w:bCs/>
                <w:color w:val="1F497D" w:themeColor="text2"/>
                <w:sz w:val="16"/>
                <w:szCs w:val="16"/>
                <w:lang w:eastAsia="sl-SI"/>
              </w:rPr>
              <w:t>EKONOMSKA VELIKOST, UTEŽENA POVPREČJ</w:t>
            </w:r>
            <w:r>
              <w:rPr>
                <w:rFonts w:ascii="Calibri" w:hAnsi="Calibri" w:cs="Calibri"/>
                <w:b/>
                <w:bCs/>
                <w:color w:val="1F497D" w:themeColor="text2"/>
                <w:sz w:val="16"/>
                <w:szCs w:val="16"/>
                <w:lang w:eastAsia="sl-SI"/>
              </w:rPr>
              <w:t>A (1.000 EUR SO/KMG) ZA OBDOBJE 2015–2019</w:t>
            </w:r>
            <w:r w:rsidRPr="00F16FE3">
              <w:rPr>
                <w:rFonts w:ascii="Calibri" w:hAnsi="Calibri" w:cs="Calibri"/>
                <w:b/>
                <w:bCs/>
                <w:color w:val="FF0000"/>
                <w:sz w:val="16"/>
                <w:szCs w:val="16"/>
                <w:lang w:eastAsia="sl-SI"/>
              </w:rPr>
              <w:t> </w:t>
            </w:r>
          </w:p>
        </w:tc>
        <w:tc>
          <w:tcPr>
            <w:tcW w:w="391" w:type="pct"/>
            <w:tcBorders>
              <w:top w:val="nil"/>
              <w:left w:val="nil"/>
              <w:bottom w:val="nil"/>
              <w:right w:val="nil"/>
            </w:tcBorders>
            <w:shd w:val="clear" w:color="auto" w:fill="auto"/>
            <w:noWrap/>
            <w:vAlign w:val="bottom"/>
            <w:hideMark/>
          </w:tcPr>
          <w:p w14:paraId="3D3421CF" w14:textId="77777777" w:rsidR="00134998" w:rsidRPr="00F16FE3" w:rsidRDefault="00134998" w:rsidP="009F4DF4">
            <w:pPr>
              <w:spacing w:line="240" w:lineRule="auto"/>
              <w:rPr>
                <w:rFonts w:ascii="Times New Roman" w:hAnsi="Times New Roman" w:cs="Times New Roman"/>
                <w:sz w:val="16"/>
                <w:szCs w:val="16"/>
                <w:lang w:eastAsia="sl-SI"/>
              </w:rPr>
            </w:pPr>
          </w:p>
        </w:tc>
        <w:tc>
          <w:tcPr>
            <w:tcW w:w="390" w:type="pct"/>
            <w:tcBorders>
              <w:top w:val="nil"/>
              <w:left w:val="nil"/>
              <w:bottom w:val="nil"/>
              <w:right w:val="nil"/>
            </w:tcBorders>
            <w:shd w:val="clear" w:color="auto" w:fill="auto"/>
            <w:noWrap/>
            <w:vAlign w:val="bottom"/>
            <w:hideMark/>
          </w:tcPr>
          <w:p w14:paraId="1401DA0E" w14:textId="77777777" w:rsidR="00134998" w:rsidRPr="00F16FE3" w:rsidRDefault="00134998" w:rsidP="009F4DF4">
            <w:pPr>
              <w:spacing w:line="240" w:lineRule="auto"/>
              <w:rPr>
                <w:rFonts w:ascii="Times New Roman" w:hAnsi="Times New Roman" w:cs="Times New Roman"/>
                <w:sz w:val="16"/>
                <w:szCs w:val="16"/>
                <w:lang w:eastAsia="sl-SI"/>
              </w:rPr>
            </w:pPr>
          </w:p>
        </w:tc>
      </w:tr>
      <w:tr w:rsidR="00134998" w:rsidRPr="00F16FE3" w14:paraId="2B486662" w14:textId="77777777" w:rsidTr="009F4DF4">
        <w:trPr>
          <w:trHeight w:val="288"/>
        </w:trPr>
        <w:tc>
          <w:tcPr>
            <w:tcW w:w="10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78B443"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 </w:t>
            </w:r>
          </w:p>
        </w:tc>
        <w:tc>
          <w:tcPr>
            <w:tcW w:w="405" w:type="pct"/>
            <w:tcBorders>
              <w:top w:val="single" w:sz="4" w:space="0" w:color="auto"/>
              <w:left w:val="nil"/>
              <w:bottom w:val="single" w:sz="4" w:space="0" w:color="auto"/>
              <w:right w:val="single" w:sz="4" w:space="0" w:color="auto"/>
            </w:tcBorders>
            <w:shd w:val="clear" w:color="000000" w:fill="D9D9D9"/>
            <w:noWrap/>
            <w:vAlign w:val="bottom"/>
            <w:hideMark/>
          </w:tcPr>
          <w:p w14:paraId="63A842EF"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Poljščine</w:t>
            </w:r>
          </w:p>
        </w:tc>
        <w:tc>
          <w:tcPr>
            <w:tcW w:w="458" w:type="pct"/>
            <w:tcBorders>
              <w:top w:val="single" w:sz="4" w:space="0" w:color="auto"/>
              <w:left w:val="nil"/>
              <w:bottom w:val="single" w:sz="4" w:space="0" w:color="auto"/>
              <w:right w:val="single" w:sz="4" w:space="0" w:color="auto"/>
            </w:tcBorders>
            <w:shd w:val="clear" w:color="000000" w:fill="D9D9D9"/>
            <w:noWrap/>
            <w:vAlign w:val="bottom"/>
            <w:hideMark/>
          </w:tcPr>
          <w:p w14:paraId="491CA76F"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Vrtnarst</w:t>
            </w:r>
            <w:r>
              <w:rPr>
                <w:rFonts w:ascii="Calibri" w:hAnsi="Calibri" w:cs="Calibri"/>
                <w:b/>
                <w:bCs/>
                <w:sz w:val="16"/>
                <w:szCs w:val="16"/>
                <w:lang w:eastAsia="sl-SI"/>
              </w:rPr>
              <w:t>vo</w:t>
            </w:r>
          </w:p>
        </w:tc>
        <w:tc>
          <w:tcPr>
            <w:tcW w:w="625" w:type="pct"/>
            <w:tcBorders>
              <w:top w:val="single" w:sz="4" w:space="0" w:color="auto"/>
              <w:left w:val="nil"/>
              <w:bottom w:val="single" w:sz="4" w:space="0" w:color="auto"/>
              <w:right w:val="single" w:sz="4" w:space="0" w:color="auto"/>
            </w:tcBorders>
            <w:shd w:val="clear" w:color="000000" w:fill="D9D9D9"/>
            <w:noWrap/>
            <w:vAlign w:val="bottom"/>
            <w:hideMark/>
          </w:tcPr>
          <w:p w14:paraId="6B503AA4"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Vinograd</w:t>
            </w:r>
            <w:r>
              <w:rPr>
                <w:rFonts w:ascii="Calibri" w:hAnsi="Calibri" w:cs="Calibri"/>
                <w:b/>
                <w:bCs/>
                <w:sz w:val="16"/>
                <w:szCs w:val="16"/>
                <w:lang w:eastAsia="sl-SI"/>
              </w:rPr>
              <w:t>ništvo</w:t>
            </w:r>
          </w:p>
        </w:tc>
        <w:tc>
          <w:tcPr>
            <w:tcW w:w="486" w:type="pct"/>
            <w:tcBorders>
              <w:top w:val="single" w:sz="4" w:space="0" w:color="auto"/>
              <w:left w:val="nil"/>
              <w:bottom w:val="single" w:sz="4" w:space="0" w:color="auto"/>
              <w:right w:val="single" w:sz="4" w:space="0" w:color="auto"/>
            </w:tcBorders>
            <w:shd w:val="clear" w:color="000000" w:fill="D9D9D9"/>
            <w:noWrap/>
            <w:vAlign w:val="bottom"/>
            <w:hideMark/>
          </w:tcPr>
          <w:p w14:paraId="7FE6A64D"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Ostali trajni nasadi</w:t>
            </w:r>
          </w:p>
        </w:tc>
        <w:tc>
          <w:tcPr>
            <w:tcW w:w="295" w:type="pct"/>
            <w:tcBorders>
              <w:top w:val="single" w:sz="4" w:space="0" w:color="auto"/>
              <w:left w:val="nil"/>
              <w:bottom w:val="single" w:sz="4" w:space="0" w:color="auto"/>
              <w:right w:val="single" w:sz="4" w:space="0" w:color="auto"/>
            </w:tcBorders>
            <w:shd w:val="clear" w:color="000000" w:fill="D9D9D9"/>
            <w:noWrap/>
            <w:vAlign w:val="bottom"/>
            <w:hideMark/>
          </w:tcPr>
          <w:p w14:paraId="4E86DA92"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Mleko</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267C03F5"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Pašna živina</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7EB09D93" w14:textId="77777777" w:rsidR="00134998"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Prašiči/</w:t>
            </w:r>
          </w:p>
          <w:p w14:paraId="589A0CDB"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perutnina</w:t>
            </w:r>
          </w:p>
        </w:tc>
        <w:tc>
          <w:tcPr>
            <w:tcW w:w="391" w:type="pct"/>
            <w:tcBorders>
              <w:top w:val="single" w:sz="4" w:space="0" w:color="auto"/>
              <w:left w:val="nil"/>
              <w:bottom w:val="single" w:sz="4" w:space="0" w:color="auto"/>
              <w:right w:val="single" w:sz="4" w:space="0" w:color="auto"/>
            </w:tcBorders>
            <w:shd w:val="clear" w:color="000000" w:fill="D9D9D9"/>
            <w:noWrap/>
            <w:vAlign w:val="bottom"/>
            <w:hideMark/>
          </w:tcPr>
          <w:p w14:paraId="28EC2286"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Mešano</w:t>
            </w:r>
          </w:p>
        </w:tc>
        <w:tc>
          <w:tcPr>
            <w:tcW w:w="390" w:type="pct"/>
            <w:tcBorders>
              <w:top w:val="single" w:sz="4" w:space="0" w:color="auto"/>
              <w:left w:val="nil"/>
              <w:bottom w:val="single" w:sz="4" w:space="0" w:color="auto"/>
              <w:right w:val="single" w:sz="4" w:space="0" w:color="auto"/>
            </w:tcBorders>
            <w:shd w:val="clear" w:color="000000" w:fill="D9D9D9"/>
            <w:noWrap/>
            <w:vAlign w:val="bottom"/>
            <w:hideMark/>
          </w:tcPr>
          <w:p w14:paraId="05F536EA" w14:textId="77777777" w:rsidR="00134998" w:rsidRPr="00473F35" w:rsidRDefault="00134998" w:rsidP="009F4DF4">
            <w:pPr>
              <w:spacing w:line="240" w:lineRule="auto"/>
              <w:jc w:val="center"/>
              <w:rPr>
                <w:rFonts w:ascii="Calibri" w:hAnsi="Calibri" w:cs="Calibri"/>
                <w:b/>
                <w:bCs/>
                <w:sz w:val="16"/>
                <w:szCs w:val="16"/>
                <w:lang w:eastAsia="sl-SI"/>
              </w:rPr>
            </w:pPr>
            <w:r w:rsidRPr="00473F35">
              <w:rPr>
                <w:rFonts w:ascii="Calibri" w:hAnsi="Calibri" w:cs="Calibri"/>
                <w:b/>
                <w:bCs/>
                <w:sz w:val="16"/>
                <w:szCs w:val="16"/>
                <w:lang w:eastAsia="sl-SI"/>
              </w:rPr>
              <w:t>Skupaj</w:t>
            </w:r>
          </w:p>
        </w:tc>
      </w:tr>
      <w:tr w:rsidR="00134998" w:rsidRPr="00F16FE3" w14:paraId="5957C783"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138C79FF"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4.000 EUR-&lt;8.000 EUR</w:t>
            </w:r>
          </w:p>
        </w:tc>
        <w:tc>
          <w:tcPr>
            <w:tcW w:w="405" w:type="pct"/>
            <w:tcBorders>
              <w:top w:val="nil"/>
              <w:left w:val="nil"/>
              <w:bottom w:val="single" w:sz="4" w:space="0" w:color="auto"/>
              <w:right w:val="single" w:sz="4" w:space="0" w:color="auto"/>
            </w:tcBorders>
            <w:shd w:val="clear" w:color="auto" w:fill="auto"/>
            <w:noWrap/>
            <w:vAlign w:val="bottom"/>
            <w:hideMark/>
          </w:tcPr>
          <w:p w14:paraId="0F30EE8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6,3</w:t>
            </w:r>
          </w:p>
        </w:tc>
        <w:tc>
          <w:tcPr>
            <w:tcW w:w="458" w:type="pct"/>
            <w:tcBorders>
              <w:top w:val="nil"/>
              <w:left w:val="nil"/>
              <w:bottom w:val="single" w:sz="4" w:space="0" w:color="auto"/>
              <w:right w:val="single" w:sz="4" w:space="0" w:color="auto"/>
            </w:tcBorders>
            <w:shd w:val="clear" w:color="auto" w:fill="auto"/>
            <w:noWrap/>
            <w:vAlign w:val="bottom"/>
            <w:hideMark/>
          </w:tcPr>
          <w:p w14:paraId="633C529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1C38591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7,8</w:t>
            </w:r>
          </w:p>
        </w:tc>
        <w:tc>
          <w:tcPr>
            <w:tcW w:w="486" w:type="pct"/>
            <w:tcBorders>
              <w:top w:val="nil"/>
              <w:left w:val="nil"/>
              <w:bottom w:val="single" w:sz="4" w:space="0" w:color="auto"/>
              <w:right w:val="single" w:sz="4" w:space="0" w:color="auto"/>
            </w:tcBorders>
            <w:shd w:val="clear" w:color="auto" w:fill="auto"/>
            <w:noWrap/>
            <w:vAlign w:val="bottom"/>
            <w:hideMark/>
          </w:tcPr>
          <w:p w14:paraId="38BFC8F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6,6</w:t>
            </w:r>
          </w:p>
        </w:tc>
        <w:tc>
          <w:tcPr>
            <w:tcW w:w="295" w:type="pct"/>
            <w:tcBorders>
              <w:top w:val="nil"/>
              <w:left w:val="nil"/>
              <w:bottom w:val="single" w:sz="4" w:space="0" w:color="auto"/>
              <w:right w:val="single" w:sz="4" w:space="0" w:color="auto"/>
            </w:tcBorders>
            <w:shd w:val="clear" w:color="auto" w:fill="auto"/>
            <w:noWrap/>
            <w:vAlign w:val="bottom"/>
            <w:hideMark/>
          </w:tcPr>
          <w:p w14:paraId="308C6E6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1673A59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6,4</w:t>
            </w:r>
          </w:p>
        </w:tc>
        <w:tc>
          <w:tcPr>
            <w:tcW w:w="469" w:type="pct"/>
            <w:tcBorders>
              <w:top w:val="nil"/>
              <w:left w:val="nil"/>
              <w:bottom w:val="single" w:sz="4" w:space="0" w:color="auto"/>
              <w:right w:val="single" w:sz="4" w:space="0" w:color="auto"/>
            </w:tcBorders>
            <w:shd w:val="clear" w:color="auto" w:fill="auto"/>
            <w:noWrap/>
            <w:vAlign w:val="bottom"/>
            <w:hideMark/>
          </w:tcPr>
          <w:p w14:paraId="6DA401E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7,9</w:t>
            </w:r>
          </w:p>
        </w:tc>
        <w:tc>
          <w:tcPr>
            <w:tcW w:w="391" w:type="pct"/>
            <w:tcBorders>
              <w:top w:val="nil"/>
              <w:left w:val="nil"/>
              <w:bottom w:val="single" w:sz="4" w:space="0" w:color="auto"/>
              <w:right w:val="single" w:sz="4" w:space="0" w:color="auto"/>
            </w:tcBorders>
            <w:shd w:val="clear" w:color="auto" w:fill="auto"/>
            <w:noWrap/>
            <w:vAlign w:val="bottom"/>
            <w:hideMark/>
          </w:tcPr>
          <w:p w14:paraId="47E993F2"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6,3</w:t>
            </w:r>
          </w:p>
        </w:tc>
        <w:tc>
          <w:tcPr>
            <w:tcW w:w="390" w:type="pct"/>
            <w:tcBorders>
              <w:top w:val="nil"/>
              <w:left w:val="nil"/>
              <w:bottom w:val="single" w:sz="4" w:space="0" w:color="auto"/>
              <w:right w:val="single" w:sz="4" w:space="0" w:color="auto"/>
            </w:tcBorders>
            <w:shd w:val="clear" w:color="auto" w:fill="auto"/>
            <w:noWrap/>
            <w:vAlign w:val="bottom"/>
            <w:hideMark/>
          </w:tcPr>
          <w:p w14:paraId="66DD782A"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6,4</w:t>
            </w:r>
          </w:p>
        </w:tc>
      </w:tr>
      <w:tr w:rsidR="00134998" w:rsidRPr="00F16FE3" w14:paraId="7AE6872B"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178DC7C8"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8.000 EUR-&lt;25.000 EUR</w:t>
            </w:r>
          </w:p>
        </w:tc>
        <w:tc>
          <w:tcPr>
            <w:tcW w:w="405" w:type="pct"/>
            <w:tcBorders>
              <w:top w:val="nil"/>
              <w:left w:val="nil"/>
              <w:bottom w:val="single" w:sz="4" w:space="0" w:color="auto"/>
              <w:right w:val="single" w:sz="4" w:space="0" w:color="auto"/>
            </w:tcBorders>
            <w:shd w:val="clear" w:color="auto" w:fill="auto"/>
            <w:noWrap/>
            <w:vAlign w:val="bottom"/>
            <w:hideMark/>
          </w:tcPr>
          <w:p w14:paraId="3535F94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14,4</w:t>
            </w:r>
          </w:p>
        </w:tc>
        <w:tc>
          <w:tcPr>
            <w:tcW w:w="458" w:type="pct"/>
            <w:tcBorders>
              <w:top w:val="nil"/>
              <w:left w:val="nil"/>
              <w:bottom w:val="single" w:sz="4" w:space="0" w:color="auto"/>
              <w:right w:val="single" w:sz="4" w:space="0" w:color="auto"/>
            </w:tcBorders>
            <w:shd w:val="clear" w:color="auto" w:fill="auto"/>
            <w:noWrap/>
            <w:vAlign w:val="bottom"/>
            <w:hideMark/>
          </w:tcPr>
          <w:p w14:paraId="72AA014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7EFFAF6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18,2</w:t>
            </w:r>
          </w:p>
        </w:tc>
        <w:tc>
          <w:tcPr>
            <w:tcW w:w="486" w:type="pct"/>
            <w:tcBorders>
              <w:top w:val="nil"/>
              <w:left w:val="nil"/>
              <w:bottom w:val="single" w:sz="4" w:space="0" w:color="auto"/>
              <w:right w:val="single" w:sz="4" w:space="0" w:color="auto"/>
            </w:tcBorders>
            <w:shd w:val="clear" w:color="auto" w:fill="auto"/>
            <w:noWrap/>
            <w:vAlign w:val="bottom"/>
            <w:hideMark/>
          </w:tcPr>
          <w:p w14:paraId="31F8B54C"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16,1</w:t>
            </w:r>
          </w:p>
        </w:tc>
        <w:tc>
          <w:tcPr>
            <w:tcW w:w="295" w:type="pct"/>
            <w:tcBorders>
              <w:top w:val="nil"/>
              <w:left w:val="nil"/>
              <w:bottom w:val="single" w:sz="4" w:space="0" w:color="auto"/>
              <w:right w:val="single" w:sz="4" w:space="0" w:color="auto"/>
            </w:tcBorders>
            <w:shd w:val="clear" w:color="auto" w:fill="auto"/>
            <w:noWrap/>
            <w:vAlign w:val="bottom"/>
            <w:hideMark/>
          </w:tcPr>
          <w:p w14:paraId="2D4FE4F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20,0</w:t>
            </w:r>
          </w:p>
        </w:tc>
        <w:tc>
          <w:tcPr>
            <w:tcW w:w="469" w:type="pct"/>
            <w:tcBorders>
              <w:top w:val="nil"/>
              <w:left w:val="nil"/>
              <w:bottom w:val="single" w:sz="4" w:space="0" w:color="auto"/>
              <w:right w:val="single" w:sz="4" w:space="0" w:color="auto"/>
            </w:tcBorders>
            <w:shd w:val="clear" w:color="auto" w:fill="auto"/>
            <w:noWrap/>
            <w:vAlign w:val="bottom"/>
            <w:hideMark/>
          </w:tcPr>
          <w:p w14:paraId="6D0FFF6B"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13,6</w:t>
            </w:r>
          </w:p>
        </w:tc>
        <w:tc>
          <w:tcPr>
            <w:tcW w:w="469" w:type="pct"/>
            <w:tcBorders>
              <w:top w:val="nil"/>
              <w:left w:val="nil"/>
              <w:bottom w:val="single" w:sz="4" w:space="0" w:color="auto"/>
              <w:right w:val="single" w:sz="4" w:space="0" w:color="auto"/>
            </w:tcBorders>
            <w:shd w:val="clear" w:color="auto" w:fill="auto"/>
            <w:noWrap/>
            <w:vAlign w:val="bottom"/>
            <w:hideMark/>
          </w:tcPr>
          <w:p w14:paraId="19C6995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19,1</w:t>
            </w:r>
          </w:p>
        </w:tc>
        <w:tc>
          <w:tcPr>
            <w:tcW w:w="391" w:type="pct"/>
            <w:tcBorders>
              <w:top w:val="nil"/>
              <w:left w:val="nil"/>
              <w:bottom w:val="single" w:sz="4" w:space="0" w:color="auto"/>
              <w:right w:val="single" w:sz="4" w:space="0" w:color="auto"/>
            </w:tcBorders>
            <w:shd w:val="clear" w:color="auto" w:fill="auto"/>
            <w:noWrap/>
            <w:vAlign w:val="bottom"/>
            <w:hideMark/>
          </w:tcPr>
          <w:p w14:paraId="72F586F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14,9</w:t>
            </w:r>
          </w:p>
        </w:tc>
        <w:tc>
          <w:tcPr>
            <w:tcW w:w="390" w:type="pct"/>
            <w:tcBorders>
              <w:top w:val="nil"/>
              <w:left w:val="nil"/>
              <w:bottom w:val="single" w:sz="4" w:space="0" w:color="auto"/>
              <w:right w:val="single" w:sz="4" w:space="0" w:color="auto"/>
            </w:tcBorders>
            <w:shd w:val="clear" w:color="auto" w:fill="auto"/>
            <w:noWrap/>
            <w:vAlign w:val="bottom"/>
            <w:hideMark/>
          </w:tcPr>
          <w:p w14:paraId="504825F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15,1</w:t>
            </w:r>
          </w:p>
        </w:tc>
      </w:tr>
      <w:tr w:rsidR="00134998" w:rsidRPr="00F16FE3" w14:paraId="0B027AB8"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78DC6D29"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25.000 EUR-&lt;100.000 EUR</w:t>
            </w:r>
          </w:p>
        </w:tc>
        <w:tc>
          <w:tcPr>
            <w:tcW w:w="405" w:type="pct"/>
            <w:tcBorders>
              <w:top w:val="nil"/>
              <w:left w:val="nil"/>
              <w:bottom w:val="single" w:sz="4" w:space="0" w:color="auto"/>
              <w:right w:val="single" w:sz="4" w:space="0" w:color="auto"/>
            </w:tcBorders>
            <w:shd w:val="clear" w:color="auto" w:fill="auto"/>
            <w:noWrap/>
            <w:vAlign w:val="bottom"/>
            <w:hideMark/>
          </w:tcPr>
          <w:p w14:paraId="3B54B78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49,3</w:t>
            </w:r>
          </w:p>
        </w:tc>
        <w:tc>
          <w:tcPr>
            <w:tcW w:w="458" w:type="pct"/>
            <w:tcBorders>
              <w:top w:val="nil"/>
              <w:left w:val="nil"/>
              <w:bottom w:val="single" w:sz="4" w:space="0" w:color="auto"/>
              <w:right w:val="single" w:sz="4" w:space="0" w:color="auto"/>
            </w:tcBorders>
            <w:shd w:val="clear" w:color="auto" w:fill="auto"/>
            <w:noWrap/>
            <w:vAlign w:val="bottom"/>
            <w:hideMark/>
          </w:tcPr>
          <w:p w14:paraId="3C10A236"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66,7</w:t>
            </w:r>
          </w:p>
        </w:tc>
        <w:tc>
          <w:tcPr>
            <w:tcW w:w="625" w:type="pct"/>
            <w:tcBorders>
              <w:top w:val="nil"/>
              <w:left w:val="nil"/>
              <w:bottom w:val="single" w:sz="4" w:space="0" w:color="auto"/>
              <w:right w:val="single" w:sz="4" w:space="0" w:color="auto"/>
            </w:tcBorders>
            <w:shd w:val="clear" w:color="auto" w:fill="auto"/>
            <w:noWrap/>
            <w:vAlign w:val="bottom"/>
            <w:hideMark/>
          </w:tcPr>
          <w:p w14:paraId="652BBCF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45,9</w:t>
            </w:r>
          </w:p>
        </w:tc>
        <w:tc>
          <w:tcPr>
            <w:tcW w:w="486" w:type="pct"/>
            <w:tcBorders>
              <w:top w:val="nil"/>
              <w:left w:val="nil"/>
              <w:bottom w:val="single" w:sz="4" w:space="0" w:color="auto"/>
              <w:right w:val="single" w:sz="4" w:space="0" w:color="auto"/>
            </w:tcBorders>
            <w:shd w:val="clear" w:color="auto" w:fill="auto"/>
            <w:noWrap/>
            <w:vAlign w:val="bottom"/>
            <w:hideMark/>
          </w:tcPr>
          <w:p w14:paraId="59FE5222"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52,8</w:t>
            </w:r>
          </w:p>
        </w:tc>
        <w:tc>
          <w:tcPr>
            <w:tcW w:w="295" w:type="pct"/>
            <w:tcBorders>
              <w:top w:val="nil"/>
              <w:left w:val="nil"/>
              <w:bottom w:val="single" w:sz="4" w:space="0" w:color="auto"/>
              <w:right w:val="single" w:sz="4" w:space="0" w:color="auto"/>
            </w:tcBorders>
            <w:shd w:val="clear" w:color="auto" w:fill="auto"/>
            <w:noWrap/>
            <w:vAlign w:val="bottom"/>
            <w:hideMark/>
          </w:tcPr>
          <w:p w14:paraId="0CA1D7D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55,2</w:t>
            </w:r>
          </w:p>
        </w:tc>
        <w:tc>
          <w:tcPr>
            <w:tcW w:w="469" w:type="pct"/>
            <w:tcBorders>
              <w:top w:val="nil"/>
              <w:left w:val="nil"/>
              <w:bottom w:val="single" w:sz="4" w:space="0" w:color="auto"/>
              <w:right w:val="single" w:sz="4" w:space="0" w:color="auto"/>
            </w:tcBorders>
            <w:shd w:val="clear" w:color="auto" w:fill="auto"/>
            <w:noWrap/>
            <w:vAlign w:val="bottom"/>
            <w:hideMark/>
          </w:tcPr>
          <w:p w14:paraId="37E225C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43,2</w:t>
            </w:r>
          </w:p>
        </w:tc>
        <w:tc>
          <w:tcPr>
            <w:tcW w:w="469" w:type="pct"/>
            <w:tcBorders>
              <w:top w:val="nil"/>
              <w:left w:val="nil"/>
              <w:bottom w:val="single" w:sz="4" w:space="0" w:color="auto"/>
              <w:right w:val="single" w:sz="4" w:space="0" w:color="auto"/>
            </w:tcBorders>
            <w:shd w:val="clear" w:color="auto" w:fill="auto"/>
            <w:noWrap/>
            <w:vAlign w:val="bottom"/>
            <w:hideMark/>
          </w:tcPr>
          <w:p w14:paraId="79CF1DF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66,6</w:t>
            </w:r>
          </w:p>
        </w:tc>
        <w:tc>
          <w:tcPr>
            <w:tcW w:w="391" w:type="pct"/>
            <w:tcBorders>
              <w:top w:val="nil"/>
              <w:left w:val="nil"/>
              <w:bottom w:val="single" w:sz="4" w:space="0" w:color="auto"/>
              <w:right w:val="single" w:sz="4" w:space="0" w:color="auto"/>
            </w:tcBorders>
            <w:shd w:val="clear" w:color="auto" w:fill="auto"/>
            <w:noWrap/>
            <w:vAlign w:val="bottom"/>
            <w:hideMark/>
          </w:tcPr>
          <w:p w14:paraId="19BECB6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43,8</w:t>
            </w:r>
          </w:p>
        </w:tc>
        <w:tc>
          <w:tcPr>
            <w:tcW w:w="390" w:type="pct"/>
            <w:tcBorders>
              <w:top w:val="nil"/>
              <w:left w:val="nil"/>
              <w:bottom w:val="single" w:sz="4" w:space="0" w:color="auto"/>
              <w:right w:val="single" w:sz="4" w:space="0" w:color="auto"/>
            </w:tcBorders>
            <w:shd w:val="clear" w:color="auto" w:fill="auto"/>
            <w:noWrap/>
            <w:vAlign w:val="bottom"/>
            <w:hideMark/>
          </w:tcPr>
          <w:p w14:paraId="478D18F0"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50,5</w:t>
            </w:r>
          </w:p>
        </w:tc>
      </w:tr>
      <w:tr w:rsidR="00134998" w:rsidRPr="00F16FE3" w14:paraId="72984918"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792A9BEA"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100.000 EUR-&lt;500.000 EUR</w:t>
            </w:r>
          </w:p>
        </w:tc>
        <w:tc>
          <w:tcPr>
            <w:tcW w:w="405" w:type="pct"/>
            <w:tcBorders>
              <w:top w:val="nil"/>
              <w:left w:val="nil"/>
              <w:bottom w:val="single" w:sz="4" w:space="0" w:color="auto"/>
              <w:right w:val="single" w:sz="4" w:space="0" w:color="auto"/>
            </w:tcBorders>
            <w:shd w:val="clear" w:color="auto" w:fill="auto"/>
            <w:noWrap/>
            <w:vAlign w:val="bottom"/>
            <w:hideMark/>
          </w:tcPr>
          <w:p w14:paraId="72AC4D4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174,9</w:t>
            </w:r>
          </w:p>
        </w:tc>
        <w:tc>
          <w:tcPr>
            <w:tcW w:w="458" w:type="pct"/>
            <w:tcBorders>
              <w:top w:val="nil"/>
              <w:left w:val="nil"/>
              <w:bottom w:val="single" w:sz="4" w:space="0" w:color="auto"/>
              <w:right w:val="single" w:sz="4" w:space="0" w:color="auto"/>
            </w:tcBorders>
            <w:shd w:val="clear" w:color="auto" w:fill="auto"/>
            <w:noWrap/>
            <w:vAlign w:val="bottom"/>
            <w:hideMark/>
          </w:tcPr>
          <w:p w14:paraId="571C8A2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317,2</w:t>
            </w:r>
          </w:p>
        </w:tc>
        <w:tc>
          <w:tcPr>
            <w:tcW w:w="625" w:type="pct"/>
            <w:tcBorders>
              <w:top w:val="nil"/>
              <w:left w:val="nil"/>
              <w:bottom w:val="single" w:sz="4" w:space="0" w:color="auto"/>
              <w:right w:val="single" w:sz="4" w:space="0" w:color="auto"/>
            </w:tcBorders>
            <w:shd w:val="clear" w:color="auto" w:fill="auto"/>
            <w:noWrap/>
            <w:vAlign w:val="bottom"/>
            <w:hideMark/>
          </w:tcPr>
          <w:p w14:paraId="7CED0EB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141,3</w:t>
            </w:r>
          </w:p>
        </w:tc>
        <w:tc>
          <w:tcPr>
            <w:tcW w:w="486" w:type="pct"/>
            <w:tcBorders>
              <w:top w:val="nil"/>
              <w:left w:val="nil"/>
              <w:bottom w:val="single" w:sz="4" w:space="0" w:color="auto"/>
              <w:right w:val="single" w:sz="4" w:space="0" w:color="auto"/>
            </w:tcBorders>
            <w:shd w:val="clear" w:color="auto" w:fill="auto"/>
            <w:noWrap/>
            <w:vAlign w:val="bottom"/>
            <w:hideMark/>
          </w:tcPr>
          <w:p w14:paraId="2D5BBD02"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141,5</w:t>
            </w:r>
          </w:p>
        </w:tc>
        <w:tc>
          <w:tcPr>
            <w:tcW w:w="295" w:type="pct"/>
            <w:tcBorders>
              <w:top w:val="nil"/>
              <w:left w:val="nil"/>
              <w:bottom w:val="single" w:sz="4" w:space="0" w:color="auto"/>
              <w:right w:val="single" w:sz="4" w:space="0" w:color="auto"/>
            </w:tcBorders>
            <w:shd w:val="clear" w:color="auto" w:fill="auto"/>
            <w:noWrap/>
            <w:vAlign w:val="bottom"/>
            <w:hideMark/>
          </w:tcPr>
          <w:p w14:paraId="336EC6E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141,8</w:t>
            </w:r>
          </w:p>
        </w:tc>
        <w:tc>
          <w:tcPr>
            <w:tcW w:w="469" w:type="pct"/>
            <w:tcBorders>
              <w:top w:val="nil"/>
              <w:left w:val="nil"/>
              <w:bottom w:val="single" w:sz="4" w:space="0" w:color="auto"/>
              <w:right w:val="single" w:sz="4" w:space="0" w:color="auto"/>
            </w:tcBorders>
            <w:shd w:val="clear" w:color="auto" w:fill="auto"/>
            <w:noWrap/>
            <w:vAlign w:val="bottom"/>
            <w:hideMark/>
          </w:tcPr>
          <w:p w14:paraId="3BD04E5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108,1</w:t>
            </w:r>
          </w:p>
        </w:tc>
        <w:tc>
          <w:tcPr>
            <w:tcW w:w="469" w:type="pct"/>
            <w:tcBorders>
              <w:top w:val="nil"/>
              <w:left w:val="nil"/>
              <w:bottom w:val="single" w:sz="4" w:space="0" w:color="auto"/>
              <w:right w:val="single" w:sz="4" w:space="0" w:color="auto"/>
            </w:tcBorders>
            <w:shd w:val="clear" w:color="auto" w:fill="auto"/>
            <w:noWrap/>
            <w:vAlign w:val="bottom"/>
            <w:hideMark/>
          </w:tcPr>
          <w:p w14:paraId="415A976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152,1</w:t>
            </w:r>
          </w:p>
        </w:tc>
        <w:tc>
          <w:tcPr>
            <w:tcW w:w="391" w:type="pct"/>
            <w:tcBorders>
              <w:top w:val="nil"/>
              <w:left w:val="nil"/>
              <w:bottom w:val="single" w:sz="4" w:space="0" w:color="auto"/>
              <w:right w:val="single" w:sz="4" w:space="0" w:color="auto"/>
            </w:tcBorders>
            <w:shd w:val="clear" w:color="auto" w:fill="auto"/>
            <w:noWrap/>
            <w:vAlign w:val="bottom"/>
            <w:hideMark/>
          </w:tcPr>
          <w:p w14:paraId="4B6F39E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162,3</w:t>
            </w:r>
          </w:p>
        </w:tc>
        <w:tc>
          <w:tcPr>
            <w:tcW w:w="390" w:type="pct"/>
            <w:tcBorders>
              <w:top w:val="nil"/>
              <w:left w:val="nil"/>
              <w:bottom w:val="single" w:sz="4" w:space="0" w:color="auto"/>
              <w:right w:val="single" w:sz="4" w:space="0" w:color="auto"/>
            </w:tcBorders>
            <w:shd w:val="clear" w:color="auto" w:fill="auto"/>
            <w:noWrap/>
            <w:vAlign w:val="bottom"/>
            <w:hideMark/>
          </w:tcPr>
          <w:p w14:paraId="050D8447"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156,0</w:t>
            </w:r>
          </w:p>
        </w:tc>
      </w:tr>
      <w:tr w:rsidR="00134998" w:rsidRPr="00F16FE3" w14:paraId="463099C1"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57390B7D"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=&gt;500.000 EUR</w:t>
            </w:r>
          </w:p>
        </w:tc>
        <w:tc>
          <w:tcPr>
            <w:tcW w:w="405" w:type="pct"/>
            <w:tcBorders>
              <w:top w:val="nil"/>
              <w:left w:val="nil"/>
              <w:bottom w:val="single" w:sz="4" w:space="0" w:color="auto"/>
              <w:right w:val="single" w:sz="4" w:space="0" w:color="auto"/>
            </w:tcBorders>
            <w:shd w:val="clear" w:color="auto" w:fill="auto"/>
            <w:noWrap/>
            <w:vAlign w:val="bottom"/>
            <w:hideMark/>
          </w:tcPr>
          <w:p w14:paraId="427A984C"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58" w:type="pct"/>
            <w:tcBorders>
              <w:top w:val="nil"/>
              <w:left w:val="nil"/>
              <w:bottom w:val="single" w:sz="4" w:space="0" w:color="auto"/>
              <w:right w:val="single" w:sz="4" w:space="0" w:color="auto"/>
            </w:tcBorders>
            <w:shd w:val="clear" w:color="auto" w:fill="auto"/>
            <w:noWrap/>
            <w:vAlign w:val="bottom"/>
            <w:hideMark/>
          </w:tcPr>
          <w:p w14:paraId="743165E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847,0</w:t>
            </w:r>
          </w:p>
        </w:tc>
        <w:tc>
          <w:tcPr>
            <w:tcW w:w="625" w:type="pct"/>
            <w:tcBorders>
              <w:top w:val="nil"/>
              <w:left w:val="nil"/>
              <w:bottom w:val="single" w:sz="4" w:space="0" w:color="auto"/>
              <w:right w:val="single" w:sz="4" w:space="0" w:color="auto"/>
            </w:tcBorders>
            <w:shd w:val="clear" w:color="auto" w:fill="auto"/>
            <w:noWrap/>
            <w:vAlign w:val="bottom"/>
            <w:hideMark/>
          </w:tcPr>
          <w:p w14:paraId="2620893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848,9</w:t>
            </w:r>
          </w:p>
        </w:tc>
        <w:tc>
          <w:tcPr>
            <w:tcW w:w="486" w:type="pct"/>
            <w:tcBorders>
              <w:top w:val="nil"/>
              <w:left w:val="nil"/>
              <w:bottom w:val="single" w:sz="4" w:space="0" w:color="auto"/>
              <w:right w:val="single" w:sz="4" w:space="0" w:color="auto"/>
            </w:tcBorders>
            <w:shd w:val="clear" w:color="auto" w:fill="auto"/>
            <w:noWrap/>
            <w:vAlign w:val="bottom"/>
            <w:hideMark/>
          </w:tcPr>
          <w:p w14:paraId="493D0BE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295" w:type="pct"/>
            <w:tcBorders>
              <w:top w:val="nil"/>
              <w:left w:val="nil"/>
              <w:bottom w:val="single" w:sz="4" w:space="0" w:color="auto"/>
              <w:right w:val="single" w:sz="4" w:space="0" w:color="auto"/>
            </w:tcBorders>
            <w:shd w:val="clear" w:color="auto" w:fill="auto"/>
            <w:noWrap/>
            <w:vAlign w:val="bottom"/>
            <w:hideMark/>
          </w:tcPr>
          <w:p w14:paraId="45FD64B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250EBB1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412C5B0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805,9</w:t>
            </w:r>
          </w:p>
        </w:tc>
        <w:tc>
          <w:tcPr>
            <w:tcW w:w="391" w:type="pct"/>
            <w:tcBorders>
              <w:top w:val="nil"/>
              <w:left w:val="nil"/>
              <w:bottom w:val="single" w:sz="4" w:space="0" w:color="auto"/>
              <w:right w:val="single" w:sz="4" w:space="0" w:color="auto"/>
            </w:tcBorders>
            <w:shd w:val="clear" w:color="auto" w:fill="auto"/>
            <w:noWrap/>
            <w:vAlign w:val="bottom"/>
            <w:hideMark/>
          </w:tcPr>
          <w:p w14:paraId="5DAD67D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390" w:type="pct"/>
            <w:tcBorders>
              <w:top w:val="nil"/>
              <w:left w:val="nil"/>
              <w:bottom w:val="single" w:sz="4" w:space="0" w:color="auto"/>
              <w:right w:val="single" w:sz="4" w:space="0" w:color="auto"/>
            </w:tcBorders>
            <w:shd w:val="clear" w:color="auto" w:fill="auto"/>
            <w:noWrap/>
            <w:vAlign w:val="bottom"/>
            <w:hideMark/>
          </w:tcPr>
          <w:p w14:paraId="6076BCA9"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816,6</w:t>
            </w:r>
          </w:p>
        </w:tc>
      </w:tr>
      <w:tr w:rsidR="00134998" w:rsidRPr="00F16FE3" w14:paraId="594068B7"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51874C57" w14:textId="77777777" w:rsidR="00134998" w:rsidRPr="00F16FE3" w:rsidRDefault="00134998" w:rsidP="009F4DF4">
            <w:pPr>
              <w:spacing w:line="240" w:lineRule="auto"/>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Skupaj</w:t>
            </w:r>
          </w:p>
        </w:tc>
        <w:tc>
          <w:tcPr>
            <w:tcW w:w="405" w:type="pct"/>
            <w:tcBorders>
              <w:top w:val="nil"/>
              <w:left w:val="nil"/>
              <w:bottom w:val="single" w:sz="4" w:space="0" w:color="auto"/>
              <w:right w:val="single" w:sz="4" w:space="0" w:color="auto"/>
            </w:tcBorders>
            <w:shd w:val="clear" w:color="auto" w:fill="auto"/>
            <w:noWrap/>
            <w:vAlign w:val="bottom"/>
            <w:hideMark/>
          </w:tcPr>
          <w:p w14:paraId="4E888D88"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16,4</w:t>
            </w:r>
          </w:p>
        </w:tc>
        <w:tc>
          <w:tcPr>
            <w:tcW w:w="458" w:type="pct"/>
            <w:tcBorders>
              <w:top w:val="nil"/>
              <w:left w:val="nil"/>
              <w:bottom w:val="single" w:sz="4" w:space="0" w:color="auto"/>
              <w:right w:val="single" w:sz="4" w:space="0" w:color="auto"/>
            </w:tcBorders>
            <w:shd w:val="clear" w:color="auto" w:fill="auto"/>
            <w:noWrap/>
            <w:vAlign w:val="bottom"/>
            <w:hideMark/>
          </w:tcPr>
          <w:p w14:paraId="67AA71C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155,3</w:t>
            </w:r>
          </w:p>
        </w:tc>
        <w:tc>
          <w:tcPr>
            <w:tcW w:w="625" w:type="pct"/>
            <w:tcBorders>
              <w:top w:val="nil"/>
              <w:left w:val="nil"/>
              <w:bottom w:val="single" w:sz="4" w:space="0" w:color="auto"/>
              <w:right w:val="single" w:sz="4" w:space="0" w:color="auto"/>
            </w:tcBorders>
            <w:shd w:val="clear" w:color="auto" w:fill="auto"/>
            <w:noWrap/>
            <w:vAlign w:val="bottom"/>
            <w:hideMark/>
          </w:tcPr>
          <w:p w14:paraId="10DB8AD4"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29,8</w:t>
            </w:r>
          </w:p>
        </w:tc>
        <w:tc>
          <w:tcPr>
            <w:tcW w:w="486" w:type="pct"/>
            <w:tcBorders>
              <w:top w:val="nil"/>
              <w:left w:val="nil"/>
              <w:bottom w:val="single" w:sz="4" w:space="0" w:color="auto"/>
              <w:right w:val="single" w:sz="4" w:space="0" w:color="auto"/>
            </w:tcBorders>
            <w:shd w:val="clear" w:color="auto" w:fill="auto"/>
            <w:noWrap/>
            <w:vAlign w:val="bottom"/>
            <w:hideMark/>
          </w:tcPr>
          <w:p w14:paraId="5169AEF2"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18,9</w:t>
            </w:r>
          </w:p>
        </w:tc>
        <w:tc>
          <w:tcPr>
            <w:tcW w:w="295" w:type="pct"/>
            <w:tcBorders>
              <w:top w:val="nil"/>
              <w:left w:val="nil"/>
              <w:bottom w:val="single" w:sz="4" w:space="0" w:color="auto"/>
              <w:right w:val="single" w:sz="4" w:space="0" w:color="auto"/>
            </w:tcBorders>
            <w:shd w:val="clear" w:color="auto" w:fill="auto"/>
            <w:noWrap/>
            <w:vAlign w:val="bottom"/>
            <w:hideMark/>
          </w:tcPr>
          <w:p w14:paraId="5E696223"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56,3</w:t>
            </w:r>
          </w:p>
        </w:tc>
        <w:tc>
          <w:tcPr>
            <w:tcW w:w="469" w:type="pct"/>
            <w:tcBorders>
              <w:top w:val="nil"/>
              <w:left w:val="nil"/>
              <w:bottom w:val="single" w:sz="4" w:space="0" w:color="auto"/>
              <w:right w:val="single" w:sz="4" w:space="0" w:color="auto"/>
            </w:tcBorders>
            <w:shd w:val="clear" w:color="auto" w:fill="auto"/>
            <w:noWrap/>
            <w:vAlign w:val="bottom"/>
            <w:hideMark/>
          </w:tcPr>
          <w:p w14:paraId="0BE6CBF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13,6</w:t>
            </w:r>
          </w:p>
        </w:tc>
        <w:tc>
          <w:tcPr>
            <w:tcW w:w="469" w:type="pct"/>
            <w:tcBorders>
              <w:top w:val="nil"/>
              <w:left w:val="nil"/>
              <w:bottom w:val="single" w:sz="4" w:space="0" w:color="auto"/>
              <w:right w:val="single" w:sz="4" w:space="0" w:color="auto"/>
            </w:tcBorders>
            <w:shd w:val="clear" w:color="auto" w:fill="auto"/>
            <w:noWrap/>
            <w:vAlign w:val="bottom"/>
            <w:hideMark/>
          </w:tcPr>
          <w:p w14:paraId="302B376B"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134,5</w:t>
            </w:r>
          </w:p>
        </w:tc>
        <w:tc>
          <w:tcPr>
            <w:tcW w:w="391" w:type="pct"/>
            <w:tcBorders>
              <w:top w:val="nil"/>
              <w:left w:val="nil"/>
              <w:bottom w:val="single" w:sz="4" w:space="0" w:color="auto"/>
              <w:right w:val="single" w:sz="4" w:space="0" w:color="auto"/>
            </w:tcBorders>
            <w:shd w:val="clear" w:color="auto" w:fill="auto"/>
            <w:noWrap/>
            <w:vAlign w:val="bottom"/>
            <w:hideMark/>
          </w:tcPr>
          <w:p w14:paraId="04F9CD4E"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16,8</w:t>
            </w:r>
          </w:p>
        </w:tc>
        <w:tc>
          <w:tcPr>
            <w:tcW w:w="390" w:type="pct"/>
            <w:tcBorders>
              <w:top w:val="nil"/>
              <w:left w:val="nil"/>
              <w:bottom w:val="single" w:sz="4" w:space="0" w:color="auto"/>
              <w:right w:val="single" w:sz="4" w:space="0" w:color="auto"/>
            </w:tcBorders>
            <w:shd w:val="clear" w:color="auto" w:fill="auto"/>
            <w:noWrap/>
            <w:vAlign w:val="bottom"/>
            <w:hideMark/>
          </w:tcPr>
          <w:p w14:paraId="7E45DD1C"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23,2</w:t>
            </w:r>
          </w:p>
        </w:tc>
      </w:tr>
      <w:tr w:rsidR="00134998" w:rsidRPr="00F16FE3" w14:paraId="2AE3223D" w14:textId="77777777" w:rsidTr="009F4DF4">
        <w:trPr>
          <w:trHeight w:val="288"/>
        </w:trPr>
        <w:tc>
          <w:tcPr>
            <w:tcW w:w="1012" w:type="pct"/>
            <w:tcBorders>
              <w:top w:val="nil"/>
              <w:left w:val="nil"/>
              <w:bottom w:val="nil"/>
              <w:right w:val="nil"/>
            </w:tcBorders>
            <w:shd w:val="clear" w:color="auto" w:fill="auto"/>
            <w:noWrap/>
            <w:vAlign w:val="bottom"/>
            <w:hideMark/>
          </w:tcPr>
          <w:p w14:paraId="16FE23E7" w14:textId="77777777" w:rsidR="00134998" w:rsidRPr="00F16FE3" w:rsidRDefault="00134998" w:rsidP="009F4DF4">
            <w:pPr>
              <w:spacing w:line="240" w:lineRule="auto"/>
              <w:jc w:val="right"/>
              <w:rPr>
                <w:rFonts w:ascii="Calibri" w:hAnsi="Calibri" w:cs="Calibri"/>
                <w:b/>
                <w:bCs/>
                <w:color w:val="000000"/>
                <w:sz w:val="16"/>
                <w:szCs w:val="16"/>
                <w:lang w:eastAsia="sl-SI"/>
              </w:rPr>
            </w:pPr>
          </w:p>
        </w:tc>
        <w:tc>
          <w:tcPr>
            <w:tcW w:w="405" w:type="pct"/>
            <w:tcBorders>
              <w:top w:val="nil"/>
              <w:left w:val="nil"/>
              <w:bottom w:val="nil"/>
              <w:right w:val="nil"/>
            </w:tcBorders>
            <w:shd w:val="clear" w:color="auto" w:fill="auto"/>
            <w:noWrap/>
            <w:vAlign w:val="bottom"/>
            <w:hideMark/>
          </w:tcPr>
          <w:p w14:paraId="2EB40C37"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58" w:type="pct"/>
            <w:tcBorders>
              <w:top w:val="nil"/>
              <w:left w:val="nil"/>
              <w:bottom w:val="nil"/>
              <w:right w:val="nil"/>
            </w:tcBorders>
            <w:shd w:val="clear" w:color="auto" w:fill="auto"/>
            <w:noWrap/>
            <w:vAlign w:val="bottom"/>
            <w:hideMark/>
          </w:tcPr>
          <w:p w14:paraId="4C4575C4" w14:textId="77777777" w:rsidR="00134998" w:rsidRPr="00F16FE3" w:rsidRDefault="00134998" w:rsidP="009F4DF4">
            <w:pPr>
              <w:spacing w:line="240" w:lineRule="auto"/>
              <w:rPr>
                <w:rFonts w:ascii="Times New Roman" w:hAnsi="Times New Roman" w:cs="Times New Roman"/>
                <w:sz w:val="16"/>
                <w:szCs w:val="16"/>
                <w:lang w:eastAsia="sl-SI"/>
              </w:rPr>
            </w:pPr>
          </w:p>
        </w:tc>
        <w:tc>
          <w:tcPr>
            <w:tcW w:w="625" w:type="pct"/>
            <w:tcBorders>
              <w:top w:val="nil"/>
              <w:left w:val="nil"/>
              <w:bottom w:val="nil"/>
              <w:right w:val="nil"/>
            </w:tcBorders>
            <w:shd w:val="clear" w:color="auto" w:fill="auto"/>
            <w:noWrap/>
            <w:vAlign w:val="bottom"/>
            <w:hideMark/>
          </w:tcPr>
          <w:p w14:paraId="1FC3CD9A"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86" w:type="pct"/>
            <w:tcBorders>
              <w:top w:val="nil"/>
              <w:left w:val="nil"/>
              <w:bottom w:val="nil"/>
              <w:right w:val="nil"/>
            </w:tcBorders>
            <w:shd w:val="clear" w:color="auto" w:fill="auto"/>
            <w:noWrap/>
            <w:vAlign w:val="bottom"/>
            <w:hideMark/>
          </w:tcPr>
          <w:p w14:paraId="35B347EA" w14:textId="77777777" w:rsidR="00134998" w:rsidRPr="00F16FE3" w:rsidRDefault="00134998" w:rsidP="009F4DF4">
            <w:pPr>
              <w:spacing w:line="240" w:lineRule="auto"/>
              <w:rPr>
                <w:rFonts w:ascii="Times New Roman" w:hAnsi="Times New Roman" w:cs="Times New Roman"/>
                <w:sz w:val="16"/>
                <w:szCs w:val="16"/>
                <w:lang w:eastAsia="sl-SI"/>
              </w:rPr>
            </w:pPr>
          </w:p>
        </w:tc>
        <w:tc>
          <w:tcPr>
            <w:tcW w:w="295" w:type="pct"/>
            <w:tcBorders>
              <w:top w:val="nil"/>
              <w:left w:val="nil"/>
              <w:bottom w:val="nil"/>
              <w:right w:val="nil"/>
            </w:tcBorders>
            <w:shd w:val="clear" w:color="auto" w:fill="auto"/>
            <w:noWrap/>
            <w:vAlign w:val="bottom"/>
            <w:hideMark/>
          </w:tcPr>
          <w:p w14:paraId="39DAB3F9"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69" w:type="pct"/>
            <w:tcBorders>
              <w:top w:val="nil"/>
              <w:left w:val="nil"/>
              <w:bottom w:val="nil"/>
              <w:right w:val="nil"/>
            </w:tcBorders>
            <w:shd w:val="clear" w:color="auto" w:fill="auto"/>
            <w:noWrap/>
            <w:vAlign w:val="bottom"/>
            <w:hideMark/>
          </w:tcPr>
          <w:p w14:paraId="16373ABD"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69" w:type="pct"/>
            <w:tcBorders>
              <w:top w:val="nil"/>
              <w:left w:val="nil"/>
              <w:bottom w:val="nil"/>
              <w:right w:val="nil"/>
            </w:tcBorders>
            <w:shd w:val="clear" w:color="auto" w:fill="auto"/>
            <w:noWrap/>
            <w:vAlign w:val="bottom"/>
            <w:hideMark/>
          </w:tcPr>
          <w:p w14:paraId="5FD531FC" w14:textId="77777777" w:rsidR="00134998" w:rsidRPr="00F16FE3" w:rsidRDefault="00134998" w:rsidP="009F4DF4">
            <w:pPr>
              <w:spacing w:line="240" w:lineRule="auto"/>
              <w:rPr>
                <w:rFonts w:ascii="Times New Roman" w:hAnsi="Times New Roman" w:cs="Times New Roman"/>
                <w:sz w:val="16"/>
                <w:szCs w:val="16"/>
                <w:lang w:eastAsia="sl-SI"/>
              </w:rPr>
            </w:pPr>
          </w:p>
        </w:tc>
        <w:tc>
          <w:tcPr>
            <w:tcW w:w="391" w:type="pct"/>
            <w:tcBorders>
              <w:top w:val="nil"/>
              <w:left w:val="nil"/>
              <w:bottom w:val="nil"/>
              <w:right w:val="nil"/>
            </w:tcBorders>
            <w:shd w:val="clear" w:color="auto" w:fill="auto"/>
            <w:noWrap/>
            <w:vAlign w:val="bottom"/>
            <w:hideMark/>
          </w:tcPr>
          <w:p w14:paraId="10EB7BC6" w14:textId="77777777" w:rsidR="00134998" w:rsidRPr="00F16FE3" w:rsidRDefault="00134998" w:rsidP="009F4DF4">
            <w:pPr>
              <w:spacing w:line="240" w:lineRule="auto"/>
              <w:rPr>
                <w:rFonts w:ascii="Times New Roman" w:hAnsi="Times New Roman" w:cs="Times New Roman"/>
                <w:sz w:val="16"/>
                <w:szCs w:val="16"/>
                <w:lang w:eastAsia="sl-SI"/>
              </w:rPr>
            </w:pPr>
          </w:p>
        </w:tc>
        <w:tc>
          <w:tcPr>
            <w:tcW w:w="390" w:type="pct"/>
            <w:tcBorders>
              <w:top w:val="nil"/>
              <w:left w:val="nil"/>
              <w:bottom w:val="nil"/>
              <w:right w:val="nil"/>
            </w:tcBorders>
            <w:shd w:val="clear" w:color="auto" w:fill="auto"/>
            <w:noWrap/>
            <w:vAlign w:val="bottom"/>
            <w:hideMark/>
          </w:tcPr>
          <w:p w14:paraId="34F80BA2" w14:textId="77777777" w:rsidR="00134998" w:rsidRPr="00F16FE3" w:rsidRDefault="00134998" w:rsidP="009F4DF4">
            <w:pPr>
              <w:spacing w:line="240" w:lineRule="auto"/>
              <w:rPr>
                <w:rFonts w:ascii="Times New Roman" w:hAnsi="Times New Roman" w:cs="Times New Roman"/>
                <w:sz w:val="16"/>
                <w:szCs w:val="16"/>
                <w:lang w:eastAsia="sl-SI"/>
              </w:rPr>
            </w:pPr>
          </w:p>
        </w:tc>
      </w:tr>
      <w:tr w:rsidR="00134998" w:rsidRPr="00F16FE3" w14:paraId="7864C8F3" w14:textId="77777777" w:rsidTr="009F4DF4">
        <w:trPr>
          <w:trHeight w:val="288"/>
        </w:trPr>
        <w:tc>
          <w:tcPr>
            <w:tcW w:w="4610" w:type="pct"/>
            <w:gridSpan w:val="9"/>
            <w:tcBorders>
              <w:top w:val="nil"/>
              <w:left w:val="nil"/>
              <w:bottom w:val="nil"/>
              <w:right w:val="nil"/>
            </w:tcBorders>
            <w:shd w:val="clear" w:color="auto" w:fill="auto"/>
            <w:noWrap/>
            <w:vAlign w:val="bottom"/>
            <w:hideMark/>
          </w:tcPr>
          <w:p w14:paraId="66A55693" w14:textId="77777777" w:rsidR="00134998" w:rsidRPr="00F16FE3" w:rsidRDefault="00134998" w:rsidP="009F4DF4">
            <w:pPr>
              <w:spacing w:line="240" w:lineRule="auto"/>
              <w:rPr>
                <w:rFonts w:ascii="Times New Roman" w:hAnsi="Times New Roman" w:cs="Times New Roman"/>
                <w:sz w:val="16"/>
                <w:szCs w:val="16"/>
                <w:lang w:eastAsia="sl-SI"/>
              </w:rPr>
            </w:pPr>
            <w:r w:rsidRPr="00F16FE3">
              <w:rPr>
                <w:rFonts w:ascii="Calibri" w:hAnsi="Calibri" w:cs="Calibri"/>
                <w:b/>
                <w:bCs/>
                <w:color w:val="1F497D" w:themeColor="text2"/>
                <w:sz w:val="16"/>
                <w:szCs w:val="16"/>
                <w:lang w:eastAsia="sl-SI"/>
              </w:rPr>
              <w:t> PDM, UTEŽENA POVPREČJA (PDM/KMG) ZA OBDOBJE</w:t>
            </w:r>
            <w:r>
              <w:rPr>
                <w:rFonts w:ascii="Calibri" w:hAnsi="Calibri" w:cs="Calibri"/>
                <w:b/>
                <w:bCs/>
                <w:color w:val="1F497D" w:themeColor="text2"/>
                <w:sz w:val="16"/>
                <w:szCs w:val="16"/>
                <w:lang w:eastAsia="sl-SI"/>
              </w:rPr>
              <w:t xml:space="preserve"> 2015–2019</w:t>
            </w:r>
          </w:p>
        </w:tc>
        <w:tc>
          <w:tcPr>
            <w:tcW w:w="390" w:type="pct"/>
            <w:tcBorders>
              <w:top w:val="nil"/>
              <w:left w:val="nil"/>
              <w:bottom w:val="nil"/>
              <w:right w:val="nil"/>
            </w:tcBorders>
            <w:shd w:val="clear" w:color="auto" w:fill="auto"/>
            <w:noWrap/>
            <w:vAlign w:val="bottom"/>
            <w:hideMark/>
          </w:tcPr>
          <w:p w14:paraId="6FF72C20" w14:textId="77777777" w:rsidR="00134998" w:rsidRPr="00F16FE3" w:rsidRDefault="00134998" w:rsidP="009F4DF4">
            <w:pPr>
              <w:spacing w:line="240" w:lineRule="auto"/>
              <w:rPr>
                <w:rFonts w:ascii="Times New Roman" w:hAnsi="Times New Roman" w:cs="Times New Roman"/>
                <w:sz w:val="16"/>
                <w:szCs w:val="16"/>
                <w:lang w:eastAsia="sl-SI"/>
              </w:rPr>
            </w:pPr>
          </w:p>
        </w:tc>
      </w:tr>
      <w:tr w:rsidR="00134998" w:rsidRPr="00F16FE3" w14:paraId="77288D15" w14:textId="77777777" w:rsidTr="009F4DF4">
        <w:trPr>
          <w:trHeight w:val="288"/>
        </w:trPr>
        <w:tc>
          <w:tcPr>
            <w:tcW w:w="10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7DFFE6"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 </w:t>
            </w:r>
          </w:p>
        </w:tc>
        <w:tc>
          <w:tcPr>
            <w:tcW w:w="405" w:type="pct"/>
            <w:tcBorders>
              <w:top w:val="single" w:sz="4" w:space="0" w:color="auto"/>
              <w:left w:val="nil"/>
              <w:bottom w:val="single" w:sz="4" w:space="0" w:color="auto"/>
              <w:right w:val="single" w:sz="4" w:space="0" w:color="auto"/>
            </w:tcBorders>
            <w:shd w:val="clear" w:color="000000" w:fill="D9D9D9"/>
            <w:noWrap/>
            <w:vAlign w:val="bottom"/>
            <w:hideMark/>
          </w:tcPr>
          <w:p w14:paraId="75CEEA80"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Poljščine</w:t>
            </w:r>
          </w:p>
        </w:tc>
        <w:tc>
          <w:tcPr>
            <w:tcW w:w="458" w:type="pct"/>
            <w:tcBorders>
              <w:top w:val="single" w:sz="4" w:space="0" w:color="auto"/>
              <w:left w:val="nil"/>
              <w:bottom w:val="single" w:sz="4" w:space="0" w:color="auto"/>
              <w:right w:val="single" w:sz="4" w:space="0" w:color="auto"/>
            </w:tcBorders>
            <w:shd w:val="clear" w:color="000000" w:fill="D9D9D9"/>
            <w:noWrap/>
            <w:vAlign w:val="bottom"/>
            <w:hideMark/>
          </w:tcPr>
          <w:p w14:paraId="1E072970"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Vrtnarstvo</w:t>
            </w:r>
          </w:p>
        </w:tc>
        <w:tc>
          <w:tcPr>
            <w:tcW w:w="625" w:type="pct"/>
            <w:tcBorders>
              <w:top w:val="single" w:sz="4" w:space="0" w:color="auto"/>
              <w:left w:val="nil"/>
              <w:bottom w:val="single" w:sz="4" w:space="0" w:color="auto"/>
              <w:right w:val="single" w:sz="4" w:space="0" w:color="auto"/>
            </w:tcBorders>
            <w:shd w:val="clear" w:color="000000" w:fill="D9D9D9"/>
            <w:noWrap/>
            <w:vAlign w:val="bottom"/>
            <w:hideMark/>
          </w:tcPr>
          <w:p w14:paraId="13CD67C3"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Vinogradništvo</w:t>
            </w:r>
          </w:p>
        </w:tc>
        <w:tc>
          <w:tcPr>
            <w:tcW w:w="486" w:type="pct"/>
            <w:tcBorders>
              <w:top w:val="single" w:sz="4" w:space="0" w:color="auto"/>
              <w:left w:val="nil"/>
              <w:bottom w:val="single" w:sz="4" w:space="0" w:color="auto"/>
              <w:right w:val="single" w:sz="4" w:space="0" w:color="auto"/>
            </w:tcBorders>
            <w:shd w:val="clear" w:color="000000" w:fill="D9D9D9"/>
            <w:noWrap/>
            <w:vAlign w:val="bottom"/>
            <w:hideMark/>
          </w:tcPr>
          <w:p w14:paraId="4A124E8C"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Ostali trajni nasadi</w:t>
            </w:r>
          </w:p>
        </w:tc>
        <w:tc>
          <w:tcPr>
            <w:tcW w:w="295" w:type="pct"/>
            <w:tcBorders>
              <w:top w:val="single" w:sz="4" w:space="0" w:color="auto"/>
              <w:left w:val="nil"/>
              <w:bottom w:val="single" w:sz="4" w:space="0" w:color="auto"/>
              <w:right w:val="single" w:sz="4" w:space="0" w:color="auto"/>
            </w:tcBorders>
            <w:shd w:val="clear" w:color="000000" w:fill="D9D9D9"/>
            <w:noWrap/>
            <w:vAlign w:val="bottom"/>
            <w:hideMark/>
          </w:tcPr>
          <w:p w14:paraId="3B5C3F3B"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Mleko</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5CF28343"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Pašna živina</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5EA29075"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Prašiči/perutnina</w:t>
            </w:r>
          </w:p>
        </w:tc>
        <w:tc>
          <w:tcPr>
            <w:tcW w:w="391" w:type="pct"/>
            <w:tcBorders>
              <w:top w:val="single" w:sz="4" w:space="0" w:color="auto"/>
              <w:left w:val="nil"/>
              <w:bottom w:val="single" w:sz="4" w:space="0" w:color="auto"/>
              <w:right w:val="single" w:sz="4" w:space="0" w:color="auto"/>
            </w:tcBorders>
            <w:shd w:val="clear" w:color="000000" w:fill="D9D9D9"/>
            <w:noWrap/>
            <w:vAlign w:val="bottom"/>
            <w:hideMark/>
          </w:tcPr>
          <w:p w14:paraId="1D8CC0A8"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Mešano</w:t>
            </w:r>
          </w:p>
        </w:tc>
        <w:tc>
          <w:tcPr>
            <w:tcW w:w="390" w:type="pct"/>
            <w:tcBorders>
              <w:top w:val="single" w:sz="4" w:space="0" w:color="auto"/>
              <w:left w:val="nil"/>
              <w:bottom w:val="single" w:sz="4" w:space="0" w:color="auto"/>
              <w:right w:val="single" w:sz="4" w:space="0" w:color="auto"/>
            </w:tcBorders>
            <w:shd w:val="clear" w:color="000000" w:fill="D9D9D9"/>
            <w:noWrap/>
            <w:vAlign w:val="bottom"/>
            <w:hideMark/>
          </w:tcPr>
          <w:p w14:paraId="3BC7B2F1"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Skupaj</w:t>
            </w:r>
          </w:p>
        </w:tc>
      </w:tr>
      <w:tr w:rsidR="00134998" w:rsidRPr="00F16FE3" w14:paraId="1DB621AC"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69B94E0C"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4.000 EUR-&lt;8.000 EUR</w:t>
            </w:r>
          </w:p>
        </w:tc>
        <w:tc>
          <w:tcPr>
            <w:tcW w:w="405" w:type="pct"/>
            <w:tcBorders>
              <w:top w:val="nil"/>
              <w:left w:val="nil"/>
              <w:bottom w:val="single" w:sz="4" w:space="0" w:color="auto"/>
              <w:right w:val="single" w:sz="4" w:space="0" w:color="auto"/>
            </w:tcBorders>
            <w:shd w:val="clear" w:color="auto" w:fill="auto"/>
            <w:noWrap/>
            <w:vAlign w:val="bottom"/>
            <w:hideMark/>
          </w:tcPr>
          <w:p w14:paraId="04F4001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0,8</w:t>
            </w:r>
          </w:p>
        </w:tc>
        <w:tc>
          <w:tcPr>
            <w:tcW w:w="458" w:type="pct"/>
            <w:tcBorders>
              <w:top w:val="nil"/>
              <w:left w:val="nil"/>
              <w:bottom w:val="single" w:sz="4" w:space="0" w:color="auto"/>
              <w:right w:val="single" w:sz="4" w:space="0" w:color="auto"/>
            </w:tcBorders>
            <w:shd w:val="clear" w:color="auto" w:fill="auto"/>
            <w:noWrap/>
            <w:vAlign w:val="bottom"/>
            <w:hideMark/>
          </w:tcPr>
          <w:p w14:paraId="1FB47B7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69F1BA3B"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1,9</w:t>
            </w:r>
          </w:p>
        </w:tc>
        <w:tc>
          <w:tcPr>
            <w:tcW w:w="486" w:type="pct"/>
            <w:tcBorders>
              <w:top w:val="nil"/>
              <w:left w:val="nil"/>
              <w:bottom w:val="single" w:sz="4" w:space="0" w:color="auto"/>
              <w:right w:val="single" w:sz="4" w:space="0" w:color="auto"/>
            </w:tcBorders>
            <w:shd w:val="clear" w:color="auto" w:fill="auto"/>
            <w:noWrap/>
            <w:vAlign w:val="bottom"/>
            <w:hideMark/>
          </w:tcPr>
          <w:p w14:paraId="79824B2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0,8</w:t>
            </w:r>
          </w:p>
        </w:tc>
        <w:tc>
          <w:tcPr>
            <w:tcW w:w="295" w:type="pct"/>
            <w:tcBorders>
              <w:top w:val="nil"/>
              <w:left w:val="nil"/>
              <w:bottom w:val="single" w:sz="4" w:space="0" w:color="auto"/>
              <w:right w:val="single" w:sz="4" w:space="0" w:color="auto"/>
            </w:tcBorders>
            <w:shd w:val="clear" w:color="auto" w:fill="auto"/>
            <w:noWrap/>
            <w:vAlign w:val="bottom"/>
            <w:hideMark/>
          </w:tcPr>
          <w:p w14:paraId="16897886"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32E17B6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1,0</w:t>
            </w:r>
          </w:p>
        </w:tc>
        <w:tc>
          <w:tcPr>
            <w:tcW w:w="469" w:type="pct"/>
            <w:tcBorders>
              <w:top w:val="nil"/>
              <w:left w:val="nil"/>
              <w:bottom w:val="single" w:sz="4" w:space="0" w:color="auto"/>
              <w:right w:val="single" w:sz="4" w:space="0" w:color="auto"/>
            </w:tcBorders>
            <w:shd w:val="clear" w:color="auto" w:fill="auto"/>
            <w:noWrap/>
            <w:vAlign w:val="bottom"/>
            <w:hideMark/>
          </w:tcPr>
          <w:p w14:paraId="0F490122"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1,3</w:t>
            </w:r>
          </w:p>
        </w:tc>
        <w:tc>
          <w:tcPr>
            <w:tcW w:w="391" w:type="pct"/>
            <w:tcBorders>
              <w:top w:val="nil"/>
              <w:left w:val="nil"/>
              <w:bottom w:val="single" w:sz="4" w:space="0" w:color="auto"/>
              <w:right w:val="single" w:sz="4" w:space="0" w:color="auto"/>
            </w:tcBorders>
            <w:shd w:val="clear" w:color="auto" w:fill="auto"/>
            <w:noWrap/>
            <w:vAlign w:val="bottom"/>
            <w:hideMark/>
          </w:tcPr>
          <w:p w14:paraId="7EBD247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1,0</w:t>
            </w:r>
          </w:p>
        </w:tc>
        <w:tc>
          <w:tcPr>
            <w:tcW w:w="390" w:type="pct"/>
            <w:tcBorders>
              <w:top w:val="nil"/>
              <w:left w:val="nil"/>
              <w:bottom w:val="single" w:sz="4" w:space="0" w:color="auto"/>
              <w:right w:val="single" w:sz="4" w:space="0" w:color="auto"/>
            </w:tcBorders>
            <w:shd w:val="clear" w:color="auto" w:fill="auto"/>
            <w:noWrap/>
            <w:vAlign w:val="bottom"/>
            <w:hideMark/>
          </w:tcPr>
          <w:p w14:paraId="392D6630"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0,9</w:t>
            </w:r>
          </w:p>
        </w:tc>
      </w:tr>
      <w:tr w:rsidR="00134998" w:rsidRPr="00F16FE3" w14:paraId="79E38066"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6F367BFA"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8.000 EUR-&lt;25.000 EUR</w:t>
            </w:r>
          </w:p>
        </w:tc>
        <w:tc>
          <w:tcPr>
            <w:tcW w:w="405" w:type="pct"/>
            <w:tcBorders>
              <w:top w:val="nil"/>
              <w:left w:val="nil"/>
              <w:bottom w:val="single" w:sz="4" w:space="0" w:color="auto"/>
              <w:right w:val="single" w:sz="4" w:space="0" w:color="auto"/>
            </w:tcBorders>
            <w:shd w:val="clear" w:color="auto" w:fill="auto"/>
            <w:noWrap/>
            <w:vAlign w:val="bottom"/>
            <w:hideMark/>
          </w:tcPr>
          <w:p w14:paraId="183F246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0,9</w:t>
            </w:r>
          </w:p>
        </w:tc>
        <w:tc>
          <w:tcPr>
            <w:tcW w:w="458" w:type="pct"/>
            <w:tcBorders>
              <w:top w:val="nil"/>
              <w:left w:val="nil"/>
              <w:bottom w:val="single" w:sz="4" w:space="0" w:color="auto"/>
              <w:right w:val="single" w:sz="4" w:space="0" w:color="auto"/>
            </w:tcBorders>
            <w:shd w:val="clear" w:color="auto" w:fill="auto"/>
            <w:noWrap/>
            <w:vAlign w:val="bottom"/>
            <w:hideMark/>
          </w:tcPr>
          <w:p w14:paraId="496348C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00EB9BD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w:t>
            </w:r>
          </w:p>
        </w:tc>
        <w:tc>
          <w:tcPr>
            <w:tcW w:w="486" w:type="pct"/>
            <w:tcBorders>
              <w:top w:val="nil"/>
              <w:left w:val="nil"/>
              <w:bottom w:val="single" w:sz="4" w:space="0" w:color="auto"/>
              <w:right w:val="single" w:sz="4" w:space="0" w:color="auto"/>
            </w:tcBorders>
            <w:shd w:val="clear" w:color="auto" w:fill="auto"/>
            <w:noWrap/>
            <w:vAlign w:val="bottom"/>
            <w:hideMark/>
          </w:tcPr>
          <w:p w14:paraId="69C72F2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1,0</w:t>
            </w:r>
          </w:p>
        </w:tc>
        <w:tc>
          <w:tcPr>
            <w:tcW w:w="295" w:type="pct"/>
            <w:tcBorders>
              <w:top w:val="nil"/>
              <w:left w:val="nil"/>
              <w:bottom w:val="single" w:sz="4" w:space="0" w:color="auto"/>
              <w:right w:val="single" w:sz="4" w:space="0" w:color="auto"/>
            </w:tcBorders>
            <w:shd w:val="clear" w:color="auto" w:fill="auto"/>
            <w:noWrap/>
            <w:vAlign w:val="bottom"/>
            <w:hideMark/>
          </w:tcPr>
          <w:p w14:paraId="196891A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w:t>
            </w:r>
          </w:p>
        </w:tc>
        <w:tc>
          <w:tcPr>
            <w:tcW w:w="469" w:type="pct"/>
            <w:tcBorders>
              <w:top w:val="nil"/>
              <w:left w:val="nil"/>
              <w:bottom w:val="single" w:sz="4" w:space="0" w:color="auto"/>
              <w:right w:val="single" w:sz="4" w:space="0" w:color="auto"/>
            </w:tcBorders>
            <w:shd w:val="clear" w:color="auto" w:fill="auto"/>
            <w:noWrap/>
            <w:vAlign w:val="bottom"/>
            <w:hideMark/>
          </w:tcPr>
          <w:p w14:paraId="5BA9B37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1,3</w:t>
            </w:r>
          </w:p>
        </w:tc>
        <w:tc>
          <w:tcPr>
            <w:tcW w:w="469" w:type="pct"/>
            <w:tcBorders>
              <w:top w:val="nil"/>
              <w:left w:val="nil"/>
              <w:bottom w:val="single" w:sz="4" w:space="0" w:color="auto"/>
              <w:right w:val="single" w:sz="4" w:space="0" w:color="auto"/>
            </w:tcBorders>
            <w:shd w:val="clear" w:color="auto" w:fill="auto"/>
            <w:noWrap/>
            <w:vAlign w:val="bottom"/>
            <w:hideMark/>
          </w:tcPr>
          <w:p w14:paraId="18562A8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0,9</w:t>
            </w:r>
          </w:p>
        </w:tc>
        <w:tc>
          <w:tcPr>
            <w:tcW w:w="391" w:type="pct"/>
            <w:tcBorders>
              <w:top w:val="nil"/>
              <w:left w:val="nil"/>
              <w:bottom w:val="single" w:sz="4" w:space="0" w:color="auto"/>
              <w:right w:val="single" w:sz="4" w:space="0" w:color="auto"/>
            </w:tcBorders>
            <w:shd w:val="clear" w:color="auto" w:fill="auto"/>
            <w:noWrap/>
            <w:vAlign w:val="bottom"/>
            <w:hideMark/>
          </w:tcPr>
          <w:p w14:paraId="3CAB530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1,3</w:t>
            </w:r>
          </w:p>
        </w:tc>
        <w:tc>
          <w:tcPr>
            <w:tcW w:w="390" w:type="pct"/>
            <w:tcBorders>
              <w:top w:val="nil"/>
              <w:left w:val="nil"/>
              <w:bottom w:val="single" w:sz="4" w:space="0" w:color="auto"/>
              <w:right w:val="single" w:sz="4" w:space="0" w:color="auto"/>
            </w:tcBorders>
            <w:shd w:val="clear" w:color="auto" w:fill="auto"/>
            <w:noWrap/>
            <w:vAlign w:val="bottom"/>
            <w:hideMark/>
          </w:tcPr>
          <w:p w14:paraId="139C9A98"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1,2</w:t>
            </w:r>
          </w:p>
        </w:tc>
      </w:tr>
      <w:tr w:rsidR="00134998" w:rsidRPr="00F16FE3" w14:paraId="03740E16"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27C1B853"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25.000 EUR-&lt;100.000 EUR</w:t>
            </w:r>
          </w:p>
        </w:tc>
        <w:tc>
          <w:tcPr>
            <w:tcW w:w="405" w:type="pct"/>
            <w:tcBorders>
              <w:top w:val="nil"/>
              <w:left w:val="nil"/>
              <w:bottom w:val="single" w:sz="4" w:space="0" w:color="auto"/>
              <w:right w:val="single" w:sz="4" w:space="0" w:color="auto"/>
            </w:tcBorders>
            <w:shd w:val="clear" w:color="auto" w:fill="auto"/>
            <w:noWrap/>
            <w:vAlign w:val="bottom"/>
            <w:hideMark/>
          </w:tcPr>
          <w:p w14:paraId="4DC917F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1,6</w:t>
            </w:r>
          </w:p>
        </w:tc>
        <w:tc>
          <w:tcPr>
            <w:tcW w:w="458" w:type="pct"/>
            <w:tcBorders>
              <w:top w:val="nil"/>
              <w:left w:val="nil"/>
              <w:bottom w:val="single" w:sz="4" w:space="0" w:color="auto"/>
              <w:right w:val="single" w:sz="4" w:space="0" w:color="auto"/>
            </w:tcBorders>
            <w:shd w:val="clear" w:color="auto" w:fill="auto"/>
            <w:noWrap/>
            <w:vAlign w:val="bottom"/>
            <w:hideMark/>
          </w:tcPr>
          <w:p w14:paraId="36A8B047"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2,2</w:t>
            </w:r>
          </w:p>
        </w:tc>
        <w:tc>
          <w:tcPr>
            <w:tcW w:w="625" w:type="pct"/>
            <w:tcBorders>
              <w:top w:val="nil"/>
              <w:left w:val="nil"/>
              <w:bottom w:val="single" w:sz="4" w:space="0" w:color="auto"/>
              <w:right w:val="single" w:sz="4" w:space="0" w:color="auto"/>
            </w:tcBorders>
            <w:shd w:val="clear" w:color="auto" w:fill="auto"/>
            <w:noWrap/>
            <w:vAlign w:val="bottom"/>
            <w:hideMark/>
          </w:tcPr>
          <w:p w14:paraId="007F55F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2,0</w:t>
            </w:r>
          </w:p>
        </w:tc>
        <w:tc>
          <w:tcPr>
            <w:tcW w:w="486" w:type="pct"/>
            <w:tcBorders>
              <w:top w:val="nil"/>
              <w:left w:val="nil"/>
              <w:bottom w:val="single" w:sz="4" w:space="0" w:color="auto"/>
              <w:right w:val="single" w:sz="4" w:space="0" w:color="auto"/>
            </w:tcBorders>
            <w:shd w:val="clear" w:color="auto" w:fill="auto"/>
            <w:noWrap/>
            <w:vAlign w:val="bottom"/>
            <w:hideMark/>
          </w:tcPr>
          <w:p w14:paraId="30115A6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1,9</w:t>
            </w:r>
          </w:p>
        </w:tc>
        <w:tc>
          <w:tcPr>
            <w:tcW w:w="295" w:type="pct"/>
            <w:tcBorders>
              <w:top w:val="nil"/>
              <w:left w:val="nil"/>
              <w:bottom w:val="single" w:sz="4" w:space="0" w:color="auto"/>
              <w:right w:val="single" w:sz="4" w:space="0" w:color="auto"/>
            </w:tcBorders>
            <w:shd w:val="clear" w:color="auto" w:fill="auto"/>
            <w:noWrap/>
            <w:vAlign w:val="bottom"/>
            <w:hideMark/>
          </w:tcPr>
          <w:p w14:paraId="24C5859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1,8</w:t>
            </w:r>
          </w:p>
        </w:tc>
        <w:tc>
          <w:tcPr>
            <w:tcW w:w="469" w:type="pct"/>
            <w:tcBorders>
              <w:top w:val="nil"/>
              <w:left w:val="nil"/>
              <w:bottom w:val="single" w:sz="4" w:space="0" w:color="auto"/>
              <w:right w:val="single" w:sz="4" w:space="0" w:color="auto"/>
            </w:tcBorders>
            <w:shd w:val="clear" w:color="auto" w:fill="auto"/>
            <w:noWrap/>
            <w:vAlign w:val="bottom"/>
            <w:hideMark/>
          </w:tcPr>
          <w:p w14:paraId="48A3FB3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1,5</w:t>
            </w:r>
          </w:p>
        </w:tc>
        <w:tc>
          <w:tcPr>
            <w:tcW w:w="469" w:type="pct"/>
            <w:tcBorders>
              <w:top w:val="nil"/>
              <w:left w:val="nil"/>
              <w:bottom w:val="single" w:sz="4" w:space="0" w:color="auto"/>
              <w:right w:val="single" w:sz="4" w:space="0" w:color="auto"/>
            </w:tcBorders>
            <w:shd w:val="clear" w:color="auto" w:fill="auto"/>
            <w:noWrap/>
            <w:vAlign w:val="bottom"/>
            <w:hideMark/>
          </w:tcPr>
          <w:p w14:paraId="55E86180"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1,5</w:t>
            </w:r>
          </w:p>
        </w:tc>
        <w:tc>
          <w:tcPr>
            <w:tcW w:w="391" w:type="pct"/>
            <w:tcBorders>
              <w:top w:val="nil"/>
              <w:left w:val="nil"/>
              <w:bottom w:val="single" w:sz="4" w:space="0" w:color="auto"/>
              <w:right w:val="single" w:sz="4" w:space="0" w:color="auto"/>
            </w:tcBorders>
            <w:shd w:val="clear" w:color="auto" w:fill="auto"/>
            <w:noWrap/>
            <w:vAlign w:val="bottom"/>
            <w:hideMark/>
          </w:tcPr>
          <w:p w14:paraId="4EF153C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1,5</w:t>
            </w:r>
          </w:p>
        </w:tc>
        <w:tc>
          <w:tcPr>
            <w:tcW w:w="390" w:type="pct"/>
            <w:tcBorders>
              <w:top w:val="nil"/>
              <w:left w:val="nil"/>
              <w:bottom w:val="single" w:sz="4" w:space="0" w:color="auto"/>
              <w:right w:val="single" w:sz="4" w:space="0" w:color="auto"/>
            </w:tcBorders>
            <w:shd w:val="clear" w:color="auto" w:fill="auto"/>
            <w:noWrap/>
            <w:vAlign w:val="bottom"/>
            <w:hideMark/>
          </w:tcPr>
          <w:p w14:paraId="1B28B352"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1,7</w:t>
            </w:r>
          </w:p>
        </w:tc>
      </w:tr>
      <w:tr w:rsidR="00134998" w:rsidRPr="00F16FE3" w14:paraId="7360C8C9"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164D0570"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100.000 EUR-&lt;500.000 EUR</w:t>
            </w:r>
          </w:p>
        </w:tc>
        <w:tc>
          <w:tcPr>
            <w:tcW w:w="405" w:type="pct"/>
            <w:tcBorders>
              <w:top w:val="nil"/>
              <w:left w:val="nil"/>
              <w:bottom w:val="single" w:sz="4" w:space="0" w:color="auto"/>
              <w:right w:val="single" w:sz="4" w:space="0" w:color="auto"/>
            </w:tcBorders>
            <w:shd w:val="clear" w:color="auto" w:fill="auto"/>
            <w:noWrap/>
            <w:vAlign w:val="bottom"/>
            <w:hideMark/>
          </w:tcPr>
          <w:p w14:paraId="23D649F2"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3,9</w:t>
            </w:r>
          </w:p>
        </w:tc>
        <w:tc>
          <w:tcPr>
            <w:tcW w:w="458" w:type="pct"/>
            <w:tcBorders>
              <w:top w:val="nil"/>
              <w:left w:val="nil"/>
              <w:bottom w:val="single" w:sz="4" w:space="0" w:color="auto"/>
              <w:right w:val="single" w:sz="4" w:space="0" w:color="auto"/>
            </w:tcBorders>
            <w:shd w:val="clear" w:color="auto" w:fill="auto"/>
            <w:noWrap/>
            <w:vAlign w:val="bottom"/>
            <w:hideMark/>
          </w:tcPr>
          <w:p w14:paraId="6EDF7B7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12,2</w:t>
            </w:r>
          </w:p>
        </w:tc>
        <w:tc>
          <w:tcPr>
            <w:tcW w:w="625" w:type="pct"/>
            <w:tcBorders>
              <w:top w:val="nil"/>
              <w:left w:val="nil"/>
              <w:bottom w:val="single" w:sz="4" w:space="0" w:color="auto"/>
              <w:right w:val="single" w:sz="4" w:space="0" w:color="auto"/>
            </w:tcBorders>
            <w:shd w:val="clear" w:color="auto" w:fill="auto"/>
            <w:noWrap/>
            <w:vAlign w:val="bottom"/>
            <w:hideMark/>
          </w:tcPr>
          <w:p w14:paraId="0E915B8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3,5</w:t>
            </w:r>
          </w:p>
        </w:tc>
        <w:tc>
          <w:tcPr>
            <w:tcW w:w="486" w:type="pct"/>
            <w:tcBorders>
              <w:top w:val="nil"/>
              <w:left w:val="nil"/>
              <w:bottom w:val="single" w:sz="4" w:space="0" w:color="auto"/>
              <w:right w:val="single" w:sz="4" w:space="0" w:color="auto"/>
            </w:tcBorders>
            <w:shd w:val="clear" w:color="auto" w:fill="auto"/>
            <w:noWrap/>
            <w:vAlign w:val="bottom"/>
            <w:hideMark/>
          </w:tcPr>
          <w:p w14:paraId="797214D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3,5</w:t>
            </w:r>
          </w:p>
        </w:tc>
        <w:tc>
          <w:tcPr>
            <w:tcW w:w="295" w:type="pct"/>
            <w:tcBorders>
              <w:top w:val="nil"/>
              <w:left w:val="nil"/>
              <w:bottom w:val="single" w:sz="4" w:space="0" w:color="auto"/>
              <w:right w:val="single" w:sz="4" w:space="0" w:color="auto"/>
            </w:tcBorders>
            <w:shd w:val="clear" w:color="auto" w:fill="auto"/>
            <w:noWrap/>
            <w:vAlign w:val="bottom"/>
            <w:hideMark/>
          </w:tcPr>
          <w:p w14:paraId="2896C6D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2,3</w:t>
            </w:r>
          </w:p>
        </w:tc>
        <w:tc>
          <w:tcPr>
            <w:tcW w:w="469" w:type="pct"/>
            <w:tcBorders>
              <w:top w:val="nil"/>
              <w:left w:val="nil"/>
              <w:bottom w:val="single" w:sz="4" w:space="0" w:color="auto"/>
              <w:right w:val="single" w:sz="4" w:space="0" w:color="auto"/>
            </w:tcBorders>
            <w:shd w:val="clear" w:color="auto" w:fill="auto"/>
            <w:noWrap/>
            <w:vAlign w:val="bottom"/>
            <w:hideMark/>
          </w:tcPr>
          <w:p w14:paraId="3B57D3D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2,2</w:t>
            </w:r>
          </w:p>
        </w:tc>
        <w:tc>
          <w:tcPr>
            <w:tcW w:w="469" w:type="pct"/>
            <w:tcBorders>
              <w:top w:val="nil"/>
              <w:left w:val="nil"/>
              <w:bottom w:val="single" w:sz="4" w:space="0" w:color="auto"/>
              <w:right w:val="single" w:sz="4" w:space="0" w:color="auto"/>
            </w:tcBorders>
            <w:shd w:val="clear" w:color="auto" w:fill="auto"/>
            <w:noWrap/>
            <w:vAlign w:val="bottom"/>
            <w:hideMark/>
          </w:tcPr>
          <w:p w14:paraId="3366CAD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1,7</w:t>
            </w:r>
          </w:p>
        </w:tc>
        <w:tc>
          <w:tcPr>
            <w:tcW w:w="391" w:type="pct"/>
            <w:tcBorders>
              <w:top w:val="nil"/>
              <w:left w:val="nil"/>
              <w:bottom w:val="single" w:sz="4" w:space="0" w:color="auto"/>
              <w:right w:val="single" w:sz="4" w:space="0" w:color="auto"/>
            </w:tcBorders>
            <w:shd w:val="clear" w:color="auto" w:fill="auto"/>
            <w:noWrap/>
            <w:vAlign w:val="bottom"/>
            <w:hideMark/>
          </w:tcPr>
          <w:p w14:paraId="0980EEA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2,8</w:t>
            </w:r>
          </w:p>
        </w:tc>
        <w:tc>
          <w:tcPr>
            <w:tcW w:w="390" w:type="pct"/>
            <w:tcBorders>
              <w:top w:val="nil"/>
              <w:left w:val="nil"/>
              <w:bottom w:val="single" w:sz="4" w:space="0" w:color="auto"/>
              <w:right w:val="single" w:sz="4" w:space="0" w:color="auto"/>
            </w:tcBorders>
            <w:shd w:val="clear" w:color="auto" w:fill="auto"/>
            <w:noWrap/>
            <w:vAlign w:val="bottom"/>
            <w:hideMark/>
          </w:tcPr>
          <w:p w14:paraId="325148C0"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3,1</w:t>
            </w:r>
          </w:p>
        </w:tc>
      </w:tr>
      <w:tr w:rsidR="00134998" w:rsidRPr="00F16FE3" w14:paraId="18D82244"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6303BB75"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=&gt;500.000 EUR</w:t>
            </w:r>
          </w:p>
        </w:tc>
        <w:tc>
          <w:tcPr>
            <w:tcW w:w="405" w:type="pct"/>
            <w:tcBorders>
              <w:top w:val="nil"/>
              <w:left w:val="nil"/>
              <w:bottom w:val="single" w:sz="4" w:space="0" w:color="auto"/>
              <w:right w:val="single" w:sz="4" w:space="0" w:color="auto"/>
            </w:tcBorders>
            <w:shd w:val="clear" w:color="auto" w:fill="auto"/>
            <w:noWrap/>
            <w:vAlign w:val="bottom"/>
            <w:hideMark/>
          </w:tcPr>
          <w:p w14:paraId="213B5BD6"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58" w:type="pct"/>
            <w:tcBorders>
              <w:top w:val="nil"/>
              <w:left w:val="nil"/>
              <w:bottom w:val="single" w:sz="4" w:space="0" w:color="auto"/>
              <w:right w:val="single" w:sz="4" w:space="0" w:color="auto"/>
            </w:tcBorders>
            <w:shd w:val="clear" w:color="auto" w:fill="auto"/>
            <w:noWrap/>
            <w:vAlign w:val="bottom"/>
            <w:hideMark/>
          </w:tcPr>
          <w:p w14:paraId="7D3EDC8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14,0</w:t>
            </w:r>
          </w:p>
        </w:tc>
        <w:tc>
          <w:tcPr>
            <w:tcW w:w="625" w:type="pct"/>
            <w:tcBorders>
              <w:top w:val="nil"/>
              <w:left w:val="nil"/>
              <w:bottom w:val="single" w:sz="4" w:space="0" w:color="auto"/>
              <w:right w:val="single" w:sz="4" w:space="0" w:color="auto"/>
            </w:tcBorders>
            <w:shd w:val="clear" w:color="auto" w:fill="auto"/>
            <w:noWrap/>
            <w:vAlign w:val="bottom"/>
            <w:hideMark/>
          </w:tcPr>
          <w:p w14:paraId="6F9F4BA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6,8</w:t>
            </w:r>
          </w:p>
        </w:tc>
        <w:tc>
          <w:tcPr>
            <w:tcW w:w="486" w:type="pct"/>
            <w:tcBorders>
              <w:top w:val="nil"/>
              <w:left w:val="nil"/>
              <w:bottom w:val="single" w:sz="4" w:space="0" w:color="auto"/>
              <w:right w:val="single" w:sz="4" w:space="0" w:color="auto"/>
            </w:tcBorders>
            <w:shd w:val="clear" w:color="auto" w:fill="auto"/>
            <w:noWrap/>
            <w:vAlign w:val="bottom"/>
            <w:hideMark/>
          </w:tcPr>
          <w:p w14:paraId="4D266EC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295" w:type="pct"/>
            <w:tcBorders>
              <w:top w:val="nil"/>
              <w:left w:val="nil"/>
              <w:bottom w:val="single" w:sz="4" w:space="0" w:color="auto"/>
              <w:right w:val="single" w:sz="4" w:space="0" w:color="auto"/>
            </w:tcBorders>
            <w:shd w:val="clear" w:color="auto" w:fill="auto"/>
            <w:noWrap/>
            <w:vAlign w:val="bottom"/>
            <w:hideMark/>
          </w:tcPr>
          <w:p w14:paraId="5674C72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5908C42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4059498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3,5</w:t>
            </w:r>
          </w:p>
        </w:tc>
        <w:tc>
          <w:tcPr>
            <w:tcW w:w="391" w:type="pct"/>
            <w:tcBorders>
              <w:top w:val="nil"/>
              <w:left w:val="nil"/>
              <w:bottom w:val="single" w:sz="4" w:space="0" w:color="auto"/>
              <w:right w:val="single" w:sz="4" w:space="0" w:color="auto"/>
            </w:tcBorders>
            <w:shd w:val="clear" w:color="auto" w:fill="auto"/>
            <w:noWrap/>
            <w:vAlign w:val="bottom"/>
            <w:hideMark/>
          </w:tcPr>
          <w:p w14:paraId="3C67BA6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390" w:type="pct"/>
            <w:tcBorders>
              <w:top w:val="nil"/>
              <w:left w:val="nil"/>
              <w:bottom w:val="single" w:sz="4" w:space="0" w:color="auto"/>
              <w:right w:val="single" w:sz="4" w:space="0" w:color="auto"/>
            </w:tcBorders>
            <w:shd w:val="clear" w:color="auto" w:fill="auto"/>
            <w:noWrap/>
            <w:vAlign w:val="bottom"/>
            <w:hideMark/>
          </w:tcPr>
          <w:p w14:paraId="7267F2BD"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6,1</w:t>
            </w:r>
          </w:p>
        </w:tc>
      </w:tr>
      <w:tr w:rsidR="00134998" w:rsidRPr="00F16FE3" w14:paraId="0041F5A6"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36A749DE" w14:textId="77777777" w:rsidR="00134998" w:rsidRPr="00F16FE3" w:rsidRDefault="00134998" w:rsidP="009F4DF4">
            <w:pPr>
              <w:spacing w:line="240" w:lineRule="auto"/>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Skupaj</w:t>
            </w:r>
          </w:p>
        </w:tc>
        <w:tc>
          <w:tcPr>
            <w:tcW w:w="405" w:type="pct"/>
            <w:tcBorders>
              <w:top w:val="nil"/>
              <w:left w:val="nil"/>
              <w:bottom w:val="single" w:sz="4" w:space="0" w:color="auto"/>
              <w:right w:val="single" w:sz="4" w:space="0" w:color="auto"/>
            </w:tcBorders>
            <w:shd w:val="clear" w:color="auto" w:fill="auto"/>
            <w:noWrap/>
            <w:vAlign w:val="bottom"/>
            <w:hideMark/>
          </w:tcPr>
          <w:p w14:paraId="4AC9A83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0,9</w:t>
            </w:r>
          </w:p>
        </w:tc>
        <w:tc>
          <w:tcPr>
            <w:tcW w:w="458" w:type="pct"/>
            <w:tcBorders>
              <w:top w:val="nil"/>
              <w:left w:val="nil"/>
              <w:bottom w:val="single" w:sz="4" w:space="0" w:color="auto"/>
              <w:right w:val="single" w:sz="4" w:space="0" w:color="auto"/>
            </w:tcBorders>
            <w:shd w:val="clear" w:color="auto" w:fill="auto"/>
            <w:noWrap/>
            <w:vAlign w:val="bottom"/>
            <w:hideMark/>
          </w:tcPr>
          <w:p w14:paraId="3546DBE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5,3</w:t>
            </w:r>
          </w:p>
        </w:tc>
        <w:tc>
          <w:tcPr>
            <w:tcW w:w="625" w:type="pct"/>
            <w:tcBorders>
              <w:top w:val="nil"/>
              <w:left w:val="nil"/>
              <w:bottom w:val="single" w:sz="4" w:space="0" w:color="auto"/>
              <w:right w:val="single" w:sz="4" w:space="0" w:color="auto"/>
            </w:tcBorders>
            <w:shd w:val="clear" w:color="auto" w:fill="auto"/>
            <w:noWrap/>
            <w:vAlign w:val="bottom"/>
            <w:hideMark/>
          </w:tcPr>
          <w:p w14:paraId="7A704220"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1,7</w:t>
            </w:r>
          </w:p>
        </w:tc>
        <w:tc>
          <w:tcPr>
            <w:tcW w:w="486" w:type="pct"/>
            <w:tcBorders>
              <w:top w:val="nil"/>
              <w:left w:val="nil"/>
              <w:bottom w:val="single" w:sz="4" w:space="0" w:color="auto"/>
              <w:right w:val="single" w:sz="4" w:space="0" w:color="auto"/>
            </w:tcBorders>
            <w:shd w:val="clear" w:color="auto" w:fill="auto"/>
            <w:noWrap/>
            <w:vAlign w:val="bottom"/>
            <w:hideMark/>
          </w:tcPr>
          <w:p w14:paraId="3FA5D1D1"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1,1</w:t>
            </w:r>
          </w:p>
        </w:tc>
        <w:tc>
          <w:tcPr>
            <w:tcW w:w="295" w:type="pct"/>
            <w:tcBorders>
              <w:top w:val="nil"/>
              <w:left w:val="nil"/>
              <w:bottom w:val="single" w:sz="4" w:space="0" w:color="auto"/>
              <w:right w:val="single" w:sz="4" w:space="0" w:color="auto"/>
            </w:tcBorders>
            <w:shd w:val="clear" w:color="auto" w:fill="auto"/>
            <w:noWrap/>
            <w:vAlign w:val="bottom"/>
            <w:hideMark/>
          </w:tcPr>
          <w:p w14:paraId="576F1312"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1,7</w:t>
            </w:r>
          </w:p>
        </w:tc>
        <w:tc>
          <w:tcPr>
            <w:tcW w:w="469" w:type="pct"/>
            <w:tcBorders>
              <w:top w:val="nil"/>
              <w:left w:val="nil"/>
              <w:bottom w:val="single" w:sz="4" w:space="0" w:color="auto"/>
              <w:right w:val="single" w:sz="4" w:space="0" w:color="auto"/>
            </w:tcBorders>
            <w:shd w:val="clear" w:color="auto" w:fill="auto"/>
            <w:noWrap/>
            <w:vAlign w:val="bottom"/>
            <w:hideMark/>
          </w:tcPr>
          <w:p w14:paraId="5B3B72B4"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1,2</w:t>
            </w:r>
          </w:p>
        </w:tc>
        <w:tc>
          <w:tcPr>
            <w:tcW w:w="469" w:type="pct"/>
            <w:tcBorders>
              <w:top w:val="nil"/>
              <w:left w:val="nil"/>
              <w:bottom w:val="single" w:sz="4" w:space="0" w:color="auto"/>
              <w:right w:val="single" w:sz="4" w:space="0" w:color="auto"/>
            </w:tcBorders>
            <w:shd w:val="clear" w:color="auto" w:fill="auto"/>
            <w:noWrap/>
            <w:vAlign w:val="bottom"/>
            <w:hideMark/>
          </w:tcPr>
          <w:p w14:paraId="12AC4314"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1,6</w:t>
            </w:r>
          </w:p>
        </w:tc>
        <w:tc>
          <w:tcPr>
            <w:tcW w:w="391" w:type="pct"/>
            <w:tcBorders>
              <w:top w:val="nil"/>
              <w:left w:val="nil"/>
              <w:bottom w:val="single" w:sz="4" w:space="0" w:color="auto"/>
              <w:right w:val="single" w:sz="4" w:space="0" w:color="auto"/>
            </w:tcBorders>
            <w:shd w:val="clear" w:color="auto" w:fill="auto"/>
            <w:noWrap/>
            <w:vAlign w:val="bottom"/>
            <w:hideMark/>
          </w:tcPr>
          <w:p w14:paraId="75960804"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1,2</w:t>
            </w:r>
          </w:p>
        </w:tc>
        <w:tc>
          <w:tcPr>
            <w:tcW w:w="390" w:type="pct"/>
            <w:tcBorders>
              <w:top w:val="nil"/>
              <w:left w:val="nil"/>
              <w:bottom w:val="single" w:sz="4" w:space="0" w:color="auto"/>
              <w:right w:val="single" w:sz="4" w:space="0" w:color="auto"/>
            </w:tcBorders>
            <w:shd w:val="clear" w:color="auto" w:fill="auto"/>
            <w:noWrap/>
            <w:vAlign w:val="bottom"/>
            <w:hideMark/>
          </w:tcPr>
          <w:p w14:paraId="17BE72AC"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1,3</w:t>
            </w:r>
          </w:p>
        </w:tc>
      </w:tr>
      <w:tr w:rsidR="00134998" w:rsidRPr="00F16FE3" w14:paraId="4A7D578A" w14:textId="77777777" w:rsidTr="009F4DF4">
        <w:trPr>
          <w:trHeight w:val="288"/>
        </w:trPr>
        <w:tc>
          <w:tcPr>
            <w:tcW w:w="1012" w:type="pct"/>
            <w:tcBorders>
              <w:top w:val="nil"/>
              <w:left w:val="nil"/>
              <w:bottom w:val="nil"/>
              <w:right w:val="nil"/>
            </w:tcBorders>
            <w:shd w:val="clear" w:color="auto" w:fill="auto"/>
            <w:noWrap/>
            <w:vAlign w:val="bottom"/>
            <w:hideMark/>
          </w:tcPr>
          <w:p w14:paraId="3A50C539" w14:textId="77777777" w:rsidR="00134998" w:rsidRPr="00F16FE3" w:rsidRDefault="00134998" w:rsidP="009F4DF4">
            <w:pPr>
              <w:spacing w:line="240" w:lineRule="auto"/>
              <w:jc w:val="right"/>
              <w:rPr>
                <w:rFonts w:ascii="Calibri" w:hAnsi="Calibri" w:cs="Calibri"/>
                <w:b/>
                <w:bCs/>
                <w:color w:val="1F497D" w:themeColor="text2"/>
                <w:sz w:val="16"/>
                <w:szCs w:val="16"/>
                <w:lang w:eastAsia="sl-SI"/>
              </w:rPr>
            </w:pPr>
          </w:p>
        </w:tc>
        <w:tc>
          <w:tcPr>
            <w:tcW w:w="405" w:type="pct"/>
            <w:tcBorders>
              <w:top w:val="nil"/>
              <w:left w:val="nil"/>
              <w:bottom w:val="nil"/>
              <w:right w:val="nil"/>
            </w:tcBorders>
            <w:shd w:val="clear" w:color="auto" w:fill="auto"/>
            <w:noWrap/>
            <w:vAlign w:val="bottom"/>
            <w:hideMark/>
          </w:tcPr>
          <w:p w14:paraId="47AADDB8"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58" w:type="pct"/>
            <w:tcBorders>
              <w:top w:val="nil"/>
              <w:left w:val="nil"/>
              <w:bottom w:val="nil"/>
              <w:right w:val="nil"/>
            </w:tcBorders>
            <w:shd w:val="clear" w:color="auto" w:fill="auto"/>
            <w:noWrap/>
            <w:vAlign w:val="bottom"/>
            <w:hideMark/>
          </w:tcPr>
          <w:p w14:paraId="0108B6A9" w14:textId="77777777" w:rsidR="00134998" w:rsidRPr="00F16FE3" w:rsidRDefault="00134998" w:rsidP="009F4DF4">
            <w:pPr>
              <w:spacing w:line="240" w:lineRule="auto"/>
              <w:rPr>
                <w:rFonts w:ascii="Times New Roman" w:hAnsi="Times New Roman" w:cs="Times New Roman"/>
                <w:sz w:val="16"/>
                <w:szCs w:val="16"/>
                <w:lang w:eastAsia="sl-SI"/>
              </w:rPr>
            </w:pPr>
          </w:p>
        </w:tc>
        <w:tc>
          <w:tcPr>
            <w:tcW w:w="625" w:type="pct"/>
            <w:tcBorders>
              <w:top w:val="nil"/>
              <w:left w:val="nil"/>
              <w:bottom w:val="nil"/>
              <w:right w:val="nil"/>
            </w:tcBorders>
            <w:shd w:val="clear" w:color="auto" w:fill="auto"/>
            <w:noWrap/>
            <w:vAlign w:val="bottom"/>
            <w:hideMark/>
          </w:tcPr>
          <w:p w14:paraId="46542A91"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86" w:type="pct"/>
            <w:tcBorders>
              <w:top w:val="nil"/>
              <w:left w:val="nil"/>
              <w:bottom w:val="nil"/>
              <w:right w:val="nil"/>
            </w:tcBorders>
            <w:shd w:val="clear" w:color="auto" w:fill="auto"/>
            <w:noWrap/>
            <w:vAlign w:val="bottom"/>
            <w:hideMark/>
          </w:tcPr>
          <w:p w14:paraId="25F1C6DC" w14:textId="77777777" w:rsidR="00134998" w:rsidRPr="00F16FE3" w:rsidRDefault="00134998" w:rsidP="009F4DF4">
            <w:pPr>
              <w:spacing w:line="240" w:lineRule="auto"/>
              <w:rPr>
                <w:rFonts w:ascii="Times New Roman" w:hAnsi="Times New Roman" w:cs="Times New Roman"/>
                <w:sz w:val="16"/>
                <w:szCs w:val="16"/>
                <w:lang w:eastAsia="sl-SI"/>
              </w:rPr>
            </w:pPr>
          </w:p>
        </w:tc>
        <w:tc>
          <w:tcPr>
            <w:tcW w:w="295" w:type="pct"/>
            <w:tcBorders>
              <w:top w:val="nil"/>
              <w:left w:val="nil"/>
              <w:bottom w:val="nil"/>
              <w:right w:val="nil"/>
            </w:tcBorders>
            <w:shd w:val="clear" w:color="auto" w:fill="auto"/>
            <w:noWrap/>
            <w:vAlign w:val="bottom"/>
            <w:hideMark/>
          </w:tcPr>
          <w:p w14:paraId="47669E1E"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69" w:type="pct"/>
            <w:tcBorders>
              <w:top w:val="nil"/>
              <w:left w:val="nil"/>
              <w:bottom w:val="nil"/>
              <w:right w:val="nil"/>
            </w:tcBorders>
            <w:shd w:val="clear" w:color="auto" w:fill="auto"/>
            <w:noWrap/>
            <w:vAlign w:val="bottom"/>
            <w:hideMark/>
          </w:tcPr>
          <w:p w14:paraId="46CCC794" w14:textId="77777777" w:rsidR="00134998" w:rsidRPr="00F16FE3" w:rsidRDefault="00134998" w:rsidP="009F4DF4">
            <w:pPr>
              <w:spacing w:line="240" w:lineRule="auto"/>
              <w:rPr>
                <w:rFonts w:ascii="Times New Roman" w:hAnsi="Times New Roman" w:cs="Times New Roman"/>
                <w:sz w:val="16"/>
                <w:szCs w:val="16"/>
                <w:lang w:eastAsia="sl-SI"/>
              </w:rPr>
            </w:pPr>
          </w:p>
        </w:tc>
        <w:tc>
          <w:tcPr>
            <w:tcW w:w="469" w:type="pct"/>
            <w:tcBorders>
              <w:top w:val="nil"/>
              <w:left w:val="nil"/>
              <w:bottom w:val="nil"/>
              <w:right w:val="nil"/>
            </w:tcBorders>
            <w:shd w:val="clear" w:color="auto" w:fill="auto"/>
            <w:noWrap/>
            <w:vAlign w:val="bottom"/>
            <w:hideMark/>
          </w:tcPr>
          <w:p w14:paraId="39115B13" w14:textId="77777777" w:rsidR="00134998" w:rsidRPr="00F16FE3" w:rsidRDefault="00134998" w:rsidP="009F4DF4">
            <w:pPr>
              <w:spacing w:line="240" w:lineRule="auto"/>
              <w:rPr>
                <w:rFonts w:ascii="Times New Roman" w:hAnsi="Times New Roman" w:cs="Times New Roman"/>
                <w:sz w:val="16"/>
                <w:szCs w:val="16"/>
                <w:lang w:eastAsia="sl-SI"/>
              </w:rPr>
            </w:pPr>
          </w:p>
        </w:tc>
        <w:tc>
          <w:tcPr>
            <w:tcW w:w="391" w:type="pct"/>
            <w:tcBorders>
              <w:top w:val="nil"/>
              <w:left w:val="nil"/>
              <w:bottom w:val="nil"/>
              <w:right w:val="nil"/>
            </w:tcBorders>
            <w:shd w:val="clear" w:color="auto" w:fill="auto"/>
            <w:noWrap/>
            <w:vAlign w:val="bottom"/>
            <w:hideMark/>
          </w:tcPr>
          <w:p w14:paraId="69DFA75D" w14:textId="77777777" w:rsidR="00134998" w:rsidRPr="00F16FE3" w:rsidRDefault="00134998" w:rsidP="009F4DF4">
            <w:pPr>
              <w:spacing w:line="240" w:lineRule="auto"/>
              <w:rPr>
                <w:rFonts w:ascii="Times New Roman" w:hAnsi="Times New Roman" w:cs="Times New Roman"/>
                <w:sz w:val="16"/>
                <w:szCs w:val="16"/>
                <w:lang w:eastAsia="sl-SI"/>
              </w:rPr>
            </w:pPr>
          </w:p>
        </w:tc>
        <w:tc>
          <w:tcPr>
            <w:tcW w:w="390" w:type="pct"/>
            <w:tcBorders>
              <w:top w:val="nil"/>
              <w:left w:val="nil"/>
              <w:bottom w:val="nil"/>
              <w:right w:val="nil"/>
            </w:tcBorders>
            <w:shd w:val="clear" w:color="auto" w:fill="auto"/>
            <w:noWrap/>
            <w:vAlign w:val="bottom"/>
            <w:hideMark/>
          </w:tcPr>
          <w:p w14:paraId="44249538" w14:textId="77777777" w:rsidR="00134998" w:rsidRPr="00F16FE3" w:rsidRDefault="00134998" w:rsidP="009F4DF4">
            <w:pPr>
              <w:spacing w:line="240" w:lineRule="auto"/>
              <w:rPr>
                <w:rFonts w:ascii="Times New Roman" w:hAnsi="Times New Roman" w:cs="Times New Roman"/>
                <w:sz w:val="16"/>
                <w:szCs w:val="16"/>
                <w:lang w:eastAsia="sl-SI"/>
              </w:rPr>
            </w:pPr>
          </w:p>
        </w:tc>
      </w:tr>
      <w:tr w:rsidR="00134998" w:rsidRPr="00F16FE3" w14:paraId="1451DAD7" w14:textId="77777777" w:rsidTr="009F4DF4">
        <w:trPr>
          <w:trHeight w:val="288"/>
        </w:trPr>
        <w:tc>
          <w:tcPr>
            <w:tcW w:w="4610" w:type="pct"/>
            <w:gridSpan w:val="9"/>
            <w:tcBorders>
              <w:top w:val="nil"/>
              <w:left w:val="nil"/>
              <w:bottom w:val="nil"/>
              <w:right w:val="nil"/>
            </w:tcBorders>
            <w:shd w:val="clear" w:color="auto" w:fill="auto"/>
            <w:noWrap/>
            <w:vAlign w:val="bottom"/>
            <w:hideMark/>
          </w:tcPr>
          <w:p w14:paraId="45942CF0" w14:textId="77777777" w:rsidR="00134998" w:rsidRPr="00F16FE3" w:rsidRDefault="00134998" w:rsidP="009F4DF4">
            <w:pPr>
              <w:spacing w:line="240" w:lineRule="auto"/>
              <w:rPr>
                <w:rFonts w:ascii="Times New Roman" w:hAnsi="Times New Roman" w:cs="Times New Roman"/>
                <w:sz w:val="16"/>
                <w:szCs w:val="16"/>
                <w:lang w:eastAsia="sl-SI"/>
              </w:rPr>
            </w:pPr>
            <w:r w:rsidRPr="00F16FE3">
              <w:rPr>
                <w:rFonts w:ascii="Calibri" w:hAnsi="Calibri" w:cs="Calibri"/>
                <w:b/>
                <w:bCs/>
                <w:color w:val="1F497D" w:themeColor="text2"/>
                <w:sz w:val="16"/>
                <w:szCs w:val="16"/>
                <w:lang w:eastAsia="sl-SI"/>
              </w:rPr>
              <w:t> KZU, UTEŽENA POVPREČJA (ha KZU/KMG) ZA OBDOBJE</w:t>
            </w:r>
            <w:r>
              <w:rPr>
                <w:rFonts w:ascii="Calibri" w:hAnsi="Calibri" w:cs="Calibri"/>
                <w:b/>
                <w:bCs/>
                <w:color w:val="1F497D" w:themeColor="text2"/>
                <w:sz w:val="16"/>
                <w:szCs w:val="16"/>
                <w:lang w:eastAsia="sl-SI"/>
              </w:rPr>
              <w:t xml:space="preserve"> 2015–2019</w:t>
            </w:r>
            <w:r w:rsidRPr="00F16FE3">
              <w:rPr>
                <w:rFonts w:ascii="Calibri" w:hAnsi="Calibri" w:cs="Calibri"/>
                <w:color w:val="000000"/>
                <w:sz w:val="16"/>
                <w:szCs w:val="16"/>
                <w:lang w:eastAsia="sl-SI"/>
              </w:rPr>
              <w:t> </w:t>
            </w:r>
          </w:p>
        </w:tc>
        <w:tc>
          <w:tcPr>
            <w:tcW w:w="390" w:type="pct"/>
            <w:tcBorders>
              <w:top w:val="nil"/>
              <w:left w:val="nil"/>
              <w:bottom w:val="nil"/>
              <w:right w:val="nil"/>
            </w:tcBorders>
            <w:shd w:val="clear" w:color="auto" w:fill="auto"/>
            <w:noWrap/>
            <w:vAlign w:val="bottom"/>
            <w:hideMark/>
          </w:tcPr>
          <w:p w14:paraId="608CCAED" w14:textId="77777777" w:rsidR="00134998" w:rsidRPr="00F16FE3" w:rsidRDefault="00134998" w:rsidP="009F4DF4">
            <w:pPr>
              <w:spacing w:line="240" w:lineRule="auto"/>
              <w:rPr>
                <w:rFonts w:ascii="Times New Roman" w:hAnsi="Times New Roman" w:cs="Times New Roman"/>
                <w:sz w:val="16"/>
                <w:szCs w:val="16"/>
                <w:lang w:eastAsia="sl-SI"/>
              </w:rPr>
            </w:pPr>
          </w:p>
        </w:tc>
      </w:tr>
      <w:tr w:rsidR="00134998" w:rsidRPr="00F16FE3" w14:paraId="342229F0" w14:textId="77777777" w:rsidTr="009F4DF4">
        <w:trPr>
          <w:trHeight w:val="288"/>
        </w:trPr>
        <w:tc>
          <w:tcPr>
            <w:tcW w:w="10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451D6F"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 </w:t>
            </w:r>
          </w:p>
        </w:tc>
        <w:tc>
          <w:tcPr>
            <w:tcW w:w="405" w:type="pct"/>
            <w:tcBorders>
              <w:top w:val="single" w:sz="4" w:space="0" w:color="auto"/>
              <w:left w:val="nil"/>
              <w:bottom w:val="single" w:sz="4" w:space="0" w:color="auto"/>
              <w:right w:val="single" w:sz="4" w:space="0" w:color="auto"/>
            </w:tcBorders>
            <w:shd w:val="clear" w:color="000000" w:fill="D9D9D9"/>
            <w:noWrap/>
            <w:vAlign w:val="bottom"/>
            <w:hideMark/>
          </w:tcPr>
          <w:p w14:paraId="2D86EF10"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Poljščine</w:t>
            </w:r>
          </w:p>
        </w:tc>
        <w:tc>
          <w:tcPr>
            <w:tcW w:w="458" w:type="pct"/>
            <w:tcBorders>
              <w:top w:val="single" w:sz="4" w:space="0" w:color="auto"/>
              <w:left w:val="nil"/>
              <w:bottom w:val="single" w:sz="4" w:space="0" w:color="auto"/>
              <w:right w:val="single" w:sz="4" w:space="0" w:color="auto"/>
            </w:tcBorders>
            <w:shd w:val="clear" w:color="000000" w:fill="D9D9D9"/>
            <w:noWrap/>
            <w:vAlign w:val="bottom"/>
            <w:hideMark/>
          </w:tcPr>
          <w:p w14:paraId="2C8DF415"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Vrtnarstvo</w:t>
            </w:r>
          </w:p>
        </w:tc>
        <w:tc>
          <w:tcPr>
            <w:tcW w:w="625" w:type="pct"/>
            <w:tcBorders>
              <w:top w:val="single" w:sz="4" w:space="0" w:color="auto"/>
              <w:left w:val="nil"/>
              <w:bottom w:val="single" w:sz="4" w:space="0" w:color="auto"/>
              <w:right w:val="single" w:sz="4" w:space="0" w:color="auto"/>
            </w:tcBorders>
            <w:shd w:val="clear" w:color="000000" w:fill="D9D9D9"/>
            <w:noWrap/>
            <w:vAlign w:val="bottom"/>
            <w:hideMark/>
          </w:tcPr>
          <w:p w14:paraId="5CD9971A"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Vinogradništvo</w:t>
            </w:r>
          </w:p>
        </w:tc>
        <w:tc>
          <w:tcPr>
            <w:tcW w:w="486" w:type="pct"/>
            <w:tcBorders>
              <w:top w:val="single" w:sz="4" w:space="0" w:color="auto"/>
              <w:left w:val="nil"/>
              <w:bottom w:val="single" w:sz="4" w:space="0" w:color="auto"/>
              <w:right w:val="single" w:sz="4" w:space="0" w:color="auto"/>
            </w:tcBorders>
            <w:shd w:val="clear" w:color="000000" w:fill="D9D9D9"/>
            <w:noWrap/>
            <w:vAlign w:val="bottom"/>
            <w:hideMark/>
          </w:tcPr>
          <w:p w14:paraId="2286B99B"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Ostali trajni nasadi</w:t>
            </w:r>
          </w:p>
        </w:tc>
        <w:tc>
          <w:tcPr>
            <w:tcW w:w="295" w:type="pct"/>
            <w:tcBorders>
              <w:top w:val="single" w:sz="4" w:space="0" w:color="auto"/>
              <w:left w:val="nil"/>
              <w:bottom w:val="single" w:sz="4" w:space="0" w:color="auto"/>
              <w:right w:val="single" w:sz="4" w:space="0" w:color="auto"/>
            </w:tcBorders>
            <w:shd w:val="clear" w:color="000000" w:fill="D9D9D9"/>
            <w:noWrap/>
            <w:vAlign w:val="bottom"/>
            <w:hideMark/>
          </w:tcPr>
          <w:p w14:paraId="258B3E23"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Mleko</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69DB7B7C"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Pašna živina</w:t>
            </w:r>
          </w:p>
        </w:tc>
        <w:tc>
          <w:tcPr>
            <w:tcW w:w="469" w:type="pct"/>
            <w:tcBorders>
              <w:top w:val="single" w:sz="4" w:space="0" w:color="auto"/>
              <w:left w:val="nil"/>
              <w:bottom w:val="single" w:sz="4" w:space="0" w:color="auto"/>
              <w:right w:val="single" w:sz="4" w:space="0" w:color="auto"/>
            </w:tcBorders>
            <w:shd w:val="clear" w:color="000000" w:fill="D9D9D9"/>
            <w:noWrap/>
            <w:vAlign w:val="bottom"/>
            <w:hideMark/>
          </w:tcPr>
          <w:p w14:paraId="241D3BC9"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Prašiči/perutnina</w:t>
            </w:r>
          </w:p>
        </w:tc>
        <w:tc>
          <w:tcPr>
            <w:tcW w:w="391" w:type="pct"/>
            <w:tcBorders>
              <w:top w:val="single" w:sz="4" w:space="0" w:color="auto"/>
              <w:left w:val="nil"/>
              <w:bottom w:val="single" w:sz="4" w:space="0" w:color="auto"/>
              <w:right w:val="single" w:sz="4" w:space="0" w:color="auto"/>
            </w:tcBorders>
            <w:shd w:val="clear" w:color="000000" w:fill="D9D9D9"/>
            <w:noWrap/>
            <w:vAlign w:val="bottom"/>
            <w:hideMark/>
          </w:tcPr>
          <w:p w14:paraId="108B4B8A"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Mešano</w:t>
            </w:r>
          </w:p>
        </w:tc>
        <w:tc>
          <w:tcPr>
            <w:tcW w:w="390" w:type="pct"/>
            <w:tcBorders>
              <w:top w:val="single" w:sz="4" w:space="0" w:color="auto"/>
              <w:left w:val="nil"/>
              <w:bottom w:val="single" w:sz="4" w:space="0" w:color="auto"/>
              <w:right w:val="single" w:sz="4" w:space="0" w:color="auto"/>
            </w:tcBorders>
            <w:shd w:val="clear" w:color="000000" w:fill="D9D9D9"/>
            <w:noWrap/>
            <w:vAlign w:val="bottom"/>
            <w:hideMark/>
          </w:tcPr>
          <w:p w14:paraId="4ADDA57B" w14:textId="77777777" w:rsidR="00134998" w:rsidRPr="00F16FE3" w:rsidRDefault="00134998" w:rsidP="009F4DF4">
            <w:pPr>
              <w:spacing w:line="240" w:lineRule="auto"/>
              <w:jc w:val="center"/>
              <w:rPr>
                <w:rFonts w:ascii="Calibri" w:hAnsi="Calibri" w:cs="Calibri"/>
                <w:b/>
                <w:bCs/>
                <w:sz w:val="16"/>
                <w:szCs w:val="16"/>
                <w:lang w:eastAsia="sl-SI"/>
              </w:rPr>
            </w:pPr>
            <w:r w:rsidRPr="00F16FE3">
              <w:rPr>
                <w:rFonts w:ascii="Calibri" w:hAnsi="Calibri" w:cs="Calibri"/>
                <w:b/>
                <w:bCs/>
                <w:sz w:val="16"/>
                <w:szCs w:val="16"/>
                <w:lang w:eastAsia="sl-SI"/>
              </w:rPr>
              <w:t>Skupaj</w:t>
            </w:r>
          </w:p>
        </w:tc>
      </w:tr>
      <w:tr w:rsidR="00134998" w:rsidRPr="00F16FE3" w14:paraId="4C860D9E"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1DAFB641"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4.000 EUR-&lt;8.000 EUR</w:t>
            </w:r>
          </w:p>
        </w:tc>
        <w:tc>
          <w:tcPr>
            <w:tcW w:w="405" w:type="pct"/>
            <w:tcBorders>
              <w:top w:val="nil"/>
              <w:left w:val="nil"/>
              <w:bottom w:val="single" w:sz="4" w:space="0" w:color="auto"/>
              <w:right w:val="single" w:sz="4" w:space="0" w:color="auto"/>
            </w:tcBorders>
            <w:shd w:val="clear" w:color="auto" w:fill="auto"/>
            <w:noWrap/>
            <w:vAlign w:val="bottom"/>
            <w:hideMark/>
          </w:tcPr>
          <w:p w14:paraId="78EF9BD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5,3</w:t>
            </w:r>
          </w:p>
        </w:tc>
        <w:tc>
          <w:tcPr>
            <w:tcW w:w="458" w:type="pct"/>
            <w:tcBorders>
              <w:top w:val="nil"/>
              <w:left w:val="nil"/>
              <w:bottom w:val="single" w:sz="4" w:space="0" w:color="auto"/>
              <w:right w:val="single" w:sz="4" w:space="0" w:color="auto"/>
            </w:tcBorders>
            <w:shd w:val="clear" w:color="auto" w:fill="auto"/>
            <w:noWrap/>
            <w:vAlign w:val="bottom"/>
            <w:hideMark/>
          </w:tcPr>
          <w:p w14:paraId="1B39E10B"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167B325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3,5</w:t>
            </w:r>
          </w:p>
        </w:tc>
        <w:tc>
          <w:tcPr>
            <w:tcW w:w="486" w:type="pct"/>
            <w:tcBorders>
              <w:top w:val="nil"/>
              <w:left w:val="nil"/>
              <w:bottom w:val="single" w:sz="4" w:space="0" w:color="auto"/>
              <w:right w:val="single" w:sz="4" w:space="0" w:color="auto"/>
            </w:tcBorders>
            <w:shd w:val="clear" w:color="auto" w:fill="auto"/>
            <w:noWrap/>
            <w:vAlign w:val="bottom"/>
            <w:hideMark/>
          </w:tcPr>
          <w:p w14:paraId="0F474186"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2,6</w:t>
            </w:r>
          </w:p>
        </w:tc>
        <w:tc>
          <w:tcPr>
            <w:tcW w:w="295" w:type="pct"/>
            <w:tcBorders>
              <w:top w:val="nil"/>
              <w:left w:val="nil"/>
              <w:bottom w:val="single" w:sz="4" w:space="0" w:color="auto"/>
              <w:right w:val="single" w:sz="4" w:space="0" w:color="auto"/>
            </w:tcBorders>
            <w:shd w:val="clear" w:color="auto" w:fill="auto"/>
            <w:noWrap/>
            <w:vAlign w:val="bottom"/>
            <w:hideMark/>
          </w:tcPr>
          <w:p w14:paraId="3BA9663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6CC2BF6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6,3</w:t>
            </w:r>
          </w:p>
        </w:tc>
        <w:tc>
          <w:tcPr>
            <w:tcW w:w="469" w:type="pct"/>
            <w:tcBorders>
              <w:top w:val="nil"/>
              <w:left w:val="nil"/>
              <w:bottom w:val="single" w:sz="4" w:space="0" w:color="auto"/>
              <w:right w:val="single" w:sz="4" w:space="0" w:color="auto"/>
            </w:tcBorders>
            <w:shd w:val="clear" w:color="auto" w:fill="auto"/>
            <w:noWrap/>
            <w:vAlign w:val="bottom"/>
            <w:hideMark/>
          </w:tcPr>
          <w:p w14:paraId="06354BC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2,8</w:t>
            </w:r>
          </w:p>
        </w:tc>
        <w:tc>
          <w:tcPr>
            <w:tcW w:w="391" w:type="pct"/>
            <w:tcBorders>
              <w:top w:val="nil"/>
              <w:left w:val="nil"/>
              <w:bottom w:val="single" w:sz="4" w:space="0" w:color="auto"/>
              <w:right w:val="single" w:sz="4" w:space="0" w:color="auto"/>
            </w:tcBorders>
            <w:shd w:val="clear" w:color="auto" w:fill="auto"/>
            <w:noWrap/>
            <w:vAlign w:val="bottom"/>
            <w:hideMark/>
          </w:tcPr>
          <w:p w14:paraId="45A7D84C"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4,5</w:t>
            </w:r>
          </w:p>
        </w:tc>
        <w:tc>
          <w:tcPr>
            <w:tcW w:w="390" w:type="pct"/>
            <w:tcBorders>
              <w:top w:val="nil"/>
              <w:left w:val="nil"/>
              <w:bottom w:val="single" w:sz="4" w:space="0" w:color="auto"/>
              <w:right w:val="single" w:sz="4" w:space="0" w:color="auto"/>
            </w:tcBorders>
            <w:shd w:val="clear" w:color="auto" w:fill="auto"/>
            <w:noWrap/>
            <w:vAlign w:val="bottom"/>
            <w:hideMark/>
          </w:tcPr>
          <w:p w14:paraId="5321A364"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5,1</w:t>
            </w:r>
          </w:p>
        </w:tc>
      </w:tr>
      <w:tr w:rsidR="00134998" w:rsidRPr="00F16FE3" w14:paraId="259DE323"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4DC53B84"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8.000 EUR-&lt;25.000 EUR</w:t>
            </w:r>
          </w:p>
        </w:tc>
        <w:tc>
          <w:tcPr>
            <w:tcW w:w="405" w:type="pct"/>
            <w:tcBorders>
              <w:top w:val="nil"/>
              <w:left w:val="nil"/>
              <w:bottom w:val="single" w:sz="4" w:space="0" w:color="auto"/>
              <w:right w:val="single" w:sz="4" w:space="0" w:color="auto"/>
            </w:tcBorders>
            <w:shd w:val="clear" w:color="auto" w:fill="auto"/>
            <w:noWrap/>
            <w:vAlign w:val="bottom"/>
            <w:hideMark/>
          </w:tcPr>
          <w:p w14:paraId="22891DFB"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9,1</w:t>
            </w:r>
          </w:p>
        </w:tc>
        <w:tc>
          <w:tcPr>
            <w:tcW w:w="458" w:type="pct"/>
            <w:tcBorders>
              <w:top w:val="nil"/>
              <w:left w:val="nil"/>
              <w:bottom w:val="single" w:sz="4" w:space="0" w:color="auto"/>
              <w:right w:val="single" w:sz="4" w:space="0" w:color="auto"/>
            </w:tcBorders>
            <w:shd w:val="clear" w:color="auto" w:fill="auto"/>
            <w:noWrap/>
            <w:vAlign w:val="bottom"/>
            <w:hideMark/>
          </w:tcPr>
          <w:p w14:paraId="014FF6A9"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625" w:type="pct"/>
            <w:tcBorders>
              <w:top w:val="nil"/>
              <w:left w:val="nil"/>
              <w:bottom w:val="single" w:sz="4" w:space="0" w:color="auto"/>
              <w:right w:val="single" w:sz="4" w:space="0" w:color="auto"/>
            </w:tcBorders>
            <w:shd w:val="clear" w:color="auto" w:fill="auto"/>
            <w:noWrap/>
            <w:vAlign w:val="bottom"/>
            <w:hideMark/>
          </w:tcPr>
          <w:p w14:paraId="73B6680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3,8</w:t>
            </w:r>
          </w:p>
        </w:tc>
        <w:tc>
          <w:tcPr>
            <w:tcW w:w="486" w:type="pct"/>
            <w:tcBorders>
              <w:top w:val="nil"/>
              <w:left w:val="nil"/>
              <w:bottom w:val="single" w:sz="4" w:space="0" w:color="auto"/>
              <w:right w:val="single" w:sz="4" w:space="0" w:color="auto"/>
            </w:tcBorders>
            <w:shd w:val="clear" w:color="auto" w:fill="auto"/>
            <w:noWrap/>
            <w:vAlign w:val="bottom"/>
            <w:hideMark/>
          </w:tcPr>
          <w:p w14:paraId="37C14B4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4,2</w:t>
            </w:r>
          </w:p>
        </w:tc>
        <w:tc>
          <w:tcPr>
            <w:tcW w:w="295" w:type="pct"/>
            <w:tcBorders>
              <w:top w:val="nil"/>
              <w:left w:val="nil"/>
              <w:bottom w:val="single" w:sz="4" w:space="0" w:color="auto"/>
              <w:right w:val="single" w:sz="4" w:space="0" w:color="auto"/>
            </w:tcBorders>
            <w:shd w:val="clear" w:color="auto" w:fill="auto"/>
            <w:noWrap/>
            <w:vAlign w:val="bottom"/>
            <w:hideMark/>
          </w:tcPr>
          <w:p w14:paraId="0D70CDE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8,5</w:t>
            </w:r>
          </w:p>
        </w:tc>
        <w:tc>
          <w:tcPr>
            <w:tcW w:w="469" w:type="pct"/>
            <w:tcBorders>
              <w:top w:val="nil"/>
              <w:left w:val="nil"/>
              <w:bottom w:val="single" w:sz="4" w:space="0" w:color="auto"/>
              <w:right w:val="single" w:sz="4" w:space="0" w:color="auto"/>
            </w:tcBorders>
            <w:shd w:val="clear" w:color="auto" w:fill="auto"/>
            <w:noWrap/>
            <w:vAlign w:val="bottom"/>
            <w:hideMark/>
          </w:tcPr>
          <w:p w14:paraId="3B98408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11,8</w:t>
            </w:r>
          </w:p>
        </w:tc>
        <w:tc>
          <w:tcPr>
            <w:tcW w:w="469" w:type="pct"/>
            <w:tcBorders>
              <w:top w:val="nil"/>
              <w:left w:val="nil"/>
              <w:bottom w:val="single" w:sz="4" w:space="0" w:color="auto"/>
              <w:right w:val="single" w:sz="4" w:space="0" w:color="auto"/>
            </w:tcBorders>
            <w:shd w:val="clear" w:color="auto" w:fill="auto"/>
            <w:noWrap/>
            <w:vAlign w:val="bottom"/>
            <w:hideMark/>
          </w:tcPr>
          <w:p w14:paraId="5AF16A6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5,4</w:t>
            </w:r>
          </w:p>
        </w:tc>
        <w:tc>
          <w:tcPr>
            <w:tcW w:w="391" w:type="pct"/>
            <w:tcBorders>
              <w:top w:val="nil"/>
              <w:left w:val="nil"/>
              <w:bottom w:val="single" w:sz="4" w:space="0" w:color="auto"/>
              <w:right w:val="single" w:sz="4" w:space="0" w:color="auto"/>
            </w:tcBorders>
            <w:shd w:val="clear" w:color="auto" w:fill="auto"/>
            <w:noWrap/>
            <w:vAlign w:val="bottom"/>
            <w:hideMark/>
          </w:tcPr>
          <w:p w14:paraId="7A8C54BF"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8,8</w:t>
            </w:r>
          </w:p>
        </w:tc>
        <w:tc>
          <w:tcPr>
            <w:tcW w:w="390" w:type="pct"/>
            <w:tcBorders>
              <w:top w:val="nil"/>
              <w:left w:val="nil"/>
              <w:bottom w:val="single" w:sz="4" w:space="0" w:color="auto"/>
              <w:right w:val="single" w:sz="4" w:space="0" w:color="auto"/>
            </w:tcBorders>
            <w:shd w:val="clear" w:color="auto" w:fill="auto"/>
            <w:noWrap/>
            <w:vAlign w:val="bottom"/>
            <w:hideMark/>
          </w:tcPr>
          <w:p w14:paraId="749C275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9,1</w:t>
            </w:r>
          </w:p>
        </w:tc>
      </w:tr>
      <w:tr w:rsidR="00134998" w:rsidRPr="00F16FE3" w14:paraId="5AEBFDA1"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351F87EA"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25.000 EUR-&lt;100.000 EUR</w:t>
            </w:r>
          </w:p>
        </w:tc>
        <w:tc>
          <w:tcPr>
            <w:tcW w:w="405" w:type="pct"/>
            <w:tcBorders>
              <w:top w:val="nil"/>
              <w:left w:val="nil"/>
              <w:bottom w:val="single" w:sz="4" w:space="0" w:color="auto"/>
              <w:right w:val="single" w:sz="4" w:space="0" w:color="auto"/>
            </w:tcBorders>
            <w:shd w:val="clear" w:color="auto" w:fill="auto"/>
            <w:noWrap/>
            <w:vAlign w:val="bottom"/>
            <w:hideMark/>
          </w:tcPr>
          <w:p w14:paraId="15ADD97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19,2</w:t>
            </w:r>
          </w:p>
        </w:tc>
        <w:tc>
          <w:tcPr>
            <w:tcW w:w="458" w:type="pct"/>
            <w:tcBorders>
              <w:top w:val="nil"/>
              <w:left w:val="nil"/>
              <w:bottom w:val="single" w:sz="4" w:space="0" w:color="auto"/>
              <w:right w:val="single" w:sz="4" w:space="0" w:color="auto"/>
            </w:tcBorders>
            <w:shd w:val="clear" w:color="auto" w:fill="auto"/>
            <w:noWrap/>
            <w:vAlign w:val="bottom"/>
            <w:hideMark/>
          </w:tcPr>
          <w:p w14:paraId="497BE88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7,8</w:t>
            </w:r>
          </w:p>
        </w:tc>
        <w:tc>
          <w:tcPr>
            <w:tcW w:w="625" w:type="pct"/>
            <w:tcBorders>
              <w:top w:val="nil"/>
              <w:left w:val="nil"/>
              <w:bottom w:val="single" w:sz="4" w:space="0" w:color="auto"/>
              <w:right w:val="single" w:sz="4" w:space="0" w:color="auto"/>
            </w:tcBorders>
            <w:shd w:val="clear" w:color="auto" w:fill="auto"/>
            <w:noWrap/>
            <w:vAlign w:val="bottom"/>
            <w:hideMark/>
          </w:tcPr>
          <w:p w14:paraId="319404B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6,7</w:t>
            </w:r>
          </w:p>
        </w:tc>
        <w:tc>
          <w:tcPr>
            <w:tcW w:w="486" w:type="pct"/>
            <w:tcBorders>
              <w:top w:val="nil"/>
              <w:left w:val="nil"/>
              <w:bottom w:val="single" w:sz="4" w:space="0" w:color="auto"/>
              <w:right w:val="single" w:sz="4" w:space="0" w:color="auto"/>
            </w:tcBorders>
            <w:shd w:val="clear" w:color="auto" w:fill="auto"/>
            <w:noWrap/>
            <w:vAlign w:val="bottom"/>
            <w:hideMark/>
          </w:tcPr>
          <w:p w14:paraId="1684D3F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8,7</w:t>
            </w:r>
          </w:p>
        </w:tc>
        <w:tc>
          <w:tcPr>
            <w:tcW w:w="295" w:type="pct"/>
            <w:tcBorders>
              <w:top w:val="nil"/>
              <w:left w:val="nil"/>
              <w:bottom w:val="single" w:sz="4" w:space="0" w:color="auto"/>
              <w:right w:val="single" w:sz="4" w:space="0" w:color="auto"/>
            </w:tcBorders>
            <w:shd w:val="clear" w:color="auto" w:fill="auto"/>
            <w:noWrap/>
            <w:vAlign w:val="bottom"/>
            <w:hideMark/>
          </w:tcPr>
          <w:p w14:paraId="00C57B03"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18,2</w:t>
            </w:r>
          </w:p>
        </w:tc>
        <w:tc>
          <w:tcPr>
            <w:tcW w:w="469" w:type="pct"/>
            <w:tcBorders>
              <w:top w:val="nil"/>
              <w:left w:val="nil"/>
              <w:bottom w:val="single" w:sz="4" w:space="0" w:color="auto"/>
              <w:right w:val="single" w:sz="4" w:space="0" w:color="auto"/>
            </w:tcBorders>
            <w:shd w:val="clear" w:color="auto" w:fill="auto"/>
            <w:noWrap/>
            <w:vAlign w:val="bottom"/>
            <w:hideMark/>
          </w:tcPr>
          <w:p w14:paraId="330CDD5C"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28,9</w:t>
            </w:r>
          </w:p>
        </w:tc>
        <w:tc>
          <w:tcPr>
            <w:tcW w:w="469" w:type="pct"/>
            <w:tcBorders>
              <w:top w:val="nil"/>
              <w:left w:val="nil"/>
              <w:bottom w:val="single" w:sz="4" w:space="0" w:color="auto"/>
              <w:right w:val="single" w:sz="4" w:space="0" w:color="auto"/>
            </w:tcBorders>
            <w:shd w:val="clear" w:color="auto" w:fill="auto"/>
            <w:noWrap/>
            <w:vAlign w:val="bottom"/>
            <w:hideMark/>
          </w:tcPr>
          <w:p w14:paraId="0F94DFE7"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14,6</w:t>
            </w:r>
          </w:p>
        </w:tc>
        <w:tc>
          <w:tcPr>
            <w:tcW w:w="391" w:type="pct"/>
            <w:tcBorders>
              <w:top w:val="nil"/>
              <w:left w:val="nil"/>
              <w:bottom w:val="single" w:sz="4" w:space="0" w:color="auto"/>
              <w:right w:val="single" w:sz="4" w:space="0" w:color="auto"/>
            </w:tcBorders>
            <w:shd w:val="clear" w:color="auto" w:fill="auto"/>
            <w:noWrap/>
            <w:vAlign w:val="bottom"/>
            <w:hideMark/>
          </w:tcPr>
          <w:p w14:paraId="5D5E58D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20,1</w:t>
            </w:r>
          </w:p>
        </w:tc>
        <w:tc>
          <w:tcPr>
            <w:tcW w:w="390" w:type="pct"/>
            <w:tcBorders>
              <w:top w:val="nil"/>
              <w:left w:val="nil"/>
              <w:bottom w:val="single" w:sz="4" w:space="0" w:color="auto"/>
              <w:right w:val="single" w:sz="4" w:space="0" w:color="auto"/>
            </w:tcBorders>
            <w:shd w:val="clear" w:color="auto" w:fill="auto"/>
            <w:noWrap/>
            <w:vAlign w:val="bottom"/>
            <w:hideMark/>
          </w:tcPr>
          <w:p w14:paraId="078380AC"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18,5</w:t>
            </w:r>
          </w:p>
        </w:tc>
      </w:tr>
      <w:tr w:rsidR="00134998" w:rsidRPr="00F16FE3" w14:paraId="7EF8A673"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2A6DFDB4"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100.000 EUR-&lt;500.000 EUR</w:t>
            </w:r>
          </w:p>
        </w:tc>
        <w:tc>
          <w:tcPr>
            <w:tcW w:w="405" w:type="pct"/>
            <w:tcBorders>
              <w:top w:val="nil"/>
              <w:left w:val="nil"/>
              <w:bottom w:val="single" w:sz="4" w:space="0" w:color="auto"/>
              <w:right w:val="single" w:sz="4" w:space="0" w:color="auto"/>
            </w:tcBorders>
            <w:shd w:val="clear" w:color="auto" w:fill="auto"/>
            <w:noWrap/>
            <w:vAlign w:val="bottom"/>
            <w:hideMark/>
          </w:tcPr>
          <w:p w14:paraId="58AAB1A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68,6</w:t>
            </w:r>
          </w:p>
        </w:tc>
        <w:tc>
          <w:tcPr>
            <w:tcW w:w="458" w:type="pct"/>
            <w:tcBorders>
              <w:top w:val="nil"/>
              <w:left w:val="nil"/>
              <w:bottom w:val="single" w:sz="4" w:space="0" w:color="auto"/>
              <w:right w:val="single" w:sz="4" w:space="0" w:color="auto"/>
            </w:tcBorders>
            <w:shd w:val="clear" w:color="auto" w:fill="auto"/>
            <w:noWrap/>
            <w:vAlign w:val="bottom"/>
            <w:hideMark/>
          </w:tcPr>
          <w:p w14:paraId="276EA75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31,5</w:t>
            </w:r>
          </w:p>
        </w:tc>
        <w:tc>
          <w:tcPr>
            <w:tcW w:w="625" w:type="pct"/>
            <w:tcBorders>
              <w:top w:val="nil"/>
              <w:left w:val="nil"/>
              <w:bottom w:val="single" w:sz="4" w:space="0" w:color="auto"/>
              <w:right w:val="single" w:sz="4" w:space="0" w:color="auto"/>
            </w:tcBorders>
            <w:shd w:val="clear" w:color="auto" w:fill="auto"/>
            <w:noWrap/>
            <w:vAlign w:val="bottom"/>
            <w:hideMark/>
          </w:tcPr>
          <w:p w14:paraId="5B16939D"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17,3</w:t>
            </w:r>
          </w:p>
        </w:tc>
        <w:tc>
          <w:tcPr>
            <w:tcW w:w="486" w:type="pct"/>
            <w:tcBorders>
              <w:top w:val="nil"/>
              <w:left w:val="nil"/>
              <w:bottom w:val="single" w:sz="4" w:space="0" w:color="auto"/>
              <w:right w:val="single" w:sz="4" w:space="0" w:color="auto"/>
            </w:tcBorders>
            <w:shd w:val="clear" w:color="auto" w:fill="auto"/>
            <w:noWrap/>
            <w:vAlign w:val="bottom"/>
            <w:hideMark/>
          </w:tcPr>
          <w:p w14:paraId="0C29D42A"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19,1</w:t>
            </w:r>
          </w:p>
        </w:tc>
        <w:tc>
          <w:tcPr>
            <w:tcW w:w="295" w:type="pct"/>
            <w:tcBorders>
              <w:top w:val="nil"/>
              <w:left w:val="nil"/>
              <w:bottom w:val="single" w:sz="4" w:space="0" w:color="auto"/>
              <w:right w:val="single" w:sz="4" w:space="0" w:color="auto"/>
            </w:tcBorders>
            <w:shd w:val="clear" w:color="auto" w:fill="auto"/>
            <w:noWrap/>
            <w:vAlign w:val="bottom"/>
            <w:hideMark/>
          </w:tcPr>
          <w:p w14:paraId="3BBD18D7"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36,3</w:t>
            </w:r>
          </w:p>
        </w:tc>
        <w:tc>
          <w:tcPr>
            <w:tcW w:w="469" w:type="pct"/>
            <w:tcBorders>
              <w:top w:val="nil"/>
              <w:left w:val="nil"/>
              <w:bottom w:val="single" w:sz="4" w:space="0" w:color="auto"/>
              <w:right w:val="single" w:sz="4" w:space="0" w:color="auto"/>
            </w:tcBorders>
            <w:shd w:val="clear" w:color="auto" w:fill="auto"/>
            <w:noWrap/>
            <w:vAlign w:val="bottom"/>
            <w:hideMark/>
          </w:tcPr>
          <w:p w14:paraId="606EB1D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68,0</w:t>
            </w:r>
          </w:p>
        </w:tc>
        <w:tc>
          <w:tcPr>
            <w:tcW w:w="469" w:type="pct"/>
            <w:tcBorders>
              <w:top w:val="nil"/>
              <w:left w:val="nil"/>
              <w:bottom w:val="single" w:sz="4" w:space="0" w:color="auto"/>
              <w:right w:val="single" w:sz="4" w:space="0" w:color="auto"/>
            </w:tcBorders>
            <w:shd w:val="clear" w:color="auto" w:fill="auto"/>
            <w:noWrap/>
            <w:vAlign w:val="bottom"/>
            <w:hideMark/>
          </w:tcPr>
          <w:p w14:paraId="11A8843B"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24,1</w:t>
            </w:r>
          </w:p>
        </w:tc>
        <w:tc>
          <w:tcPr>
            <w:tcW w:w="391" w:type="pct"/>
            <w:tcBorders>
              <w:top w:val="nil"/>
              <w:left w:val="nil"/>
              <w:bottom w:val="single" w:sz="4" w:space="0" w:color="auto"/>
              <w:right w:val="single" w:sz="4" w:space="0" w:color="auto"/>
            </w:tcBorders>
            <w:shd w:val="clear" w:color="auto" w:fill="auto"/>
            <w:noWrap/>
            <w:vAlign w:val="bottom"/>
            <w:hideMark/>
          </w:tcPr>
          <w:p w14:paraId="08E59517"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48,5</w:t>
            </w:r>
          </w:p>
        </w:tc>
        <w:tc>
          <w:tcPr>
            <w:tcW w:w="390" w:type="pct"/>
            <w:tcBorders>
              <w:top w:val="nil"/>
              <w:left w:val="nil"/>
              <w:bottom w:val="single" w:sz="4" w:space="0" w:color="auto"/>
              <w:right w:val="single" w:sz="4" w:space="0" w:color="auto"/>
            </w:tcBorders>
            <w:shd w:val="clear" w:color="auto" w:fill="auto"/>
            <w:noWrap/>
            <w:vAlign w:val="bottom"/>
            <w:hideMark/>
          </w:tcPr>
          <w:p w14:paraId="6A955C09"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38,1</w:t>
            </w:r>
          </w:p>
        </w:tc>
      </w:tr>
      <w:tr w:rsidR="00134998" w:rsidRPr="00F16FE3" w14:paraId="20319EDC"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24167A2C" w14:textId="77777777" w:rsidR="00134998" w:rsidRPr="00F16FE3" w:rsidRDefault="00134998" w:rsidP="009F4DF4">
            <w:pPr>
              <w:spacing w:line="240" w:lineRule="auto"/>
              <w:rPr>
                <w:rFonts w:ascii="Calibri" w:hAnsi="Calibri" w:cs="Calibri"/>
                <w:color w:val="000000"/>
                <w:sz w:val="16"/>
                <w:szCs w:val="16"/>
                <w:lang w:eastAsia="sl-SI"/>
              </w:rPr>
            </w:pPr>
            <w:r w:rsidRPr="00F16FE3">
              <w:rPr>
                <w:rFonts w:ascii="Calibri" w:hAnsi="Calibri" w:cs="Calibri"/>
                <w:color w:val="000000"/>
                <w:sz w:val="16"/>
                <w:szCs w:val="16"/>
                <w:lang w:eastAsia="sl-SI"/>
              </w:rPr>
              <w:t>=&gt;500.000 EUR</w:t>
            </w:r>
          </w:p>
        </w:tc>
        <w:tc>
          <w:tcPr>
            <w:tcW w:w="405" w:type="pct"/>
            <w:tcBorders>
              <w:top w:val="nil"/>
              <w:left w:val="nil"/>
              <w:bottom w:val="single" w:sz="4" w:space="0" w:color="auto"/>
              <w:right w:val="single" w:sz="4" w:space="0" w:color="auto"/>
            </w:tcBorders>
            <w:shd w:val="clear" w:color="auto" w:fill="auto"/>
            <w:noWrap/>
            <w:vAlign w:val="bottom"/>
            <w:hideMark/>
          </w:tcPr>
          <w:p w14:paraId="0D59AF26"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58" w:type="pct"/>
            <w:tcBorders>
              <w:top w:val="nil"/>
              <w:left w:val="nil"/>
              <w:bottom w:val="single" w:sz="4" w:space="0" w:color="auto"/>
              <w:right w:val="single" w:sz="4" w:space="0" w:color="auto"/>
            </w:tcBorders>
            <w:shd w:val="clear" w:color="auto" w:fill="auto"/>
            <w:noWrap/>
            <w:vAlign w:val="bottom"/>
            <w:hideMark/>
          </w:tcPr>
          <w:p w14:paraId="44A0EB05"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46,3</w:t>
            </w:r>
          </w:p>
        </w:tc>
        <w:tc>
          <w:tcPr>
            <w:tcW w:w="625" w:type="pct"/>
            <w:tcBorders>
              <w:top w:val="nil"/>
              <w:left w:val="nil"/>
              <w:bottom w:val="single" w:sz="4" w:space="0" w:color="auto"/>
              <w:right w:val="single" w:sz="4" w:space="0" w:color="auto"/>
            </w:tcBorders>
            <w:shd w:val="clear" w:color="auto" w:fill="auto"/>
            <w:noWrap/>
            <w:vAlign w:val="bottom"/>
            <w:hideMark/>
          </w:tcPr>
          <w:p w14:paraId="6C64EAB7"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99,6</w:t>
            </w:r>
          </w:p>
        </w:tc>
        <w:tc>
          <w:tcPr>
            <w:tcW w:w="486" w:type="pct"/>
            <w:tcBorders>
              <w:top w:val="nil"/>
              <w:left w:val="nil"/>
              <w:bottom w:val="single" w:sz="4" w:space="0" w:color="auto"/>
              <w:right w:val="single" w:sz="4" w:space="0" w:color="auto"/>
            </w:tcBorders>
            <w:shd w:val="clear" w:color="auto" w:fill="auto"/>
            <w:noWrap/>
            <w:vAlign w:val="bottom"/>
            <w:hideMark/>
          </w:tcPr>
          <w:p w14:paraId="768D6EC1"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295" w:type="pct"/>
            <w:tcBorders>
              <w:top w:val="nil"/>
              <w:left w:val="nil"/>
              <w:bottom w:val="single" w:sz="4" w:space="0" w:color="auto"/>
              <w:right w:val="single" w:sz="4" w:space="0" w:color="auto"/>
            </w:tcBorders>
            <w:shd w:val="clear" w:color="auto" w:fill="auto"/>
            <w:noWrap/>
            <w:vAlign w:val="bottom"/>
            <w:hideMark/>
          </w:tcPr>
          <w:p w14:paraId="2ADEE11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436F113E"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469" w:type="pct"/>
            <w:tcBorders>
              <w:top w:val="nil"/>
              <w:left w:val="nil"/>
              <w:bottom w:val="single" w:sz="4" w:space="0" w:color="auto"/>
              <w:right w:val="single" w:sz="4" w:space="0" w:color="auto"/>
            </w:tcBorders>
            <w:shd w:val="clear" w:color="auto" w:fill="auto"/>
            <w:noWrap/>
            <w:vAlign w:val="bottom"/>
            <w:hideMark/>
          </w:tcPr>
          <w:p w14:paraId="16F54D18"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87,0</w:t>
            </w:r>
          </w:p>
        </w:tc>
        <w:tc>
          <w:tcPr>
            <w:tcW w:w="391" w:type="pct"/>
            <w:tcBorders>
              <w:top w:val="nil"/>
              <w:left w:val="nil"/>
              <w:bottom w:val="single" w:sz="4" w:space="0" w:color="auto"/>
              <w:right w:val="single" w:sz="4" w:space="0" w:color="auto"/>
            </w:tcBorders>
            <w:shd w:val="clear" w:color="auto" w:fill="auto"/>
            <w:noWrap/>
            <w:vAlign w:val="bottom"/>
            <w:hideMark/>
          </w:tcPr>
          <w:p w14:paraId="5B9B55D4" w14:textId="77777777" w:rsidR="00134998" w:rsidRPr="00F16FE3" w:rsidRDefault="00134998" w:rsidP="009F4DF4">
            <w:pPr>
              <w:spacing w:line="240" w:lineRule="auto"/>
              <w:jc w:val="right"/>
              <w:rPr>
                <w:rFonts w:ascii="Calibri" w:hAnsi="Calibri" w:cs="Calibri"/>
                <w:color w:val="000000"/>
                <w:sz w:val="16"/>
                <w:szCs w:val="16"/>
                <w:lang w:eastAsia="sl-SI"/>
              </w:rPr>
            </w:pPr>
            <w:r w:rsidRPr="00F16FE3">
              <w:rPr>
                <w:rFonts w:ascii="Calibri" w:hAnsi="Calibri" w:cs="Calibri"/>
                <w:color w:val="000000"/>
                <w:sz w:val="16"/>
                <w:szCs w:val="16"/>
                <w:lang w:eastAsia="sl-SI"/>
              </w:rPr>
              <w:t>/</w:t>
            </w:r>
          </w:p>
        </w:tc>
        <w:tc>
          <w:tcPr>
            <w:tcW w:w="390" w:type="pct"/>
            <w:tcBorders>
              <w:top w:val="nil"/>
              <w:left w:val="nil"/>
              <w:bottom w:val="single" w:sz="4" w:space="0" w:color="auto"/>
              <w:right w:val="single" w:sz="4" w:space="0" w:color="auto"/>
            </w:tcBorders>
            <w:shd w:val="clear" w:color="auto" w:fill="auto"/>
            <w:noWrap/>
            <w:vAlign w:val="bottom"/>
            <w:hideMark/>
          </w:tcPr>
          <w:p w14:paraId="7138841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77,6</w:t>
            </w:r>
          </w:p>
        </w:tc>
      </w:tr>
      <w:tr w:rsidR="00134998" w:rsidRPr="00F16FE3" w14:paraId="59FB0554" w14:textId="77777777" w:rsidTr="009F4DF4">
        <w:trPr>
          <w:trHeight w:val="288"/>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14:paraId="2AA832AB" w14:textId="77777777" w:rsidR="00134998" w:rsidRPr="00F16FE3" w:rsidRDefault="00134998" w:rsidP="009F4DF4">
            <w:pPr>
              <w:spacing w:line="240" w:lineRule="auto"/>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Skupaj</w:t>
            </w:r>
          </w:p>
        </w:tc>
        <w:tc>
          <w:tcPr>
            <w:tcW w:w="405" w:type="pct"/>
            <w:tcBorders>
              <w:top w:val="nil"/>
              <w:left w:val="nil"/>
              <w:bottom w:val="single" w:sz="4" w:space="0" w:color="auto"/>
              <w:right w:val="single" w:sz="4" w:space="0" w:color="auto"/>
            </w:tcBorders>
            <w:shd w:val="clear" w:color="auto" w:fill="auto"/>
            <w:noWrap/>
            <w:vAlign w:val="bottom"/>
            <w:hideMark/>
          </w:tcPr>
          <w:p w14:paraId="11AC8E4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9,2</w:t>
            </w:r>
          </w:p>
        </w:tc>
        <w:tc>
          <w:tcPr>
            <w:tcW w:w="458" w:type="pct"/>
            <w:tcBorders>
              <w:top w:val="nil"/>
              <w:left w:val="nil"/>
              <w:bottom w:val="single" w:sz="4" w:space="0" w:color="auto"/>
              <w:right w:val="single" w:sz="4" w:space="0" w:color="auto"/>
            </w:tcBorders>
            <w:shd w:val="clear" w:color="auto" w:fill="auto"/>
            <w:noWrap/>
            <w:vAlign w:val="bottom"/>
            <w:hideMark/>
          </w:tcPr>
          <w:p w14:paraId="23DC2B6B"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15,5</w:t>
            </w:r>
          </w:p>
        </w:tc>
        <w:tc>
          <w:tcPr>
            <w:tcW w:w="625" w:type="pct"/>
            <w:tcBorders>
              <w:top w:val="nil"/>
              <w:left w:val="nil"/>
              <w:bottom w:val="single" w:sz="4" w:space="0" w:color="auto"/>
              <w:right w:val="single" w:sz="4" w:space="0" w:color="auto"/>
            </w:tcBorders>
            <w:shd w:val="clear" w:color="auto" w:fill="auto"/>
            <w:noWrap/>
            <w:vAlign w:val="bottom"/>
            <w:hideMark/>
          </w:tcPr>
          <w:p w14:paraId="507A5C9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5,2</w:t>
            </w:r>
          </w:p>
        </w:tc>
        <w:tc>
          <w:tcPr>
            <w:tcW w:w="486" w:type="pct"/>
            <w:tcBorders>
              <w:top w:val="nil"/>
              <w:left w:val="nil"/>
              <w:bottom w:val="single" w:sz="4" w:space="0" w:color="auto"/>
              <w:right w:val="single" w:sz="4" w:space="0" w:color="auto"/>
            </w:tcBorders>
            <w:shd w:val="clear" w:color="auto" w:fill="auto"/>
            <w:noWrap/>
            <w:vAlign w:val="bottom"/>
            <w:hideMark/>
          </w:tcPr>
          <w:p w14:paraId="014014CF"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4,3</w:t>
            </w:r>
          </w:p>
        </w:tc>
        <w:tc>
          <w:tcPr>
            <w:tcW w:w="295" w:type="pct"/>
            <w:tcBorders>
              <w:top w:val="nil"/>
              <w:left w:val="nil"/>
              <w:bottom w:val="single" w:sz="4" w:space="0" w:color="auto"/>
              <w:right w:val="single" w:sz="4" w:space="0" w:color="auto"/>
            </w:tcBorders>
            <w:shd w:val="clear" w:color="auto" w:fill="auto"/>
            <w:noWrap/>
            <w:vAlign w:val="bottom"/>
            <w:hideMark/>
          </w:tcPr>
          <w:p w14:paraId="126B02E6"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17,8</w:t>
            </w:r>
          </w:p>
        </w:tc>
        <w:tc>
          <w:tcPr>
            <w:tcW w:w="469" w:type="pct"/>
            <w:tcBorders>
              <w:top w:val="nil"/>
              <w:left w:val="nil"/>
              <w:bottom w:val="single" w:sz="4" w:space="0" w:color="auto"/>
              <w:right w:val="single" w:sz="4" w:space="0" w:color="auto"/>
            </w:tcBorders>
            <w:shd w:val="clear" w:color="auto" w:fill="auto"/>
            <w:noWrap/>
            <w:vAlign w:val="bottom"/>
            <w:hideMark/>
          </w:tcPr>
          <w:p w14:paraId="2E5ADFCA"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11,2</w:t>
            </w:r>
          </w:p>
        </w:tc>
        <w:tc>
          <w:tcPr>
            <w:tcW w:w="469" w:type="pct"/>
            <w:tcBorders>
              <w:top w:val="nil"/>
              <w:left w:val="nil"/>
              <w:bottom w:val="single" w:sz="4" w:space="0" w:color="auto"/>
              <w:right w:val="single" w:sz="4" w:space="0" w:color="auto"/>
            </w:tcBorders>
            <w:shd w:val="clear" w:color="auto" w:fill="auto"/>
            <w:noWrap/>
            <w:vAlign w:val="bottom"/>
            <w:hideMark/>
          </w:tcPr>
          <w:p w14:paraId="6F480A21"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21,4</w:t>
            </w:r>
          </w:p>
        </w:tc>
        <w:tc>
          <w:tcPr>
            <w:tcW w:w="391" w:type="pct"/>
            <w:tcBorders>
              <w:top w:val="nil"/>
              <w:left w:val="nil"/>
              <w:bottom w:val="single" w:sz="4" w:space="0" w:color="auto"/>
              <w:right w:val="single" w:sz="4" w:space="0" w:color="auto"/>
            </w:tcBorders>
            <w:shd w:val="clear" w:color="auto" w:fill="auto"/>
            <w:noWrap/>
            <w:vAlign w:val="bottom"/>
            <w:hideMark/>
          </w:tcPr>
          <w:p w14:paraId="39B98FF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8,9</w:t>
            </w:r>
          </w:p>
        </w:tc>
        <w:tc>
          <w:tcPr>
            <w:tcW w:w="390" w:type="pct"/>
            <w:tcBorders>
              <w:top w:val="nil"/>
              <w:left w:val="nil"/>
              <w:bottom w:val="single" w:sz="4" w:space="0" w:color="auto"/>
              <w:right w:val="single" w:sz="4" w:space="0" w:color="auto"/>
            </w:tcBorders>
            <w:shd w:val="clear" w:color="auto" w:fill="auto"/>
            <w:noWrap/>
            <w:vAlign w:val="bottom"/>
            <w:hideMark/>
          </w:tcPr>
          <w:p w14:paraId="1ED484E5" w14:textId="77777777" w:rsidR="00134998" w:rsidRPr="00F16FE3" w:rsidRDefault="00134998" w:rsidP="009F4DF4">
            <w:pPr>
              <w:spacing w:line="240" w:lineRule="auto"/>
              <w:jc w:val="right"/>
              <w:rPr>
                <w:rFonts w:ascii="Calibri" w:hAnsi="Calibri" w:cs="Calibri"/>
                <w:b/>
                <w:bCs/>
                <w:color w:val="000000"/>
                <w:sz w:val="16"/>
                <w:szCs w:val="16"/>
                <w:lang w:eastAsia="sl-SI"/>
              </w:rPr>
            </w:pPr>
            <w:r w:rsidRPr="00F16FE3">
              <w:rPr>
                <w:rFonts w:ascii="Calibri" w:hAnsi="Calibri" w:cs="Calibri"/>
                <w:b/>
                <w:bCs/>
                <w:color w:val="000000"/>
                <w:sz w:val="16"/>
                <w:szCs w:val="16"/>
                <w:lang w:eastAsia="sl-SI"/>
              </w:rPr>
              <w:t>10,3</w:t>
            </w:r>
          </w:p>
        </w:tc>
      </w:tr>
    </w:tbl>
    <w:p w14:paraId="0E0853F1" w14:textId="77777777" w:rsidR="00134998" w:rsidRPr="00F23F7E"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6"/>
          <w:szCs w:val="20"/>
        </w:rPr>
      </w:pPr>
      <w:r w:rsidRPr="00F23F7E">
        <w:rPr>
          <w:rFonts w:cs="Arial"/>
          <w:color w:val="auto"/>
          <w:sz w:val="16"/>
          <w:szCs w:val="20"/>
        </w:rPr>
        <w:t>Vir podatkov: Vse preračune je opravil Kmetijski inštitut Slovenije, november 2021, na podlagi podatkov FADN RICA. Individualni standardni rezultati za Slovenijo na podlagi SO:</w:t>
      </w:r>
    </w:p>
    <w:p w14:paraId="7088F1A8" w14:textId="77777777" w:rsidR="00134998" w:rsidRPr="00F23F7E"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6"/>
          <w:szCs w:val="20"/>
        </w:rPr>
      </w:pPr>
      <w:r w:rsidRPr="00F23F7E">
        <w:rPr>
          <w:rFonts w:cs="Arial"/>
          <w:color w:val="auto"/>
          <w:sz w:val="16"/>
          <w:szCs w:val="20"/>
        </w:rPr>
        <w:t>– Obračunski leti 2015–2016 (podatki Evropske komisije, junij 2020),</w:t>
      </w:r>
    </w:p>
    <w:p w14:paraId="50ABA135" w14:textId="77777777" w:rsidR="00134998" w:rsidRPr="00F23F7E"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6"/>
          <w:szCs w:val="20"/>
        </w:rPr>
      </w:pPr>
      <w:r w:rsidRPr="00F23F7E">
        <w:rPr>
          <w:rFonts w:cs="Arial"/>
          <w:color w:val="auto"/>
          <w:sz w:val="16"/>
          <w:szCs w:val="20"/>
        </w:rPr>
        <w:t>– Obračunska leta 2017–2019 (podatki Evropske komisije, november 2021).</w:t>
      </w:r>
    </w:p>
    <w:p w14:paraId="63544CBD" w14:textId="77777777"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p>
    <w:p w14:paraId="3410CA60" w14:textId="66871D1B" w:rsidR="00134998" w:rsidRPr="009A1A7D"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Cs w:val="20"/>
        </w:rPr>
      </w:pPr>
      <w:bookmarkStart w:id="3094" w:name="_Toc89851082"/>
      <w:r w:rsidRPr="009A1A7D">
        <w:rPr>
          <w:rFonts w:cs="Arial"/>
          <w:color w:val="auto"/>
          <w:szCs w:val="20"/>
        </w:rPr>
        <w:t xml:space="preserve">Slika </w:t>
      </w:r>
      <w:r w:rsidRPr="009A1A7D">
        <w:rPr>
          <w:rFonts w:cs="Arial"/>
          <w:color w:val="auto"/>
          <w:szCs w:val="20"/>
        </w:rPr>
        <w:fldChar w:fldCharType="begin"/>
      </w:r>
      <w:r w:rsidRPr="009A1A7D">
        <w:rPr>
          <w:rFonts w:cs="Arial"/>
          <w:color w:val="auto"/>
          <w:szCs w:val="20"/>
        </w:rPr>
        <w:instrText xml:space="preserve"> SEQ Slika \* ARABIC </w:instrText>
      </w:r>
      <w:r w:rsidRPr="009A1A7D">
        <w:rPr>
          <w:rFonts w:cs="Arial"/>
          <w:color w:val="auto"/>
          <w:szCs w:val="20"/>
        </w:rPr>
        <w:fldChar w:fldCharType="separate"/>
      </w:r>
      <w:r w:rsidR="00F25435">
        <w:rPr>
          <w:rFonts w:cs="Arial"/>
          <w:noProof/>
          <w:color w:val="auto"/>
          <w:szCs w:val="20"/>
        </w:rPr>
        <w:t>40</w:t>
      </w:r>
      <w:r w:rsidRPr="009A1A7D">
        <w:rPr>
          <w:rFonts w:cs="Arial"/>
          <w:color w:val="auto"/>
          <w:szCs w:val="20"/>
        </w:rPr>
        <w:fldChar w:fldCharType="end"/>
      </w:r>
      <w:r w:rsidRPr="009A1A7D">
        <w:rPr>
          <w:rFonts w:cs="Arial"/>
          <w:color w:val="auto"/>
          <w:szCs w:val="20"/>
        </w:rPr>
        <w:t xml:space="preserve">: Vložek dela (PDM/KMG), obseg KZU na kmetijsko gospodarstvo po ekonomskih velikostnih razredih in tipih kmetovanja </w:t>
      </w:r>
      <w:r w:rsidRPr="009A1A7D">
        <w:rPr>
          <w:rFonts w:cs="Arial"/>
          <w:i/>
          <w:color w:val="auto"/>
          <w:szCs w:val="20"/>
        </w:rPr>
        <w:t xml:space="preserve">za </w:t>
      </w:r>
      <w:r w:rsidRPr="009A1A7D">
        <w:rPr>
          <w:rFonts w:cs="Arial"/>
          <w:color w:val="auto"/>
          <w:szCs w:val="20"/>
        </w:rPr>
        <w:t>uteženo obdobje 2015–2019 (uteženi FADN podatki)</w:t>
      </w:r>
      <w:bookmarkEnd w:id="3094"/>
    </w:p>
    <w:p w14:paraId="033084F1" w14:textId="77777777" w:rsidR="00134998" w:rsidRPr="00216386"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p>
    <w:p w14:paraId="7768D0A3"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r>
        <w:rPr>
          <w:rFonts w:cs="Arial"/>
          <w:noProof/>
          <w:color w:val="auto"/>
          <w:szCs w:val="20"/>
          <w:lang w:eastAsia="sl-SI"/>
        </w:rPr>
        <w:drawing>
          <wp:inline distT="0" distB="0" distL="0" distR="0" wp14:anchorId="7D02C3A3" wp14:editId="6E184012">
            <wp:extent cx="5683899" cy="3415146"/>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1818" cy="3425912"/>
                    </a:xfrm>
                    <a:prstGeom prst="rect">
                      <a:avLst/>
                    </a:prstGeom>
                    <a:noFill/>
                  </pic:spPr>
                </pic:pic>
              </a:graphicData>
            </a:graphic>
          </wp:inline>
        </w:drawing>
      </w:r>
    </w:p>
    <w:p w14:paraId="0B18FB2D" w14:textId="36623453"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r w:rsidRPr="00216386">
        <w:rPr>
          <w:rFonts w:cs="Arial"/>
          <w:color w:val="auto"/>
          <w:sz w:val="18"/>
          <w:szCs w:val="20"/>
        </w:rPr>
        <w:t>Vir:</w:t>
      </w:r>
      <w:r>
        <w:rPr>
          <w:rFonts w:cs="Arial"/>
          <w:color w:val="auto"/>
          <w:sz w:val="18"/>
          <w:szCs w:val="20"/>
        </w:rPr>
        <w:t xml:space="preserve"> </w:t>
      </w:r>
      <w:r w:rsidR="00D1350A">
        <w:rPr>
          <w:rFonts w:cs="Arial"/>
          <w:color w:val="auto"/>
          <w:sz w:val="18"/>
          <w:szCs w:val="20"/>
        </w:rPr>
        <w:t xml:space="preserve">FADN RICA, preračun </w:t>
      </w:r>
      <w:r>
        <w:rPr>
          <w:rFonts w:cs="Arial"/>
          <w:color w:val="auto"/>
          <w:sz w:val="18"/>
          <w:szCs w:val="20"/>
        </w:rPr>
        <w:t>Kmetijski inštitut Slovenije, november 2021.</w:t>
      </w:r>
    </w:p>
    <w:p w14:paraId="58689E6D"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40929477"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p>
    <w:p w14:paraId="52565D0A" w14:textId="77777777" w:rsidR="00134998" w:rsidRPr="00E155C1" w:rsidRDefault="00134998" w:rsidP="00134998">
      <w:pPr>
        <w:pStyle w:val="Guidelines"/>
        <w:numPr>
          <w:ilvl w:val="0"/>
          <w:numId w:val="211"/>
        </w:numPr>
        <w:pBdr>
          <w:top w:val="none" w:sz="0" w:space="0" w:color="auto"/>
          <w:left w:val="none" w:sz="0" w:space="0" w:color="auto"/>
          <w:bottom w:val="none" w:sz="0" w:space="0" w:color="auto"/>
          <w:right w:val="none" w:sz="0" w:space="0" w:color="auto"/>
        </w:pBdr>
        <w:spacing w:after="0" w:line="260" w:lineRule="atLeast"/>
        <w:rPr>
          <w:rFonts w:cs="Arial"/>
          <w:b/>
          <w:i/>
          <w:color w:val="auto"/>
          <w:sz w:val="22"/>
          <w:szCs w:val="20"/>
          <w:u w:val="single"/>
        </w:rPr>
      </w:pPr>
      <w:r w:rsidRPr="00E155C1">
        <w:rPr>
          <w:rFonts w:cs="Arial"/>
          <w:b/>
          <w:i/>
          <w:color w:val="auto"/>
          <w:sz w:val="22"/>
          <w:szCs w:val="20"/>
        </w:rPr>
        <w:t xml:space="preserve">Bruto in neto dodana vrednost </w:t>
      </w:r>
      <w:r w:rsidRPr="00E155C1">
        <w:rPr>
          <w:rFonts w:cs="Arial"/>
          <w:b/>
          <w:i/>
          <w:color w:val="auto"/>
          <w:sz w:val="22"/>
          <w:szCs w:val="20"/>
          <w:u w:val="single"/>
        </w:rPr>
        <w:t>na hektar KZU</w:t>
      </w:r>
      <w:r w:rsidRPr="00E155C1">
        <w:rPr>
          <w:rFonts w:cs="Arial"/>
          <w:b/>
          <w:i/>
          <w:color w:val="auto"/>
          <w:sz w:val="22"/>
          <w:szCs w:val="20"/>
        </w:rPr>
        <w:t xml:space="preserve"> oziroma </w:t>
      </w:r>
      <w:r w:rsidRPr="00E155C1">
        <w:rPr>
          <w:rFonts w:cs="Arial"/>
          <w:b/>
          <w:i/>
          <w:color w:val="auto"/>
          <w:sz w:val="22"/>
          <w:szCs w:val="20"/>
          <w:u w:val="single"/>
        </w:rPr>
        <w:t>na PDM</w:t>
      </w:r>
      <w:r w:rsidRPr="00E155C1">
        <w:rPr>
          <w:rFonts w:cs="Arial"/>
          <w:b/>
          <w:i/>
          <w:color w:val="auto"/>
          <w:sz w:val="22"/>
          <w:szCs w:val="20"/>
        </w:rPr>
        <w:t xml:space="preserve"> </w:t>
      </w:r>
      <w:r w:rsidRPr="00E155C1">
        <w:rPr>
          <w:rFonts w:cs="Arial"/>
          <w:b/>
          <w:i/>
          <w:color w:val="auto"/>
          <w:sz w:val="22"/>
          <w:szCs w:val="20"/>
          <w:u w:val="single"/>
        </w:rPr>
        <w:t>po ekonomskih velikostnih razredih</w:t>
      </w:r>
      <w:r w:rsidRPr="00E155C1">
        <w:rPr>
          <w:rFonts w:cs="Arial"/>
          <w:b/>
          <w:i/>
          <w:color w:val="auto"/>
          <w:sz w:val="22"/>
          <w:szCs w:val="20"/>
        </w:rPr>
        <w:t xml:space="preserve">  in </w:t>
      </w:r>
      <w:r w:rsidRPr="00E155C1">
        <w:rPr>
          <w:rFonts w:cs="Arial"/>
          <w:b/>
          <w:i/>
          <w:color w:val="auto"/>
          <w:sz w:val="22"/>
          <w:szCs w:val="20"/>
          <w:u w:val="single"/>
        </w:rPr>
        <w:t>velikostnih razredih KZU</w:t>
      </w:r>
    </w:p>
    <w:p w14:paraId="563C313B"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Cs w:val="20"/>
        </w:rPr>
      </w:pPr>
    </w:p>
    <w:p w14:paraId="5E399426" w14:textId="2EFE94DE"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0"/>
        </w:rPr>
      </w:pPr>
      <w:r w:rsidRPr="00E155C1">
        <w:rPr>
          <w:color w:val="000000" w:themeColor="text1"/>
          <w:sz w:val="22"/>
        </w:rPr>
        <w:t>Povprečna vrednost neto dodane vrednosti kmetije na ha KZU je v obdobju 2015-2019 znašala 668 EUR, pri čemer je neto dodana vrednost na ha KZU v največjem ekonomskem razredu velikosti (2.466 EUR) kar 44-krat višja od tiste v prvem razredu ekonomske velikosti (56 €).  Povprečna vrednost neto dodane vrednosti kmetije na PDM je v obdobju 2015-2019 znašala 5.471 EUR. Razlike v povprečni velikosti NDV na PDM so med prvim in zadnjim razredom ekonomske velikosti še izrazitejše, saj je povprečna NDV na PDM v ekonomske</w:t>
      </w:r>
      <w:r w:rsidR="00C514A5" w:rsidRPr="00E155C1">
        <w:rPr>
          <w:color w:val="000000" w:themeColor="text1"/>
          <w:sz w:val="22"/>
        </w:rPr>
        <w:t>m</w:t>
      </w:r>
      <w:r w:rsidRPr="00E155C1">
        <w:rPr>
          <w:color w:val="000000" w:themeColor="text1"/>
          <w:sz w:val="22"/>
        </w:rPr>
        <w:t xml:space="preserve"> razredu nad 500.000 EUR za več kot 100-krat večja od vrednosti v prvem razredu. Razlike v BDV na KZU in BDV na PDM med prvim in zadnjim ekonomskim razredom velikosti so dosti manjše. </w:t>
      </w:r>
    </w:p>
    <w:p w14:paraId="61F56F56"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FBD27E9" w14:textId="418CDEC6" w:rsidR="00134998" w:rsidRPr="009A1A7D"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bookmarkStart w:id="3095" w:name="_Toc89861000"/>
      <w:r w:rsidRPr="009A1A7D">
        <w:rPr>
          <w:rFonts w:cs="Arial"/>
          <w:color w:val="auto"/>
          <w:szCs w:val="20"/>
        </w:rPr>
        <w:t xml:space="preserve">Tabela </w:t>
      </w:r>
      <w:r w:rsidRPr="009A1A7D">
        <w:rPr>
          <w:rFonts w:cs="Arial"/>
          <w:color w:val="auto"/>
          <w:szCs w:val="20"/>
        </w:rPr>
        <w:fldChar w:fldCharType="begin"/>
      </w:r>
      <w:r w:rsidRPr="009A1A7D">
        <w:rPr>
          <w:rFonts w:cs="Arial"/>
          <w:color w:val="auto"/>
          <w:szCs w:val="20"/>
        </w:rPr>
        <w:instrText xml:space="preserve"> SEQ Tabela \* ARABIC </w:instrText>
      </w:r>
      <w:r w:rsidRPr="009A1A7D">
        <w:rPr>
          <w:rFonts w:cs="Arial"/>
          <w:color w:val="auto"/>
          <w:szCs w:val="20"/>
        </w:rPr>
        <w:fldChar w:fldCharType="separate"/>
      </w:r>
      <w:r w:rsidRPr="009A1A7D">
        <w:rPr>
          <w:rFonts w:cs="Arial"/>
          <w:noProof/>
          <w:color w:val="auto"/>
          <w:szCs w:val="20"/>
        </w:rPr>
        <w:t>6</w:t>
      </w:r>
      <w:r w:rsidRPr="009A1A7D">
        <w:rPr>
          <w:rFonts w:cs="Arial"/>
          <w:color w:val="auto"/>
          <w:szCs w:val="20"/>
        </w:rPr>
        <w:fldChar w:fldCharType="end"/>
      </w:r>
      <w:r w:rsidRPr="009A1A7D">
        <w:rPr>
          <w:rFonts w:cs="Arial"/>
          <w:color w:val="auto"/>
          <w:szCs w:val="20"/>
        </w:rPr>
        <w:t>: Bruto in neto dodana vrednost KMG na hektar KZU oziroma na PDM po ekonomskih velikostnih razredih za obdobje 2015–2019 (uteženi FADN podatki)</w:t>
      </w:r>
      <w:bookmarkEnd w:id="3095"/>
    </w:p>
    <w:p w14:paraId="36B0DE2D"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i/>
          <w:color w:val="auto"/>
          <w:sz w:val="18"/>
          <w:szCs w:val="20"/>
        </w:rPr>
      </w:pPr>
    </w:p>
    <w:tbl>
      <w:tblPr>
        <w:tblW w:w="4766" w:type="pct"/>
        <w:tblLayout w:type="fixed"/>
        <w:tblCellMar>
          <w:left w:w="70" w:type="dxa"/>
          <w:right w:w="70" w:type="dxa"/>
        </w:tblCellMar>
        <w:tblLook w:val="04A0" w:firstRow="1" w:lastRow="0" w:firstColumn="1" w:lastColumn="0" w:noHBand="0" w:noVBand="1"/>
      </w:tblPr>
      <w:tblGrid>
        <w:gridCol w:w="2268"/>
        <w:gridCol w:w="1134"/>
        <w:gridCol w:w="1134"/>
        <w:gridCol w:w="1064"/>
        <w:gridCol w:w="1287"/>
        <w:gridCol w:w="828"/>
        <w:gridCol w:w="932"/>
      </w:tblGrid>
      <w:tr w:rsidR="00134998" w:rsidRPr="00823C87" w14:paraId="5D0D3B48" w14:textId="77777777" w:rsidTr="009F4DF4">
        <w:trPr>
          <w:trHeight w:val="288"/>
        </w:trPr>
        <w:tc>
          <w:tcPr>
            <w:tcW w:w="3238" w:type="pct"/>
            <w:gridSpan w:val="4"/>
            <w:tcBorders>
              <w:top w:val="nil"/>
              <w:left w:val="nil"/>
              <w:bottom w:val="nil"/>
              <w:right w:val="nil"/>
            </w:tcBorders>
            <w:shd w:val="clear" w:color="auto" w:fill="auto"/>
            <w:vAlign w:val="bottom"/>
          </w:tcPr>
          <w:p w14:paraId="3A483798" w14:textId="77777777" w:rsidR="00134998" w:rsidRPr="00823C87" w:rsidRDefault="00134998" w:rsidP="009F4DF4">
            <w:pPr>
              <w:spacing w:line="240" w:lineRule="auto"/>
              <w:rPr>
                <w:rFonts w:cstheme="minorHAnsi"/>
                <w:color w:val="000000"/>
                <w:sz w:val="16"/>
                <w:szCs w:val="16"/>
                <w:lang w:eastAsia="sl-SI"/>
              </w:rPr>
            </w:pPr>
            <w:r w:rsidRPr="00823C87">
              <w:rPr>
                <w:rFonts w:cstheme="minorHAnsi"/>
                <w:b/>
                <w:bCs/>
                <w:color w:val="000000" w:themeColor="text1"/>
                <w:sz w:val="16"/>
                <w:szCs w:val="16"/>
                <w:lang w:eastAsia="sl-SI"/>
              </w:rPr>
              <w:t>UTEŽENA POVPREČJA ZA OBDOBJE</w:t>
            </w:r>
            <w:r>
              <w:rPr>
                <w:rFonts w:cstheme="minorHAnsi"/>
                <w:b/>
                <w:bCs/>
                <w:color w:val="000000" w:themeColor="text1"/>
                <w:sz w:val="16"/>
                <w:szCs w:val="16"/>
                <w:lang w:eastAsia="sl-SI"/>
              </w:rPr>
              <w:t xml:space="preserve"> 2015–2019</w:t>
            </w:r>
            <w:r w:rsidRPr="00823C87">
              <w:rPr>
                <w:rFonts w:cstheme="minorHAnsi"/>
                <w:b/>
                <w:bCs/>
                <w:color w:val="000000" w:themeColor="text1"/>
                <w:sz w:val="16"/>
                <w:szCs w:val="16"/>
                <w:lang w:eastAsia="sl-SI"/>
              </w:rPr>
              <w:t xml:space="preserve"> (EUR/ha KZU)</w:t>
            </w:r>
            <w:r>
              <w:rPr>
                <w:rFonts w:cstheme="minorHAnsi"/>
                <w:b/>
                <w:bCs/>
                <w:color w:val="000000" w:themeColor="text1"/>
                <w:sz w:val="16"/>
                <w:szCs w:val="16"/>
                <w:lang w:eastAsia="sl-SI"/>
              </w:rPr>
              <w:t>:</w:t>
            </w:r>
            <w:r w:rsidRPr="00823C87">
              <w:rPr>
                <w:rFonts w:cstheme="minorHAnsi"/>
                <w:color w:val="000000" w:themeColor="text1"/>
                <w:sz w:val="16"/>
                <w:szCs w:val="16"/>
                <w:lang w:eastAsia="sl-SI"/>
              </w:rPr>
              <w:t> </w:t>
            </w:r>
          </w:p>
        </w:tc>
        <w:tc>
          <w:tcPr>
            <w:tcW w:w="744" w:type="pct"/>
            <w:tcBorders>
              <w:top w:val="nil"/>
              <w:left w:val="nil"/>
              <w:bottom w:val="nil"/>
              <w:right w:val="nil"/>
            </w:tcBorders>
            <w:shd w:val="clear" w:color="auto" w:fill="auto"/>
            <w:noWrap/>
            <w:vAlign w:val="bottom"/>
            <w:hideMark/>
          </w:tcPr>
          <w:p w14:paraId="7F89947D" w14:textId="77777777" w:rsidR="00134998" w:rsidRPr="00823C87" w:rsidRDefault="00134998" w:rsidP="009F4DF4">
            <w:pPr>
              <w:spacing w:line="240" w:lineRule="auto"/>
              <w:rPr>
                <w:rFonts w:cstheme="minorHAnsi"/>
                <w:color w:val="000000"/>
                <w:sz w:val="16"/>
                <w:szCs w:val="16"/>
                <w:lang w:eastAsia="sl-SI"/>
              </w:rPr>
            </w:pPr>
            <w:r w:rsidRPr="00823C87">
              <w:rPr>
                <w:rFonts w:cstheme="minorHAnsi"/>
                <w:color w:val="000000"/>
                <w:sz w:val="16"/>
                <w:szCs w:val="16"/>
                <w:lang w:eastAsia="sl-SI"/>
              </w:rPr>
              <w:t> </w:t>
            </w:r>
          </w:p>
        </w:tc>
        <w:tc>
          <w:tcPr>
            <w:tcW w:w="479" w:type="pct"/>
            <w:tcBorders>
              <w:top w:val="nil"/>
              <w:left w:val="nil"/>
              <w:bottom w:val="nil"/>
              <w:right w:val="nil"/>
            </w:tcBorders>
            <w:shd w:val="clear" w:color="auto" w:fill="auto"/>
            <w:noWrap/>
            <w:vAlign w:val="bottom"/>
            <w:hideMark/>
          </w:tcPr>
          <w:p w14:paraId="5C126A2E" w14:textId="77777777" w:rsidR="00134998" w:rsidRPr="00823C87" w:rsidRDefault="00134998" w:rsidP="009F4DF4">
            <w:pPr>
              <w:spacing w:line="240" w:lineRule="auto"/>
              <w:rPr>
                <w:rFonts w:cstheme="minorHAnsi"/>
                <w:color w:val="000000"/>
                <w:sz w:val="16"/>
                <w:szCs w:val="16"/>
                <w:lang w:eastAsia="sl-SI"/>
              </w:rPr>
            </w:pPr>
            <w:r w:rsidRPr="00823C87">
              <w:rPr>
                <w:rFonts w:cstheme="minorHAnsi"/>
                <w:color w:val="000000"/>
                <w:sz w:val="16"/>
                <w:szCs w:val="16"/>
                <w:lang w:eastAsia="sl-SI"/>
              </w:rPr>
              <w:t> </w:t>
            </w:r>
          </w:p>
        </w:tc>
        <w:tc>
          <w:tcPr>
            <w:tcW w:w="539" w:type="pct"/>
            <w:tcBorders>
              <w:top w:val="nil"/>
              <w:left w:val="nil"/>
              <w:bottom w:val="nil"/>
              <w:right w:val="nil"/>
            </w:tcBorders>
            <w:shd w:val="clear" w:color="auto" w:fill="auto"/>
            <w:noWrap/>
            <w:vAlign w:val="bottom"/>
            <w:hideMark/>
          </w:tcPr>
          <w:p w14:paraId="498060C5" w14:textId="77777777" w:rsidR="00134998" w:rsidRPr="00823C87" w:rsidRDefault="00134998" w:rsidP="009F4DF4">
            <w:pPr>
              <w:spacing w:line="240" w:lineRule="auto"/>
              <w:rPr>
                <w:rFonts w:cstheme="minorHAnsi"/>
                <w:color w:val="000000"/>
                <w:sz w:val="16"/>
                <w:szCs w:val="16"/>
                <w:lang w:eastAsia="sl-SI"/>
              </w:rPr>
            </w:pPr>
            <w:r w:rsidRPr="00823C87">
              <w:rPr>
                <w:rFonts w:cstheme="minorHAnsi"/>
                <w:color w:val="000000"/>
                <w:sz w:val="16"/>
                <w:szCs w:val="16"/>
                <w:lang w:eastAsia="sl-SI"/>
              </w:rPr>
              <w:t> </w:t>
            </w:r>
          </w:p>
        </w:tc>
      </w:tr>
      <w:tr w:rsidR="00134998" w:rsidRPr="00823C87" w14:paraId="081205F4" w14:textId="77777777" w:rsidTr="009F4DF4">
        <w:trPr>
          <w:trHeight w:val="288"/>
        </w:trPr>
        <w:tc>
          <w:tcPr>
            <w:tcW w:w="1311" w:type="pct"/>
            <w:tcBorders>
              <w:top w:val="nil"/>
              <w:left w:val="nil"/>
              <w:bottom w:val="single" w:sz="4" w:space="0" w:color="auto"/>
              <w:right w:val="nil"/>
            </w:tcBorders>
            <w:shd w:val="clear" w:color="auto" w:fill="auto"/>
            <w:noWrap/>
            <w:vAlign w:val="bottom"/>
            <w:hideMark/>
          </w:tcPr>
          <w:p w14:paraId="5FA83190" w14:textId="77777777" w:rsidR="00134998" w:rsidRPr="00823C87" w:rsidRDefault="00134998" w:rsidP="009F4DF4">
            <w:pPr>
              <w:spacing w:line="240" w:lineRule="auto"/>
              <w:rPr>
                <w:rFonts w:cstheme="minorHAnsi"/>
                <w:sz w:val="16"/>
                <w:szCs w:val="16"/>
                <w:lang w:eastAsia="sl-SI"/>
              </w:rPr>
            </w:pPr>
          </w:p>
        </w:tc>
        <w:tc>
          <w:tcPr>
            <w:tcW w:w="656" w:type="pct"/>
            <w:tcBorders>
              <w:top w:val="nil"/>
              <w:left w:val="nil"/>
              <w:bottom w:val="single" w:sz="4" w:space="0" w:color="auto"/>
              <w:right w:val="nil"/>
            </w:tcBorders>
            <w:shd w:val="clear" w:color="auto" w:fill="auto"/>
            <w:noWrap/>
            <w:vAlign w:val="center"/>
            <w:hideMark/>
          </w:tcPr>
          <w:p w14:paraId="52825D8B" w14:textId="77777777" w:rsidR="00134998" w:rsidRPr="00823C87" w:rsidRDefault="00134998" w:rsidP="009F4DF4">
            <w:pPr>
              <w:spacing w:line="240" w:lineRule="auto"/>
              <w:jc w:val="right"/>
              <w:rPr>
                <w:rFonts w:cstheme="minorHAnsi"/>
                <w:sz w:val="16"/>
                <w:szCs w:val="16"/>
                <w:lang w:eastAsia="sl-SI"/>
              </w:rPr>
            </w:pPr>
          </w:p>
        </w:tc>
        <w:tc>
          <w:tcPr>
            <w:tcW w:w="656" w:type="pct"/>
            <w:tcBorders>
              <w:top w:val="nil"/>
              <w:left w:val="nil"/>
              <w:bottom w:val="single" w:sz="4" w:space="0" w:color="auto"/>
              <w:right w:val="nil"/>
            </w:tcBorders>
            <w:shd w:val="clear" w:color="auto" w:fill="auto"/>
            <w:noWrap/>
            <w:vAlign w:val="bottom"/>
            <w:hideMark/>
          </w:tcPr>
          <w:p w14:paraId="6E4B7D7A" w14:textId="77777777" w:rsidR="00134998" w:rsidRPr="00823C87" w:rsidRDefault="00134998" w:rsidP="009F4DF4">
            <w:pPr>
              <w:spacing w:line="240" w:lineRule="auto"/>
              <w:jc w:val="right"/>
              <w:rPr>
                <w:rFonts w:cstheme="minorHAnsi"/>
                <w:sz w:val="16"/>
                <w:szCs w:val="16"/>
                <w:lang w:eastAsia="sl-SI"/>
              </w:rPr>
            </w:pPr>
          </w:p>
        </w:tc>
        <w:tc>
          <w:tcPr>
            <w:tcW w:w="615" w:type="pct"/>
            <w:tcBorders>
              <w:top w:val="nil"/>
              <w:left w:val="nil"/>
              <w:bottom w:val="single" w:sz="4" w:space="0" w:color="auto"/>
              <w:right w:val="nil"/>
            </w:tcBorders>
            <w:shd w:val="clear" w:color="auto" w:fill="auto"/>
            <w:noWrap/>
            <w:vAlign w:val="bottom"/>
            <w:hideMark/>
          </w:tcPr>
          <w:p w14:paraId="6119A54F" w14:textId="77777777" w:rsidR="00134998" w:rsidRPr="00823C87" w:rsidRDefault="00134998" w:rsidP="009F4DF4">
            <w:pPr>
              <w:spacing w:line="240" w:lineRule="auto"/>
              <w:rPr>
                <w:rFonts w:cstheme="minorHAnsi"/>
                <w:sz w:val="16"/>
                <w:szCs w:val="16"/>
                <w:lang w:eastAsia="sl-SI"/>
              </w:rPr>
            </w:pPr>
          </w:p>
        </w:tc>
        <w:tc>
          <w:tcPr>
            <w:tcW w:w="744" w:type="pct"/>
            <w:tcBorders>
              <w:top w:val="nil"/>
              <w:left w:val="nil"/>
              <w:bottom w:val="single" w:sz="4" w:space="0" w:color="auto"/>
              <w:right w:val="nil"/>
            </w:tcBorders>
            <w:shd w:val="clear" w:color="auto" w:fill="auto"/>
            <w:noWrap/>
            <w:vAlign w:val="bottom"/>
            <w:hideMark/>
          </w:tcPr>
          <w:p w14:paraId="2FE7A86F" w14:textId="77777777" w:rsidR="00134998" w:rsidRPr="00823C87" w:rsidRDefault="00134998" w:rsidP="009F4DF4">
            <w:pPr>
              <w:spacing w:line="240" w:lineRule="auto"/>
              <w:rPr>
                <w:rFonts w:cstheme="minorHAnsi"/>
                <w:sz w:val="16"/>
                <w:szCs w:val="16"/>
                <w:lang w:eastAsia="sl-SI"/>
              </w:rPr>
            </w:pPr>
          </w:p>
        </w:tc>
        <w:tc>
          <w:tcPr>
            <w:tcW w:w="479" w:type="pct"/>
            <w:tcBorders>
              <w:top w:val="nil"/>
              <w:left w:val="nil"/>
              <w:bottom w:val="single" w:sz="4" w:space="0" w:color="auto"/>
              <w:right w:val="nil"/>
            </w:tcBorders>
            <w:shd w:val="clear" w:color="auto" w:fill="auto"/>
            <w:noWrap/>
            <w:vAlign w:val="bottom"/>
            <w:hideMark/>
          </w:tcPr>
          <w:p w14:paraId="653570E8" w14:textId="77777777" w:rsidR="00134998" w:rsidRPr="00823C87" w:rsidRDefault="00134998" w:rsidP="009F4DF4">
            <w:pPr>
              <w:spacing w:line="240" w:lineRule="auto"/>
              <w:rPr>
                <w:rFonts w:cstheme="minorHAnsi"/>
                <w:sz w:val="16"/>
                <w:szCs w:val="16"/>
                <w:lang w:eastAsia="sl-SI"/>
              </w:rPr>
            </w:pPr>
          </w:p>
        </w:tc>
        <w:tc>
          <w:tcPr>
            <w:tcW w:w="539" w:type="pct"/>
            <w:tcBorders>
              <w:top w:val="nil"/>
              <w:left w:val="nil"/>
              <w:bottom w:val="single" w:sz="4" w:space="0" w:color="auto"/>
              <w:right w:val="nil"/>
            </w:tcBorders>
            <w:shd w:val="clear" w:color="auto" w:fill="auto"/>
            <w:noWrap/>
            <w:vAlign w:val="bottom"/>
            <w:hideMark/>
          </w:tcPr>
          <w:p w14:paraId="4E39522A" w14:textId="77777777" w:rsidR="00134998" w:rsidRPr="00823C87" w:rsidRDefault="00134998" w:rsidP="009F4DF4">
            <w:pPr>
              <w:spacing w:line="240" w:lineRule="auto"/>
              <w:rPr>
                <w:rFonts w:cstheme="minorHAnsi"/>
                <w:sz w:val="16"/>
                <w:szCs w:val="16"/>
                <w:lang w:eastAsia="sl-SI"/>
              </w:rPr>
            </w:pPr>
          </w:p>
        </w:tc>
      </w:tr>
      <w:tr w:rsidR="00134998" w:rsidRPr="004143C3" w14:paraId="506E037C"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7B1C4F" w14:textId="77777777" w:rsidR="00134998" w:rsidRPr="00823C87" w:rsidRDefault="00134998" w:rsidP="009F4DF4">
            <w:pPr>
              <w:spacing w:line="240" w:lineRule="auto"/>
              <w:rPr>
                <w:rFonts w:cstheme="minorHAnsi"/>
                <w:color w:val="000000"/>
                <w:sz w:val="15"/>
                <w:szCs w:val="15"/>
                <w:lang w:eastAsia="sl-SI"/>
              </w:rPr>
            </w:pPr>
            <w:r w:rsidRPr="00823C87">
              <w:rPr>
                <w:rFonts w:cstheme="minorHAnsi"/>
                <w:color w:val="000000"/>
                <w:sz w:val="15"/>
                <w:szCs w:val="15"/>
                <w:lang w:eastAsia="sl-SI"/>
              </w:rPr>
              <w:t> </w:t>
            </w:r>
          </w:p>
        </w:tc>
        <w:tc>
          <w:tcPr>
            <w:tcW w:w="6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F9E528"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4.000 EUR-&lt;8.000 EUR</w:t>
            </w:r>
          </w:p>
        </w:tc>
        <w:tc>
          <w:tcPr>
            <w:tcW w:w="6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D8FCEF"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8.000 EUR-&lt;25.000 EUR</w:t>
            </w:r>
          </w:p>
        </w:tc>
        <w:tc>
          <w:tcPr>
            <w:tcW w:w="61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6C28A7"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25.000 EUR-&lt;100.000 EUR</w:t>
            </w:r>
          </w:p>
        </w:tc>
        <w:tc>
          <w:tcPr>
            <w:tcW w:w="74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60619E"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100.000 EUR-&lt;500.000 EUR</w:t>
            </w:r>
          </w:p>
        </w:tc>
        <w:tc>
          <w:tcPr>
            <w:tcW w:w="47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8DA0CC"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=&gt;500.000 EUR</w:t>
            </w:r>
          </w:p>
        </w:tc>
        <w:tc>
          <w:tcPr>
            <w:tcW w:w="53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5E8702"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Skupaj</w:t>
            </w:r>
          </w:p>
        </w:tc>
      </w:tr>
      <w:tr w:rsidR="00134998" w:rsidRPr="004143C3" w14:paraId="40673AF4"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888E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Skupaj vrednost proizvodnje/ha KZU (SE131/SE025)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821F7"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1.820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CEBB"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2.092</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B92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2.868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98C8"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4.779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7106B"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5.900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D9198"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2.629</w:t>
            </w:r>
          </w:p>
        </w:tc>
      </w:tr>
      <w:tr w:rsidR="00134998" w:rsidRPr="004143C3" w14:paraId="488D9D69"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D6819"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Bruto dodana vrednost kmetije/ha KZU (SE410/SE025)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F6F88"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879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6963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1.309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C8AD9"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1.599</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797C0"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2.634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705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3.505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2F63F"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1.491</w:t>
            </w:r>
          </w:p>
        </w:tc>
      </w:tr>
      <w:tr w:rsidR="00134998" w:rsidRPr="004143C3" w14:paraId="7629CBBD"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CACC4"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Neto dodana vrednost kmetije/ha KZU (SE415/SE025)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E36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D88C4"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533</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9B92"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797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11E1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1.618</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EB7E"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2.466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31A03"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668</w:t>
            </w:r>
          </w:p>
        </w:tc>
      </w:tr>
      <w:tr w:rsidR="00134998" w:rsidRPr="004143C3" w14:paraId="0164418A"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A0C2B"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Bilanca tekočih subvencij in davkov/ha KZU (SE600/SE025)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1A6DD"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454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B2C9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631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9D76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671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92F49"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757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7C51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996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08DFE"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628</w:t>
            </w:r>
          </w:p>
        </w:tc>
      </w:tr>
      <w:tr w:rsidR="00134998" w:rsidRPr="004143C3" w14:paraId="717D8B54"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2ECB2"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Skupne subvencije, brez investicij/ha KZU (SE605/SE025)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7742"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576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ED11B"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705</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8C02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700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12ED"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771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CC8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A332"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689</w:t>
            </w:r>
          </w:p>
        </w:tc>
      </w:tr>
      <w:tr w:rsidR="00134998" w:rsidRPr="004143C3" w14:paraId="1CFCFCEA"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7115E"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Skupaj neposredne podpore/ha KZU (SE606/SE025)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24D17"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156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454A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170</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F863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197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C009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203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02F6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139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81868"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180</w:t>
            </w:r>
          </w:p>
        </w:tc>
      </w:tr>
      <w:tr w:rsidR="00134998" w:rsidRPr="004143C3" w14:paraId="25009E14" w14:textId="77777777" w:rsidTr="009F4DF4">
        <w:trPr>
          <w:trHeight w:val="58"/>
        </w:trPr>
        <w:tc>
          <w:tcPr>
            <w:tcW w:w="1311" w:type="pct"/>
            <w:tcBorders>
              <w:left w:val="nil"/>
              <w:bottom w:val="nil"/>
              <w:right w:val="nil"/>
            </w:tcBorders>
            <w:shd w:val="clear" w:color="auto" w:fill="auto"/>
            <w:noWrap/>
            <w:vAlign w:val="bottom"/>
          </w:tcPr>
          <w:p w14:paraId="307F5A27" w14:textId="77777777" w:rsidR="00134998" w:rsidRPr="004143C3" w:rsidRDefault="00134998" w:rsidP="009F4DF4">
            <w:pPr>
              <w:spacing w:line="240" w:lineRule="auto"/>
              <w:jc w:val="right"/>
              <w:rPr>
                <w:rFonts w:cstheme="minorHAnsi"/>
                <w:color w:val="000000"/>
                <w:sz w:val="15"/>
                <w:szCs w:val="15"/>
                <w:lang w:eastAsia="sl-SI"/>
              </w:rPr>
            </w:pPr>
          </w:p>
        </w:tc>
        <w:tc>
          <w:tcPr>
            <w:tcW w:w="656" w:type="pct"/>
            <w:tcBorders>
              <w:left w:val="nil"/>
              <w:bottom w:val="nil"/>
              <w:right w:val="nil"/>
            </w:tcBorders>
            <w:shd w:val="clear" w:color="auto" w:fill="auto"/>
            <w:noWrap/>
            <w:vAlign w:val="bottom"/>
          </w:tcPr>
          <w:p w14:paraId="20B25D0A" w14:textId="77777777" w:rsidR="00134998" w:rsidRPr="004143C3" w:rsidRDefault="00134998" w:rsidP="009F4DF4">
            <w:pPr>
              <w:spacing w:line="240" w:lineRule="auto"/>
              <w:jc w:val="right"/>
              <w:rPr>
                <w:rFonts w:cstheme="minorHAnsi"/>
                <w:color w:val="000000"/>
                <w:sz w:val="15"/>
                <w:szCs w:val="15"/>
                <w:lang w:eastAsia="sl-SI"/>
              </w:rPr>
            </w:pPr>
          </w:p>
        </w:tc>
        <w:tc>
          <w:tcPr>
            <w:tcW w:w="656" w:type="pct"/>
            <w:tcBorders>
              <w:left w:val="nil"/>
              <w:bottom w:val="nil"/>
              <w:right w:val="nil"/>
            </w:tcBorders>
            <w:shd w:val="clear" w:color="auto" w:fill="auto"/>
            <w:noWrap/>
            <w:vAlign w:val="bottom"/>
          </w:tcPr>
          <w:p w14:paraId="75A81E6C" w14:textId="77777777" w:rsidR="00134998" w:rsidRPr="004143C3" w:rsidRDefault="00134998" w:rsidP="009F4DF4">
            <w:pPr>
              <w:spacing w:line="240" w:lineRule="auto"/>
              <w:jc w:val="right"/>
              <w:rPr>
                <w:rFonts w:cstheme="minorHAnsi"/>
                <w:color w:val="000000"/>
                <w:sz w:val="15"/>
                <w:szCs w:val="15"/>
                <w:lang w:eastAsia="sl-SI"/>
              </w:rPr>
            </w:pPr>
          </w:p>
        </w:tc>
        <w:tc>
          <w:tcPr>
            <w:tcW w:w="615" w:type="pct"/>
            <w:tcBorders>
              <w:left w:val="nil"/>
              <w:bottom w:val="nil"/>
              <w:right w:val="nil"/>
            </w:tcBorders>
            <w:shd w:val="clear" w:color="auto" w:fill="auto"/>
            <w:noWrap/>
            <w:vAlign w:val="bottom"/>
          </w:tcPr>
          <w:p w14:paraId="4DA4149D" w14:textId="77777777" w:rsidR="00134998" w:rsidRPr="004143C3" w:rsidRDefault="00134998" w:rsidP="009F4DF4">
            <w:pPr>
              <w:spacing w:line="240" w:lineRule="auto"/>
              <w:jc w:val="right"/>
              <w:rPr>
                <w:rFonts w:cstheme="minorHAnsi"/>
                <w:color w:val="000000"/>
                <w:sz w:val="15"/>
                <w:szCs w:val="15"/>
                <w:lang w:eastAsia="sl-SI"/>
              </w:rPr>
            </w:pPr>
          </w:p>
        </w:tc>
        <w:tc>
          <w:tcPr>
            <w:tcW w:w="744" w:type="pct"/>
            <w:tcBorders>
              <w:left w:val="nil"/>
              <w:bottom w:val="nil"/>
              <w:right w:val="nil"/>
            </w:tcBorders>
            <w:shd w:val="clear" w:color="auto" w:fill="auto"/>
            <w:noWrap/>
            <w:vAlign w:val="bottom"/>
          </w:tcPr>
          <w:p w14:paraId="2AB79CC9" w14:textId="77777777" w:rsidR="00134998" w:rsidRPr="004143C3" w:rsidRDefault="00134998" w:rsidP="009F4DF4">
            <w:pPr>
              <w:spacing w:line="240" w:lineRule="auto"/>
              <w:jc w:val="right"/>
              <w:rPr>
                <w:rFonts w:cstheme="minorHAnsi"/>
                <w:color w:val="000000"/>
                <w:sz w:val="15"/>
                <w:szCs w:val="15"/>
                <w:lang w:eastAsia="sl-SI"/>
              </w:rPr>
            </w:pPr>
          </w:p>
        </w:tc>
        <w:tc>
          <w:tcPr>
            <w:tcW w:w="479" w:type="pct"/>
            <w:tcBorders>
              <w:left w:val="nil"/>
              <w:bottom w:val="nil"/>
              <w:right w:val="nil"/>
            </w:tcBorders>
            <w:shd w:val="clear" w:color="auto" w:fill="auto"/>
            <w:noWrap/>
            <w:vAlign w:val="bottom"/>
          </w:tcPr>
          <w:p w14:paraId="61068503" w14:textId="77777777" w:rsidR="00134998" w:rsidRPr="004143C3" w:rsidRDefault="00134998" w:rsidP="009F4DF4">
            <w:pPr>
              <w:spacing w:line="240" w:lineRule="auto"/>
              <w:jc w:val="right"/>
              <w:rPr>
                <w:rFonts w:cstheme="minorHAnsi"/>
                <w:color w:val="000000"/>
                <w:sz w:val="15"/>
                <w:szCs w:val="15"/>
                <w:lang w:eastAsia="sl-SI"/>
              </w:rPr>
            </w:pPr>
          </w:p>
        </w:tc>
        <w:tc>
          <w:tcPr>
            <w:tcW w:w="539" w:type="pct"/>
            <w:tcBorders>
              <w:left w:val="nil"/>
              <w:bottom w:val="nil"/>
              <w:right w:val="nil"/>
            </w:tcBorders>
            <w:shd w:val="clear" w:color="auto" w:fill="auto"/>
            <w:noWrap/>
            <w:vAlign w:val="bottom"/>
          </w:tcPr>
          <w:p w14:paraId="5229B48E" w14:textId="77777777" w:rsidR="00134998" w:rsidRPr="004143C3" w:rsidRDefault="00134998" w:rsidP="009F4DF4">
            <w:pPr>
              <w:spacing w:line="240" w:lineRule="auto"/>
              <w:jc w:val="right"/>
              <w:rPr>
                <w:rFonts w:cstheme="minorHAnsi"/>
                <w:b/>
                <w:bCs/>
                <w:color w:val="000000"/>
                <w:sz w:val="15"/>
                <w:szCs w:val="15"/>
                <w:lang w:eastAsia="sl-SI"/>
              </w:rPr>
            </w:pPr>
          </w:p>
        </w:tc>
      </w:tr>
      <w:tr w:rsidR="00134998" w:rsidRPr="004143C3" w14:paraId="2ECCFE0D" w14:textId="77777777" w:rsidTr="009F4DF4">
        <w:trPr>
          <w:trHeight w:val="498"/>
        </w:trPr>
        <w:tc>
          <w:tcPr>
            <w:tcW w:w="3238" w:type="pct"/>
            <w:gridSpan w:val="4"/>
            <w:tcBorders>
              <w:top w:val="nil"/>
              <w:left w:val="nil"/>
              <w:bottom w:val="single" w:sz="4" w:space="0" w:color="auto"/>
              <w:right w:val="nil"/>
            </w:tcBorders>
            <w:shd w:val="clear" w:color="auto" w:fill="auto"/>
            <w:noWrap/>
            <w:vAlign w:val="bottom"/>
            <w:hideMark/>
          </w:tcPr>
          <w:p w14:paraId="2B8FDE7C" w14:textId="77777777" w:rsidR="00134998" w:rsidRPr="004143C3" w:rsidRDefault="00134998" w:rsidP="009F4DF4">
            <w:pPr>
              <w:spacing w:line="240" w:lineRule="auto"/>
              <w:rPr>
                <w:rFonts w:cstheme="minorHAnsi"/>
                <w:color w:val="000000" w:themeColor="text1"/>
                <w:sz w:val="15"/>
                <w:szCs w:val="15"/>
                <w:lang w:eastAsia="sl-SI"/>
              </w:rPr>
            </w:pPr>
          </w:p>
          <w:p w14:paraId="49571170" w14:textId="77777777" w:rsidR="00134998" w:rsidRPr="004E3104" w:rsidRDefault="00134998" w:rsidP="009F4DF4">
            <w:pPr>
              <w:spacing w:line="240" w:lineRule="auto"/>
              <w:rPr>
                <w:rFonts w:cstheme="minorHAnsi"/>
                <w:b/>
                <w:bCs/>
                <w:color w:val="000000" w:themeColor="text1"/>
                <w:sz w:val="15"/>
                <w:szCs w:val="15"/>
                <w:lang w:eastAsia="sl-SI"/>
              </w:rPr>
            </w:pPr>
            <w:r w:rsidRPr="00823C87">
              <w:rPr>
                <w:rFonts w:cstheme="minorHAnsi"/>
                <w:b/>
                <w:bCs/>
                <w:color w:val="000000" w:themeColor="text1"/>
                <w:sz w:val="15"/>
                <w:szCs w:val="15"/>
                <w:lang w:eastAsia="sl-SI"/>
              </w:rPr>
              <w:t>UTEŽENA POVPREČJA ZA OBDOBJE</w:t>
            </w:r>
            <w:r w:rsidRPr="004143C3">
              <w:rPr>
                <w:rFonts w:cstheme="minorHAnsi"/>
                <w:b/>
                <w:bCs/>
                <w:color w:val="000000" w:themeColor="text1"/>
                <w:sz w:val="15"/>
                <w:szCs w:val="15"/>
                <w:lang w:eastAsia="sl-SI"/>
              </w:rPr>
              <w:t xml:space="preserve"> 2015–2019</w:t>
            </w:r>
            <w:r w:rsidRPr="00823C87">
              <w:rPr>
                <w:rFonts w:cstheme="minorHAnsi"/>
                <w:b/>
                <w:bCs/>
                <w:color w:val="000000" w:themeColor="text1"/>
                <w:sz w:val="15"/>
                <w:szCs w:val="15"/>
                <w:lang w:eastAsia="sl-SI"/>
              </w:rPr>
              <w:t xml:space="preserve"> (EUR/</w:t>
            </w:r>
            <w:r w:rsidRPr="004143C3">
              <w:rPr>
                <w:rFonts w:cstheme="minorHAnsi"/>
                <w:b/>
                <w:bCs/>
                <w:color w:val="000000" w:themeColor="text1"/>
                <w:sz w:val="15"/>
                <w:szCs w:val="15"/>
                <w:lang w:eastAsia="sl-SI"/>
              </w:rPr>
              <w:t>PDM</w:t>
            </w:r>
            <w:r w:rsidRPr="00823C87">
              <w:rPr>
                <w:rFonts w:cstheme="minorHAnsi"/>
                <w:b/>
                <w:bCs/>
                <w:color w:val="000000" w:themeColor="text1"/>
                <w:sz w:val="15"/>
                <w:szCs w:val="15"/>
                <w:lang w:eastAsia="sl-SI"/>
              </w:rPr>
              <w:t>):</w:t>
            </w:r>
          </w:p>
        </w:tc>
        <w:tc>
          <w:tcPr>
            <w:tcW w:w="744" w:type="pct"/>
            <w:tcBorders>
              <w:top w:val="nil"/>
              <w:left w:val="nil"/>
              <w:bottom w:val="single" w:sz="4" w:space="0" w:color="auto"/>
              <w:right w:val="nil"/>
            </w:tcBorders>
            <w:shd w:val="clear" w:color="auto" w:fill="auto"/>
            <w:noWrap/>
            <w:vAlign w:val="bottom"/>
            <w:hideMark/>
          </w:tcPr>
          <w:p w14:paraId="2C44E016" w14:textId="77777777" w:rsidR="00134998" w:rsidRPr="00823C87" w:rsidRDefault="00134998" w:rsidP="009F4DF4">
            <w:pPr>
              <w:spacing w:line="240" w:lineRule="auto"/>
              <w:rPr>
                <w:rFonts w:cstheme="minorHAnsi"/>
                <w:sz w:val="15"/>
                <w:szCs w:val="15"/>
                <w:lang w:eastAsia="sl-SI"/>
              </w:rPr>
            </w:pPr>
          </w:p>
        </w:tc>
        <w:tc>
          <w:tcPr>
            <w:tcW w:w="479" w:type="pct"/>
            <w:tcBorders>
              <w:top w:val="nil"/>
              <w:left w:val="nil"/>
              <w:bottom w:val="single" w:sz="4" w:space="0" w:color="auto"/>
              <w:right w:val="nil"/>
            </w:tcBorders>
            <w:shd w:val="clear" w:color="auto" w:fill="auto"/>
            <w:noWrap/>
            <w:vAlign w:val="bottom"/>
            <w:hideMark/>
          </w:tcPr>
          <w:p w14:paraId="69558322" w14:textId="77777777" w:rsidR="00134998" w:rsidRPr="00823C87" w:rsidRDefault="00134998" w:rsidP="009F4DF4">
            <w:pPr>
              <w:spacing w:line="240" w:lineRule="auto"/>
              <w:rPr>
                <w:rFonts w:cstheme="minorHAnsi"/>
                <w:sz w:val="15"/>
                <w:szCs w:val="15"/>
                <w:lang w:eastAsia="sl-SI"/>
              </w:rPr>
            </w:pPr>
          </w:p>
        </w:tc>
        <w:tc>
          <w:tcPr>
            <w:tcW w:w="539" w:type="pct"/>
            <w:tcBorders>
              <w:top w:val="nil"/>
              <w:left w:val="nil"/>
              <w:bottom w:val="single" w:sz="4" w:space="0" w:color="auto"/>
              <w:right w:val="nil"/>
            </w:tcBorders>
            <w:shd w:val="clear" w:color="auto" w:fill="auto"/>
            <w:noWrap/>
            <w:vAlign w:val="bottom"/>
            <w:hideMark/>
          </w:tcPr>
          <w:p w14:paraId="109492B6" w14:textId="77777777" w:rsidR="00134998" w:rsidRPr="00823C87" w:rsidRDefault="00134998" w:rsidP="009F4DF4">
            <w:pPr>
              <w:spacing w:line="240" w:lineRule="auto"/>
              <w:rPr>
                <w:rFonts w:cstheme="minorHAnsi"/>
                <w:sz w:val="15"/>
                <w:szCs w:val="15"/>
                <w:lang w:eastAsia="sl-SI"/>
              </w:rPr>
            </w:pPr>
          </w:p>
        </w:tc>
      </w:tr>
      <w:tr w:rsidR="00134998" w:rsidRPr="004143C3" w14:paraId="74FFD9FA"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3AF977" w14:textId="77777777" w:rsidR="00134998" w:rsidRPr="00823C87" w:rsidRDefault="00134998" w:rsidP="009F4DF4">
            <w:pPr>
              <w:spacing w:line="240" w:lineRule="auto"/>
              <w:rPr>
                <w:rFonts w:cstheme="minorHAnsi"/>
                <w:color w:val="000000"/>
                <w:sz w:val="15"/>
                <w:szCs w:val="15"/>
                <w:lang w:eastAsia="sl-SI"/>
              </w:rPr>
            </w:pPr>
            <w:r w:rsidRPr="00823C87">
              <w:rPr>
                <w:rFonts w:cstheme="minorHAnsi"/>
                <w:color w:val="000000"/>
                <w:sz w:val="15"/>
                <w:szCs w:val="15"/>
                <w:lang w:eastAsia="sl-SI"/>
              </w:rPr>
              <w:t> </w:t>
            </w:r>
          </w:p>
        </w:tc>
        <w:tc>
          <w:tcPr>
            <w:tcW w:w="6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80FB4F"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4.000 EUR-&lt;8.000 EUR</w:t>
            </w:r>
          </w:p>
        </w:tc>
        <w:tc>
          <w:tcPr>
            <w:tcW w:w="6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35DE91"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8.000 EUR-&lt;25.000 EUR</w:t>
            </w:r>
          </w:p>
        </w:tc>
        <w:tc>
          <w:tcPr>
            <w:tcW w:w="61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A8247C"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25.000 EUR-&lt;100.000 EUR</w:t>
            </w:r>
          </w:p>
        </w:tc>
        <w:tc>
          <w:tcPr>
            <w:tcW w:w="74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8C91A5"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100.000 EUR-&lt;500.000 EUR</w:t>
            </w:r>
          </w:p>
        </w:tc>
        <w:tc>
          <w:tcPr>
            <w:tcW w:w="47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BC56A9"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=&gt;500.000 EUR</w:t>
            </w:r>
          </w:p>
        </w:tc>
        <w:tc>
          <w:tcPr>
            <w:tcW w:w="53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556490" w14:textId="77777777" w:rsidR="00134998" w:rsidRPr="00823C87" w:rsidRDefault="00134998" w:rsidP="009F4DF4">
            <w:pPr>
              <w:spacing w:line="240" w:lineRule="auto"/>
              <w:jc w:val="right"/>
              <w:rPr>
                <w:rFonts w:cstheme="minorHAnsi"/>
                <w:b/>
                <w:bCs/>
                <w:sz w:val="15"/>
                <w:szCs w:val="15"/>
                <w:lang w:eastAsia="sl-SI"/>
              </w:rPr>
            </w:pPr>
            <w:r w:rsidRPr="00823C87">
              <w:rPr>
                <w:rFonts w:cstheme="minorHAnsi"/>
                <w:b/>
                <w:bCs/>
                <w:sz w:val="15"/>
                <w:szCs w:val="15"/>
                <w:lang w:eastAsia="sl-SI"/>
              </w:rPr>
              <w:t>Skupaj</w:t>
            </w:r>
          </w:p>
        </w:tc>
      </w:tr>
      <w:tr w:rsidR="00134998" w:rsidRPr="004143C3" w14:paraId="4AA93AA9"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3AB8"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Skupaj vrednost proizvodnje/PDM (SE131/SE010)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B51BA"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10.001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B1ED7"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15.712</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08E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31.271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735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59.598</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65F2C"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75.224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DF126"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21.527</w:t>
            </w:r>
          </w:p>
        </w:tc>
      </w:tr>
      <w:tr w:rsidR="00134998" w:rsidRPr="004143C3" w14:paraId="21FB88B4"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C48F9"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Bruto dodana vrednost kmetije/PDM (SE410/SE010)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861A7"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4.831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744C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9.828</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123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17.431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5508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32.857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EF348"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44.688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7D964"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12.210</w:t>
            </w:r>
          </w:p>
        </w:tc>
      </w:tr>
      <w:tr w:rsidR="00134998" w:rsidRPr="004143C3" w14:paraId="15C3C778"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81DC8"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Neto dodana vrednost kmetije/PDM (SE415/SE010)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B6AEE"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309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0E2B"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3.999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5C1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8.688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6C6DA"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20.175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7686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31.444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CC44E"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5.471</w:t>
            </w:r>
          </w:p>
        </w:tc>
      </w:tr>
      <w:tr w:rsidR="00134998" w:rsidRPr="004143C3" w14:paraId="00A3BEA3"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8117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Bilanca tekočih subvencij in davkov/PDM (SE600/SE010)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2DDD"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2.495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3CE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4.738</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AED3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7.311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3084"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9.442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3A7A"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12.699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D4458"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5.143</w:t>
            </w:r>
          </w:p>
        </w:tc>
      </w:tr>
      <w:tr w:rsidR="00134998" w:rsidRPr="004143C3" w14:paraId="379509EF"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51E7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Skupne subvencije, brez investicij/PDM (SE605/SE010)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F434"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3.163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2661"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5.292</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30AE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7.629</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60FD5"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9.613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A1A52"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12.791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0A19E"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5.639</w:t>
            </w:r>
          </w:p>
        </w:tc>
      </w:tr>
      <w:tr w:rsidR="00134998" w:rsidRPr="004143C3" w14:paraId="7E856253" w14:textId="77777777" w:rsidTr="009F4DF4">
        <w:trPr>
          <w:trHeight w:val="288"/>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AE000"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Skupaj neposredne podpore/PDM (SE606/SE010)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597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855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4C847"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1.273</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41F6A"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2.149</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5F443"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2.527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85E26" w14:textId="77777777" w:rsidR="00134998" w:rsidRPr="00823C87" w:rsidRDefault="00134998" w:rsidP="009F4DF4">
            <w:pPr>
              <w:spacing w:line="240" w:lineRule="auto"/>
              <w:jc w:val="right"/>
              <w:rPr>
                <w:rFonts w:cstheme="minorHAnsi"/>
                <w:color w:val="000000"/>
                <w:sz w:val="15"/>
                <w:szCs w:val="15"/>
                <w:lang w:eastAsia="sl-SI"/>
              </w:rPr>
            </w:pPr>
            <w:r w:rsidRPr="00823C87">
              <w:rPr>
                <w:rFonts w:cstheme="minorHAnsi"/>
                <w:color w:val="000000"/>
                <w:sz w:val="15"/>
                <w:szCs w:val="15"/>
                <w:lang w:eastAsia="sl-SI"/>
              </w:rPr>
              <w:t>1.772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086F0" w14:textId="77777777" w:rsidR="00134998" w:rsidRPr="00823C87" w:rsidRDefault="00134998" w:rsidP="009F4DF4">
            <w:pPr>
              <w:spacing w:line="240" w:lineRule="auto"/>
              <w:jc w:val="right"/>
              <w:rPr>
                <w:rFonts w:cstheme="minorHAnsi"/>
                <w:b/>
                <w:bCs/>
                <w:color w:val="000000"/>
                <w:sz w:val="15"/>
                <w:szCs w:val="15"/>
                <w:lang w:eastAsia="sl-SI"/>
              </w:rPr>
            </w:pPr>
            <w:r w:rsidRPr="00823C87">
              <w:rPr>
                <w:rFonts w:cstheme="minorHAnsi"/>
                <w:b/>
                <w:bCs/>
                <w:color w:val="000000"/>
                <w:sz w:val="15"/>
                <w:szCs w:val="15"/>
                <w:lang w:eastAsia="sl-SI"/>
              </w:rPr>
              <w:t>1.472</w:t>
            </w:r>
          </w:p>
        </w:tc>
      </w:tr>
    </w:tbl>
    <w:p w14:paraId="5E1A12BF" w14:textId="77777777" w:rsidR="00134998" w:rsidRPr="00F23F7E"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6"/>
          <w:szCs w:val="20"/>
        </w:rPr>
      </w:pPr>
      <w:r w:rsidRPr="00F23F7E">
        <w:rPr>
          <w:rFonts w:cs="Arial"/>
          <w:color w:val="auto"/>
          <w:sz w:val="16"/>
          <w:szCs w:val="20"/>
        </w:rPr>
        <w:t>Vir podatkov: Vse preračune je opravil Kmetijski inštitut Slovenije, november 2021, na podlagi uteženih podatkov FADN RICA. Individualni standardni rezultati za Slovenijo na podlagi SO:</w:t>
      </w:r>
    </w:p>
    <w:p w14:paraId="294E0853" w14:textId="77777777" w:rsidR="00134998" w:rsidRPr="00F23F7E"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6"/>
          <w:szCs w:val="20"/>
        </w:rPr>
      </w:pPr>
      <w:r w:rsidRPr="00F23F7E">
        <w:rPr>
          <w:rFonts w:cs="Arial"/>
          <w:color w:val="auto"/>
          <w:sz w:val="16"/>
          <w:szCs w:val="20"/>
        </w:rPr>
        <w:t>– Obračunski leti 2015–2016 (podatki Evropske komisije, junij 2020),</w:t>
      </w:r>
    </w:p>
    <w:p w14:paraId="31A210F3" w14:textId="77777777"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r w:rsidRPr="00F23F7E">
        <w:rPr>
          <w:rFonts w:cs="Arial"/>
          <w:color w:val="auto"/>
          <w:sz w:val="16"/>
          <w:szCs w:val="20"/>
        </w:rPr>
        <w:t>– Obračunska leta 2017–2019 (podatki Evropske komisije, november 2021).</w:t>
      </w:r>
    </w:p>
    <w:p w14:paraId="317107FB" w14:textId="77777777"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p>
    <w:p w14:paraId="584BE985"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734A7C23" w14:textId="036C03DE" w:rsidR="00134998" w:rsidRPr="00473F35"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bookmarkStart w:id="3096" w:name="_Toc89851083"/>
      <w:r w:rsidRPr="009A1A7D">
        <w:rPr>
          <w:rFonts w:cs="Arial"/>
          <w:color w:val="auto"/>
          <w:szCs w:val="20"/>
        </w:rPr>
        <w:t xml:space="preserve">Slika </w:t>
      </w:r>
      <w:r w:rsidRPr="009A1A7D">
        <w:rPr>
          <w:rFonts w:cs="Arial"/>
          <w:color w:val="auto"/>
          <w:szCs w:val="20"/>
        </w:rPr>
        <w:fldChar w:fldCharType="begin"/>
      </w:r>
      <w:r w:rsidRPr="009A1A7D">
        <w:rPr>
          <w:rFonts w:cs="Arial"/>
          <w:color w:val="auto"/>
          <w:szCs w:val="20"/>
        </w:rPr>
        <w:instrText xml:space="preserve"> SEQ Slika \* ARABIC </w:instrText>
      </w:r>
      <w:r w:rsidRPr="009A1A7D">
        <w:rPr>
          <w:rFonts w:cs="Arial"/>
          <w:color w:val="auto"/>
          <w:szCs w:val="20"/>
        </w:rPr>
        <w:fldChar w:fldCharType="separate"/>
      </w:r>
      <w:r w:rsidR="00F25435">
        <w:rPr>
          <w:rFonts w:cs="Arial"/>
          <w:noProof/>
          <w:color w:val="auto"/>
          <w:szCs w:val="20"/>
        </w:rPr>
        <w:t>41</w:t>
      </w:r>
      <w:r w:rsidRPr="009A1A7D">
        <w:rPr>
          <w:rFonts w:cs="Arial"/>
          <w:color w:val="auto"/>
          <w:szCs w:val="20"/>
        </w:rPr>
        <w:fldChar w:fldCharType="end"/>
      </w:r>
      <w:r w:rsidRPr="009A1A7D">
        <w:rPr>
          <w:rFonts w:cs="Arial"/>
          <w:color w:val="auto"/>
          <w:szCs w:val="20"/>
        </w:rPr>
        <w:t>:</w:t>
      </w:r>
      <w:r w:rsidRPr="009A1A7D">
        <w:rPr>
          <w:rFonts w:cs="Arial"/>
          <w:b/>
          <w:color w:val="auto"/>
          <w:szCs w:val="20"/>
        </w:rPr>
        <w:t xml:space="preserve"> </w:t>
      </w:r>
      <w:r w:rsidRPr="009A1A7D">
        <w:rPr>
          <w:rFonts w:cs="Arial"/>
          <w:color w:val="auto"/>
          <w:szCs w:val="20"/>
        </w:rPr>
        <w:t>Bruto in neto dodana vrednost na ha KZU po ekonomskih velikostnih razredih (iz FADN vzorca)</w:t>
      </w:r>
      <w:bookmarkEnd w:id="3096"/>
    </w:p>
    <w:p w14:paraId="0B894F57"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2DB58390"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r>
        <w:rPr>
          <w:rFonts w:cs="Arial"/>
          <w:noProof/>
          <w:color w:val="auto"/>
          <w:szCs w:val="20"/>
          <w:lang w:eastAsia="sl-SI"/>
        </w:rPr>
        <w:drawing>
          <wp:inline distT="0" distB="0" distL="0" distR="0" wp14:anchorId="335EE1A9" wp14:editId="5A03D241">
            <wp:extent cx="5311140" cy="3403022"/>
            <wp:effectExtent l="0" t="0" r="3810" b="698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7656" cy="3413604"/>
                    </a:xfrm>
                    <a:prstGeom prst="rect">
                      <a:avLst/>
                    </a:prstGeom>
                    <a:noFill/>
                  </pic:spPr>
                </pic:pic>
              </a:graphicData>
            </a:graphic>
          </wp:inline>
        </w:drawing>
      </w:r>
    </w:p>
    <w:p w14:paraId="278505AE" w14:textId="222367E2"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r w:rsidRPr="00216386">
        <w:rPr>
          <w:rFonts w:cs="Arial"/>
          <w:color w:val="auto"/>
          <w:sz w:val="18"/>
          <w:szCs w:val="20"/>
        </w:rPr>
        <w:t>Vir:</w:t>
      </w:r>
      <w:r w:rsidR="00C514A5">
        <w:rPr>
          <w:rFonts w:cs="Arial"/>
          <w:color w:val="auto"/>
          <w:sz w:val="18"/>
          <w:szCs w:val="20"/>
        </w:rPr>
        <w:t xml:space="preserve"> FADN RICA, preračun</w:t>
      </w:r>
      <w:r>
        <w:rPr>
          <w:rFonts w:cs="Arial"/>
          <w:color w:val="auto"/>
          <w:sz w:val="18"/>
          <w:szCs w:val="20"/>
        </w:rPr>
        <w:t xml:space="preserve"> Kmetijski inštitut Slovenije, november 2021.</w:t>
      </w:r>
    </w:p>
    <w:p w14:paraId="353799EF" w14:textId="77777777"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p>
    <w:p w14:paraId="311948BB"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3207FEC8" w14:textId="30BA7103" w:rsidR="00134998" w:rsidRPr="009A1A7D"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Cs w:val="20"/>
        </w:rPr>
      </w:pPr>
      <w:bookmarkStart w:id="3097" w:name="_Toc89851084"/>
      <w:r w:rsidRPr="009A1A7D">
        <w:rPr>
          <w:rFonts w:cs="Arial"/>
          <w:color w:val="auto"/>
          <w:szCs w:val="20"/>
        </w:rPr>
        <w:t xml:space="preserve">Slika </w:t>
      </w:r>
      <w:r w:rsidRPr="009A1A7D">
        <w:rPr>
          <w:rFonts w:cs="Arial"/>
          <w:color w:val="auto"/>
          <w:szCs w:val="20"/>
        </w:rPr>
        <w:fldChar w:fldCharType="begin"/>
      </w:r>
      <w:r w:rsidRPr="009A1A7D">
        <w:rPr>
          <w:rFonts w:cs="Arial"/>
          <w:color w:val="auto"/>
          <w:szCs w:val="20"/>
        </w:rPr>
        <w:instrText xml:space="preserve"> SEQ Slika \* ARABIC </w:instrText>
      </w:r>
      <w:r w:rsidRPr="009A1A7D">
        <w:rPr>
          <w:rFonts w:cs="Arial"/>
          <w:color w:val="auto"/>
          <w:szCs w:val="20"/>
        </w:rPr>
        <w:fldChar w:fldCharType="separate"/>
      </w:r>
      <w:r w:rsidR="00F25435">
        <w:rPr>
          <w:rFonts w:cs="Arial"/>
          <w:noProof/>
          <w:color w:val="auto"/>
          <w:szCs w:val="20"/>
        </w:rPr>
        <w:t>42</w:t>
      </w:r>
      <w:r w:rsidRPr="009A1A7D">
        <w:rPr>
          <w:rFonts w:cs="Arial"/>
          <w:color w:val="auto"/>
          <w:szCs w:val="20"/>
        </w:rPr>
        <w:fldChar w:fldCharType="end"/>
      </w:r>
      <w:r w:rsidRPr="009A1A7D">
        <w:rPr>
          <w:rFonts w:cs="Arial"/>
          <w:color w:val="auto"/>
          <w:szCs w:val="20"/>
        </w:rPr>
        <w:t>: Bruto in neto dodana vrednost na PDM po ekonomskih velikostnih razredih (iz FADN vzorca)</w:t>
      </w:r>
      <w:bookmarkEnd w:id="3097"/>
    </w:p>
    <w:p w14:paraId="77C6181E"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r>
        <w:rPr>
          <w:rFonts w:cs="Arial"/>
          <w:noProof/>
          <w:color w:val="auto"/>
          <w:szCs w:val="20"/>
          <w:lang w:eastAsia="sl-SI"/>
        </w:rPr>
        <w:drawing>
          <wp:inline distT="0" distB="0" distL="0" distR="0" wp14:anchorId="5FA5FADA" wp14:editId="7D9564F8">
            <wp:extent cx="5318760" cy="3195754"/>
            <wp:effectExtent l="0" t="0" r="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40444" cy="3208783"/>
                    </a:xfrm>
                    <a:prstGeom prst="rect">
                      <a:avLst/>
                    </a:prstGeom>
                    <a:noFill/>
                  </pic:spPr>
                </pic:pic>
              </a:graphicData>
            </a:graphic>
          </wp:inline>
        </w:drawing>
      </w:r>
    </w:p>
    <w:p w14:paraId="05983276" w14:textId="17207EA1" w:rsidR="00134998"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r w:rsidRPr="00216386">
        <w:rPr>
          <w:rFonts w:cs="Arial"/>
          <w:color w:val="auto"/>
          <w:sz w:val="18"/>
          <w:szCs w:val="20"/>
        </w:rPr>
        <w:t>Vir:</w:t>
      </w:r>
      <w:r>
        <w:rPr>
          <w:rFonts w:cs="Arial"/>
          <w:color w:val="auto"/>
          <w:sz w:val="18"/>
          <w:szCs w:val="20"/>
        </w:rPr>
        <w:t xml:space="preserve"> </w:t>
      </w:r>
      <w:r w:rsidR="00C514A5">
        <w:rPr>
          <w:rFonts w:cs="Arial"/>
          <w:color w:val="auto"/>
          <w:sz w:val="18"/>
          <w:szCs w:val="20"/>
        </w:rPr>
        <w:t xml:space="preserve">FADN RICA, preračun </w:t>
      </w:r>
      <w:r>
        <w:rPr>
          <w:rFonts w:cs="Arial"/>
          <w:color w:val="auto"/>
          <w:sz w:val="18"/>
          <w:szCs w:val="20"/>
        </w:rPr>
        <w:t>Kmetijski inštitut Slovenije, november 2021.</w:t>
      </w:r>
    </w:p>
    <w:p w14:paraId="3AD47A36"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04613CF1"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216B9C6E"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p>
    <w:p w14:paraId="385CE840" w14:textId="77777777" w:rsidR="00134998" w:rsidRPr="00E155C1" w:rsidRDefault="00134998" w:rsidP="00134998">
      <w:pPr>
        <w:pStyle w:val="Guidelines"/>
        <w:numPr>
          <w:ilvl w:val="0"/>
          <w:numId w:val="211"/>
        </w:numPr>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u w:val="single"/>
        </w:rPr>
      </w:pPr>
      <w:r w:rsidRPr="00E155C1">
        <w:rPr>
          <w:rFonts w:cs="Arial"/>
          <w:b/>
          <w:i/>
          <w:color w:val="auto"/>
          <w:sz w:val="22"/>
          <w:szCs w:val="20"/>
        </w:rPr>
        <w:t xml:space="preserve">Bruto in neto dodana vrednost na </w:t>
      </w:r>
      <w:r w:rsidRPr="00E155C1">
        <w:rPr>
          <w:rFonts w:cs="Arial"/>
          <w:b/>
          <w:i/>
          <w:color w:val="auto"/>
          <w:sz w:val="22"/>
          <w:szCs w:val="20"/>
          <w:u w:val="single"/>
        </w:rPr>
        <w:t>PDM</w:t>
      </w:r>
      <w:r w:rsidRPr="00E155C1">
        <w:rPr>
          <w:rFonts w:cs="Arial"/>
          <w:b/>
          <w:i/>
          <w:color w:val="auto"/>
          <w:sz w:val="22"/>
          <w:szCs w:val="20"/>
        </w:rPr>
        <w:t xml:space="preserve"> glede na velikostni razred </w:t>
      </w:r>
      <w:r w:rsidRPr="00E155C1">
        <w:rPr>
          <w:rFonts w:cs="Arial"/>
          <w:b/>
          <w:i/>
          <w:color w:val="auto"/>
          <w:sz w:val="22"/>
          <w:szCs w:val="20"/>
          <w:u w:val="single"/>
        </w:rPr>
        <w:t xml:space="preserve">KZU </w:t>
      </w:r>
    </w:p>
    <w:p w14:paraId="5F46B33E"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 w:val="left" w:pos="3756"/>
          <w:tab w:val="left" w:pos="4395"/>
        </w:tabs>
        <w:spacing w:after="0" w:line="260" w:lineRule="atLeast"/>
        <w:rPr>
          <w:rFonts w:cs="Arial"/>
          <w:color w:val="000000" w:themeColor="text1"/>
          <w:sz w:val="22"/>
          <w:szCs w:val="20"/>
          <w:highlight w:val="yellow"/>
        </w:rPr>
      </w:pPr>
    </w:p>
    <w:p w14:paraId="3657431E"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r w:rsidRPr="00E155C1">
        <w:rPr>
          <w:rFonts w:cs="Arial"/>
          <w:color w:val="auto"/>
          <w:sz w:val="22"/>
          <w:szCs w:val="20"/>
        </w:rPr>
        <w:t xml:space="preserve">Iz spodnje preglednice in slike je razvidno, da bruto in neto dodana vrednost KMG rasteta glede na fizično velikost KZU. </w:t>
      </w:r>
    </w:p>
    <w:p w14:paraId="4CB69776"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3DD613D" w14:textId="74714704" w:rsidR="00134998" w:rsidRPr="009A1A7D"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bookmarkStart w:id="3098" w:name="_Toc89861001"/>
      <w:r w:rsidRPr="009A1A7D">
        <w:rPr>
          <w:rFonts w:cs="Arial"/>
          <w:color w:val="auto"/>
          <w:szCs w:val="20"/>
        </w:rPr>
        <w:t xml:space="preserve">Tabela </w:t>
      </w:r>
      <w:r w:rsidRPr="009A1A7D">
        <w:rPr>
          <w:rFonts w:cs="Arial"/>
          <w:color w:val="auto"/>
          <w:szCs w:val="20"/>
        </w:rPr>
        <w:fldChar w:fldCharType="begin"/>
      </w:r>
      <w:r w:rsidRPr="009A1A7D">
        <w:rPr>
          <w:rFonts w:cs="Arial"/>
          <w:color w:val="auto"/>
          <w:szCs w:val="20"/>
        </w:rPr>
        <w:instrText xml:space="preserve"> SEQ Tabela \* ARABIC </w:instrText>
      </w:r>
      <w:r w:rsidRPr="009A1A7D">
        <w:rPr>
          <w:rFonts w:cs="Arial"/>
          <w:color w:val="auto"/>
          <w:szCs w:val="20"/>
        </w:rPr>
        <w:fldChar w:fldCharType="separate"/>
      </w:r>
      <w:r w:rsidR="00F25435">
        <w:rPr>
          <w:rFonts w:cs="Arial"/>
          <w:noProof/>
          <w:color w:val="auto"/>
          <w:szCs w:val="20"/>
        </w:rPr>
        <w:t>8</w:t>
      </w:r>
      <w:r w:rsidRPr="009A1A7D">
        <w:rPr>
          <w:rFonts w:cs="Arial"/>
          <w:color w:val="auto"/>
          <w:szCs w:val="20"/>
        </w:rPr>
        <w:fldChar w:fldCharType="end"/>
      </w:r>
      <w:r w:rsidRPr="009A1A7D">
        <w:rPr>
          <w:rFonts w:cs="Arial"/>
          <w:color w:val="auto"/>
          <w:szCs w:val="20"/>
        </w:rPr>
        <w:t>: Bruto in neto dodana vrednost KMG na PDM glede na fizično velikost KZU za obdobje 2015–2019 (uteženi FADN podatki)</w:t>
      </w:r>
      <w:bookmarkEnd w:id="3098"/>
    </w:p>
    <w:tbl>
      <w:tblPr>
        <w:tblW w:w="5000" w:type="pct"/>
        <w:tblLayout w:type="fixed"/>
        <w:tblCellMar>
          <w:left w:w="70" w:type="dxa"/>
          <w:right w:w="70" w:type="dxa"/>
        </w:tblCellMar>
        <w:tblLook w:val="04A0" w:firstRow="1" w:lastRow="0" w:firstColumn="1" w:lastColumn="0" w:noHBand="0" w:noVBand="1"/>
      </w:tblPr>
      <w:tblGrid>
        <w:gridCol w:w="161"/>
        <w:gridCol w:w="2107"/>
        <w:gridCol w:w="856"/>
        <w:gridCol w:w="566"/>
        <w:gridCol w:w="564"/>
        <w:gridCol w:w="708"/>
        <w:gridCol w:w="706"/>
        <w:gridCol w:w="711"/>
        <w:gridCol w:w="709"/>
        <w:gridCol w:w="708"/>
        <w:gridCol w:w="572"/>
        <w:gridCol w:w="704"/>
      </w:tblGrid>
      <w:tr w:rsidR="00134998" w:rsidRPr="00921CAD" w14:paraId="3B618FCF" w14:textId="77777777" w:rsidTr="009F4DF4">
        <w:trPr>
          <w:trHeight w:val="288"/>
        </w:trPr>
        <w:tc>
          <w:tcPr>
            <w:tcW w:w="89" w:type="pct"/>
            <w:tcBorders>
              <w:top w:val="nil"/>
              <w:left w:val="nil"/>
              <w:bottom w:val="nil"/>
              <w:right w:val="nil"/>
            </w:tcBorders>
            <w:shd w:val="clear" w:color="auto" w:fill="auto"/>
            <w:noWrap/>
            <w:vAlign w:val="bottom"/>
            <w:hideMark/>
          </w:tcPr>
          <w:p w14:paraId="2EE80CB2" w14:textId="77777777" w:rsidR="00134998" w:rsidRPr="00921CAD" w:rsidRDefault="00134998" w:rsidP="009F4DF4">
            <w:pPr>
              <w:spacing w:line="240" w:lineRule="auto"/>
              <w:rPr>
                <w:rFonts w:cstheme="minorHAnsi"/>
                <w:color w:val="000000"/>
                <w:sz w:val="16"/>
                <w:szCs w:val="16"/>
                <w:lang w:eastAsia="sl-SI"/>
              </w:rPr>
            </w:pPr>
            <w:r w:rsidRPr="00921CAD">
              <w:rPr>
                <w:rFonts w:cstheme="minorHAnsi"/>
                <w:color w:val="000000"/>
                <w:sz w:val="16"/>
                <w:szCs w:val="16"/>
                <w:lang w:eastAsia="sl-SI"/>
              </w:rPr>
              <w:t> </w:t>
            </w:r>
          </w:p>
        </w:tc>
        <w:tc>
          <w:tcPr>
            <w:tcW w:w="4523" w:type="pct"/>
            <w:gridSpan w:val="10"/>
            <w:tcBorders>
              <w:left w:val="nil"/>
              <w:bottom w:val="nil"/>
              <w:right w:val="nil"/>
            </w:tcBorders>
            <w:shd w:val="clear" w:color="auto" w:fill="auto"/>
            <w:noWrap/>
            <w:vAlign w:val="bottom"/>
            <w:hideMark/>
          </w:tcPr>
          <w:p w14:paraId="173BD099" w14:textId="77777777" w:rsidR="00134998" w:rsidRDefault="00134998" w:rsidP="009F4DF4">
            <w:pPr>
              <w:spacing w:line="240" w:lineRule="auto"/>
              <w:rPr>
                <w:rFonts w:cstheme="minorHAnsi"/>
                <w:color w:val="000000"/>
                <w:sz w:val="16"/>
                <w:szCs w:val="16"/>
                <w:lang w:eastAsia="sl-SI"/>
              </w:rPr>
            </w:pPr>
          </w:p>
          <w:p w14:paraId="6CBE3F71" w14:textId="77777777" w:rsidR="00134998" w:rsidRPr="00921CAD" w:rsidRDefault="00134998" w:rsidP="009F4DF4">
            <w:pPr>
              <w:spacing w:line="240" w:lineRule="auto"/>
              <w:rPr>
                <w:rFonts w:cstheme="minorHAnsi"/>
                <w:color w:val="000000"/>
                <w:sz w:val="16"/>
                <w:szCs w:val="16"/>
                <w:lang w:eastAsia="sl-SI"/>
              </w:rPr>
            </w:pPr>
            <w:r w:rsidRPr="00921CAD">
              <w:rPr>
                <w:rFonts w:cstheme="minorHAnsi"/>
                <w:color w:val="000000"/>
                <w:sz w:val="16"/>
                <w:szCs w:val="16"/>
                <w:lang w:eastAsia="sl-SI"/>
              </w:rPr>
              <w:t> </w:t>
            </w:r>
            <w:r w:rsidRPr="00921CAD">
              <w:rPr>
                <w:rFonts w:cstheme="minorHAnsi"/>
                <w:b/>
                <w:bCs/>
                <w:color w:val="000000" w:themeColor="text1"/>
                <w:sz w:val="16"/>
                <w:szCs w:val="16"/>
                <w:lang w:eastAsia="sl-SI"/>
              </w:rPr>
              <w:t>UTEŽENA POVPREČJA ZA OBDOBJE 2015–2019 (EUR/PDM):</w:t>
            </w:r>
          </w:p>
        </w:tc>
        <w:tc>
          <w:tcPr>
            <w:tcW w:w="388" w:type="pct"/>
            <w:tcBorders>
              <w:left w:val="nil"/>
              <w:bottom w:val="nil"/>
              <w:right w:val="nil"/>
            </w:tcBorders>
            <w:shd w:val="clear" w:color="auto" w:fill="auto"/>
            <w:noWrap/>
            <w:vAlign w:val="bottom"/>
            <w:hideMark/>
          </w:tcPr>
          <w:p w14:paraId="5994C54A" w14:textId="77777777" w:rsidR="00134998" w:rsidRPr="00921CAD" w:rsidRDefault="00134998" w:rsidP="009F4DF4">
            <w:pPr>
              <w:spacing w:line="240" w:lineRule="auto"/>
              <w:rPr>
                <w:rFonts w:cstheme="minorHAnsi"/>
                <w:color w:val="000000"/>
                <w:sz w:val="16"/>
                <w:szCs w:val="16"/>
                <w:lang w:eastAsia="sl-SI"/>
              </w:rPr>
            </w:pPr>
            <w:r w:rsidRPr="00921CAD">
              <w:rPr>
                <w:rFonts w:cstheme="minorHAnsi"/>
                <w:color w:val="000000"/>
                <w:sz w:val="16"/>
                <w:szCs w:val="16"/>
                <w:lang w:eastAsia="sl-SI"/>
              </w:rPr>
              <w:t> </w:t>
            </w:r>
          </w:p>
        </w:tc>
      </w:tr>
      <w:tr w:rsidR="00134998" w:rsidRPr="00921CAD" w14:paraId="27449B43" w14:textId="77777777" w:rsidTr="009F4DF4">
        <w:trPr>
          <w:trHeight w:val="288"/>
        </w:trPr>
        <w:tc>
          <w:tcPr>
            <w:tcW w:w="89" w:type="pct"/>
            <w:tcBorders>
              <w:top w:val="nil"/>
              <w:left w:val="nil"/>
              <w:bottom w:val="nil"/>
              <w:right w:val="nil"/>
            </w:tcBorders>
            <w:shd w:val="clear" w:color="auto" w:fill="auto"/>
            <w:noWrap/>
            <w:vAlign w:val="bottom"/>
            <w:hideMark/>
          </w:tcPr>
          <w:p w14:paraId="28D6CF91" w14:textId="77777777" w:rsidR="00134998" w:rsidRPr="00921CAD" w:rsidRDefault="00134998" w:rsidP="009F4DF4">
            <w:pPr>
              <w:spacing w:line="240" w:lineRule="auto"/>
              <w:rPr>
                <w:rFonts w:cstheme="minorHAnsi"/>
                <w:color w:val="000000"/>
                <w:sz w:val="16"/>
                <w:szCs w:val="16"/>
                <w:lang w:eastAsia="sl-SI"/>
              </w:rPr>
            </w:pPr>
          </w:p>
        </w:tc>
        <w:tc>
          <w:tcPr>
            <w:tcW w:w="1161" w:type="pct"/>
            <w:tcBorders>
              <w:top w:val="nil"/>
              <w:left w:val="nil"/>
              <w:bottom w:val="single" w:sz="4" w:space="0" w:color="auto"/>
              <w:right w:val="nil"/>
            </w:tcBorders>
            <w:shd w:val="clear" w:color="auto" w:fill="auto"/>
            <w:noWrap/>
            <w:vAlign w:val="bottom"/>
            <w:hideMark/>
          </w:tcPr>
          <w:p w14:paraId="53E5BF92" w14:textId="77777777" w:rsidR="00134998" w:rsidRPr="00921CAD" w:rsidRDefault="00134998" w:rsidP="009F4DF4">
            <w:pPr>
              <w:spacing w:line="240" w:lineRule="auto"/>
              <w:rPr>
                <w:rFonts w:cstheme="minorHAnsi"/>
                <w:sz w:val="16"/>
                <w:szCs w:val="16"/>
                <w:lang w:eastAsia="sl-SI"/>
              </w:rPr>
            </w:pPr>
          </w:p>
        </w:tc>
        <w:tc>
          <w:tcPr>
            <w:tcW w:w="472" w:type="pct"/>
            <w:tcBorders>
              <w:top w:val="nil"/>
              <w:left w:val="nil"/>
              <w:bottom w:val="single" w:sz="4" w:space="0" w:color="auto"/>
              <w:right w:val="nil"/>
            </w:tcBorders>
            <w:shd w:val="clear" w:color="auto" w:fill="auto"/>
            <w:noWrap/>
            <w:vAlign w:val="bottom"/>
            <w:hideMark/>
          </w:tcPr>
          <w:p w14:paraId="2FF33256" w14:textId="77777777" w:rsidR="00134998" w:rsidRPr="00921CAD" w:rsidRDefault="00134998" w:rsidP="009F4DF4">
            <w:pPr>
              <w:spacing w:line="240" w:lineRule="auto"/>
              <w:jc w:val="right"/>
              <w:rPr>
                <w:rFonts w:cstheme="minorHAnsi"/>
                <w:sz w:val="16"/>
                <w:szCs w:val="16"/>
                <w:lang w:eastAsia="sl-SI"/>
              </w:rPr>
            </w:pPr>
          </w:p>
        </w:tc>
        <w:tc>
          <w:tcPr>
            <w:tcW w:w="312" w:type="pct"/>
            <w:tcBorders>
              <w:top w:val="nil"/>
              <w:left w:val="nil"/>
              <w:bottom w:val="single" w:sz="4" w:space="0" w:color="auto"/>
              <w:right w:val="nil"/>
            </w:tcBorders>
            <w:shd w:val="clear" w:color="auto" w:fill="auto"/>
            <w:noWrap/>
            <w:vAlign w:val="bottom"/>
            <w:hideMark/>
          </w:tcPr>
          <w:p w14:paraId="1FDECF1B" w14:textId="77777777" w:rsidR="00134998" w:rsidRPr="00921CAD" w:rsidRDefault="00134998" w:rsidP="009F4DF4">
            <w:pPr>
              <w:spacing w:line="240" w:lineRule="auto"/>
              <w:rPr>
                <w:rFonts w:cstheme="minorHAnsi"/>
                <w:sz w:val="16"/>
                <w:szCs w:val="16"/>
                <w:lang w:eastAsia="sl-SI"/>
              </w:rPr>
            </w:pPr>
          </w:p>
        </w:tc>
        <w:tc>
          <w:tcPr>
            <w:tcW w:w="311" w:type="pct"/>
            <w:tcBorders>
              <w:top w:val="nil"/>
              <w:left w:val="nil"/>
              <w:bottom w:val="single" w:sz="4" w:space="0" w:color="auto"/>
              <w:right w:val="nil"/>
            </w:tcBorders>
            <w:shd w:val="clear" w:color="auto" w:fill="auto"/>
            <w:noWrap/>
            <w:vAlign w:val="bottom"/>
            <w:hideMark/>
          </w:tcPr>
          <w:p w14:paraId="41BC0BAF" w14:textId="77777777" w:rsidR="00134998" w:rsidRPr="00921CAD" w:rsidRDefault="00134998" w:rsidP="009F4DF4">
            <w:pPr>
              <w:spacing w:line="240" w:lineRule="auto"/>
              <w:rPr>
                <w:rFonts w:cstheme="minorHAnsi"/>
                <w:sz w:val="16"/>
                <w:szCs w:val="16"/>
                <w:lang w:eastAsia="sl-SI"/>
              </w:rPr>
            </w:pPr>
          </w:p>
        </w:tc>
        <w:tc>
          <w:tcPr>
            <w:tcW w:w="390" w:type="pct"/>
            <w:tcBorders>
              <w:top w:val="nil"/>
              <w:left w:val="nil"/>
              <w:bottom w:val="single" w:sz="4" w:space="0" w:color="auto"/>
              <w:right w:val="nil"/>
            </w:tcBorders>
            <w:shd w:val="clear" w:color="auto" w:fill="auto"/>
            <w:noWrap/>
            <w:vAlign w:val="bottom"/>
            <w:hideMark/>
          </w:tcPr>
          <w:p w14:paraId="66192059" w14:textId="77777777" w:rsidR="00134998" w:rsidRPr="00921CAD" w:rsidRDefault="00134998" w:rsidP="009F4DF4">
            <w:pPr>
              <w:spacing w:line="240" w:lineRule="auto"/>
              <w:rPr>
                <w:rFonts w:cstheme="minorHAnsi"/>
                <w:sz w:val="16"/>
                <w:szCs w:val="16"/>
                <w:lang w:eastAsia="sl-SI"/>
              </w:rPr>
            </w:pPr>
          </w:p>
        </w:tc>
        <w:tc>
          <w:tcPr>
            <w:tcW w:w="389" w:type="pct"/>
            <w:tcBorders>
              <w:top w:val="nil"/>
              <w:left w:val="nil"/>
              <w:bottom w:val="single" w:sz="4" w:space="0" w:color="auto"/>
              <w:right w:val="nil"/>
            </w:tcBorders>
            <w:shd w:val="clear" w:color="auto" w:fill="auto"/>
            <w:noWrap/>
            <w:vAlign w:val="bottom"/>
            <w:hideMark/>
          </w:tcPr>
          <w:p w14:paraId="6CFAE61F" w14:textId="77777777" w:rsidR="00134998" w:rsidRPr="00921CAD" w:rsidRDefault="00134998" w:rsidP="009F4DF4">
            <w:pPr>
              <w:spacing w:line="240" w:lineRule="auto"/>
              <w:rPr>
                <w:rFonts w:cstheme="minorHAnsi"/>
                <w:sz w:val="16"/>
                <w:szCs w:val="16"/>
                <w:lang w:eastAsia="sl-SI"/>
              </w:rPr>
            </w:pPr>
          </w:p>
        </w:tc>
        <w:tc>
          <w:tcPr>
            <w:tcW w:w="392" w:type="pct"/>
            <w:tcBorders>
              <w:top w:val="nil"/>
              <w:left w:val="nil"/>
              <w:bottom w:val="single" w:sz="4" w:space="0" w:color="auto"/>
              <w:right w:val="nil"/>
            </w:tcBorders>
            <w:shd w:val="clear" w:color="auto" w:fill="auto"/>
            <w:noWrap/>
            <w:vAlign w:val="bottom"/>
            <w:hideMark/>
          </w:tcPr>
          <w:p w14:paraId="705B33C3" w14:textId="77777777" w:rsidR="00134998" w:rsidRPr="00921CAD" w:rsidRDefault="00134998" w:rsidP="009F4DF4">
            <w:pPr>
              <w:spacing w:line="240" w:lineRule="auto"/>
              <w:rPr>
                <w:rFonts w:cstheme="minorHAnsi"/>
                <w:sz w:val="16"/>
                <w:szCs w:val="16"/>
                <w:lang w:eastAsia="sl-SI"/>
              </w:rPr>
            </w:pPr>
          </w:p>
        </w:tc>
        <w:tc>
          <w:tcPr>
            <w:tcW w:w="391" w:type="pct"/>
            <w:tcBorders>
              <w:top w:val="nil"/>
              <w:left w:val="nil"/>
              <w:bottom w:val="single" w:sz="4" w:space="0" w:color="auto"/>
              <w:right w:val="nil"/>
            </w:tcBorders>
            <w:shd w:val="clear" w:color="auto" w:fill="auto"/>
            <w:noWrap/>
            <w:vAlign w:val="bottom"/>
            <w:hideMark/>
          </w:tcPr>
          <w:p w14:paraId="75DDAD75" w14:textId="77777777" w:rsidR="00134998" w:rsidRPr="00921CAD" w:rsidRDefault="00134998" w:rsidP="009F4DF4">
            <w:pPr>
              <w:spacing w:line="240" w:lineRule="auto"/>
              <w:rPr>
                <w:rFonts w:cstheme="minorHAnsi"/>
                <w:sz w:val="16"/>
                <w:szCs w:val="16"/>
                <w:lang w:eastAsia="sl-SI"/>
              </w:rPr>
            </w:pPr>
          </w:p>
        </w:tc>
        <w:tc>
          <w:tcPr>
            <w:tcW w:w="390" w:type="pct"/>
            <w:tcBorders>
              <w:top w:val="nil"/>
              <w:left w:val="nil"/>
              <w:bottom w:val="single" w:sz="4" w:space="0" w:color="auto"/>
              <w:right w:val="nil"/>
            </w:tcBorders>
            <w:shd w:val="clear" w:color="auto" w:fill="auto"/>
            <w:noWrap/>
            <w:vAlign w:val="bottom"/>
            <w:hideMark/>
          </w:tcPr>
          <w:p w14:paraId="545457D1" w14:textId="77777777" w:rsidR="00134998" w:rsidRPr="00921CAD" w:rsidRDefault="00134998" w:rsidP="009F4DF4">
            <w:pPr>
              <w:spacing w:line="240" w:lineRule="auto"/>
              <w:rPr>
                <w:rFonts w:cstheme="minorHAnsi"/>
                <w:sz w:val="16"/>
                <w:szCs w:val="16"/>
                <w:lang w:eastAsia="sl-SI"/>
              </w:rPr>
            </w:pPr>
          </w:p>
        </w:tc>
        <w:tc>
          <w:tcPr>
            <w:tcW w:w="315" w:type="pct"/>
            <w:tcBorders>
              <w:top w:val="nil"/>
              <w:left w:val="nil"/>
              <w:bottom w:val="single" w:sz="4" w:space="0" w:color="auto"/>
              <w:right w:val="nil"/>
            </w:tcBorders>
            <w:shd w:val="clear" w:color="auto" w:fill="auto"/>
            <w:noWrap/>
            <w:vAlign w:val="bottom"/>
            <w:hideMark/>
          </w:tcPr>
          <w:p w14:paraId="42B9BF92" w14:textId="77777777" w:rsidR="00134998" w:rsidRPr="00921CAD" w:rsidRDefault="00134998" w:rsidP="009F4DF4">
            <w:pPr>
              <w:spacing w:line="240" w:lineRule="auto"/>
              <w:rPr>
                <w:rFonts w:cstheme="minorHAnsi"/>
                <w:sz w:val="16"/>
                <w:szCs w:val="16"/>
                <w:lang w:eastAsia="sl-SI"/>
              </w:rPr>
            </w:pPr>
          </w:p>
        </w:tc>
        <w:tc>
          <w:tcPr>
            <w:tcW w:w="388" w:type="pct"/>
            <w:tcBorders>
              <w:top w:val="nil"/>
              <w:left w:val="nil"/>
              <w:bottom w:val="single" w:sz="4" w:space="0" w:color="auto"/>
              <w:right w:val="nil"/>
            </w:tcBorders>
            <w:shd w:val="clear" w:color="auto" w:fill="auto"/>
            <w:noWrap/>
            <w:vAlign w:val="bottom"/>
            <w:hideMark/>
          </w:tcPr>
          <w:p w14:paraId="6AF72B4A" w14:textId="77777777" w:rsidR="00134998" w:rsidRPr="00921CAD" w:rsidRDefault="00134998" w:rsidP="009F4DF4">
            <w:pPr>
              <w:spacing w:line="240" w:lineRule="auto"/>
              <w:rPr>
                <w:rFonts w:cstheme="minorHAnsi"/>
                <w:sz w:val="16"/>
                <w:szCs w:val="16"/>
                <w:lang w:eastAsia="sl-SI"/>
              </w:rPr>
            </w:pPr>
          </w:p>
        </w:tc>
      </w:tr>
      <w:tr w:rsidR="00134998" w:rsidRPr="004143C3" w14:paraId="794371A2"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0E052A0A" w14:textId="77777777" w:rsidR="00134998" w:rsidRPr="00921CAD" w:rsidRDefault="00134998" w:rsidP="009F4DF4">
            <w:pPr>
              <w:spacing w:line="240" w:lineRule="auto"/>
              <w:rPr>
                <w:rFonts w:cstheme="minorHAnsi"/>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2A8D28" w14:textId="77777777" w:rsidR="00134998" w:rsidRPr="00921CAD" w:rsidRDefault="00134998" w:rsidP="009F4DF4">
            <w:pPr>
              <w:spacing w:line="240" w:lineRule="auto"/>
              <w:rPr>
                <w:rFonts w:cstheme="minorHAnsi"/>
                <w:color w:val="000000"/>
                <w:sz w:val="15"/>
                <w:szCs w:val="15"/>
                <w:lang w:eastAsia="sl-SI"/>
              </w:rPr>
            </w:pPr>
            <w:r w:rsidRPr="00921CAD">
              <w:rPr>
                <w:rFonts w:cstheme="minorHAnsi"/>
                <w:color w:val="000000"/>
                <w:sz w:val="15"/>
                <w:szCs w:val="15"/>
                <w:lang w:eastAsia="sl-SI"/>
              </w:rPr>
              <w:t> </w:t>
            </w:r>
          </w:p>
        </w:tc>
        <w:tc>
          <w:tcPr>
            <w:tcW w:w="47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763B55"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&lt;2 ha</w:t>
            </w:r>
          </w:p>
        </w:tc>
        <w:tc>
          <w:tcPr>
            <w:tcW w:w="3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0CEF2D5"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2 - &lt; 4 ha</w:t>
            </w:r>
          </w:p>
        </w:tc>
        <w:tc>
          <w:tcPr>
            <w:tcW w:w="31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46D61B"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4 - &lt; 6 ha</w:t>
            </w:r>
          </w:p>
        </w:tc>
        <w:tc>
          <w:tcPr>
            <w:tcW w:w="3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90A60C"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6 - &lt; 8 ha</w:t>
            </w:r>
          </w:p>
        </w:tc>
        <w:tc>
          <w:tcPr>
            <w:tcW w:w="38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3EE4D6"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8 - &lt; 12 ha</w:t>
            </w:r>
          </w:p>
        </w:tc>
        <w:tc>
          <w:tcPr>
            <w:tcW w:w="39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DDD4B6"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12 - &lt; 16 ha</w:t>
            </w:r>
          </w:p>
        </w:tc>
        <w:tc>
          <w:tcPr>
            <w:tcW w:w="39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362455"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16 - &lt; 40 ha</w:t>
            </w:r>
          </w:p>
        </w:tc>
        <w:tc>
          <w:tcPr>
            <w:tcW w:w="3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1C9F07"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40 - &lt; 100 ha</w:t>
            </w:r>
          </w:p>
        </w:tc>
        <w:tc>
          <w:tcPr>
            <w:tcW w:w="31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0DBAB0"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=&gt; 100 ha</w:t>
            </w:r>
          </w:p>
        </w:tc>
        <w:tc>
          <w:tcPr>
            <w:tcW w:w="38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BFE866" w14:textId="77777777" w:rsidR="00134998" w:rsidRPr="00921CAD" w:rsidRDefault="00134998" w:rsidP="009F4DF4">
            <w:pPr>
              <w:spacing w:line="240" w:lineRule="auto"/>
              <w:jc w:val="right"/>
              <w:rPr>
                <w:rFonts w:cstheme="minorHAnsi"/>
                <w:b/>
                <w:bCs/>
                <w:sz w:val="15"/>
                <w:szCs w:val="15"/>
                <w:lang w:eastAsia="sl-SI"/>
              </w:rPr>
            </w:pPr>
            <w:r w:rsidRPr="00921CAD">
              <w:rPr>
                <w:rFonts w:cstheme="minorHAnsi"/>
                <w:b/>
                <w:bCs/>
                <w:sz w:val="15"/>
                <w:szCs w:val="15"/>
                <w:lang w:eastAsia="sl-SI"/>
              </w:rPr>
              <w:t>Skupaj</w:t>
            </w:r>
          </w:p>
        </w:tc>
      </w:tr>
      <w:tr w:rsidR="00134998" w:rsidRPr="004143C3" w14:paraId="43BD609E"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2B6B593A" w14:textId="77777777" w:rsidR="00134998" w:rsidRPr="00921CAD" w:rsidRDefault="00134998" w:rsidP="009F4DF4">
            <w:pPr>
              <w:spacing w:line="240" w:lineRule="auto"/>
              <w:jc w:val="right"/>
              <w:rPr>
                <w:rFonts w:cstheme="minorHAnsi"/>
                <w:b/>
                <w:bCs/>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C5D5"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Skupaj vrednost proizvodnje/PDM (SE131/SE010)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46C5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8.967</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C6DDD"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11.964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9C96"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11.216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168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13.526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6846"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17.566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8004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24.453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E6147"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37.270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6CC5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68.081</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0C0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99.671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4E45"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21.527</w:t>
            </w:r>
          </w:p>
        </w:tc>
      </w:tr>
      <w:tr w:rsidR="00134998" w:rsidRPr="004143C3" w14:paraId="01E1FDCB"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5330660A" w14:textId="77777777" w:rsidR="00134998" w:rsidRPr="00921CAD" w:rsidRDefault="00134998" w:rsidP="009F4DF4">
            <w:pPr>
              <w:spacing w:line="240" w:lineRule="auto"/>
              <w:jc w:val="right"/>
              <w:rPr>
                <w:rFonts w:cstheme="minorHAnsi"/>
                <w:b/>
                <w:bCs/>
                <w:color w:val="000000"/>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762E8"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Bruto dodana vrednost kmetije/PDM (SE410/SE010)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A0685"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6.911</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8E48E"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7.469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4C399"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5.432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09E46"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7.196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4A72A"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10.556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DD7E4"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14.590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0136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20.522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44A0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38.766</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7D31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73.548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10AF"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12.210</w:t>
            </w:r>
          </w:p>
        </w:tc>
      </w:tr>
      <w:tr w:rsidR="00134998" w:rsidRPr="004143C3" w14:paraId="2FD45BFA"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55D1FDA8" w14:textId="77777777" w:rsidR="00134998" w:rsidRPr="00921CAD" w:rsidRDefault="00134998" w:rsidP="009F4DF4">
            <w:pPr>
              <w:spacing w:line="240" w:lineRule="auto"/>
              <w:jc w:val="right"/>
              <w:rPr>
                <w:rFonts w:cstheme="minorHAnsi"/>
                <w:b/>
                <w:bCs/>
                <w:color w:val="000000"/>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CF69D"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Neto dodana vrednost kmetije/PDM (SE415/SE010)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DDB0C"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2.089</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9387F"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2.355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9318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1.468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2C1C"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1.600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1E685"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4.331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5469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7.484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1291A"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10.917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B12C"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22.075</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3BFF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50.409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9463"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5.471</w:t>
            </w:r>
          </w:p>
        </w:tc>
      </w:tr>
      <w:tr w:rsidR="00134998" w:rsidRPr="004143C3" w14:paraId="1F750826"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00D960A3" w14:textId="77777777" w:rsidR="00134998" w:rsidRPr="00921CAD" w:rsidRDefault="00134998" w:rsidP="009F4DF4">
            <w:pPr>
              <w:spacing w:line="240" w:lineRule="auto"/>
              <w:jc w:val="right"/>
              <w:rPr>
                <w:rFonts w:cstheme="minorHAnsi"/>
                <w:b/>
                <w:bCs/>
                <w:color w:val="000000"/>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D066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Bilanca tekočih subvencij in davkov/PDM (SE600/SE010)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ACE25"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3.339</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400A"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2.313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C92A7"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2.223</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2F467"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3.394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6BDD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4.731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D408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5.876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0D1E8"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8.254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95E8"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17.241</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0E34F"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49.040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D3B9F"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5.143</w:t>
            </w:r>
          </w:p>
        </w:tc>
      </w:tr>
      <w:tr w:rsidR="00134998" w:rsidRPr="004143C3" w14:paraId="209CBB6B"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67C654EC" w14:textId="77777777" w:rsidR="00134998" w:rsidRPr="00921CAD" w:rsidRDefault="00134998" w:rsidP="009F4DF4">
            <w:pPr>
              <w:spacing w:line="240" w:lineRule="auto"/>
              <w:jc w:val="right"/>
              <w:rPr>
                <w:rFonts w:cstheme="minorHAnsi"/>
                <w:b/>
                <w:bCs/>
                <w:color w:val="000000"/>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C7A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Skupne subvencije, brez investicij/PDM (SE605/SE010)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B934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4.176</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F2B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3.064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2E1E"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2.830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091E"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3.998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A407"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5.258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CA279"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6.269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1AE3C"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8.482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0911"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17.442</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69FC6"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49.083</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C5D86"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5.639</w:t>
            </w:r>
          </w:p>
        </w:tc>
      </w:tr>
      <w:tr w:rsidR="00134998" w:rsidRPr="004143C3" w14:paraId="3CE2BB5C" w14:textId="77777777" w:rsidTr="009F4DF4">
        <w:trPr>
          <w:trHeight w:val="288"/>
        </w:trPr>
        <w:tc>
          <w:tcPr>
            <w:tcW w:w="89" w:type="pct"/>
            <w:tcBorders>
              <w:top w:val="nil"/>
              <w:left w:val="nil"/>
              <w:bottom w:val="nil"/>
              <w:right w:val="single" w:sz="4" w:space="0" w:color="auto"/>
            </w:tcBorders>
            <w:shd w:val="clear" w:color="auto" w:fill="auto"/>
            <w:noWrap/>
            <w:vAlign w:val="bottom"/>
            <w:hideMark/>
          </w:tcPr>
          <w:p w14:paraId="37CEB444" w14:textId="77777777" w:rsidR="00134998" w:rsidRPr="00921CAD" w:rsidRDefault="00134998" w:rsidP="009F4DF4">
            <w:pPr>
              <w:spacing w:line="240" w:lineRule="auto"/>
              <w:jc w:val="right"/>
              <w:rPr>
                <w:rFonts w:cstheme="minorHAnsi"/>
                <w:b/>
                <w:bCs/>
                <w:color w:val="000000"/>
                <w:sz w:val="15"/>
                <w:szCs w:val="15"/>
                <w:lang w:eastAsia="sl-SI"/>
              </w:rPr>
            </w:pPr>
          </w:p>
        </w:tc>
        <w:tc>
          <w:tcPr>
            <w:tcW w:w="1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6579E"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Skupaj neposredne podpore/PDM (SE606/SE010)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C03BF"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152</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86478"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418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31E44"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732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0C45"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1.069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C6652"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1.425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148F"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1.713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77157"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2.414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E3B4"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4.764</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36D13" w14:textId="77777777" w:rsidR="00134998" w:rsidRPr="00921CAD" w:rsidRDefault="00134998" w:rsidP="009F4DF4">
            <w:pPr>
              <w:spacing w:line="240" w:lineRule="auto"/>
              <w:jc w:val="right"/>
              <w:rPr>
                <w:rFonts w:cstheme="minorHAnsi"/>
                <w:color w:val="000000"/>
                <w:sz w:val="15"/>
                <w:szCs w:val="15"/>
                <w:lang w:eastAsia="sl-SI"/>
              </w:rPr>
            </w:pPr>
            <w:r w:rsidRPr="00921CAD">
              <w:rPr>
                <w:rFonts w:cstheme="minorHAnsi"/>
                <w:color w:val="000000"/>
                <w:sz w:val="15"/>
                <w:szCs w:val="15"/>
                <w:lang w:eastAsia="sl-SI"/>
              </w:rPr>
              <w:t>8.747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2EF8" w14:textId="77777777" w:rsidR="00134998" w:rsidRPr="00921CAD" w:rsidRDefault="00134998" w:rsidP="009F4DF4">
            <w:pPr>
              <w:spacing w:line="240" w:lineRule="auto"/>
              <w:jc w:val="right"/>
              <w:rPr>
                <w:rFonts w:cstheme="minorHAnsi"/>
                <w:b/>
                <w:bCs/>
                <w:color w:val="000000"/>
                <w:sz w:val="15"/>
                <w:szCs w:val="15"/>
                <w:lang w:eastAsia="sl-SI"/>
              </w:rPr>
            </w:pPr>
            <w:r w:rsidRPr="00921CAD">
              <w:rPr>
                <w:rFonts w:cstheme="minorHAnsi"/>
                <w:b/>
                <w:bCs/>
                <w:color w:val="000000"/>
                <w:sz w:val="15"/>
                <w:szCs w:val="15"/>
                <w:lang w:eastAsia="sl-SI"/>
              </w:rPr>
              <w:t>1.472</w:t>
            </w:r>
          </w:p>
        </w:tc>
      </w:tr>
    </w:tbl>
    <w:p w14:paraId="613A8C0A"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E1B50C0"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8F5858F" w14:textId="3B7C9BE2" w:rsidR="00134998" w:rsidRPr="009A1A7D"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Cs w:val="20"/>
        </w:rPr>
      </w:pPr>
      <w:bookmarkStart w:id="3099" w:name="_Toc89851085"/>
      <w:r w:rsidRPr="009A1A7D">
        <w:rPr>
          <w:rFonts w:cs="Arial"/>
          <w:color w:val="auto"/>
          <w:szCs w:val="20"/>
        </w:rPr>
        <w:t xml:space="preserve">Slika </w:t>
      </w:r>
      <w:r w:rsidRPr="009A1A7D">
        <w:rPr>
          <w:rFonts w:cs="Arial"/>
          <w:color w:val="auto"/>
          <w:szCs w:val="20"/>
        </w:rPr>
        <w:fldChar w:fldCharType="begin"/>
      </w:r>
      <w:r w:rsidRPr="009A1A7D">
        <w:rPr>
          <w:rFonts w:cs="Arial"/>
          <w:color w:val="auto"/>
          <w:szCs w:val="20"/>
        </w:rPr>
        <w:instrText xml:space="preserve"> SEQ Slika \* ARABIC </w:instrText>
      </w:r>
      <w:r w:rsidRPr="009A1A7D">
        <w:rPr>
          <w:rFonts w:cs="Arial"/>
          <w:color w:val="auto"/>
          <w:szCs w:val="20"/>
        </w:rPr>
        <w:fldChar w:fldCharType="separate"/>
      </w:r>
      <w:r w:rsidR="00F25435">
        <w:rPr>
          <w:rFonts w:cs="Arial"/>
          <w:noProof/>
          <w:color w:val="auto"/>
          <w:szCs w:val="20"/>
        </w:rPr>
        <w:t>43</w:t>
      </w:r>
      <w:r w:rsidRPr="009A1A7D">
        <w:rPr>
          <w:rFonts w:cs="Arial"/>
          <w:color w:val="auto"/>
          <w:szCs w:val="20"/>
        </w:rPr>
        <w:fldChar w:fldCharType="end"/>
      </w:r>
      <w:r w:rsidRPr="009A1A7D">
        <w:rPr>
          <w:rFonts w:cs="Arial"/>
          <w:color w:val="auto"/>
          <w:szCs w:val="20"/>
        </w:rPr>
        <w:t>:</w:t>
      </w:r>
      <w:r w:rsidRPr="009A1A7D">
        <w:rPr>
          <w:rFonts w:cs="Arial"/>
          <w:b/>
          <w:color w:val="auto"/>
          <w:szCs w:val="20"/>
        </w:rPr>
        <w:t xml:space="preserve"> </w:t>
      </w:r>
      <w:r w:rsidRPr="009A1A7D">
        <w:rPr>
          <w:rFonts w:cs="Arial"/>
          <w:color w:val="auto"/>
          <w:szCs w:val="20"/>
        </w:rPr>
        <w:t>Bruto in neto dodana vrednost na PDM po velikostnih razredih KZU (iz FADN vzorca)</w:t>
      </w:r>
      <w:bookmarkEnd w:id="3099"/>
    </w:p>
    <w:p w14:paraId="1E116E15"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DB8D8C6"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r>
        <w:rPr>
          <w:rFonts w:cs="Arial"/>
          <w:noProof/>
          <w:color w:val="auto"/>
          <w:szCs w:val="20"/>
          <w:lang w:eastAsia="sl-SI"/>
        </w:rPr>
        <w:drawing>
          <wp:inline distT="0" distB="0" distL="0" distR="0" wp14:anchorId="674F6DE2" wp14:editId="6D37779A">
            <wp:extent cx="5250400" cy="3154680"/>
            <wp:effectExtent l="0" t="0" r="7620" b="7620"/>
            <wp:docPr id="1631865537" name="Slika 16318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8011" cy="3159253"/>
                    </a:xfrm>
                    <a:prstGeom prst="rect">
                      <a:avLst/>
                    </a:prstGeom>
                    <a:noFill/>
                  </pic:spPr>
                </pic:pic>
              </a:graphicData>
            </a:graphic>
          </wp:inline>
        </w:drawing>
      </w:r>
    </w:p>
    <w:p w14:paraId="5760DFCC" w14:textId="1055526A" w:rsidR="00134998" w:rsidRDefault="00D1350A"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18"/>
          <w:szCs w:val="20"/>
        </w:rPr>
      </w:pPr>
      <w:r>
        <w:rPr>
          <w:rFonts w:cs="Arial"/>
          <w:color w:val="auto"/>
          <w:sz w:val="18"/>
          <w:szCs w:val="20"/>
        </w:rPr>
        <w:t>Vir</w:t>
      </w:r>
      <w:r w:rsidR="00134998" w:rsidRPr="00216386">
        <w:rPr>
          <w:rFonts w:cs="Arial"/>
          <w:color w:val="auto"/>
          <w:sz w:val="18"/>
          <w:szCs w:val="20"/>
        </w:rPr>
        <w:t>:</w:t>
      </w:r>
      <w:r w:rsidR="00134998">
        <w:rPr>
          <w:rFonts w:cs="Arial"/>
          <w:color w:val="auto"/>
          <w:sz w:val="18"/>
          <w:szCs w:val="20"/>
        </w:rPr>
        <w:t xml:space="preserve"> </w:t>
      </w:r>
      <w:r w:rsidR="00C514A5">
        <w:rPr>
          <w:rFonts w:cs="Arial"/>
          <w:color w:val="auto"/>
          <w:sz w:val="18"/>
          <w:szCs w:val="20"/>
        </w:rPr>
        <w:t xml:space="preserve">FADN RICA, preračun </w:t>
      </w:r>
      <w:r w:rsidR="00134998">
        <w:rPr>
          <w:rFonts w:cs="Arial"/>
          <w:color w:val="auto"/>
          <w:sz w:val="18"/>
          <w:szCs w:val="20"/>
        </w:rPr>
        <w:t>Kmetijski inštitut Slovenije, november 2021.</w:t>
      </w:r>
    </w:p>
    <w:p w14:paraId="3A7673F8"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6D4BC948" w14:textId="77777777" w:rsidR="00134998" w:rsidRPr="0081302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i/>
          <w:color w:val="auto"/>
          <w:szCs w:val="20"/>
          <w:u w:val="single"/>
        </w:rPr>
      </w:pPr>
    </w:p>
    <w:p w14:paraId="0F75C758" w14:textId="77777777" w:rsidR="00134998" w:rsidRPr="00E155C1" w:rsidRDefault="00134998" w:rsidP="00134998">
      <w:pPr>
        <w:pStyle w:val="Guidelines"/>
        <w:numPr>
          <w:ilvl w:val="0"/>
          <w:numId w:val="210"/>
        </w:numPr>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r w:rsidRPr="00E155C1">
        <w:rPr>
          <w:rFonts w:cs="Arial"/>
          <w:b/>
          <w:i/>
          <w:color w:val="auto"/>
          <w:sz w:val="22"/>
          <w:szCs w:val="20"/>
          <w:u w:val="single"/>
        </w:rPr>
        <w:t>Neto dodana vrednost na PDM glede na proizvodni tip KMG (povprečje SE 425 v obdobju 2015–2019):</w:t>
      </w:r>
    </w:p>
    <w:p w14:paraId="346D3BEF"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p>
    <w:p w14:paraId="5DA105CE"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0"/>
        </w:rPr>
      </w:pPr>
      <w:r w:rsidRPr="00E155C1">
        <w:rPr>
          <w:rFonts w:cs="Arial"/>
          <w:color w:val="auto"/>
          <w:sz w:val="22"/>
          <w:szCs w:val="20"/>
        </w:rPr>
        <w:t xml:space="preserve">Povprečna neto dodana vrednost na PDM v obdobju 2015–2019 (povprečje SE425) je najvišja pri KMG, specializiranih v rejo prašičev in perutnine ter vinogradništvu. Najnižja pa je pri pašni živinoreji in mešani usmeritvi. </w:t>
      </w:r>
    </w:p>
    <w:p w14:paraId="0568A2B4" w14:textId="77777777" w:rsidR="00134998" w:rsidRPr="009A1A7D"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A369854" w14:textId="4CB5A612" w:rsidR="00134998" w:rsidRPr="009A1A7D"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bookmarkStart w:id="3100" w:name="_Toc89861002"/>
      <w:r w:rsidRPr="009A1A7D">
        <w:rPr>
          <w:rFonts w:cs="Arial"/>
          <w:color w:val="auto"/>
          <w:szCs w:val="20"/>
        </w:rPr>
        <w:t xml:space="preserve">Tabela </w:t>
      </w:r>
      <w:r w:rsidRPr="009A1A7D">
        <w:rPr>
          <w:rFonts w:cs="Arial"/>
          <w:color w:val="auto"/>
          <w:szCs w:val="20"/>
        </w:rPr>
        <w:fldChar w:fldCharType="begin"/>
      </w:r>
      <w:r w:rsidRPr="009A1A7D">
        <w:rPr>
          <w:rFonts w:cs="Arial"/>
          <w:color w:val="auto"/>
          <w:szCs w:val="20"/>
        </w:rPr>
        <w:instrText xml:space="preserve"> SEQ Tabela \* ARABIC </w:instrText>
      </w:r>
      <w:r w:rsidRPr="009A1A7D">
        <w:rPr>
          <w:rFonts w:cs="Arial"/>
          <w:color w:val="auto"/>
          <w:szCs w:val="20"/>
        </w:rPr>
        <w:fldChar w:fldCharType="separate"/>
      </w:r>
      <w:r w:rsidR="00F25435">
        <w:rPr>
          <w:rFonts w:cs="Arial"/>
          <w:noProof/>
          <w:color w:val="auto"/>
          <w:szCs w:val="20"/>
        </w:rPr>
        <w:t>9</w:t>
      </w:r>
      <w:r w:rsidRPr="009A1A7D">
        <w:rPr>
          <w:rFonts w:cs="Arial"/>
          <w:color w:val="auto"/>
          <w:szCs w:val="20"/>
        </w:rPr>
        <w:fldChar w:fldCharType="end"/>
      </w:r>
      <w:r w:rsidRPr="009A1A7D">
        <w:rPr>
          <w:rFonts w:cs="Arial"/>
          <w:color w:val="auto"/>
          <w:szCs w:val="20"/>
        </w:rPr>
        <w:t>: Neto dodana vrednost KMG na PDM glede tip kmetovanja za obdobje 2015–2019 (povprečni FADN podatki)</w:t>
      </w:r>
      <w:bookmarkEnd w:id="3100"/>
    </w:p>
    <w:tbl>
      <w:tblPr>
        <w:tblW w:w="9182" w:type="dxa"/>
        <w:tblCellMar>
          <w:left w:w="70" w:type="dxa"/>
          <w:right w:w="70" w:type="dxa"/>
        </w:tblCellMar>
        <w:tblLook w:val="04A0" w:firstRow="1" w:lastRow="0" w:firstColumn="1" w:lastColumn="0" w:noHBand="0" w:noVBand="1"/>
      </w:tblPr>
      <w:tblGrid>
        <w:gridCol w:w="3818"/>
        <w:gridCol w:w="5364"/>
      </w:tblGrid>
      <w:tr w:rsidR="00134998" w:rsidRPr="004E3104" w14:paraId="040A4D2F" w14:textId="77777777" w:rsidTr="009F4DF4">
        <w:trPr>
          <w:trHeight w:val="286"/>
        </w:trPr>
        <w:tc>
          <w:tcPr>
            <w:tcW w:w="38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7E8630" w14:textId="77777777" w:rsidR="00134998" w:rsidRPr="004E3104" w:rsidRDefault="00134998" w:rsidP="009A1A7D">
            <w:pPr>
              <w:spacing w:before="0" w:line="240" w:lineRule="auto"/>
              <w:rPr>
                <w:rFonts w:ascii="Calibri" w:hAnsi="Calibri" w:cs="Calibri"/>
                <w:color w:val="000000"/>
                <w:sz w:val="20"/>
                <w:lang w:eastAsia="sl-SI"/>
              </w:rPr>
            </w:pPr>
            <w:bookmarkStart w:id="3101" w:name="RANGE!A1:B8"/>
            <w:r w:rsidRPr="004E3104">
              <w:rPr>
                <w:rFonts w:ascii="Calibri" w:hAnsi="Calibri" w:cs="Calibri"/>
                <w:color w:val="000000"/>
                <w:sz w:val="20"/>
                <w:lang w:eastAsia="sl-SI"/>
              </w:rPr>
              <w:t>Tipi kmetovanja</w:t>
            </w:r>
            <w:bookmarkEnd w:id="3101"/>
          </w:p>
        </w:tc>
        <w:tc>
          <w:tcPr>
            <w:tcW w:w="5364" w:type="dxa"/>
            <w:tcBorders>
              <w:top w:val="single" w:sz="4" w:space="0" w:color="auto"/>
              <w:left w:val="nil"/>
              <w:bottom w:val="single" w:sz="4" w:space="0" w:color="auto"/>
              <w:right w:val="single" w:sz="4" w:space="0" w:color="auto"/>
            </w:tcBorders>
            <w:shd w:val="clear" w:color="000000" w:fill="D9D9D9"/>
            <w:vAlign w:val="bottom"/>
            <w:hideMark/>
          </w:tcPr>
          <w:p w14:paraId="7FEEB7B3"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Neto dodana vrednost/PDM v € (povprečje SE425)</w:t>
            </w:r>
          </w:p>
        </w:tc>
      </w:tr>
      <w:tr w:rsidR="00134998" w:rsidRPr="004E3104" w14:paraId="7639E1CD"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1A3FC0FE"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Poljedelstvo</w:t>
            </w:r>
          </w:p>
        </w:tc>
        <w:tc>
          <w:tcPr>
            <w:tcW w:w="5364" w:type="dxa"/>
            <w:tcBorders>
              <w:top w:val="nil"/>
              <w:left w:val="nil"/>
              <w:bottom w:val="single" w:sz="4" w:space="0" w:color="auto"/>
              <w:right w:val="single" w:sz="4" w:space="0" w:color="auto"/>
            </w:tcBorders>
            <w:shd w:val="clear" w:color="auto" w:fill="auto"/>
            <w:noWrap/>
            <w:vAlign w:val="bottom"/>
            <w:hideMark/>
          </w:tcPr>
          <w:p w14:paraId="1ADB9D9A"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6.727,88   </w:t>
            </w:r>
          </w:p>
        </w:tc>
      </w:tr>
      <w:tr w:rsidR="00134998" w:rsidRPr="004E3104" w14:paraId="26551C7F"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259872E8"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Vinogradništvo</w:t>
            </w:r>
          </w:p>
        </w:tc>
        <w:tc>
          <w:tcPr>
            <w:tcW w:w="5364" w:type="dxa"/>
            <w:tcBorders>
              <w:top w:val="nil"/>
              <w:left w:val="nil"/>
              <w:bottom w:val="single" w:sz="4" w:space="0" w:color="auto"/>
              <w:right w:val="single" w:sz="4" w:space="0" w:color="auto"/>
            </w:tcBorders>
            <w:shd w:val="clear" w:color="auto" w:fill="auto"/>
            <w:noWrap/>
            <w:vAlign w:val="bottom"/>
            <w:hideMark/>
          </w:tcPr>
          <w:p w14:paraId="647CE474"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10.495,38   </w:t>
            </w:r>
          </w:p>
        </w:tc>
      </w:tr>
      <w:tr w:rsidR="00134998" w:rsidRPr="004E3104" w14:paraId="20FBF55E"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2A32EC42"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Ostali trajni nasadi</w:t>
            </w:r>
          </w:p>
        </w:tc>
        <w:tc>
          <w:tcPr>
            <w:tcW w:w="5364" w:type="dxa"/>
            <w:tcBorders>
              <w:top w:val="nil"/>
              <w:left w:val="nil"/>
              <w:bottom w:val="single" w:sz="4" w:space="0" w:color="auto"/>
              <w:right w:val="single" w:sz="4" w:space="0" w:color="auto"/>
            </w:tcBorders>
            <w:shd w:val="clear" w:color="auto" w:fill="auto"/>
            <w:noWrap/>
            <w:vAlign w:val="bottom"/>
            <w:hideMark/>
          </w:tcPr>
          <w:p w14:paraId="7E9E7BAF"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3.981,95   </w:t>
            </w:r>
          </w:p>
        </w:tc>
      </w:tr>
      <w:tr w:rsidR="00134998" w:rsidRPr="004E3104" w14:paraId="11544B98"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7D00D64F"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Mleko</w:t>
            </w:r>
          </w:p>
        </w:tc>
        <w:tc>
          <w:tcPr>
            <w:tcW w:w="5364" w:type="dxa"/>
            <w:tcBorders>
              <w:top w:val="nil"/>
              <w:left w:val="nil"/>
              <w:bottom w:val="single" w:sz="4" w:space="0" w:color="auto"/>
              <w:right w:val="single" w:sz="4" w:space="0" w:color="auto"/>
            </w:tcBorders>
            <w:shd w:val="clear" w:color="auto" w:fill="auto"/>
            <w:noWrap/>
            <w:vAlign w:val="bottom"/>
            <w:hideMark/>
          </w:tcPr>
          <w:p w14:paraId="242A99A0"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8.516,26   </w:t>
            </w:r>
          </w:p>
        </w:tc>
      </w:tr>
      <w:tr w:rsidR="00134998" w:rsidRPr="004E3104" w14:paraId="298E70F1"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69E4D019"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Pašna živina (brez prireje mleka)</w:t>
            </w:r>
          </w:p>
        </w:tc>
        <w:tc>
          <w:tcPr>
            <w:tcW w:w="5364" w:type="dxa"/>
            <w:tcBorders>
              <w:top w:val="nil"/>
              <w:left w:val="nil"/>
              <w:bottom w:val="single" w:sz="4" w:space="0" w:color="auto"/>
              <w:right w:val="single" w:sz="4" w:space="0" w:color="auto"/>
            </w:tcBorders>
            <w:shd w:val="clear" w:color="auto" w:fill="auto"/>
            <w:noWrap/>
            <w:vAlign w:val="bottom"/>
            <w:hideMark/>
          </w:tcPr>
          <w:p w14:paraId="0A102CAC"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3.333,56   </w:t>
            </w:r>
          </w:p>
        </w:tc>
      </w:tr>
      <w:tr w:rsidR="00134998" w:rsidRPr="004E3104" w14:paraId="56E6BBD2"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588F98B4"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Zrnojeda živina (prašiči/perutnina)</w:t>
            </w:r>
          </w:p>
        </w:tc>
        <w:tc>
          <w:tcPr>
            <w:tcW w:w="5364" w:type="dxa"/>
            <w:tcBorders>
              <w:top w:val="nil"/>
              <w:left w:val="nil"/>
              <w:bottom w:val="single" w:sz="4" w:space="0" w:color="auto"/>
              <w:right w:val="single" w:sz="4" w:space="0" w:color="auto"/>
            </w:tcBorders>
            <w:shd w:val="clear" w:color="auto" w:fill="auto"/>
            <w:noWrap/>
            <w:vAlign w:val="bottom"/>
            <w:hideMark/>
          </w:tcPr>
          <w:p w14:paraId="17E2125A"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19.396,47   </w:t>
            </w:r>
          </w:p>
        </w:tc>
      </w:tr>
      <w:tr w:rsidR="00134998" w:rsidRPr="004E3104" w14:paraId="14F42300" w14:textId="77777777" w:rsidTr="009F4DF4">
        <w:trPr>
          <w:trHeight w:val="143"/>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14:paraId="6CC038CF"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Mešano</w:t>
            </w:r>
          </w:p>
        </w:tc>
        <w:tc>
          <w:tcPr>
            <w:tcW w:w="5364" w:type="dxa"/>
            <w:tcBorders>
              <w:top w:val="nil"/>
              <w:left w:val="nil"/>
              <w:bottom w:val="single" w:sz="4" w:space="0" w:color="auto"/>
              <w:right w:val="single" w:sz="4" w:space="0" w:color="auto"/>
            </w:tcBorders>
            <w:shd w:val="clear" w:color="auto" w:fill="auto"/>
            <w:noWrap/>
            <w:vAlign w:val="bottom"/>
            <w:hideMark/>
          </w:tcPr>
          <w:p w14:paraId="25504F04" w14:textId="77777777" w:rsidR="00134998" w:rsidRPr="004E3104" w:rsidRDefault="00134998" w:rsidP="009A1A7D">
            <w:pPr>
              <w:spacing w:before="0" w:line="240" w:lineRule="auto"/>
              <w:rPr>
                <w:rFonts w:ascii="Calibri" w:hAnsi="Calibri" w:cs="Calibri"/>
                <w:color w:val="000000"/>
                <w:sz w:val="20"/>
                <w:lang w:eastAsia="sl-SI"/>
              </w:rPr>
            </w:pPr>
            <w:r w:rsidRPr="004E3104">
              <w:rPr>
                <w:rFonts w:ascii="Calibri" w:hAnsi="Calibri" w:cs="Calibri"/>
                <w:color w:val="000000"/>
                <w:sz w:val="20"/>
                <w:lang w:eastAsia="sl-SI"/>
              </w:rPr>
              <w:t xml:space="preserve">                                                                           2.767,98   </w:t>
            </w:r>
          </w:p>
        </w:tc>
      </w:tr>
    </w:tbl>
    <w:p w14:paraId="74EF629B"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i/>
          <w:color w:val="auto"/>
          <w:sz w:val="18"/>
          <w:szCs w:val="20"/>
        </w:rPr>
      </w:pPr>
      <w:r w:rsidRPr="009400AA">
        <w:rPr>
          <w:rFonts w:cs="Arial"/>
          <w:i/>
          <w:color w:val="auto"/>
          <w:sz w:val="18"/>
          <w:szCs w:val="20"/>
        </w:rPr>
        <w:t>* sektor vrtnarstva ni zajet, zaradi premajhnega števila KMG v vzorcu.</w:t>
      </w:r>
    </w:p>
    <w:p w14:paraId="1EA6C993" w14:textId="038AC3ED" w:rsidR="00134998" w:rsidRPr="009400AA"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i/>
          <w:color w:val="auto"/>
          <w:sz w:val="18"/>
          <w:szCs w:val="20"/>
        </w:rPr>
      </w:pPr>
      <w:r>
        <w:rPr>
          <w:rFonts w:cs="Arial"/>
          <w:i/>
          <w:color w:val="auto"/>
          <w:sz w:val="18"/>
          <w:szCs w:val="20"/>
        </w:rPr>
        <w:t>Vir: podatkovna baza FADN</w:t>
      </w:r>
      <w:r w:rsidR="00C514A5">
        <w:rPr>
          <w:rFonts w:cs="Arial"/>
          <w:i/>
          <w:color w:val="auto"/>
          <w:sz w:val="18"/>
          <w:szCs w:val="20"/>
        </w:rPr>
        <w:t xml:space="preserve"> RICA</w:t>
      </w:r>
      <w:r>
        <w:rPr>
          <w:rFonts w:cs="Arial"/>
          <w:i/>
          <w:color w:val="auto"/>
          <w:sz w:val="18"/>
          <w:szCs w:val="20"/>
        </w:rPr>
        <w:t>.</w:t>
      </w:r>
    </w:p>
    <w:p w14:paraId="7F8FCA37"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4A4D9A90"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Cs w:val="20"/>
        </w:rPr>
      </w:pPr>
    </w:p>
    <w:p w14:paraId="1E2F6673" w14:textId="77777777" w:rsidR="00134998" w:rsidRPr="00FE6537" w:rsidRDefault="00134998" w:rsidP="00134998">
      <w:pPr>
        <w:pStyle w:val="Guidelines"/>
        <w:numPr>
          <w:ilvl w:val="0"/>
          <w:numId w:val="210"/>
        </w:numPr>
        <w:pBdr>
          <w:top w:val="none" w:sz="0" w:space="0" w:color="auto"/>
          <w:left w:val="none" w:sz="0" w:space="0" w:color="auto"/>
          <w:bottom w:val="none" w:sz="0" w:space="0" w:color="auto"/>
          <w:right w:val="none" w:sz="0" w:space="0" w:color="auto"/>
        </w:pBdr>
        <w:tabs>
          <w:tab w:val="clear" w:pos="2302"/>
        </w:tabs>
        <w:spacing w:after="0" w:line="260" w:lineRule="atLeast"/>
        <w:rPr>
          <w:rFonts w:cs="Arial"/>
          <w:b/>
          <w:i/>
          <w:color w:val="auto"/>
          <w:szCs w:val="20"/>
          <w:u w:val="single"/>
        </w:rPr>
      </w:pPr>
      <w:r>
        <w:rPr>
          <w:rFonts w:cs="Arial"/>
          <w:b/>
          <w:i/>
          <w:color w:val="auto"/>
          <w:szCs w:val="20"/>
          <w:u w:val="single"/>
        </w:rPr>
        <w:t>Neto dodana vrednost na PDM g</w:t>
      </w:r>
      <w:r w:rsidRPr="00FE6537">
        <w:rPr>
          <w:rFonts w:cs="Arial"/>
          <w:b/>
          <w:i/>
          <w:color w:val="auto"/>
          <w:szCs w:val="20"/>
          <w:u w:val="single"/>
        </w:rPr>
        <w:t>lede na območja z omejenimi možnostmi za kmetijsko dejavnost</w:t>
      </w:r>
      <w:r>
        <w:rPr>
          <w:rFonts w:cs="Arial"/>
          <w:b/>
          <w:i/>
          <w:color w:val="auto"/>
          <w:szCs w:val="20"/>
          <w:u w:val="single"/>
        </w:rPr>
        <w:t>:</w:t>
      </w:r>
    </w:p>
    <w:p w14:paraId="14030A49" w14:textId="77777777" w:rsidR="00134998" w:rsidRDefault="00134998" w:rsidP="00134998">
      <w:pPr>
        <w:rPr>
          <w:sz w:val="20"/>
          <w:szCs w:val="20"/>
        </w:rPr>
      </w:pPr>
    </w:p>
    <w:p w14:paraId="32379550" w14:textId="5DCC164A" w:rsidR="00134998" w:rsidRDefault="00134998" w:rsidP="00134998">
      <w:pPr>
        <w:rPr>
          <w:sz w:val="20"/>
          <w:szCs w:val="20"/>
        </w:rPr>
      </w:pPr>
      <w:r>
        <w:rPr>
          <w:sz w:val="20"/>
          <w:szCs w:val="20"/>
        </w:rPr>
        <w:t>V</w:t>
      </w:r>
      <w:r w:rsidRPr="004E1D01">
        <w:rPr>
          <w:sz w:val="20"/>
          <w:szCs w:val="20"/>
        </w:rPr>
        <w:t xml:space="preserve"> analizi stanja za </w:t>
      </w:r>
      <w:r>
        <w:rPr>
          <w:sz w:val="20"/>
          <w:szCs w:val="20"/>
        </w:rPr>
        <w:t xml:space="preserve">specifični </w:t>
      </w:r>
      <w:r w:rsidRPr="004E1D01">
        <w:rPr>
          <w:sz w:val="20"/>
          <w:szCs w:val="20"/>
        </w:rPr>
        <w:t xml:space="preserve">cilj 1 </w:t>
      </w:r>
      <w:r>
        <w:rPr>
          <w:sz w:val="20"/>
          <w:szCs w:val="20"/>
        </w:rPr>
        <w:t xml:space="preserve">je razvidno, da je </w:t>
      </w:r>
      <w:r w:rsidRPr="00473F35">
        <w:rPr>
          <w:sz w:val="20"/>
          <w:szCs w:val="20"/>
        </w:rPr>
        <w:t>neto dodana vrednost KMG</w:t>
      </w:r>
      <w:r>
        <w:rPr>
          <w:sz w:val="20"/>
          <w:szCs w:val="20"/>
        </w:rPr>
        <w:t>/PDM</w:t>
      </w:r>
      <w:r w:rsidRPr="00473F35">
        <w:rPr>
          <w:sz w:val="20"/>
          <w:szCs w:val="20"/>
        </w:rPr>
        <w:t xml:space="preserve"> bistveno višja na </w:t>
      </w:r>
      <w:r>
        <w:rPr>
          <w:sz w:val="20"/>
          <w:szCs w:val="20"/>
        </w:rPr>
        <w:t>območjih, ki niso OMD.</w:t>
      </w:r>
    </w:p>
    <w:p w14:paraId="1967E566" w14:textId="77777777" w:rsidR="00134998" w:rsidRPr="00473F35" w:rsidRDefault="00134998" w:rsidP="00134998">
      <w:pPr>
        <w:rPr>
          <w:sz w:val="20"/>
          <w:szCs w:val="20"/>
        </w:rPr>
      </w:pPr>
      <w:r>
        <w:rPr>
          <w:sz w:val="20"/>
          <w:szCs w:val="20"/>
        </w:rPr>
        <w:t xml:space="preserve"> </w:t>
      </w:r>
    </w:p>
    <w:p w14:paraId="41D82A89" w14:textId="71238BED" w:rsidR="00134998" w:rsidRPr="009A1A7D" w:rsidRDefault="00134998" w:rsidP="009A1A7D">
      <w:pPr>
        <w:pStyle w:val="Napis"/>
        <w:keepNext/>
        <w:jc w:val="left"/>
      </w:pPr>
      <w:bookmarkStart w:id="3102" w:name="_Toc89851086"/>
      <w:r w:rsidRPr="009A1A7D">
        <w:t xml:space="preserve">Slika </w:t>
      </w:r>
      <w:r w:rsidR="009F4DF4">
        <w:rPr>
          <w:noProof/>
        </w:rPr>
        <w:fldChar w:fldCharType="begin"/>
      </w:r>
      <w:r w:rsidR="009F4DF4">
        <w:rPr>
          <w:noProof/>
        </w:rPr>
        <w:instrText xml:space="preserve"> SEQ Slika \* ARABIC </w:instrText>
      </w:r>
      <w:r w:rsidR="009F4DF4">
        <w:rPr>
          <w:noProof/>
        </w:rPr>
        <w:fldChar w:fldCharType="separate"/>
      </w:r>
      <w:r w:rsidR="00F25435">
        <w:rPr>
          <w:noProof/>
        </w:rPr>
        <w:t>44</w:t>
      </w:r>
      <w:r w:rsidR="009F4DF4">
        <w:rPr>
          <w:noProof/>
        </w:rPr>
        <w:fldChar w:fldCharType="end"/>
      </w:r>
      <w:r w:rsidRPr="009A1A7D">
        <w:t xml:space="preserve">: Neto dodana vrednost kmetijskega gospodarstva na PDM (SE425) glede </w:t>
      </w:r>
      <w:r w:rsidRPr="009A1A7D">
        <w:rPr>
          <w:u w:val="single"/>
        </w:rPr>
        <w:t>na težavnostna območja</w:t>
      </w:r>
      <w:r w:rsidRPr="009A1A7D">
        <w:t xml:space="preserve"> za Slovenijo v letih 2004</w:t>
      </w:r>
      <w:r w:rsidRPr="009A1A7D">
        <w:softHyphen/>
        <w:t>–2018</w:t>
      </w:r>
      <w:bookmarkEnd w:id="3102"/>
    </w:p>
    <w:p w14:paraId="1CE49141" w14:textId="77777777" w:rsidR="00134998" w:rsidRPr="00351291" w:rsidRDefault="00134998" w:rsidP="00134998">
      <w:pPr>
        <w:pStyle w:val="Slike"/>
      </w:pPr>
      <w:r w:rsidRPr="00351291">
        <w:drawing>
          <wp:inline distT="0" distB="0" distL="0" distR="0" wp14:anchorId="03F43C7F" wp14:editId="4BC176D4">
            <wp:extent cx="5760000" cy="2880000"/>
            <wp:effectExtent l="0" t="0" r="0" b="0"/>
            <wp:docPr id="1631865549" name="Grafikon 1631865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7A52908" w14:textId="77777777" w:rsidR="00134998" w:rsidRPr="00351291" w:rsidRDefault="00134998" w:rsidP="00134998">
      <w:pPr>
        <w:pStyle w:val="Vir"/>
      </w:pPr>
      <w:r w:rsidRPr="00351291">
        <w:t>Vir: FADN</w:t>
      </w:r>
    </w:p>
    <w:p w14:paraId="6623D725"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auto"/>
          <w:szCs w:val="20"/>
        </w:rPr>
      </w:pPr>
    </w:p>
    <w:p w14:paraId="08018BF9"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auto"/>
          <w:szCs w:val="20"/>
        </w:rPr>
      </w:pPr>
    </w:p>
    <w:p w14:paraId="3E6387A7" w14:textId="77777777" w:rsidR="00134998" w:rsidRPr="00E155C1" w:rsidRDefault="00134998" w:rsidP="00134998">
      <w:pPr>
        <w:pStyle w:val="Guidelines"/>
        <w:numPr>
          <w:ilvl w:val="0"/>
          <w:numId w:val="210"/>
        </w:numPr>
        <w:pBdr>
          <w:top w:val="none" w:sz="0" w:space="0" w:color="auto"/>
          <w:left w:val="none" w:sz="0" w:space="0" w:color="auto"/>
          <w:bottom w:val="none" w:sz="0" w:space="0" w:color="auto"/>
          <w:right w:val="none" w:sz="0" w:space="0" w:color="auto"/>
        </w:pBdr>
        <w:tabs>
          <w:tab w:val="clear" w:pos="2302"/>
        </w:tabs>
        <w:spacing w:after="0" w:line="260" w:lineRule="atLeast"/>
        <w:rPr>
          <w:rFonts w:cs="Arial"/>
          <w:b/>
          <w:i/>
          <w:color w:val="auto"/>
          <w:sz w:val="22"/>
          <w:szCs w:val="22"/>
          <w:u w:val="single"/>
        </w:rPr>
      </w:pPr>
      <w:r w:rsidRPr="00E155C1">
        <w:rPr>
          <w:rFonts w:cs="Arial"/>
          <w:b/>
          <w:i/>
          <w:color w:val="auto"/>
          <w:sz w:val="22"/>
          <w:szCs w:val="22"/>
          <w:u w:val="single"/>
        </w:rPr>
        <w:t>Glede na ROA – dobičkonosnost sredstev</w:t>
      </w:r>
    </w:p>
    <w:p w14:paraId="0B57F45A"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22"/>
          <w:szCs w:val="22"/>
        </w:rPr>
      </w:pPr>
    </w:p>
    <w:p w14:paraId="4845DCA3"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spacing w:after="0" w:line="260" w:lineRule="atLeast"/>
        <w:rPr>
          <w:rFonts w:cs="Arial"/>
          <w:color w:val="auto"/>
          <w:sz w:val="22"/>
          <w:szCs w:val="22"/>
        </w:rPr>
      </w:pPr>
      <w:r w:rsidRPr="00E155C1">
        <w:rPr>
          <w:rFonts w:cs="Arial"/>
          <w:color w:val="auto"/>
          <w:sz w:val="22"/>
          <w:szCs w:val="22"/>
        </w:rPr>
        <w:t xml:space="preserve">Donosnost sredstev (ROA - </w:t>
      </w:r>
      <w:r w:rsidRPr="00E155C1">
        <w:rPr>
          <w:rFonts w:cs="Arial"/>
          <w:color w:val="292B2C"/>
          <w:sz w:val="22"/>
          <w:szCs w:val="22"/>
          <w:shd w:val="clear" w:color="auto" w:fill="FFFFFF"/>
        </w:rPr>
        <w:t>»return on assets«</w:t>
      </w:r>
      <w:r w:rsidRPr="00E155C1">
        <w:rPr>
          <w:rFonts w:cs="Arial"/>
          <w:color w:val="auto"/>
          <w:sz w:val="22"/>
          <w:szCs w:val="22"/>
        </w:rPr>
        <w:t>) meri učinkovitost sredstev podjetja/kmetije pri ustvarjanju dohodka. Opredeljena je kot razmerje med čistim dohodkom (»net income«) in celotnim sredstvi (ang. »total assets«), kjer je čisti dohodek opredeljen kot vsota neto dodane vrednosti in investicijskih subvencij minus stroški plač, plačana najemnina, plačane obresti (neto dohodek kmetije) in oportunitetni stroški lastnega (družinskega) dela.</w:t>
      </w:r>
      <w:r w:rsidRPr="00E155C1">
        <w:rPr>
          <w:rStyle w:val="Sprotnaopomba-sklic"/>
          <w:rFonts w:cs="Arial"/>
          <w:color w:val="auto"/>
          <w:sz w:val="22"/>
          <w:szCs w:val="22"/>
        </w:rPr>
        <w:footnoteReference w:id="17"/>
      </w:r>
    </w:p>
    <w:p w14:paraId="3B2E3F0B"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2"/>
        </w:rPr>
      </w:pPr>
    </w:p>
    <w:p w14:paraId="78355D10"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rPr>
      </w:pPr>
      <w:r w:rsidRPr="00E155C1">
        <w:rPr>
          <w:color w:val="000000" w:themeColor="text1"/>
          <w:sz w:val="22"/>
          <w:szCs w:val="22"/>
        </w:rPr>
        <w:t>ROA= (neto dohodek kmetije – oportunitetni stroški lastnega dela) / Celotna sredstva</w:t>
      </w:r>
    </w:p>
    <w:p w14:paraId="32402760"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22"/>
          <w:szCs w:val="22"/>
        </w:rPr>
      </w:pPr>
    </w:p>
    <w:p w14:paraId="62334B64"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r w:rsidRPr="00E155C1">
        <w:rPr>
          <w:rFonts w:cs="Arial"/>
          <w:color w:val="000000" w:themeColor="text1"/>
          <w:sz w:val="22"/>
          <w:szCs w:val="22"/>
          <w:shd w:val="clear" w:color="auto" w:fill="FFFFFF"/>
        </w:rPr>
        <w:t xml:space="preserve">Tako izračunana donosnost sredstev služi kot indikator, kako učinkovito podjetje, kmetija uporablja svoja sredstva, ki jih ima na voljo za ustvarjanje dobička. Čim večja je vrednost kazalnika, tem uspešnejše in učinkovitejše je poslovanje kmetije. V primeru izkazane izgube je vrednost kazalnika negativna. </w:t>
      </w:r>
    </w:p>
    <w:p w14:paraId="64E01A09"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p>
    <w:p w14:paraId="0453BBE4"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r w:rsidRPr="00E155C1">
        <w:rPr>
          <w:rFonts w:cs="Arial"/>
          <w:color w:val="000000" w:themeColor="text1"/>
          <w:sz w:val="22"/>
          <w:szCs w:val="22"/>
          <w:shd w:val="clear" w:color="auto" w:fill="FFFFFF"/>
        </w:rPr>
        <w:t xml:space="preserve">Podatki iz študije Evropske komisije EU Farm Economics Review iz leta 2021, ki je analizirala podatke FADN iz leta 2018, je pokazala, da znaša donosnost sredstev povprečne kmetije v EU 1,3 %. Za 13 držav članic, vključno s Slovenijo, pa velja, da je donosnost sredstev negativna. Glede na proizvodni tip so bile leta 2018 pri ustvarjanju dohodka iz lastnih sredstev najbolj učinkovite kmetije, specializirane za področje vrtnarstva (6,8 %) in vinogradništva (5,4 %), najmanj pa kmetije, specializirane v pašno živinorejo in mešano rastlinsko in živinorejsko proizvodnjo, kar kaže na to, da kljub investiranju kapitala izgubljajo dohodek (imajo negativen dohodek). </w:t>
      </w:r>
    </w:p>
    <w:p w14:paraId="1B5BCD88"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p>
    <w:p w14:paraId="2BE89A9F"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r w:rsidRPr="00E155C1">
        <w:rPr>
          <w:rFonts w:cs="Arial"/>
          <w:color w:val="000000" w:themeColor="text1"/>
          <w:sz w:val="22"/>
          <w:szCs w:val="22"/>
          <w:shd w:val="clear" w:color="auto" w:fill="FFFFFF"/>
        </w:rPr>
        <w:t xml:space="preserve">Podatki, ki smo jih na podoben način, kot je predstavljen  v študiji   Evropske komisije analizirali na MKGP, upoštevajoč povprečje obdobja 2015––2019, kažejo na negativno donosnost sredstev v nižjih ekonomskih velikostnih razredih (SO), v praktično vseh panogah oz. proizvodnih usmeritvah (z izjemo vinogradništva, zrnojedih živali), glede na tip območja pa je razvidna negativna donosnost pri kmetijah znotraj OMD območij. </w:t>
      </w:r>
    </w:p>
    <w:p w14:paraId="158092CA"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p>
    <w:p w14:paraId="008C1EBC" w14:textId="77777777" w:rsidR="00134998" w:rsidRPr="00E155C1"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000000" w:themeColor="text1"/>
          <w:sz w:val="22"/>
          <w:szCs w:val="22"/>
          <w:shd w:val="clear" w:color="auto" w:fill="FFFFFF"/>
        </w:rPr>
      </w:pPr>
      <w:r w:rsidRPr="00E155C1">
        <w:rPr>
          <w:rFonts w:cs="Arial"/>
          <w:color w:val="000000" w:themeColor="text1"/>
          <w:sz w:val="22"/>
          <w:szCs w:val="22"/>
          <w:shd w:val="clear" w:color="auto" w:fill="FFFFFF"/>
        </w:rPr>
        <w:t>ROA = (SE420-(</w:t>
      </w:r>
      <w:r w:rsidRPr="00E155C1">
        <w:rPr>
          <w:rFonts w:ascii="Calibri" w:hAnsi="Calibri" w:cs="Calibri"/>
          <w:color w:val="000000" w:themeColor="text1"/>
          <w:sz w:val="22"/>
          <w:szCs w:val="22"/>
        </w:rPr>
        <w:t>SE016*(SE370/SE021))/SE436</w:t>
      </w:r>
    </w:p>
    <w:p w14:paraId="1A83D37D"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292B2C"/>
          <w:szCs w:val="21"/>
          <w:shd w:val="clear" w:color="auto" w:fill="FFFFFF"/>
        </w:rPr>
      </w:pPr>
    </w:p>
    <w:p w14:paraId="4E5516EF" w14:textId="2BF9538C" w:rsidR="00134998" w:rsidRPr="00F23F7E"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000000" w:themeColor="text1"/>
          <w:szCs w:val="20"/>
        </w:rPr>
      </w:pPr>
      <w:bookmarkStart w:id="3103" w:name="_Toc89861003"/>
      <w:r w:rsidRPr="009D5779">
        <w:rPr>
          <w:rFonts w:cs="Arial"/>
          <w:color w:val="auto"/>
          <w:szCs w:val="20"/>
        </w:rPr>
        <w:t xml:space="preserve">Tabela </w:t>
      </w:r>
      <w:r w:rsidRPr="009D5779">
        <w:rPr>
          <w:rFonts w:cs="Arial"/>
          <w:color w:val="auto"/>
          <w:szCs w:val="20"/>
        </w:rPr>
        <w:fldChar w:fldCharType="begin"/>
      </w:r>
      <w:r w:rsidRPr="009D5779">
        <w:rPr>
          <w:rFonts w:cs="Arial"/>
          <w:color w:val="auto"/>
          <w:szCs w:val="20"/>
        </w:rPr>
        <w:instrText xml:space="preserve"> SEQ Tabela \* ARABIC </w:instrText>
      </w:r>
      <w:r w:rsidRPr="009D5779">
        <w:rPr>
          <w:rFonts w:cs="Arial"/>
          <w:color w:val="auto"/>
          <w:szCs w:val="20"/>
        </w:rPr>
        <w:fldChar w:fldCharType="separate"/>
      </w:r>
      <w:r w:rsidR="00F25435">
        <w:rPr>
          <w:rFonts w:cs="Arial"/>
          <w:noProof/>
          <w:color w:val="auto"/>
          <w:szCs w:val="20"/>
        </w:rPr>
        <w:t>10</w:t>
      </w:r>
      <w:r w:rsidRPr="009D5779">
        <w:rPr>
          <w:rFonts w:cs="Arial"/>
          <w:color w:val="auto"/>
          <w:szCs w:val="20"/>
        </w:rPr>
        <w:fldChar w:fldCharType="end"/>
      </w:r>
      <w:r w:rsidRPr="009D5779">
        <w:rPr>
          <w:rFonts w:cs="Arial"/>
          <w:color w:val="auto"/>
          <w:szCs w:val="20"/>
        </w:rPr>
        <w:t>:</w:t>
      </w:r>
      <w:r w:rsidRPr="00F23F7E">
        <w:rPr>
          <w:rFonts w:cs="Arial"/>
          <w:color w:val="000000" w:themeColor="text1"/>
          <w:szCs w:val="21"/>
          <w:shd w:val="clear" w:color="auto" w:fill="FFFFFF"/>
        </w:rPr>
        <w:t xml:space="preserve"> Donosnost sredstev (ROA) glede na ekonomsko velikost (SO)</w:t>
      </w:r>
      <w:r w:rsidRPr="00F23F7E">
        <w:rPr>
          <w:rFonts w:cs="Arial"/>
          <w:color w:val="000000" w:themeColor="text1"/>
          <w:szCs w:val="20"/>
        </w:rPr>
        <w:t xml:space="preserve"> v obdobju 2015–2019</w:t>
      </w:r>
      <w:bookmarkEnd w:id="3103"/>
    </w:p>
    <w:tbl>
      <w:tblPr>
        <w:tblW w:w="5000" w:type="pct"/>
        <w:tblCellMar>
          <w:left w:w="70" w:type="dxa"/>
          <w:right w:w="70" w:type="dxa"/>
        </w:tblCellMar>
        <w:tblLook w:val="04A0" w:firstRow="1" w:lastRow="0" w:firstColumn="1" w:lastColumn="0" w:noHBand="0" w:noVBand="1"/>
      </w:tblPr>
      <w:tblGrid>
        <w:gridCol w:w="2820"/>
        <w:gridCol w:w="946"/>
        <w:gridCol w:w="946"/>
        <w:gridCol w:w="1093"/>
        <w:gridCol w:w="1093"/>
        <w:gridCol w:w="1254"/>
        <w:gridCol w:w="910"/>
      </w:tblGrid>
      <w:tr w:rsidR="00134998" w:rsidRPr="004E3104" w14:paraId="75014857" w14:textId="77777777" w:rsidTr="009F4DF4">
        <w:trPr>
          <w:trHeight w:val="288"/>
        </w:trPr>
        <w:tc>
          <w:tcPr>
            <w:tcW w:w="15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5DC0D4"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Ekonomska velikost (SO)</w:t>
            </w:r>
          </w:p>
        </w:tc>
        <w:tc>
          <w:tcPr>
            <w:tcW w:w="522" w:type="pct"/>
            <w:tcBorders>
              <w:top w:val="single" w:sz="4" w:space="0" w:color="auto"/>
              <w:left w:val="nil"/>
              <w:bottom w:val="single" w:sz="4" w:space="0" w:color="auto"/>
              <w:right w:val="single" w:sz="4" w:space="0" w:color="auto"/>
            </w:tcBorders>
            <w:shd w:val="clear" w:color="000000" w:fill="D9D9D9"/>
            <w:noWrap/>
            <w:vAlign w:val="bottom"/>
            <w:hideMark/>
          </w:tcPr>
          <w:p w14:paraId="74BB59AF"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SE016</w:t>
            </w:r>
          </w:p>
        </w:tc>
        <w:tc>
          <w:tcPr>
            <w:tcW w:w="522" w:type="pct"/>
            <w:tcBorders>
              <w:top w:val="single" w:sz="4" w:space="0" w:color="auto"/>
              <w:left w:val="nil"/>
              <w:bottom w:val="single" w:sz="4" w:space="0" w:color="auto"/>
              <w:right w:val="single" w:sz="4" w:space="0" w:color="auto"/>
            </w:tcBorders>
            <w:shd w:val="clear" w:color="000000" w:fill="D9D9D9"/>
            <w:noWrap/>
            <w:vAlign w:val="bottom"/>
            <w:hideMark/>
          </w:tcPr>
          <w:p w14:paraId="526C7227"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SE021</w:t>
            </w:r>
          </w:p>
        </w:tc>
        <w:tc>
          <w:tcPr>
            <w:tcW w:w="603" w:type="pct"/>
            <w:tcBorders>
              <w:top w:val="single" w:sz="4" w:space="0" w:color="auto"/>
              <w:left w:val="nil"/>
              <w:bottom w:val="single" w:sz="4" w:space="0" w:color="auto"/>
              <w:right w:val="single" w:sz="4" w:space="0" w:color="auto"/>
            </w:tcBorders>
            <w:shd w:val="clear" w:color="000000" w:fill="D9D9D9"/>
            <w:noWrap/>
            <w:vAlign w:val="bottom"/>
            <w:hideMark/>
          </w:tcPr>
          <w:p w14:paraId="25642B72"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SE370</w:t>
            </w:r>
          </w:p>
        </w:tc>
        <w:tc>
          <w:tcPr>
            <w:tcW w:w="603" w:type="pct"/>
            <w:tcBorders>
              <w:top w:val="single" w:sz="4" w:space="0" w:color="auto"/>
              <w:left w:val="nil"/>
              <w:bottom w:val="single" w:sz="4" w:space="0" w:color="auto"/>
              <w:right w:val="single" w:sz="4" w:space="0" w:color="auto"/>
            </w:tcBorders>
            <w:shd w:val="clear" w:color="000000" w:fill="D9D9D9"/>
            <w:noWrap/>
            <w:vAlign w:val="bottom"/>
            <w:hideMark/>
          </w:tcPr>
          <w:p w14:paraId="0EE36FC3"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SE420</w:t>
            </w:r>
          </w:p>
        </w:tc>
        <w:tc>
          <w:tcPr>
            <w:tcW w:w="692" w:type="pct"/>
            <w:tcBorders>
              <w:top w:val="single" w:sz="4" w:space="0" w:color="auto"/>
              <w:left w:val="nil"/>
              <w:bottom w:val="single" w:sz="4" w:space="0" w:color="auto"/>
              <w:right w:val="single" w:sz="4" w:space="0" w:color="auto"/>
            </w:tcBorders>
            <w:shd w:val="clear" w:color="000000" w:fill="D9D9D9"/>
            <w:noWrap/>
            <w:vAlign w:val="bottom"/>
            <w:hideMark/>
          </w:tcPr>
          <w:p w14:paraId="464339EC"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SE436</w:t>
            </w:r>
          </w:p>
        </w:tc>
        <w:tc>
          <w:tcPr>
            <w:tcW w:w="504" w:type="pct"/>
            <w:tcBorders>
              <w:top w:val="single" w:sz="4" w:space="0" w:color="auto"/>
              <w:left w:val="nil"/>
              <w:bottom w:val="single" w:sz="4" w:space="0" w:color="auto"/>
              <w:right w:val="single" w:sz="4" w:space="0" w:color="auto"/>
            </w:tcBorders>
            <w:shd w:val="clear" w:color="000000" w:fill="D9D9D9"/>
            <w:noWrap/>
            <w:vAlign w:val="bottom"/>
            <w:hideMark/>
          </w:tcPr>
          <w:p w14:paraId="1C11E169" w14:textId="77777777" w:rsidR="00134998" w:rsidRPr="004E3104" w:rsidRDefault="00134998" w:rsidP="009F4DF4">
            <w:pPr>
              <w:spacing w:line="240" w:lineRule="auto"/>
              <w:rPr>
                <w:rFonts w:ascii="Calibri" w:hAnsi="Calibri" w:cs="Calibri"/>
                <w:b/>
                <w:bCs/>
                <w:color w:val="000000"/>
                <w:sz w:val="18"/>
                <w:lang w:eastAsia="sl-SI"/>
              </w:rPr>
            </w:pPr>
            <w:r w:rsidRPr="004E3104">
              <w:rPr>
                <w:rFonts w:ascii="Calibri" w:hAnsi="Calibri" w:cs="Calibri"/>
                <w:b/>
                <w:bCs/>
                <w:color w:val="000000"/>
                <w:sz w:val="18"/>
                <w:lang w:eastAsia="sl-SI"/>
              </w:rPr>
              <w:t>ROA</w:t>
            </w:r>
          </w:p>
        </w:tc>
      </w:tr>
      <w:tr w:rsidR="00134998" w:rsidRPr="004E3104" w14:paraId="7BF91D9D" w14:textId="77777777" w:rsidTr="009F4DF4">
        <w:trPr>
          <w:trHeight w:val="288"/>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D413195"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2 000 - &lt; 8 000 EUR</w:t>
            </w:r>
          </w:p>
        </w:tc>
        <w:tc>
          <w:tcPr>
            <w:tcW w:w="522" w:type="pct"/>
            <w:tcBorders>
              <w:top w:val="nil"/>
              <w:left w:val="nil"/>
              <w:bottom w:val="single" w:sz="4" w:space="0" w:color="auto"/>
              <w:right w:val="single" w:sz="4" w:space="0" w:color="auto"/>
            </w:tcBorders>
            <w:shd w:val="clear" w:color="auto" w:fill="auto"/>
            <w:noWrap/>
            <w:vAlign w:val="bottom"/>
            <w:hideMark/>
          </w:tcPr>
          <w:p w14:paraId="59180442"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1.667,82   </w:t>
            </w:r>
          </w:p>
        </w:tc>
        <w:tc>
          <w:tcPr>
            <w:tcW w:w="522" w:type="pct"/>
            <w:tcBorders>
              <w:top w:val="nil"/>
              <w:left w:val="nil"/>
              <w:bottom w:val="single" w:sz="4" w:space="0" w:color="auto"/>
              <w:right w:val="single" w:sz="4" w:space="0" w:color="auto"/>
            </w:tcBorders>
            <w:shd w:val="clear" w:color="auto" w:fill="auto"/>
            <w:noWrap/>
            <w:vAlign w:val="bottom"/>
            <w:hideMark/>
          </w:tcPr>
          <w:p w14:paraId="09683DBC"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27,36   </w:t>
            </w:r>
          </w:p>
        </w:tc>
        <w:tc>
          <w:tcPr>
            <w:tcW w:w="603" w:type="pct"/>
            <w:tcBorders>
              <w:top w:val="nil"/>
              <w:left w:val="nil"/>
              <w:bottom w:val="single" w:sz="4" w:space="0" w:color="auto"/>
              <w:right w:val="single" w:sz="4" w:space="0" w:color="auto"/>
            </w:tcBorders>
            <w:shd w:val="clear" w:color="auto" w:fill="auto"/>
            <w:noWrap/>
            <w:vAlign w:val="bottom"/>
            <w:hideMark/>
          </w:tcPr>
          <w:p w14:paraId="7F14FC08"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158,80   </w:t>
            </w:r>
          </w:p>
        </w:tc>
        <w:tc>
          <w:tcPr>
            <w:tcW w:w="603" w:type="pct"/>
            <w:tcBorders>
              <w:top w:val="nil"/>
              <w:left w:val="nil"/>
              <w:bottom w:val="single" w:sz="4" w:space="0" w:color="auto"/>
              <w:right w:val="single" w:sz="4" w:space="0" w:color="auto"/>
            </w:tcBorders>
            <w:shd w:val="clear" w:color="auto" w:fill="auto"/>
            <w:noWrap/>
            <w:vAlign w:val="bottom"/>
            <w:hideMark/>
          </w:tcPr>
          <w:p w14:paraId="6315BB96"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328,20   </w:t>
            </w:r>
          </w:p>
        </w:tc>
        <w:tc>
          <w:tcPr>
            <w:tcW w:w="692" w:type="pct"/>
            <w:tcBorders>
              <w:top w:val="nil"/>
              <w:left w:val="nil"/>
              <w:bottom w:val="single" w:sz="4" w:space="0" w:color="auto"/>
              <w:right w:val="single" w:sz="4" w:space="0" w:color="auto"/>
            </w:tcBorders>
            <w:shd w:val="clear" w:color="auto" w:fill="auto"/>
            <w:noWrap/>
            <w:vAlign w:val="bottom"/>
            <w:hideMark/>
          </w:tcPr>
          <w:p w14:paraId="53CA4CEC"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127.479,40   </w:t>
            </w:r>
          </w:p>
        </w:tc>
        <w:tc>
          <w:tcPr>
            <w:tcW w:w="504" w:type="pct"/>
            <w:tcBorders>
              <w:top w:val="nil"/>
              <w:left w:val="nil"/>
              <w:bottom w:val="single" w:sz="4" w:space="0" w:color="auto"/>
              <w:right w:val="single" w:sz="4" w:space="0" w:color="auto"/>
            </w:tcBorders>
            <w:shd w:val="clear" w:color="auto" w:fill="auto"/>
            <w:noWrap/>
            <w:vAlign w:val="bottom"/>
            <w:hideMark/>
          </w:tcPr>
          <w:p w14:paraId="12F5D500" w14:textId="77777777" w:rsidR="00134998" w:rsidRPr="004E3104" w:rsidRDefault="00134998" w:rsidP="009F4DF4">
            <w:pPr>
              <w:spacing w:line="240" w:lineRule="auto"/>
              <w:jc w:val="right"/>
              <w:rPr>
                <w:rFonts w:ascii="Calibri" w:hAnsi="Calibri" w:cs="Calibri"/>
                <w:color w:val="000000"/>
                <w:sz w:val="18"/>
                <w:lang w:eastAsia="sl-SI"/>
              </w:rPr>
            </w:pPr>
            <w:r w:rsidRPr="004E3104">
              <w:rPr>
                <w:rFonts w:ascii="Calibri" w:hAnsi="Calibri" w:cs="Calibri"/>
                <w:color w:val="000000"/>
                <w:sz w:val="18"/>
                <w:lang w:eastAsia="sl-SI"/>
              </w:rPr>
              <w:t>-8%</w:t>
            </w:r>
          </w:p>
        </w:tc>
      </w:tr>
      <w:tr w:rsidR="00134998" w:rsidRPr="004E3104" w14:paraId="0FA9F85C" w14:textId="77777777" w:rsidTr="009F4DF4">
        <w:trPr>
          <w:trHeight w:val="288"/>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1EF20E37"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8 000 - &lt; 25 000 EUR</w:t>
            </w:r>
          </w:p>
        </w:tc>
        <w:tc>
          <w:tcPr>
            <w:tcW w:w="522" w:type="pct"/>
            <w:tcBorders>
              <w:top w:val="nil"/>
              <w:left w:val="nil"/>
              <w:bottom w:val="single" w:sz="4" w:space="0" w:color="auto"/>
              <w:right w:val="single" w:sz="4" w:space="0" w:color="auto"/>
            </w:tcBorders>
            <w:shd w:val="clear" w:color="auto" w:fill="auto"/>
            <w:noWrap/>
            <w:vAlign w:val="bottom"/>
            <w:hideMark/>
          </w:tcPr>
          <w:p w14:paraId="47182953"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2.164,13   </w:t>
            </w:r>
          </w:p>
        </w:tc>
        <w:tc>
          <w:tcPr>
            <w:tcW w:w="522" w:type="pct"/>
            <w:tcBorders>
              <w:top w:val="nil"/>
              <w:left w:val="nil"/>
              <w:bottom w:val="single" w:sz="4" w:space="0" w:color="auto"/>
              <w:right w:val="single" w:sz="4" w:space="0" w:color="auto"/>
            </w:tcBorders>
            <w:shd w:val="clear" w:color="auto" w:fill="auto"/>
            <w:noWrap/>
            <w:vAlign w:val="bottom"/>
            <w:hideMark/>
          </w:tcPr>
          <w:p w14:paraId="04F62AB9"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33,14   </w:t>
            </w:r>
          </w:p>
        </w:tc>
        <w:tc>
          <w:tcPr>
            <w:tcW w:w="603" w:type="pct"/>
            <w:tcBorders>
              <w:top w:val="nil"/>
              <w:left w:val="nil"/>
              <w:bottom w:val="single" w:sz="4" w:space="0" w:color="auto"/>
              <w:right w:val="single" w:sz="4" w:space="0" w:color="auto"/>
            </w:tcBorders>
            <w:shd w:val="clear" w:color="auto" w:fill="auto"/>
            <w:noWrap/>
            <w:vAlign w:val="bottom"/>
            <w:hideMark/>
          </w:tcPr>
          <w:p w14:paraId="72D1BF50"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175,20   </w:t>
            </w:r>
          </w:p>
        </w:tc>
        <w:tc>
          <w:tcPr>
            <w:tcW w:w="603" w:type="pct"/>
            <w:tcBorders>
              <w:top w:val="nil"/>
              <w:left w:val="nil"/>
              <w:bottom w:val="single" w:sz="4" w:space="0" w:color="auto"/>
              <w:right w:val="single" w:sz="4" w:space="0" w:color="auto"/>
            </w:tcBorders>
            <w:shd w:val="clear" w:color="auto" w:fill="auto"/>
            <w:noWrap/>
            <w:vAlign w:val="bottom"/>
            <w:hideMark/>
          </w:tcPr>
          <w:p w14:paraId="73A56488"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4.100,00   </w:t>
            </w:r>
          </w:p>
        </w:tc>
        <w:tc>
          <w:tcPr>
            <w:tcW w:w="692" w:type="pct"/>
            <w:tcBorders>
              <w:top w:val="nil"/>
              <w:left w:val="nil"/>
              <w:bottom w:val="single" w:sz="4" w:space="0" w:color="auto"/>
              <w:right w:val="single" w:sz="4" w:space="0" w:color="auto"/>
            </w:tcBorders>
            <w:shd w:val="clear" w:color="auto" w:fill="auto"/>
            <w:noWrap/>
            <w:vAlign w:val="bottom"/>
            <w:hideMark/>
          </w:tcPr>
          <w:p w14:paraId="2B0EBB01"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195.220,80   </w:t>
            </w:r>
          </w:p>
        </w:tc>
        <w:tc>
          <w:tcPr>
            <w:tcW w:w="504" w:type="pct"/>
            <w:tcBorders>
              <w:top w:val="nil"/>
              <w:left w:val="nil"/>
              <w:bottom w:val="single" w:sz="4" w:space="0" w:color="auto"/>
              <w:right w:val="single" w:sz="4" w:space="0" w:color="auto"/>
            </w:tcBorders>
            <w:shd w:val="clear" w:color="auto" w:fill="auto"/>
            <w:noWrap/>
            <w:vAlign w:val="bottom"/>
            <w:hideMark/>
          </w:tcPr>
          <w:p w14:paraId="6F28EA1B" w14:textId="77777777" w:rsidR="00134998" w:rsidRPr="004E3104" w:rsidRDefault="00134998" w:rsidP="009F4DF4">
            <w:pPr>
              <w:spacing w:line="240" w:lineRule="auto"/>
              <w:jc w:val="right"/>
              <w:rPr>
                <w:rFonts w:ascii="Calibri" w:hAnsi="Calibri" w:cs="Calibri"/>
                <w:color w:val="000000"/>
                <w:sz w:val="18"/>
                <w:lang w:eastAsia="sl-SI"/>
              </w:rPr>
            </w:pPr>
            <w:r w:rsidRPr="004E3104">
              <w:rPr>
                <w:rFonts w:ascii="Calibri" w:hAnsi="Calibri" w:cs="Calibri"/>
                <w:color w:val="000000"/>
                <w:sz w:val="18"/>
                <w:lang w:eastAsia="sl-SI"/>
              </w:rPr>
              <w:t>-4%</w:t>
            </w:r>
          </w:p>
        </w:tc>
      </w:tr>
      <w:tr w:rsidR="00134998" w:rsidRPr="004E3104" w14:paraId="151B0A96" w14:textId="77777777" w:rsidTr="009F4DF4">
        <w:trPr>
          <w:trHeight w:val="288"/>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06A9A04A"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25 000 - &lt; 50 000 EUR</w:t>
            </w:r>
          </w:p>
        </w:tc>
        <w:tc>
          <w:tcPr>
            <w:tcW w:w="522" w:type="pct"/>
            <w:tcBorders>
              <w:top w:val="nil"/>
              <w:left w:val="nil"/>
              <w:bottom w:val="single" w:sz="4" w:space="0" w:color="auto"/>
              <w:right w:val="single" w:sz="4" w:space="0" w:color="auto"/>
            </w:tcBorders>
            <w:shd w:val="clear" w:color="auto" w:fill="auto"/>
            <w:noWrap/>
            <w:vAlign w:val="bottom"/>
            <w:hideMark/>
          </w:tcPr>
          <w:p w14:paraId="3476F992"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2.676,71   </w:t>
            </w:r>
          </w:p>
        </w:tc>
        <w:tc>
          <w:tcPr>
            <w:tcW w:w="522" w:type="pct"/>
            <w:tcBorders>
              <w:top w:val="nil"/>
              <w:left w:val="nil"/>
              <w:bottom w:val="single" w:sz="4" w:space="0" w:color="auto"/>
              <w:right w:val="single" w:sz="4" w:space="0" w:color="auto"/>
            </w:tcBorders>
            <w:shd w:val="clear" w:color="auto" w:fill="auto"/>
            <w:noWrap/>
            <w:vAlign w:val="bottom"/>
            <w:hideMark/>
          </w:tcPr>
          <w:p w14:paraId="535122D7"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59,11   </w:t>
            </w:r>
          </w:p>
        </w:tc>
        <w:tc>
          <w:tcPr>
            <w:tcW w:w="603" w:type="pct"/>
            <w:tcBorders>
              <w:top w:val="nil"/>
              <w:left w:val="nil"/>
              <w:bottom w:val="single" w:sz="4" w:space="0" w:color="auto"/>
              <w:right w:val="single" w:sz="4" w:space="0" w:color="auto"/>
            </w:tcBorders>
            <w:shd w:val="clear" w:color="auto" w:fill="auto"/>
            <w:noWrap/>
            <w:vAlign w:val="bottom"/>
            <w:hideMark/>
          </w:tcPr>
          <w:p w14:paraId="6AB272E9"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319,60   </w:t>
            </w:r>
          </w:p>
        </w:tc>
        <w:tc>
          <w:tcPr>
            <w:tcW w:w="603" w:type="pct"/>
            <w:tcBorders>
              <w:top w:val="nil"/>
              <w:left w:val="nil"/>
              <w:bottom w:val="single" w:sz="4" w:space="0" w:color="auto"/>
              <w:right w:val="single" w:sz="4" w:space="0" w:color="auto"/>
            </w:tcBorders>
            <w:shd w:val="clear" w:color="auto" w:fill="auto"/>
            <w:noWrap/>
            <w:vAlign w:val="bottom"/>
            <w:hideMark/>
          </w:tcPr>
          <w:p w14:paraId="5AEF488F"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9.674,20   </w:t>
            </w:r>
          </w:p>
        </w:tc>
        <w:tc>
          <w:tcPr>
            <w:tcW w:w="692" w:type="pct"/>
            <w:tcBorders>
              <w:top w:val="nil"/>
              <w:left w:val="nil"/>
              <w:bottom w:val="single" w:sz="4" w:space="0" w:color="auto"/>
              <w:right w:val="single" w:sz="4" w:space="0" w:color="auto"/>
            </w:tcBorders>
            <w:shd w:val="clear" w:color="auto" w:fill="auto"/>
            <w:noWrap/>
            <w:vAlign w:val="bottom"/>
            <w:hideMark/>
          </w:tcPr>
          <w:p w14:paraId="28BF6FB7"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288.942,20   </w:t>
            </w:r>
          </w:p>
        </w:tc>
        <w:tc>
          <w:tcPr>
            <w:tcW w:w="504" w:type="pct"/>
            <w:tcBorders>
              <w:top w:val="nil"/>
              <w:left w:val="nil"/>
              <w:bottom w:val="single" w:sz="4" w:space="0" w:color="auto"/>
              <w:right w:val="single" w:sz="4" w:space="0" w:color="auto"/>
            </w:tcBorders>
            <w:shd w:val="clear" w:color="auto" w:fill="auto"/>
            <w:noWrap/>
            <w:vAlign w:val="bottom"/>
            <w:hideMark/>
          </w:tcPr>
          <w:p w14:paraId="532D8A2F" w14:textId="77777777" w:rsidR="00134998" w:rsidRPr="004E3104" w:rsidRDefault="00134998" w:rsidP="009F4DF4">
            <w:pPr>
              <w:spacing w:line="240" w:lineRule="auto"/>
              <w:jc w:val="right"/>
              <w:rPr>
                <w:rFonts w:ascii="Calibri" w:hAnsi="Calibri" w:cs="Calibri"/>
                <w:color w:val="000000"/>
                <w:sz w:val="18"/>
                <w:lang w:eastAsia="sl-SI"/>
              </w:rPr>
            </w:pPr>
            <w:r w:rsidRPr="004E3104">
              <w:rPr>
                <w:rFonts w:ascii="Calibri" w:hAnsi="Calibri" w:cs="Calibri"/>
                <w:color w:val="000000"/>
                <w:sz w:val="18"/>
                <w:lang w:eastAsia="sl-SI"/>
              </w:rPr>
              <w:t>-2%</w:t>
            </w:r>
          </w:p>
        </w:tc>
      </w:tr>
      <w:tr w:rsidR="00134998" w:rsidRPr="004E3104" w14:paraId="690189AE" w14:textId="77777777" w:rsidTr="009F4DF4">
        <w:trPr>
          <w:trHeight w:val="288"/>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971EA58"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50 000 - &lt; 100 000 EUR</w:t>
            </w:r>
          </w:p>
        </w:tc>
        <w:tc>
          <w:tcPr>
            <w:tcW w:w="522" w:type="pct"/>
            <w:tcBorders>
              <w:top w:val="nil"/>
              <w:left w:val="nil"/>
              <w:bottom w:val="single" w:sz="4" w:space="0" w:color="auto"/>
              <w:right w:val="single" w:sz="4" w:space="0" w:color="auto"/>
            </w:tcBorders>
            <w:shd w:val="clear" w:color="auto" w:fill="auto"/>
            <w:noWrap/>
            <w:vAlign w:val="bottom"/>
            <w:hideMark/>
          </w:tcPr>
          <w:p w14:paraId="3238013E"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3.456,76   </w:t>
            </w:r>
          </w:p>
        </w:tc>
        <w:tc>
          <w:tcPr>
            <w:tcW w:w="522" w:type="pct"/>
            <w:tcBorders>
              <w:top w:val="nil"/>
              <w:left w:val="nil"/>
              <w:bottom w:val="single" w:sz="4" w:space="0" w:color="auto"/>
              <w:right w:val="single" w:sz="4" w:space="0" w:color="auto"/>
            </w:tcBorders>
            <w:shd w:val="clear" w:color="auto" w:fill="auto"/>
            <w:noWrap/>
            <w:vAlign w:val="bottom"/>
            <w:hideMark/>
          </w:tcPr>
          <w:p w14:paraId="2994881C"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208,03   </w:t>
            </w:r>
          </w:p>
        </w:tc>
        <w:tc>
          <w:tcPr>
            <w:tcW w:w="603" w:type="pct"/>
            <w:tcBorders>
              <w:top w:val="nil"/>
              <w:left w:val="nil"/>
              <w:bottom w:val="single" w:sz="4" w:space="0" w:color="auto"/>
              <w:right w:val="single" w:sz="4" w:space="0" w:color="auto"/>
            </w:tcBorders>
            <w:shd w:val="clear" w:color="auto" w:fill="auto"/>
            <w:noWrap/>
            <w:vAlign w:val="bottom"/>
            <w:hideMark/>
          </w:tcPr>
          <w:p w14:paraId="423652D1"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945,40   </w:t>
            </w:r>
          </w:p>
        </w:tc>
        <w:tc>
          <w:tcPr>
            <w:tcW w:w="603" w:type="pct"/>
            <w:tcBorders>
              <w:top w:val="nil"/>
              <w:left w:val="nil"/>
              <w:bottom w:val="single" w:sz="4" w:space="0" w:color="auto"/>
              <w:right w:val="single" w:sz="4" w:space="0" w:color="auto"/>
            </w:tcBorders>
            <w:shd w:val="clear" w:color="auto" w:fill="auto"/>
            <w:noWrap/>
            <w:vAlign w:val="bottom"/>
            <w:hideMark/>
          </w:tcPr>
          <w:p w14:paraId="3914020E"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18.989,80   </w:t>
            </w:r>
          </w:p>
        </w:tc>
        <w:tc>
          <w:tcPr>
            <w:tcW w:w="692" w:type="pct"/>
            <w:tcBorders>
              <w:top w:val="nil"/>
              <w:left w:val="nil"/>
              <w:bottom w:val="single" w:sz="4" w:space="0" w:color="auto"/>
              <w:right w:val="single" w:sz="4" w:space="0" w:color="auto"/>
            </w:tcBorders>
            <w:shd w:val="clear" w:color="auto" w:fill="auto"/>
            <w:noWrap/>
            <w:vAlign w:val="bottom"/>
            <w:hideMark/>
          </w:tcPr>
          <w:p w14:paraId="4F9F9CAA"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487.317,80   </w:t>
            </w:r>
          </w:p>
        </w:tc>
        <w:tc>
          <w:tcPr>
            <w:tcW w:w="504" w:type="pct"/>
            <w:tcBorders>
              <w:top w:val="nil"/>
              <w:left w:val="nil"/>
              <w:bottom w:val="single" w:sz="4" w:space="0" w:color="auto"/>
              <w:right w:val="single" w:sz="4" w:space="0" w:color="auto"/>
            </w:tcBorders>
            <w:shd w:val="clear" w:color="auto" w:fill="auto"/>
            <w:noWrap/>
            <w:vAlign w:val="bottom"/>
            <w:hideMark/>
          </w:tcPr>
          <w:p w14:paraId="394A0DD5" w14:textId="77777777" w:rsidR="00134998" w:rsidRPr="004E3104" w:rsidRDefault="00134998" w:rsidP="009F4DF4">
            <w:pPr>
              <w:spacing w:line="240" w:lineRule="auto"/>
              <w:jc w:val="right"/>
              <w:rPr>
                <w:rFonts w:ascii="Calibri" w:hAnsi="Calibri" w:cs="Calibri"/>
                <w:color w:val="000000"/>
                <w:sz w:val="18"/>
                <w:lang w:eastAsia="sl-SI"/>
              </w:rPr>
            </w:pPr>
            <w:r w:rsidRPr="004E3104">
              <w:rPr>
                <w:rFonts w:ascii="Calibri" w:hAnsi="Calibri" w:cs="Calibri"/>
                <w:color w:val="000000"/>
                <w:sz w:val="18"/>
                <w:lang w:eastAsia="sl-SI"/>
              </w:rPr>
              <w:t>1%</w:t>
            </w:r>
          </w:p>
        </w:tc>
      </w:tr>
      <w:tr w:rsidR="00134998" w:rsidRPr="004E3104" w14:paraId="0444429A" w14:textId="77777777" w:rsidTr="009F4DF4">
        <w:trPr>
          <w:trHeight w:val="288"/>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7B0BC83A"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100 000 - &lt; 500 000 EUR</w:t>
            </w:r>
          </w:p>
        </w:tc>
        <w:tc>
          <w:tcPr>
            <w:tcW w:w="522" w:type="pct"/>
            <w:tcBorders>
              <w:top w:val="nil"/>
              <w:left w:val="nil"/>
              <w:bottom w:val="single" w:sz="4" w:space="0" w:color="auto"/>
              <w:right w:val="single" w:sz="4" w:space="0" w:color="auto"/>
            </w:tcBorders>
            <w:shd w:val="clear" w:color="auto" w:fill="auto"/>
            <w:noWrap/>
            <w:vAlign w:val="bottom"/>
            <w:hideMark/>
          </w:tcPr>
          <w:p w14:paraId="0E0D481E"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4.312,46   </w:t>
            </w:r>
          </w:p>
        </w:tc>
        <w:tc>
          <w:tcPr>
            <w:tcW w:w="522" w:type="pct"/>
            <w:tcBorders>
              <w:top w:val="nil"/>
              <w:left w:val="nil"/>
              <w:bottom w:val="single" w:sz="4" w:space="0" w:color="auto"/>
              <w:right w:val="single" w:sz="4" w:space="0" w:color="auto"/>
            </w:tcBorders>
            <w:shd w:val="clear" w:color="auto" w:fill="auto"/>
            <w:noWrap/>
            <w:vAlign w:val="bottom"/>
            <w:hideMark/>
          </w:tcPr>
          <w:p w14:paraId="2E9461DE"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1.455,28   </w:t>
            </w:r>
          </w:p>
        </w:tc>
        <w:tc>
          <w:tcPr>
            <w:tcW w:w="603" w:type="pct"/>
            <w:tcBorders>
              <w:top w:val="nil"/>
              <w:left w:val="nil"/>
              <w:bottom w:val="single" w:sz="4" w:space="0" w:color="auto"/>
              <w:right w:val="single" w:sz="4" w:space="0" w:color="auto"/>
            </w:tcBorders>
            <w:shd w:val="clear" w:color="auto" w:fill="auto"/>
            <w:noWrap/>
            <w:vAlign w:val="bottom"/>
            <w:hideMark/>
          </w:tcPr>
          <w:p w14:paraId="0D7B599E"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6.166,00   </w:t>
            </w:r>
          </w:p>
        </w:tc>
        <w:tc>
          <w:tcPr>
            <w:tcW w:w="603" w:type="pct"/>
            <w:tcBorders>
              <w:top w:val="nil"/>
              <w:left w:val="nil"/>
              <w:bottom w:val="single" w:sz="4" w:space="0" w:color="auto"/>
              <w:right w:val="single" w:sz="4" w:space="0" w:color="auto"/>
            </w:tcBorders>
            <w:shd w:val="clear" w:color="auto" w:fill="auto"/>
            <w:noWrap/>
            <w:vAlign w:val="bottom"/>
            <w:hideMark/>
          </w:tcPr>
          <w:p w14:paraId="5029BF51"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53.148,80   </w:t>
            </w:r>
          </w:p>
        </w:tc>
        <w:tc>
          <w:tcPr>
            <w:tcW w:w="692" w:type="pct"/>
            <w:tcBorders>
              <w:top w:val="nil"/>
              <w:left w:val="nil"/>
              <w:bottom w:val="single" w:sz="4" w:space="0" w:color="auto"/>
              <w:right w:val="single" w:sz="4" w:space="0" w:color="auto"/>
            </w:tcBorders>
            <w:shd w:val="clear" w:color="auto" w:fill="auto"/>
            <w:noWrap/>
            <w:vAlign w:val="bottom"/>
            <w:hideMark/>
          </w:tcPr>
          <w:p w14:paraId="6C9D53C0" w14:textId="77777777" w:rsidR="00134998" w:rsidRPr="004E3104" w:rsidRDefault="00134998" w:rsidP="009F4DF4">
            <w:pPr>
              <w:spacing w:line="240" w:lineRule="auto"/>
              <w:rPr>
                <w:rFonts w:ascii="Calibri" w:hAnsi="Calibri" w:cs="Calibri"/>
                <w:color w:val="000000"/>
                <w:sz w:val="18"/>
                <w:lang w:eastAsia="sl-SI"/>
              </w:rPr>
            </w:pPr>
            <w:r w:rsidRPr="004E3104">
              <w:rPr>
                <w:rFonts w:ascii="Calibri" w:hAnsi="Calibri" w:cs="Calibri"/>
                <w:color w:val="000000"/>
                <w:sz w:val="18"/>
                <w:lang w:eastAsia="sl-SI"/>
              </w:rPr>
              <w:t xml:space="preserve">       867.016,40   </w:t>
            </w:r>
          </w:p>
        </w:tc>
        <w:tc>
          <w:tcPr>
            <w:tcW w:w="504" w:type="pct"/>
            <w:tcBorders>
              <w:top w:val="nil"/>
              <w:left w:val="nil"/>
              <w:bottom w:val="single" w:sz="4" w:space="0" w:color="auto"/>
              <w:right w:val="single" w:sz="4" w:space="0" w:color="auto"/>
            </w:tcBorders>
            <w:shd w:val="clear" w:color="auto" w:fill="auto"/>
            <w:noWrap/>
            <w:vAlign w:val="bottom"/>
            <w:hideMark/>
          </w:tcPr>
          <w:p w14:paraId="6AA2D7F8" w14:textId="77777777" w:rsidR="00134998" w:rsidRPr="004E3104" w:rsidRDefault="00134998" w:rsidP="009F4DF4">
            <w:pPr>
              <w:spacing w:line="240" w:lineRule="auto"/>
              <w:jc w:val="right"/>
              <w:rPr>
                <w:rFonts w:ascii="Calibri" w:hAnsi="Calibri" w:cs="Calibri"/>
                <w:color w:val="000000"/>
                <w:sz w:val="18"/>
                <w:lang w:eastAsia="sl-SI"/>
              </w:rPr>
            </w:pPr>
            <w:r w:rsidRPr="004E3104">
              <w:rPr>
                <w:rFonts w:ascii="Calibri" w:hAnsi="Calibri" w:cs="Calibri"/>
                <w:color w:val="000000"/>
                <w:sz w:val="18"/>
                <w:lang w:eastAsia="sl-SI"/>
              </w:rPr>
              <w:t>4%</w:t>
            </w:r>
          </w:p>
        </w:tc>
      </w:tr>
    </w:tbl>
    <w:p w14:paraId="49BBCAF0"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18"/>
          <w:szCs w:val="20"/>
        </w:rPr>
      </w:pPr>
      <w:r>
        <w:rPr>
          <w:rFonts w:cs="Arial"/>
          <w:color w:val="auto"/>
          <w:sz w:val="18"/>
          <w:szCs w:val="20"/>
        </w:rPr>
        <w:t>Vir: P</w:t>
      </w:r>
      <w:r w:rsidRPr="000933CE">
        <w:rPr>
          <w:rFonts w:cs="Arial"/>
          <w:color w:val="auto"/>
          <w:sz w:val="18"/>
          <w:szCs w:val="20"/>
        </w:rPr>
        <w:t>reračun</w:t>
      </w:r>
      <w:r>
        <w:rPr>
          <w:rFonts w:cs="Arial"/>
          <w:color w:val="auto"/>
          <w:sz w:val="18"/>
          <w:szCs w:val="20"/>
        </w:rPr>
        <w:t xml:space="preserve"> MKGP</w:t>
      </w:r>
      <w:r w:rsidRPr="000933CE">
        <w:rPr>
          <w:rFonts w:cs="Arial"/>
          <w:color w:val="auto"/>
          <w:sz w:val="18"/>
          <w:szCs w:val="20"/>
        </w:rPr>
        <w:t xml:space="preserve">, glede na </w:t>
      </w:r>
      <w:r>
        <w:rPr>
          <w:rFonts w:cs="Arial"/>
          <w:color w:val="auto"/>
          <w:sz w:val="18"/>
          <w:szCs w:val="20"/>
        </w:rPr>
        <w:t xml:space="preserve">povprečne </w:t>
      </w:r>
      <w:r w:rsidRPr="000933CE">
        <w:rPr>
          <w:rFonts w:cs="Arial"/>
          <w:color w:val="auto"/>
          <w:sz w:val="18"/>
          <w:szCs w:val="20"/>
        </w:rPr>
        <w:t>FADN podatke</w:t>
      </w:r>
    </w:p>
    <w:p w14:paraId="44652D7B"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18"/>
          <w:szCs w:val="20"/>
        </w:rPr>
      </w:pPr>
    </w:p>
    <w:p w14:paraId="788EAEC8" w14:textId="1161FD8B" w:rsidR="00134998" w:rsidRPr="00F23F7E"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000000" w:themeColor="text1"/>
          <w:sz w:val="18"/>
          <w:szCs w:val="20"/>
        </w:rPr>
      </w:pPr>
      <w:bookmarkStart w:id="3104" w:name="_Toc89861004"/>
      <w:r w:rsidRPr="009D5779">
        <w:rPr>
          <w:rFonts w:cs="Arial"/>
          <w:color w:val="auto"/>
          <w:szCs w:val="20"/>
        </w:rPr>
        <w:t xml:space="preserve">Tabela </w:t>
      </w:r>
      <w:r w:rsidRPr="009D5779">
        <w:rPr>
          <w:rFonts w:cs="Arial"/>
          <w:color w:val="auto"/>
          <w:szCs w:val="20"/>
        </w:rPr>
        <w:fldChar w:fldCharType="begin"/>
      </w:r>
      <w:r w:rsidRPr="009D5779">
        <w:rPr>
          <w:rFonts w:cs="Arial"/>
          <w:color w:val="auto"/>
          <w:szCs w:val="20"/>
        </w:rPr>
        <w:instrText xml:space="preserve"> SEQ Tabela \* ARABIC </w:instrText>
      </w:r>
      <w:r w:rsidRPr="009D5779">
        <w:rPr>
          <w:rFonts w:cs="Arial"/>
          <w:color w:val="auto"/>
          <w:szCs w:val="20"/>
        </w:rPr>
        <w:fldChar w:fldCharType="separate"/>
      </w:r>
      <w:r w:rsidR="00F25435">
        <w:rPr>
          <w:rFonts w:cs="Arial"/>
          <w:noProof/>
          <w:color w:val="auto"/>
          <w:szCs w:val="20"/>
        </w:rPr>
        <w:t>11</w:t>
      </w:r>
      <w:r w:rsidRPr="009D5779">
        <w:rPr>
          <w:rFonts w:cs="Arial"/>
          <w:color w:val="auto"/>
          <w:szCs w:val="20"/>
        </w:rPr>
        <w:fldChar w:fldCharType="end"/>
      </w:r>
      <w:r w:rsidRPr="009D5779">
        <w:rPr>
          <w:rFonts w:cs="Arial"/>
          <w:color w:val="auto"/>
          <w:szCs w:val="20"/>
        </w:rPr>
        <w:t>:</w:t>
      </w:r>
      <w:r w:rsidRPr="00F23F7E">
        <w:rPr>
          <w:rFonts w:cs="Arial"/>
          <w:color w:val="000000" w:themeColor="text1"/>
          <w:szCs w:val="21"/>
          <w:shd w:val="clear" w:color="auto" w:fill="FFFFFF"/>
        </w:rPr>
        <w:t xml:space="preserve"> Donosnost sredstev (ROA) glede na tip kmetovanja</w:t>
      </w:r>
      <w:r w:rsidRPr="00F23F7E">
        <w:rPr>
          <w:rFonts w:cs="Arial"/>
          <w:b/>
          <w:color w:val="000000" w:themeColor="text1"/>
          <w:szCs w:val="20"/>
        </w:rPr>
        <w:t xml:space="preserve"> </w:t>
      </w:r>
      <w:r w:rsidRPr="00F23F7E">
        <w:rPr>
          <w:rFonts w:cs="Arial"/>
          <w:color w:val="000000" w:themeColor="text1"/>
          <w:szCs w:val="20"/>
        </w:rPr>
        <w:t>v obdobju 2015–2019</w:t>
      </w:r>
      <w:bookmarkEnd w:id="3104"/>
    </w:p>
    <w:tbl>
      <w:tblPr>
        <w:tblW w:w="5000" w:type="pct"/>
        <w:tblCellMar>
          <w:left w:w="70" w:type="dxa"/>
          <w:right w:w="70" w:type="dxa"/>
        </w:tblCellMar>
        <w:tblLook w:val="04A0" w:firstRow="1" w:lastRow="0" w:firstColumn="1" w:lastColumn="0" w:noHBand="0" w:noVBand="1"/>
      </w:tblPr>
      <w:tblGrid>
        <w:gridCol w:w="3099"/>
        <w:gridCol w:w="1041"/>
        <w:gridCol w:w="1141"/>
        <w:gridCol w:w="1191"/>
        <w:gridCol w:w="991"/>
        <w:gridCol w:w="781"/>
        <w:gridCol w:w="818"/>
      </w:tblGrid>
      <w:tr w:rsidR="00134998" w:rsidRPr="004E3104" w14:paraId="4CED0C11" w14:textId="77777777" w:rsidTr="009F4DF4">
        <w:trPr>
          <w:trHeight w:val="288"/>
        </w:trPr>
        <w:tc>
          <w:tcPr>
            <w:tcW w:w="172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D42C77" w14:textId="77777777" w:rsidR="00134998" w:rsidRPr="004E3104" w:rsidRDefault="00134998" w:rsidP="009F4DF4">
            <w:pPr>
              <w:spacing w:line="240" w:lineRule="auto"/>
              <w:rPr>
                <w:rFonts w:cstheme="minorHAnsi"/>
                <w:b/>
                <w:bCs/>
                <w:color w:val="000000"/>
                <w:sz w:val="18"/>
                <w:szCs w:val="18"/>
                <w:lang w:eastAsia="sl-SI"/>
              </w:rPr>
            </w:pPr>
            <w:bookmarkStart w:id="3105" w:name="RANGE!A1:G8"/>
            <w:r w:rsidRPr="004E3104">
              <w:rPr>
                <w:rFonts w:cstheme="minorHAnsi"/>
                <w:b/>
                <w:bCs/>
                <w:color w:val="000000"/>
                <w:sz w:val="18"/>
                <w:szCs w:val="18"/>
                <w:lang w:eastAsia="sl-SI"/>
              </w:rPr>
              <w:t>Tip kmetovanja</w:t>
            </w:r>
            <w:bookmarkEnd w:id="3105"/>
          </w:p>
        </w:tc>
        <w:tc>
          <w:tcPr>
            <w:tcW w:w="549" w:type="pct"/>
            <w:tcBorders>
              <w:top w:val="single" w:sz="4" w:space="0" w:color="auto"/>
              <w:left w:val="nil"/>
              <w:bottom w:val="single" w:sz="4" w:space="0" w:color="auto"/>
              <w:right w:val="single" w:sz="4" w:space="0" w:color="auto"/>
            </w:tcBorders>
            <w:shd w:val="clear" w:color="000000" w:fill="D9D9D9"/>
            <w:noWrap/>
            <w:vAlign w:val="bottom"/>
            <w:hideMark/>
          </w:tcPr>
          <w:p w14:paraId="2ABA83CF"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SE370</w:t>
            </w:r>
          </w:p>
        </w:tc>
        <w:tc>
          <w:tcPr>
            <w:tcW w:w="606" w:type="pct"/>
            <w:tcBorders>
              <w:top w:val="single" w:sz="4" w:space="0" w:color="auto"/>
              <w:left w:val="nil"/>
              <w:bottom w:val="single" w:sz="4" w:space="0" w:color="auto"/>
              <w:right w:val="single" w:sz="4" w:space="0" w:color="auto"/>
            </w:tcBorders>
            <w:shd w:val="clear" w:color="000000" w:fill="D9D9D9"/>
            <w:noWrap/>
            <w:vAlign w:val="bottom"/>
            <w:hideMark/>
          </w:tcPr>
          <w:p w14:paraId="505F66FA"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SE420</w:t>
            </w:r>
          </w:p>
        </w:tc>
        <w:tc>
          <w:tcPr>
            <w:tcW w:w="653" w:type="pct"/>
            <w:tcBorders>
              <w:top w:val="single" w:sz="4" w:space="0" w:color="auto"/>
              <w:left w:val="nil"/>
              <w:bottom w:val="single" w:sz="4" w:space="0" w:color="auto"/>
              <w:right w:val="single" w:sz="4" w:space="0" w:color="auto"/>
            </w:tcBorders>
            <w:shd w:val="clear" w:color="000000" w:fill="D9D9D9"/>
            <w:noWrap/>
            <w:vAlign w:val="bottom"/>
            <w:hideMark/>
          </w:tcPr>
          <w:p w14:paraId="76FE694C"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SE436</w:t>
            </w:r>
          </w:p>
        </w:tc>
        <w:tc>
          <w:tcPr>
            <w:tcW w:w="549" w:type="pct"/>
            <w:tcBorders>
              <w:top w:val="single" w:sz="4" w:space="0" w:color="auto"/>
              <w:left w:val="nil"/>
              <w:bottom w:val="single" w:sz="4" w:space="0" w:color="auto"/>
              <w:right w:val="single" w:sz="4" w:space="0" w:color="auto"/>
            </w:tcBorders>
            <w:shd w:val="clear" w:color="000000" w:fill="D9D9D9"/>
            <w:noWrap/>
            <w:vAlign w:val="bottom"/>
            <w:hideMark/>
          </w:tcPr>
          <w:p w14:paraId="191A78B4"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SE016</w:t>
            </w:r>
          </w:p>
        </w:tc>
        <w:tc>
          <w:tcPr>
            <w:tcW w:w="455" w:type="pct"/>
            <w:tcBorders>
              <w:top w:val="single" w:sz="4" w:space="0" w:color="auto"/>
              <w:left w:val="nil"/>
              <w:bottom w:val="single" w:sz="4" w:space="0" w:color="auto"/>
              <w:right w:val="single" w:sz="4" w:space="0" w:color="auto"/>
            </w:tcBorders>
            <w:shd w:val="clear" w:color="000000" w:fill="D9D9D9"/>
            <w:noWrap/>
            <w:vAlign w:val="bottom"/>
            <w:hideMark/>
          </w:tcPr>
          <w:p w14:paraId="2795610B"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SE021</w:t>
            </w:r>
          </w:p>
        </w:tc>
        <w:tc>
          <w:tcPr>
            <w:tcW w:w="464" w:type="pct"/>
            <w:tcBorders>
              <w:top w:val="single" w:sz="4" w:space="0" w:color="auto"/>
              <w:left w:val="nil"/>
              <w:bottom w:val="single" w:sz="4" w:space="0" w:color="auto"/>
              <w:right w:val="single" w:sz="4" w:space="0" w:color="auto"/>
            </w:tcBorders>
            <w:shd w:val="clear" w:color="000000" w:fill="D9D9D9"/>
            <w:noWrap/>
            <w:vAlign w:val="bottom"/>
            <w:hideMark/>
          </w:tcPr>
          <w:p w14:paraId="28B899B2" w14:textId="77777777" w:rsidR="00134998" w:rsidRPr="004E3104" w:rsidRDefault="00134998" w:rsidP="009F4DF4">
            <w:pPr>
              <w:spacing w:line="240" w:lineRule="auto"/>
              <w:rPr>
                <w:rFonts w:cstheme="minorHAnsi"/>
                <w:b/>
                <w:bCs/>
                <w:color w:val="000000"/>
                <w:sz w:val="18"/>
                <w:szCs w:val="18"/>
                <w:lang w:eastAsia="sl-SI"/>
              </w:rPr>
            </w:pPr>
            <w:r w:rsidRPr="004E3104">
              <w:rPr>
                <w:rFonts w:cstheme="minorHAnsi"/>
                <w:b/>
                <w:bCs/>
                <w:color w:val="000000"/>
                <w:sz w:val="18"/>
                <w:szCs w:val="18"/>
                <w:lang w:eastAsia="sl-SI"/>
              </w:rPr>
              <w:t>ROA</w:t>
            </w:r>
          </w:p>
        </w:tc>
      </w:tr>
      <w:tr w:rsidR="00134998" w:rsidRPr="004E3104" w14:paraId="7275FE33"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3CF4D02D"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Poljščine</w:t>
            </w:r>
          </w:p>
        </w:tc>
        <w:tc>
          <w:tcPr>
            <w:tcW w:w="549" w:type="pct"/>
            <w:tcBorders>
              <w:top w:val="nil"/>
              <w:left w:val="nil"/>
              <w:bottom w:val="single" w:sz="4" w:space="0" w:color="auto"/>
              <w:right w:val="single" w:sz="4" w:space="0" w:color="auto"/>
            </w:tcBorders>
            <w:shd w:val="clear" w:color="auto" w:fill="auto"/>
            <w:noWrap/>
            <w:vAlign w:val="bottom"/>
            <w:hideMark/>
          </w:tcPr>
          <w:p w14:paraId="16E32CAF"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449,20   </w:t>
            </w:r>
          </w:p>
        </w:tc>
        <w:tc>
          <w:tcPr>
            <w:tcW w:w="606" w:type="pct"/>
            <w:tcBorders>
              <w:top w:val="nil"/>
              <w:left w:val="nil"/>
              <w:bottom w:val="single" w:sz="4" w:space="0" w:color="auto"/>
              <w:right w:val="single" w:sz="4" w:space="0" w:color="auto"/>
            </w:tcBorders>
            <w:shd w:val="clear" w:color="auto" w:fill="auto"/>
            <w:noWrap/>
            <w:vAlign w:val="bottom"/>
            <w:hideMark/>
          </w:tcPr>
          <w:p w14:paraId="2436035A"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5.111,00   </w:t>
            </w:r>
          </w:p>
        </w:tc>
        <w:tc>
          <w:tcPr>
            <w:tcW w:w="653" w:type="pct"/>
            <w:tcBorders>
              <w:top w:val="nil"/>
              <w:left w:val="nil"/>
              <w:bottom w:val="single" w:sz="4" w:space="0" w:color="auto"/>
              <w:right w:val="single" w:sz="4" w:space="0" w:color="auto"/>
            </w:tcBorders>
            <w:shd w:val="clear" w:color="auto" w:fill="auto"/>
            <w:noWrap/>
            <w:vAlign w:val="bottom"/>
            <w:hideMark/>
          </w:tcPr>
          <w:p w14:paraId="472B5C00"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165.880,20   </w:t>
            </w:r>
          </w:p>
        </w:tc>
        <w:tc>
          <w:tcPr>
            <w:tcW w:w="549" w:type="pct"/>
            <w:tcBorders>
              <w:top w:val="nil"/>
              <w:left w:val="nil"/>
              <w:bottom w:val="single" w:sz="4" w:space="0" w:color="auto"/>
              <w:right w:val="single" w:sz="4" w:space="0" w:color="auto"/>
            </w:tcBorders>
            <w:shd w:val="clear" w:color="auto" w:fill="auto"/>
            <w:noWrap/>
            <w:vAlign w:val="bottom"/>
            <w:hideMark/>
          </w:tcPr>
          <w:p w14:paraId="657550B4"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1.620,41   </w:t>
            </w:r>
          </w:p>
        </w:tc>
        <w:tc>
          <w:tcPr>
            <w:tcW w:w="455" w:type="pct"/>
            <w:tcBorders>
              <w:top w:val="nil"/>
              <w:left w:val="nil"/>
              <w:bottom w:val="single" w:sz="4" w:space="0" w:color="auto"/>
              <w:right w:val="single" w:sz="4" w:space="0" w:color="auto"/>
            </w:tcBorders>
            <w:shd w:val="clear" w:color="auto" w:fill="auto"/>
            <w:noWrap/>
            <w:vAlign w:val="bottom"/>
            <w:hideMark/>
          </w:tcPr>
          <w:p w14:paraId="60A5E806"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107,04</w:t>
            </w:r>
          </w:p>
        </w:tc>
        <w:tc>
          <w:tcPr>
            <w:tcW w:w="464" w:type="pct"/>
            <w:tcBorders>
              <w:top w:val="nil"/>
              <w:left w:val="nil"/>
              <w:bottom w:val="single" w:sz="4" w:space="0" w:color="auto"/>
              <w:right w:val="single" w:sz="4" w:space="0" w:color="auto"/>
            </w:tcBorders>
            <w:shd w:val="clear" w:color="auto" w:fill="auto"/>
            <w:noWrap/>
            <w:vAlign w:val="bottom"/>
            <w:hideMark/>
          </w:tcPr>
          <w:p w14:paraId="57C317D4"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w:t>
            </w:r>
          </w:p>
        </w:tc>
      </w:tr>
      <w:tr w:rsidR="00134998" w:rsidRPr="004E3104" w14:paraId="697E6E2A"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33A5D0BB"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Vinogradništvo</w:t>
            </w:r>
          </w:p>
        </w:tc>
        <w:tc>
          <w:tcPr>
            <w:tcW w:w="549" w:type="pct"/>
            <w:tcBorders>
              <w:top w:val="nil"/>
              <w:left w:val="nil"/>
              <w:bottom w:val="single" w:sz="4" w:space="0" w:color="auto"/>
              <w:right w:val="single" w:sz="4" w:space="0" w:color="auto"/>
            </w:tcBorders>
            <w:shd w:val="clear" w:color="auto" w:fill="auto"/>
            <w:noWrap/>
            <w:vAlign w:val="bottom"/>
            <w:hideMark/>
          </w:tcPr>
          <w:p w14:paraId="7B45667A"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1.023,60   </w:t>
            </w:r>
          </w:p>
        </w:tc>
        <w:tc>
          <w:tcPr>
            <w:tcW w:w="606" w:type="pct"/>
            <w:tcBorders>
              <w:top w:val="nil"/>
              <w:left w:val="nil"/>
              <w:bottom w:val="single" w:sz="4" w:space="0" w:color="auto"/>
              <w:right w:val="single" w:sz="4" w:space="0" w:color="auto"/>
            </w:tcBorders>
            <w:shd w:val="clear" w:color="auto" w:fill="auto"/>
            <w:noWrap/>
            <w:vAlign w:val="bottom"/>
            <w:hideMark/>
          </w:tcPr>
          <w:p w14:paraId="307960A4"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16.630,60   </w:t>
            </w:r>
          </w:p>
        </w:tc>
        <w:tc>
          <w:tcPr>
            <w:tcW w:w="653" w:type="pct"/>
            <w:tcBorders>
              <w:top w:val="nil"/>
              <w:left w:val="nil"/>
              <w:bottom w:val="single" w:sz="4" w:space="0" w:color="auto"/>
              <w:right w:val="single" w:sz="4" w:space="0" w:color="auto"/>
            </w:tcBorders>
            <w:shd w:val="clear" w:color="auto" w:fill="auto"/>
            <w:noWrap/>
            <w:vAlign w:val="bottom"/>
            <w:hideMark/>
          </w:tcPr>
          <w:p w14:paraId="3B7D330B"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319.528,80   </w:t>
            </w:r>
          </w:p>
        </w:tc>
        <w:tc>
          <w:tcPr>
            <w:tcW w:w="549" w:type="pct"/>
            <w:tcBorders>
              <w:top w:val="nil"/>
              <w:left w:val="nil"/>
              <w:bottom w:val="single" w:sz="4" w:space="0" w:color="auto"/>
              <w:right w:val="single" w:sz="4" w:space="0" w:color="auto"/>
            </w:tcBorders>
            <w:shd w:val="clear" w:color="auto" w:fill="auto"/>
            <w:noWrap/>
            <w:vAlign w:val="bottom"/>
            <w:hideMark/>
          </w:tcPr>
          <w:p w14:paraId="4D1C0111"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2.937,25   </w:t>
            </w:r>
          </w:p>
        </w:tc>
        <w:tc>
          <w:tcPr>
            <w:tcW w:w="455" w:type="pct"/>
            <w:tcBorders>
              <w:top w:val="nil"/>
              <w:left w:val="nil"/>
              <w:bottom w:val="single" w:sz="4" w:space="0" w:color="auto"/>
              <w:right w:val="single" w:sz="4" w:space="0" w:color="auto"/>
            </w:tcBorders>
            <w:shd w:val="clear" w:color="auto" w:fill="auto"/>
            <w:noWrap/>
            <w:vAlign w:val="bottom"/>
            <w:hideMark/>
          </w:tcPr>
          <w:p w14:paraId="4661BB5F"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198,65</w:t>
            </w:r>
          </w:p>
        </w:tc>
        <w:tc>
          <w:tcPr>
            <w:tcW w:w="464" w:type="pct"/>
            <w:tcBorders>
              <w:top w:val="nil"/>
              <w:left w:val="nil"/>
              <w:bottom w:val="single" w:sz="4" w:space="0" w:color="auto"/>
              <w:right w:val="single" w:sz="4" w:space="0" w:color="auto"/>
            </w:tcBorders>
            <w:shd w:val="clear" w:color="auto" w:fill="auto"/>
            <w:noWrap/>
            <w:vAlign w:val="bottom"/>
            <w:hideMark/>
          </w:tcPr>
          <w:p w14:paraId="2E5E0F51"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0%</w:t>
            </w:r>
          </w:p>
        </w:tc>
      </w:tr>
      <w:tr w:rsidR="00134998" w:rsidRPr="004E3104" w14:paraId="6B5070A1"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325535FF"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Ostali trajni nasadi</w:t>
            </w:r>
          </w:p>
        </w:tc>
        <w:tc>
          <w:tcPr>
            <w:tcW w:w="549" w:type="pct"/>
            <w:tcBorders>
              <w:top w:val="nil"/>
              <w:left w:val="nil"/>
              <w:bottom w:val="single" w:sz="4" w:space="0" w:color="auto"/>
              <w:right w:val="single" w:sz="4" w:space="0" w:color="auto"/>
            </w:tcBorders>
            <w:shd w:val="clear" w:color="auto" w:fill="auto"/>
            <w:noWrap/>
            <w:vAlign w:val="bottom"/>
            <w:hideMark/>
          </w:tcPr>
          <w:p w14:paraId="0A055154"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1.088,40   </w:t>
            </w:r>
          </w:p>
        </w:tc>
        <w:tc>
          <w:tcPr>
            <w:tcW w:w="606" w:type="pct"/>
            <w:tcBorders>
              <w:top w:val="nil"/>
              <w:left w:val="nil"/>
              <w:bottom w:val="single" w:sz="4" w:space="0" w:color="auto"/>
              <w:right w:val="single" w:sz="4" w:space="0" w:color="auto"/>
            </w:tcBorders>
            <w:shd w:val="clear" w:color="auto" w:fill="auto"/>
            <w:noWrap/>
            <w:vAlign w:val="bottom"/>
            <w:hideMark/>
          </w:tcPr>
          <w:p w14:paraId="090DC741"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2.808,00   </w:t>
            </w:r>
          </w:p>
        </w:tc>
        <w:tc>
          <w:tcPr>
            <w:tcW w:w="653" w:type="pct"/>
            <w:tcBorders>
              <w:top w:val="nil"/>
              <w:left w:val="nil"/>
              <w:bottom w:val="single" w:sz="4" w:space="0" w:color="auto"/>
              <w:right w:val="single" w:sz="4" w:space="0" w:color="auto"/>
            </w:tcBorders>
            <w:shd w:val="clear" w:color="auto" w:fill="auto"/>
            <w:noWrap/>
            <w:vAlign w:val="bottom"/>
            <w:hideMark/>
          </w:tcPr>
          <w:p w14:paraId="70A1C3E1"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155.437,60   </w:t>
            </w:r>
          </w:p>
        </w:tc>
        <w:tc>
          <w:tcPr>
            <w:tcW w:w="549" w:type="pct"/>
            <w:tcBorders>
              <w:top w:val="nil"/>
              <w:left w:val="nil"/>
              <w:bottom w:val="single" w:sz="4" w:space="0" w:color="auto"/>
              <w:right w:val="single" w:sz="4" w:space="0" w:color="auto"/>
            </w:tcBorders>
            <w:shd w:val="clear" w:color="auto" w:fill="auto"/>
            <w:noWrap/>
            <w:vAlign w:val="bottom"/>
            <w:hideMark/>
          </w:tcPr>
          <w:p w14:paraId="08E48295"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1.823,71   </w:t>
            </w:r>
          </w:p>
        </w:tc>
        <w:tc>
          <w:tcPr>
            <w:tcW w:w="455" w:type="pct"/>
            <w:tcBorders>
              <w:top w:val="nil"/>
              <w:left w:val="nil"/>
              <w:bottom w:val="single" w:sz="4" w:space="0" w:color="auto"/>
              <w:right w:val="single" w:sz="4" w:space="0" w:color="auto"/>
            </w:tcBorders>
            <w:shd w:val="clear" w:color="auto" w:fill="auto"/>
            <w:noWrap/>
            <w:vAlign w:val="bottom"/>
            <w:hideMark/>
          </w:tcPr>
          <w:p w14:paraId="41723AB6"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203,80</w:t>
            </w:r>
          </w:p>
        </w:tc>
        <w:tc>
          <w:tcPr>
            <w:tcW w:w="464" w:type="pct"/>
            <w:tcBorders>
              <w:top w:val="nil"/>
              <w:left w:val="nil"/>
              <w:bottom w:val="single" w:sz="4" w:space="0" w:color="auto"/>
              <w:right w:val="single" w:sz="4" w:space="0" w:color="auto"/>
            </w:tcBorders>
            <w:shd w:val="clear" w:color="auto" w:fill="auto"/>
            <w:noWrap/>
            <w:vAlign w:val="bottom"/>
            <w:hideMark/>
          </w:tcPr>
          <w:p w14:paraId="564334E1"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-4%</w:t>
            </w:r>
          </w:p>
        </w:tc>
      </w:tr>
      <w:tr w:rsidR="00134998" w:rsidRPr="004E3104" w14:paraId="535A57D8"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07FDC8FA"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Mleko</w:t>
            </w:r>
          </w:p>
        </w:tc>
        <w:tc>
          <w:tcPr>
            <w:tcW w:w="549" w:type="pct"/>
            <w:tcBorders>
              <w:top w:val="nil"/>
              <w:left w:val="nil"/>
              <w:bottom w:val="single" w:sz="4" w:space="0" w:color="auto"/>
              <w:right w:val="single" w:sz="4" w:space="0" w:color="auto"/>
            </w:tcBorders>
            <w:shd w:val="clear" w:color="auto" w:fill="auto"/>
            <w:noWrap/>
            <w:vAlign w:val="bottom"/>
            <w:hideMark/>
          </w:tcPr>
          <w:p w14:paraId="2E13D54B"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95,40   </w:t>
            </w:r>
          </w:p>
        </w:tc>
        <w:tc>
          <w:tcPr>
            <w:tcW w:w="606" w:type="pct"/>
            <w:tcBorders>
              <w:top w:val="nil"/>
              <w:left w:val="nil"/>
              <w:bottom w:val="single" w:sz="4" w:space="0" w:color="auto"/>
              <w:right w:val="single" w:sz="4" w:space="0" w:color="auto"/>
            </w:tcBorders>
            <w:shd w:val="clear" w:color="auto" w:fill="auto"/>
            <w:noWrap/>
            <w:vAlign w:val="bottom"/>
            <w:hideMark/>
          </w:tcPr>
          <w:p w14:paraId="49EA7A1C"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13.364,80   </w:t>
            </w:r>
          </w:p>
        </w:tc>
        <w:tc>
          <w:tcPr>
            <w:tcW w:w="653" w:type="pct"/>
            <w:tcBorders>
              <w:top w:val="nil"/>
              <w:left w:val="nil"/>
              <w:bottom w:val="single" w:sz="4" w:space="0" w:color="auto"/>
              <w:right w:val="single" w:sz="4" w:space="0" w:color="auto"/>
            </w:tcBorders>
            <w:shd w:val="clear" w:color="auto" w:fill="auto"/>
            <w:noWrap/>
            <w:vAlign w:val="bottom"/>
            <w:hideMark/>
          </w:tcPr>
          <w:p w14:paraId="435B522C"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380.167,40   </w:t>
            </w:r>
          </w:p>
        </w:tc>
        <w:tc>
          <w:tcPr>
            <w:tcW w:w="549" w:type="pct"/>
            <w:tcBorders>
              <w:top w:val="nil"/>
              <w:left w:val="nil"/>
              <w:bottom w:val="single" w:sz="4" w:space="0" w:color="auto"/>
              <w:right w:val="single" w:sz="4" w:space="0" w:color="auto"/>
            </w:tcBorders>
            <w:shd w:val="clear" w:color="auto" w:fill="auto"/>
            <w:noWrap/>
            <w:vAlign w:val="bottom"/>
            <w:hideMark/>
          </w:tcPr>
          <w:p w14:paraId="216C3F33"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3.159,13   </w:t>
            </w:r>
          </w:p>
        </w:tc>
        <w:tc>
          <w:tcPr>
            <w:tcW w:w="455" w:type="pct"/>
            <w:tcBorders>
              <w:top w:val="nil"/>
              <w:left w:val="nil"/>
              <w:bottom w:val="single" w:sz="4" w:space="0" w:color="auto"/>
              <w:right w:val="single" w:sz="4" w:space="0" w:color="auto"/>
            </w:tcBorders>
            <w:shd w:val="clear" w:color="auto" w:fill="auto"/>
            <w:noWrap/>
            <w:vAlign w:val="bottom"/>
            <w:hideMark/>
          </w:tcPr>
          <w:p w14:paraId="50C13981"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19,12</w:t>
            </w:r>
          </w:p>
        </w:tc>
        <w:tc>
          <w:tcPr>
            <w:tcW w:w="464" w:type="pct"/>
            <w:tcBorders>
              <w:top w:val="nil"/>
              <w:left w:val="nil"/>
              <w:bottom w:val="single" w:sz="4" w:space="0" w:color="auto"/>
              <w:right w:val="single" w:sz="4" w:space="0" w:color="auto"/>
            </w:tcBorders>
            <w:shd w:val="clear" w:color="auto" w:fill="auto"/>
            <w:noWrap/>
            <w:vAlign w:val="bottom"/>
            <w:hideMark/>
          </w:tcPr>
          <w:p w14:paraId="1FC7E9A0"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w:t>
            </w:r>
          </w:p>
        </w:tc>
      </w:tr>
      <w:tr w:rsidR="00134998" w:rsidRPr="004E3104" w14:paraId="167B7D47"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4BE8E690"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Pašna živina</w:t>
            </w:r>
          </w:p>
        </w:tc>
        <w:tc>
          <w:tcPr>
            <w:tcW w:w="549" w:type="pct"/>
            <w:tcBorders>
              <w:top w:val="nil"/>
              <w:left w:val="nil"/>
              <w:bottom w:val="single" w:sz="4" w:space="0" w:color="auto"/>
              <w:right w:val="single" w:sz="4" w:space="0" w:color="auto"/>
            </w:tcBorders>
            <w:shd w:val="clear" w:color="auto" w:fill="auto"/>
            <w:noWrap/>
            <w:vAlign w:val="bottom"/>
            <w:hideMark/>
          </w:tcPr>
          <w:p w14:paraId="40E20E22"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76,60   </w:t>
            </w:r>
          </w:p>
        </w:tc>
        <w:tc>
          <w:tcPr>
            <w:tcW w:w="606" w:type="pct"/>
            <w:tcBorders>
              <w:top w:val="nil"/>
              <w:left w:val="nil"/>
              <w:bottom w:val="single" w:sz="4" w:space="0" w:color="auto"/>
              <w:right w:val="single" w:sz="4" w:space="0" w:color="auto"/>
            </w:tcBorders>
            <w:shd w:val="clear" w:color="auto" w:fill="auto"/>
            <w:noWrap/>
            <w:vAlign w:val="bottom"/>
            <w:hideMark/>
          </w:tcPr>
          <w:p w14:paraId="3B4516CD"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3.677,40   </w:t>
            </w:r>
          </w:p>
        </w:tc>
        <w:tc>
          <w:tcPr>
            <w:tcW w:w="653" w:type="pct"/>
            <w:tcBorders>
              <w:top w:val="nil"/>
              <w:left w:val="nil"/>
              <w:bottom w:val="single" w:sz="4" w:space="0" w:color="auto"/>
              <w:right w:val="single" w:sz="4" w:space="0" w:color="auto"/>
            </w:tcBorders>
            <w:shd w:val="clear" w:color="auto" w:fill="auto"/>
            <w:noWrap/>
            <w:vAlign w:val="bottom"/>
            <w:hideMark/>
          </w:tcPr>
          <w:p w14:paraId="64889841"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219.671,60   </w:t>
            </w:r>
          </w:p>
        </w:tc>
        <w:tc>
          <w:tcPr>
            <w:tcW w:w="549" w:type="pct"/>
            <w:tcBorders>
              <w:top w:val="nil"/>
              <w:left w:val="nil"/>
              <w:bottom w:val="single" w:sz="4" w:space="0" w:color="auto"/>
              <w:right w:val="single" w:sz="4" w:space="0" w:color="auto"/>
            </w:tcBorders>
            <w:shd w:val="clear" w:color="auto" w:fill="auto"/>
            <w:noWrap/>
            <w:vAlign w:val="bottom"/>
            <w:hideMark/>
          </w:tcPr>
          <w:p w14:paraId="6745D106"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2.146,92   </w:t>
            </w:r>
          </w:p>
        </w:tc>
        <w:tc>
          <w:tcPr>
            <w:tcW w:w="455" w:type="pct"/>
            <w:tcBorders>
              <w:top w:val="nil"/>
              <w:left w:val="nil"/>
              <w:bottom w:val="single" w:sz="4" w:space="0" w:color="auto"/>
              <w:right w:val="single" w:sz="4" w:space="0" w:color="auto"/>
            </w:tcBorders>
            <w:shd w:val="clear" w:color="auto" w:fill="auto"/>
            <w:noWrap/>
            <w:vAlign w:val="bottom"/>
            <w:hideMark/>
          </w:tcPr>
          <w:p w14:paraId="7C70C418"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12,11</w:t>
            </w:r>
          </w:p>
        </w:tc>
        <w:tc>
          <w:tcPr>
            <w:tcW w:w="464" w:type="pct"/>
            <w:tcBorders>
              <w:top w:val="nil"/>
              <w:left w:val="nil"/>
              <w:bottom w:val="single" w:sz="4" w:space="0" w:color="auto"/>
              <w:right w:val="single" w:sz="4" w:space="0" w:color="auto"/>
            </w:tcBorders>
            <w:shd w:val="clear" w:color="auto" w:fill="auto"/>
            <w:noWrap/>
            <w:vAlign w:val="bottom"/>
            <w:hideMark/>
          </w:tcPr>
          <w:p w14:paraId="0D1FC2A9"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-5%</w:t>
            </w:r>
          </w:p>
        </w:tc>
      </w:tr>
      <w:tr w:rsidR="00134998" w:rsidRPr="004E3104" w14:paraId="038EE261"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1A81C2E5"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Prašiči/perutnina</w:t>
            </w:r>
          </w:p>
        </w:tc>
        <w:tc>
          <w:tcPr>
            <w:tcW w:w="549" w:type="pct"/>
            <w:tcBorders>
              <w:top w:val="nil"/>
              <w:left w:val="nil"/>
              <w:bottom w:val="single" w:sz="4" w:space="0" w:color="auto"/>
              <w:right w:val="single" w:sz="4" w:space="0" w:color="auto"/>
            </w:tcBorders>
            <w:shd w:val="clear" w:color="auto" w:fill="auto"/>
            <w:noWrap/>
            <w:vAlign w:val="bottom"/>
            <w:hideMark/>
          </w:tcPr>
          <w:p w14:paraId="7F1E8435"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605,75   </w:t>
            </w:r>
          </w:p>
        </w:tc>
        <w:tc>
          <w:tcPr>
            <w:tcW w:w="606" w:type="pct"/>
            <w:tcBorders>
              <w:top w:val="nil"/>
              <w:left w:val="nil"/>
              <w:bottom w:val="single" w:sz="4" w:space="0" w:color="auto"/>
              <w:right w:val="single" w:sz="4" w:space="0" w:color="auto"/>
            </w:tcBorders>
            <w:shd w:val="clear" w:color="auto" w:fill="auto"/>
            <w:noWrap/>
            <w:vAlign w:val="bottom"/>
            <w:hideMark/>
          </w:tcPr>
          <w:p w14:paraId="50C2EE39"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32.567,25   </w:t>
            </w:r>
          </w:p>
        </w:tc>
        <w:tc>
          <w:tcPr>
            <w:tcW w:w="653" w:type="pct"/>
            <w:tcBorders>
              <w:top w:val="nil"/>
              <w:left w:val="nil"/>
              <w:bottom w:val="single" w:sz="4" w:space="0" w:color="auto"/>
              <w:right w:val="single" w:sz="4" w:space="0" w:color="auto"/>
            </w:tcBorders>
            <w:shd w:val="clear" w:color="auto" w:fill="auto"/>
            <w:noWrap/>
            <w:vAlign w:val="bottom"/>
            <w:hideMark/>
          </w:tcPr>
          <w:p w14:paraId="6139DC0B"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549.881,00   </w:t>
            </w:r>
          </w:p>
        </w:tc>
        <w:tc>
          <w:tcPr>
            <w:tcW w:w="549" w:type="pct"/>
            <w:tcBorders>
              <w:top w:val="nil"/>
              <w:left w:val="nil"/>
              <w:bottom w:val="single" w:sz="4" w:space="0" w:color="auto"/>
              <w:right w:val="single" w:sz="4" w:space="0" w:color="auto"/>
            </w:tcBorders>
            <w:shd w:val="clear" w:color="auto" w:fill="auto"/>
            <w:noWrap/>
            <w:vAlign w:val="bottom"/>
            <w:hideMark/>
          </w:tcPr>
          <w:p w14:paraId="03BB7BF3"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2.942,99   </w:t>
            </w:r>
          </w:p>
        </w:tc>
        <w:tc>
          <w:tcPr>
            <w:tcW w:w="455" w:type="pct"/>
            <w:tcBorders>
              <w:top w:val="nil"/>
              <w:left w:val="nil"/>
              <w:bottom w:val="single" w:sz="4" w:space="0" w:color="auto"/>
              <w:right w:val="single" w:sz="4" w:space="0" w:color="auto"/>
            </w:tcBorders>
            <w:shd w:val="clear" w:color="auto" w:fill="auto"/>
            <w:noWrap/>
            <w:vAlign w:val="bottom"/>
            <w:hideMark/>
          </w:tcPr>
          <w:p w14:paraId="4A8EC69C"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95,91</w:t>
            </w:r>
          </w:p>
        </w:tc>
        <w:tc>
          <w:tcPr>
            <w:tcW w:w="464" w:type="pct"/>
            <w:tcBorders>
              <w:top w:val="nil"/>
              <w:left w:val="nil"/>
              <w:bottom w:val="single" w:sz="4" w:space="0" w:color="auto"/>
              <w:right w:val="single" w:sz="4" w:space="0" w:color="auto"/>
            </w:tcBorders>
            <w:shd w:val="clear" w:color="auto" w:fill="auto"/>
            <w:noWrap/>
            <w:vAlign w:val="bottom"/>
            <w:hideMark/>
          </w:tcPr>
          <w:p w14:paraId="62662463"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3%</w:t>
            </w:r>
          </w:p>
        </w:tc>
      </w:tr>
      <w:tr w:rsidR="00134998" w:rsidRPr="004E3104" w14:paraId="78B5F67D" w14:textId="77777777" w:rsidTr="009F4DF4">
        <w:trPr>
          <w:trHeight w:val="288"/>
        </w:trPr>
        <w:tc>
          <w:tcPr>
            <w:tcW w:w="1723" w:type="pct"/>
            <w:tcBorders>
              <w:top w:val="nil"/>
              <w:left w:val="single" w:sz="4" w:space="0" w:color="auto"/>
              <w:bottom w:val="single" w:sz="4" w:space="0" w:color="auto"/>
              <w:right w:val="single" w:sz="4" w:space="0" w:color="auto"/>
            </w:tcBorders>
            <w:shd w:val="clear" w:color="auto" w:fill="auto"/>
            <w:noWrap/>
            <w:vAlign w:val="bottom"/>
            <w:hideMark/>
          </w:tcPr>
          <w:p w14:paraId="1B8F52BF"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Mešano</w:t>
            </w:r>
          </w:p>
        </w:tc>
        <w:tc>
          <w:tcPr>
            <w:tcW w:w="549" w:type="pct"/>
            <w:tcBorders>
              <w:top w:val="nil"/>
              <w:left w:val="nil"/>
              <w:bottom w:val="single" w:sz="4" w:space="0" w:color="auto"/>
              <w:right w:val="single" w:sz="4" w:space="0" w:color="auto"/>
            </w:tcBorders>
            <w:shd w:val="clear" w:color="auto" w:fill="auto"/>
            <w:noWrap/>
            <w:vAlign w:val="bottom"/>
            <w:hideMark/>
          </w:tcPr>
          <w:p w14:paraId="64662301"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167,40   </w:t>
            </w:r>
          </w:p>
        </w:tc>
        <w:tc>
          <w:tcPr>
            <w:tcW w:w="606" w:type="pct"/>
            <w:tcBorders>
              <w:top w:val="nil"/>
              <w:left w:val="nil"/>
              <w:bottom w:val="single" w:sz="4" w:space="0" w:color="auto"/>
              <w:right w:val="single" w:sz="4" w:space="0" w:color="auto"/>
            </w:tcBorders>
            <w:shd w:val="clear" w:color="auto" w:fill="auto"/>
            <w:noWrap/>
            <w:vAlign w:val="bottom"/>
            <w:hideMark/>
          </w:tcPr>
          <w:p w14:paraId="3D59D15A"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2.565,20   </w:t>
            </w:r>
          </w:p>
        </w:tc>
        <w:tc>
          <w:tcPr>
            <w:tcW w:w="653" w:type="pct"/>
            <w:tcBorders>
              <w:top w:val="nil"/>
              <w:left w:val="nil"/>
              <w:bottom w:val="single" w:sz="4" w:space="0" w:color="auto"/>
              <w:right w:val="single" w:sz="4" w:space="0" w:color="auto"/>
            </w:tcBorders>
            <w:shd w:val="clear" w:color="auto" w:fill="auto"/>
            <w:noWrap/>
            <w:vAlign w:val="bottom"/>
            <w:hideMark/>
          </w:tcPr>
          <w:p w14:paraId="39C14A6E"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189.804,00   </w:t>
            </w:r>
          </w:p>
        </w:tc>
        <w:tc>
          <w:tcPr>
            <w:tcW w:w="549" w:type="pct"/>
            <w:tcBorders>
              <w:top w:val="nil"/>
              <w:left w:val="nil"/>
              <w:bottom w:val="single" w:sz="4" w:space="0" w:color="auto"/>
              <w:right w:val="single" w:sz="4" w:space="0" w:color="auto"/>
            </w:tcBorders>
            <w:shd w:val="clear" w:color="auto" w:fill="auto"/>
            <w:noWrap/>
            <w:vAlign w:val="bottom"/>
            <w:hideMark/>
          </w:tcPr>
          <w:p w14:paraId="4751248B" w14:textId="77777777" w:rsidR="00134998" w:rsidRPr="004E3104" w:rsidRDefault="00134998" w:rsidP="009F4DF4">
            <w:pPr>
              <w:spacing w:line="240" w:lineRule="auto"/>
              <w:rPr>
                <w:rFonts w:cstheme="minorHAnsi"/>
                <w:color w:val="000000"/>
                <w:sz w:val="18"/>
                <w:szCs w:val="18"/>
                <w:lang w:eastAsia="sl-SI"/>
              </w:rPr>
            </w:pPr>
            <w:r w:rsidRPr="004E3104">
              <w:rPr>
                <w:rFonts w:cstheme="minorHAnsi"/>
                <w:color w:val="000000"/>
                <w:sz w:val="18"/>
                <w:szCs w:val="18"/>
                <w:lang w:eastAsia="sl-SI"/>
              </w:rPr>
              <w:t xml:space="preserve">   2.161,33   </w:t>
            </w:r>
          </w:p>
        </w:tc>
        <w:tc>
          <w:tcPr>
            <w:tcW w:w="455" w:type="pct"/>
            <w:tcBorders>
              <w:top w:val="nil"/>
              <w:left w:val="nil"/>
              <w:bottom w:val="single" w:sz="4" w:space="0" w:color="auto"/>
              <w:right w:val="single" w:sz="4" w:space="0" w:color="auto"/>
            </w:tcBorders>
            <w:shd w:val="clear" w:color="auto" w:fill="auto"/>
            <w:noWrap/>
            <w:vAlign w:val="bottom"/>
            <w:hideMark/>
          </w:tcPr>
          <w:p w14:paraId="0EF3C662"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32,73</w:t>
            </w:r>
          </w:p>
        </w:tc>
        <w:tc>
          <w:tcPr>
            <w:tcW w:w="464" w:type="pct"/>
            <w:tcBorders>
              <w:top w:val="nil"/>
              <w:left w:val="nil"/>
              <w:bottom w:val="single" w:sz="4" w:space="0" w:color="auto"/>
              <w:right w:val="single" w:sz="4" w:space="0" w:color="auto"/>
            </w:tcBorders>
            <w:shd w:val="clear" w:color="auto" w:fill="auto"/>
            <w:noWrap/>
            <w:vAlign w:val="bottom"/>
            <w:hideMark/>
          </w:tcPr>
          <w:p w14:paraId="390E67EE" w14:textId="77777777" w:rsidR="00134998" w:rsidRPr="004E3104" w:rsidRDefault="00134998" w:rsidP="009F4DF4">
            <w:pPr>
              <w:spacing w:line="240" w:lineRule="auto"/>
              <w:jc w:val="right"/>
              <w:rPr>
                <w:rFonts w:cstheme="minorHAnsi"/>
                <w:color w:val="000000"/>
                <w:sz w:val="18"/>
                <w:szCs w:val="18"/>
                <w:lang w:eastAsia="sl-SI"/>
              </w:rPr>
            </w:pPr>
            <w:r w:rsidRPr="004E3104">
              <w:rPr>
                <w:rFonts w:cstheme="minorHAnsi"/>
                <w:color w:val="000000"/>
                <w:sz w:val="18"/>
                <w:szCs w:val="18"/>
                <w:lang w:eastAsia="sl-SI"/>
              </w:rPr>
              <w:t>-4%</w:t>
            </w:r>
          </w:p>
        </w:tc>
      </w:tr>
    </w:tbl>
    <w:p w14:paraId="77BE223A"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18"/>
          <w:szCs w:val="20"/>
        </w:rPr>
      </w:pPr>
      <w:r w:rsidRPr="000933CE">
        <w:rPr>
          <w:rFonts w:cs="Arial"/>
          <w:color w:val="auto"/>
          <w:sz w:val="18"/>
          <w:szCs w:val="20"/>
        </w:rPr>
        <w:t>Vir: MKGP, lasten preračun, glede na</w:t>
      </w:r>
      <w:r>
        <w:rPr>
          <w:rFonts w:cs="Arial"/>
          <w:color w:val="auto"/>
          <w:sz w:val="18"/>
          <w:szCs w:val="20"/>
        </w:rPr>
        <w:t xml:space="preserve"> povprečne</w:t>
      </w:r>
      <w:r w:rsidRPr="000933CE">
        <w:rPr>
          <w:rFonts w:cs="Arial"/>
          <w:color w:val="auto"/>
          <w:sz w:val="18"/>
          <w:szCs w:val="20"/>
        </w:rPr>
        <w:t xml:space="preserve"> FADN podatke</w:t>
      </w:r>
    </w:p>
    <w:p w14:paraId="5433FEFC"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color w:val="auto"/>
          <w:sz w:val="18"/>
          <w:szCs w:val="20"/>
        </w:rPr>
      </w:pPr>
      <w:r w:rsidRPr="000933CE">
        <w:rPr>
          <w:rFonts w:cs="Arial"/>
          <w:color w:val="auto"/>
          <w:sz w:val="18"/>
          <w:szCs w:val="20"/>
        </w:rPr>
        <w:t>*</w:t>
      </w:r>
      <w:r>
        <w:rPr>
          <w:rFonts w:cs="Arial"/>
          <w:color w:val="auto"/>
          <w:sz w:val="18"/>
          <w:szCs w:val="20"/>
        </w:rPr>
        <w:t xml:space="preserve"> vrtnarstvo ni zajeto, ker je vzorec v FADN podatkov premajhen, zato ni reprezentativnih podatkov</w:t>
      </w:r>
    </w:p>
    <w:p w14:paraId="69C9E362" w14:textId="77777777" w:rsidR="00134998"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auto"/>
          <w:szCs w:val="20"/>
        </w:rPr>
      </w:pPr>
    </w:p>
    <w:p w14:paraId="01251EA4" w14:textId="5137F680" w:rsidR="00134998" w:rsidRPr="000933CE" w:rsidRDefault="00134998" w:rsidP="00134998">
      <w:pPr>
        <w:pStyle w:val="Guidelines"/>
        <w:pBdr>
          <w:top w:val="none" w:sz="0" w:space="0" w:color="auto"/>
          <w:left w:val="none" w:sz="0" w:space="0" w:color="auto"/>
          <w:bottom w:val="none" w:sz="0" w:space="0" w:color="auto"/>
          <w:right w:val="none" w:sz="0" w:space="0" w:color="auto"/>
        </w:pBdr>
        <w:tabs>
          <w:tab w:val="clear" w:pos="2302"/>
        </w:tabs>
        <w:spacing w:after="0" w:line="260" w:lineRule="atLeast"/>
        <w:rPr>
          <w:rFonts w:cs="Arial"/>
          <w:b/>
          <w:color w:val="auto"/>
          <w:sz w:val="18"/>
          <w:szCs w:val="20"/>
        </w:rPr>
      </w:pPr>
      <w:bookmarkStart w:id="3106" w:name="_Toc89861005"/>
      <w:r w:rsidRPr="009D5779">
        <w:rPr>
          <w:rFonts w:cs="Arial"/>
          <w:color w:val="auto"/>
          <w:szCs w:val="20"/>
        </w:rPr>
        <w:t xml:space="preserve">Tabela </w:t>
      </w:r>
      <w:r w:rsidRPr="009D5779">
        <w:rPr>
          <w:rFonts w:cs="Arial"/>
          <w:color w:val="auto"/>
          <w:szCs w:val="20"/>
        </w:rPr>
        <w:fldChar w:fldCharType="begin"/>
      </w:r>
      <w:r w:rsidRPr="009D5779">
        <w:rPr>
          <w:rFonts w:cs="Arial"/>
          <w:color w:val="auto"/>
          <w:szCs w:val="20"/>
        </w:rPr>
        <w:instrText xml:space="preserve"> SEQ Tabela \* ARABIC </w:instrText>
      </w:r>
      <w:r w:rsidRPr="009D5779">
        <w:rPr>
          <w:rFonts w:cs="Arial"/>
          <w:color w:val="auto"/>
          <w:szCs w:val="20"/>
        </w:rPr>
        <w:fldChar w:fldCharType="separate"/>
      </w:r>
      <w:r w:rsidR="00F25435">
        <w:rPr>
          <w:rFonts w:cs="Arial"/>
          <w:noProof/>
          <w:color w:val="auto"/>
          <w:szCs w:val="20"/>
        </w:rPr>
        <w:t>12</w:t>
      </w:r>
      <w:r w:rsidRPr="009D5779">
        <w:rPr>
          <w:rFonts w:cs="Arial"/>
          <w:color w:val="auto"/>
          <w:szCs w:val="20"/>
        </w:rPr>
        <w:fldChar w:fldCharType="end"/>
      </w:r>
      <w:r w:rsidRPr="009D5779">
        <w:rPr>
          <w:rFonts w:cs="Arial"/>
          <w:color w:val="auto"/>
          <w:szCs w:val="20"/>
        </w:rPr>
        <w:t>:</w:t>
      </w:r>
      <w:r w:rsidRPr="00813028">
        <w:rPr>
          <w:rFonts w:cs="Arial"/>
          <w:color w:val="000000" w:themeColor="text1"/>
          <w:szCs w:val="21"/>
          <w:shd w:val="clear" w:color="auto" w:fill="FFFFFF"/>
        </w:rPr>
        <w:t xml:space="preserve"> Donosnost sredstev (ROA) glede na območje (OMD, ne OMD) v obdobju 2015–2019</w:t>
      </w:r>
      <w:bookmarkEnd w:id="3106"/>
      <w:r>
        <w:rPr>
          <w:rFonts w:cs="Arial"/>
          <w:b/>
          <w:color w:val="auto"/>
          <w:szCs w:val="20"/>
        </w:rPr>
        <w:t xml:space="preserve"> </w:t>
      </w:r>
    </w:p>
    <w:tbl>
      <w:tblPr>
        <w:tblW w:w="5000" w:type="pct"/>
        <w:tblCellMar>
          <w:left w:w="70" w:type="dxa"/>
          <w:right w:w="70" w:type="dxa"/>
        </w:tblCellMar>
        <w:tblLook w:val="04A0" w:firstRow="1" w:lastRow="0" w:firstColumn="1" w:lastColumn="0" w:noHBand="0" w:noVBand="1"/>
      </w:tblPr>
      <w:tblGrid>
        <w:gridCol w:w="2652"/>
        <w:gridCol w:w="973"/>
        <w:gridCol w:w="839"/>
        <w:gridCol w:w="973"/>
        <w:gridCol w:w="1075"/>
        <w:gridCol w:w="1528"/>
        <w:gridCol w:w="1022"/>
      </w:tblGrid>
      <w:tr w:rsidR="00134998" w:rsidRPr="004E3104" w14:paraId="2FAA771A" w14:textId="77777777" w:rsidTr="009F4DF4">
        <w:trPr>
          <w:trHeight w:val="288"/>
        </w:trPr>
        <w:tc>
          <w:tcPr>
            <w:tcW w:w="146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152C9C" w14:textId="77777777" w:rsidR="00134998" w:rsidRPr="004E3104" w:rsidRDefault="00134998" w:rsidP="009F4DF4">
            <w:pPr>
              <w:spacing w:line="240" w:lineRule="auto"/>
              <w:rPr>
                <w:rFonts w:ascii="Calibri" w:hAnsi="Calibri" w:cs="Calibri"/>
                <w:b/>
                <w:bCs/>
                <w:color w:val="000000"/>
                <w:sz w:val="18"/>
                <w:szCs w:val="18"/>
                <w:lang w:eastAsia="sl-SI"/>
              </w:rPr>
            </w:pPr>
            <w:bookmarkStart w:id="3107" w:name="RANGE!A1:G4"/>
            <w:r w:rsidRPr="004E3104">
              <w:rPr>
                <w:rFonts w:ascii="Calibri" w:hAnsi="Calibri" w:cs="Calibri"/>
                <w:b/>
                <w:bCs/>
                <w:color w:val="000000"/>
                <w:sz w:val="18"/>
                <w:szCs w:val="18"/>
                <w:lang w:eastAsia="sl-SI"/>
              </w:rPr>
              <w:t>OMD / ne-OMD območje</w:t>
            </w:r>
            <w:bookmarkEnd w:id="3107"/>
          </w:p>
        </w:tc>
        <w:tc>
          <w:tcPr>
            <w:tcW w:w="537" w:type="pct"/>
            <w:tcBorders>
              <w:top w:val="single" w:sz="4" w:space="0" w:color="auto"/>
              <w:left w:val="nil"/>
              <w:bottom w:val="single" w:sz="4" w:space="0" w:color="auto"/>
              <w:right w:val="single" w:sz="4" w:space="0" w:color="auto"/>
            </w:tcBorders>
            <w:shd w:val="clear" w:color="000000" w:fill="D9D9D9"/>
            <w:noWrap/>
            <w:vAlign w:val="bottom"/>
            <w:hideMark/>
          </w:tcPr>
          <w:p w14:paraId="2F5D0489"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SE016</w:t>
            </w:r>
          </w:p>
        </w:tc>
        <w:tc>
          <w:tcPr>
            <w:tcW w:w="463" w:type="pct"/>
            <w:tcBorders>
              <w:top w:val="single" w:sz="4" w:space="0" w:color="auto"/>
              <w:left w:val="nil"/>
              <w:bottom w:val="single" w:sz="4" w:space="0" w:color="auto"/>
              <w:right w:val="single" w:sz="4" w:space="0" w:color="auto"/>
            </w:tcBorders>
            <w:shd w:val="clear" w:color="000000" w:fill="D9D9D9"/>
            <w:noWrap/>
            <w:vAlign w:val="bottom"/>
            <w:hideMark/>
          </w:tcPr>
          <w:p w14:paraId="1E83D307"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SE021</w:t>
            </w:r>
          </w:p>
        </w:tc>
        <w:tc>
          <w:tcPr>
            <w:tcW w:w="537" w:type="pct"/>
            <w:tcBorders>
              <w:top w:val="single" w:sz="4" w:space="0" w:color="auto"/>
              <w:left w:val="nil"/>
              <w:bottom w:val="single" w:sz="4" w:space="0" w:color="auto"/>
              <w:right w:val="single" w:sz="4" w:space="0" w:color="auto"/>
            </w:tcBorders>
            <w:shd w:val="clear" w:color="000000" w:fill="D9D9D9"/>
            <w:noWrap/>
            <w:vAlign w:val="bottom"/>
            <w:hideMark/>
          </w:tcPr>
          <w:p w14:paraId="424367CE"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SE370</w:t>
            </w:r>
          </w:p>
        </w:tc>
        <w:tc>
          <w:tcPr>
            <w:tcW w:w="593" w:type="pct"/>
            <w:tcBorders>
              <w:top w:val="single" w:sz="4" w:space="0" w:color="auto"/>
              <w:left w:val="nil"/>
              <w:bottom w:val="single" w:sz="4" w:space="0" w:color="auto"/>
              <w:right w:val="single" w:sz="4" w:space="0" w:color="auto"/>
            </w:tcBorders>
            <w:shd w:val="clear" w:color="000000" w:fill="D9D9D9"/>
            <w:noWrap/>
            <w:vAlign w:val="bottom"/>
            <w:hideMark/>
          </w:tcPr>
          <w:p w14:paraId="2EF22B22"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SE420</w:t>
            </w:r>
          </w:p>
        </w:tc>
        <w:tc>
          <w:tcPr>
            <w:tcW w:w="843" w:type="pct"/>
            <w:tcBorders>
              <w:top w:val="single" w:sz="4" w:space="0" w:color="auto"/>
              <w:left w:val="nil"/>
              <w:bottom w:val="single" w:sz="4" w:space="0" w:color="auto"/>
              <w:right w:val="single" w:sz="4" w:space="0" w:color="auto"/>
            </w:tcBorders>
            <w:shd w:val="clear" w:color="000000" w:fill="D9D9D9"/>
            <w:noWrap/>
            <w:vAlign w:val="bottom"/>
            <w:hideMark/>
          </w:tcPr>
          <w:p w14:paraId="1B6D78B1"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SE436</w:t>
            </w:r>
          </w:p>
        </w:tc>
        <w:tc>
          <w:tcPr>
            <w:tcW w:w="565" w:type="pct"/>
            <w:tcBorders>
              <w:top w:val="single" w:sz="4" w:space="0" w:color="auto"/>
              <w:left w:val="nil"/>
              <w:bottom w:val="single" w:sz="4" w:space="0" w:color="auto"/>
              <w:right w:val="single" w:sz="4" w:space="0" w:color="auto"/>
            </w:tcBorders>
            <w:shd w:val="clear" w:color="000000" w:fill="D9D9D9"/>
            <w:noWrap/>
            <w:vAlign w:val="bottom"/>
            <w:hideMark/>
          </w:tcPr>
          <w:p w14:paraId="51BBE0C3" w14:textId="77777777" w:rsidR="00134998" w:rsidRPr="004E3104" w:rsidRDefault="00134998" w:rsidP="009F4DF4">
            <w:pPr>
              <w:spacing w:line="240" w:lineRule="auto"/>
              <w:rPr>
                <w:rFonts w:ascii="Calibri" w:hAnsi="Calibri" w:cs="Calibri"/>
                <w:b/>
                <w:bCs/>
                <w:color w:val="000000"/>
                <w:sz w:val="18"/>
                <w:szCs w:val="18"/>
                <w:lang w:eastAsia="sl-SI"/>
              </w:rPr>
            </w:pPr>
            <w:r w:rsidRPr="004E3104">
              <w:rPr>
                <w:rFonts w:ascii="Calibri" w:hAnsi="Calibri" w:cs="Calibri"/>
                <w:b/>
                <w:bCs/>
                <w:color w:val="000000"/>
                <w:sz w:val="18"/>
                <w:szCs w:val="18"/>
                <w:lang w:eastAsia="sl-SI"/>
              </w:rPr>
              <w:t>ROA</w:t>
            </w:r>
          </w:p>
        </w:tc>
      </w:tr>
      <w:tr w:rsidR="00134998" w:rsidRPr="004E3104" w14:paraId="4D8A612A" w14:textId="77777777" w:rsidTr="009F4DF4">
        <w:trPr>
          <w:trHeight w:val="288"/>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14:paraId="39A7E741"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OMD razen gorska</w:t>
            </w:r>
          </w:p>
        </w:tc>
        <w:tc>
          <w:tcPr>
            <w:tcW w:w="537" w:type="pct"/>
            <w:tcBorders>
              <w:top w:val="nil"/>
              <w:left w:val="nil"/>
              <w:bottom w:val="single" w:sz="4" w:space="0" w:color="auto"/>
              <w:right w:val="single" w:sz="4" w:space="0" w:color="auto"/>
            </w:tcBorders>
            <w:shd w:val="clear" w:color="auto" w:fill="auto"/>
            <w:noWrap/>
            <w:vAlign w:val="bottom"/>
            <w:hideMark/>
          </w:tcPr>
          <w:p w14:paraId="795F7509"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1.957,83   </w:t>
            </w:r>
          </w:p>
        </w:tc>
        <w:tc>
          <w:tcPr>
            <w:tcW w:w="463" w:type="pct"/>
            <w:tcBorders>
              <w:top w:val="nil"/>
              <w:left w:val="nil"/>
              <w:bottom w:val="single" w:sz="4" w:space="0" w:color="auto"/>
              <w:right w:val="single" w:sz="4" w:space="0" w:color="auto"/>
            </w:tcBorders>
            <w:shd w:val="clear" w:color="auto" w:fill="auto"/>
            <w:noWrap/>
            <w:vAlign w:val="bottom"/>
            <w:hideMark/>
          </w:tcPr>
          <w:p w14:paraId="5E19E4F6"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59,28   </w:t>
            </w:r>
          </w:p>
        </w:tc>
        <w:tc>
          <w:tcPr>
            <w:tcW w:w="537" w:type="pct"/>
            <w:tcBorders>
              <w:top w:val="nil"/>
              <w:left w:val="nil"/>
              <w:bottom w:val="single" w:sz="4" w:space="0" w:color="auto"/>
              <w:right w:val="single" w:sz="4" w:space="0" w:color="auto"/>
            </w:tcBorders>
            <w:shd w:val="clear" w:color="auto" w:fill="auto"/>
            <w:noWrap/>
            <w:vAlign w:val="bottom"/>
            <w:hideMark/>
          </w:tcPr>
          <w:p w14:paraId="2271939A"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300,50   </w:t>
            </w:r>
          </w:p>
        </w:tc>
        <w:tc>
          <w:tcPr>
            <w:tcW w:w="593" w:type="pct"/>
            <w:tcBorders>
              <w:top w:val="nil"/>
              <w:left w:val="nil"/>
              <w:bottom w:val="single" w:sz="4" w:space="0" w:color="auto"/>
              <w:right w:val="single" w:sz="4" w:space="0" w:color="auto"/>
            </w:tcBorders>
            <w:shd w:val="clear" w:color="auto" w:fill="auto"/>
            <w:noWrap/>
            <w:vAlign w:val="bottom"/>
            <w:hideMark/>
          </w:tcPr>
          <w:p w14:paraId="7A383370"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3.869,00   </w:t>
            </w:r>
          </w:p>
        </w:tc>
        <w:tc>
          <w:tcPr>
            <w:tcW w:w="843" w:type="pct"/>
            <w:tcBorders>
              <w:top w:val="nil"/>
              <w:left w:val="nil"/>
              <w:bottom w:val="single" w:sz="4" w:space="0" w:color="auto"/>
              <w:right w:val="single" w:sz="4" w:space="0" w:color="auto"/>
            </w:tcBorders>
            <w:shd w:val="clear" w:color="auto" w:fill="auto"/>
            <w:noWrap/>
            <w:vAlign w:val="bottom"/>
            <w:hideMark/>
          </w:tcPr>
          <w:p w14:paraId="591A4E3D"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186.286,25   </w:t>
            </w:r>
          </w:p>
        </w:tc>
        <w:tc>
          <w:tcPr>
            <w:tcW w:w="565" w:type="pct"/>
            <w:tcBorders>
              <w:top w:val="nil"/>
              <w:left w:val="nil"/>
              <w:bottom w:val="single" w:sz="4" w:space="0" w:color="auto"/>
              <w:right w:val="single" w:sz="4" w:space="0" w:color="auto"/>
            </w:tcBorders>
            <w:shd w:val="clear" w:color="auto" w:fill="auto"/>
            <w:noWrap/>
            <w:vAlign w:val="bottom"/>
            <w:hideMark/>
          </w:tcPr>
          <w:p w14:paraId="6138726B" w14:textId="77777777" w:rsidR="00134998" w:rsidRPr="004E3104" w:rsidRDefault="00134998" w:rsidP="009F4DF4">
            <w:pPr>
              <w:spacing w:line="240" w:lineRule="auto"/>
              <w:jc w:val="right"/>
              <w:rPr>
                <w:rFonts w:ascii="Calibri" w:hAnsi="Calibri" w:cs="Calibri"/>
                <w:color w:val="000000"/>
                <w:sz w:val="18"/>
                <w:szCs w:val="18"/>
                <w:lang w:eastAsia="sl-SI"/>
              </w:rPr>
            </w:pPr>
            <w:r w:rsidRPr="004E3104">
              <w:rPr>
                <w:rFonts w:ascii="Calibri" w:hAnsi="Calibri" w:cs="Calibri"/>
                <w:color w:val="000000"/>
                <w:sz w:val="18"/>
                <w:szCs w:val="18"/>
                <w:lang w:eastAsia="sl-SI"/>
              </w:rPr>
              <w:t>-3%</w:t>
            </w:r>
          </w:p>
        </w:tc>
      </w:tr>
      <w:tr w:rsidR="00134998" w:rsidRPr="004E3104" w14:paraId="1315A1B2" w14:textId="77777777" w:rsidTr="009F4DF4">
        <w:trPr>
          <w:trHeight w:val="288"/>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14:paraId="50BE707B"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gorska OMD</w:t>
            </w:r>
          </w:p>
        </w:tc>
        <w:tc>
          <w:tcPr>
            <w:tcW w:w="537" w:type="pct"/>
            <w:tcBorders>
              <w:top w:val="nil"/>
              <w:left w:val="nil"/>
              <w:bottom w:val="single" w:sz="4" w:space="0" w:color="auto"/>
              <w:right w:val="single" w:sz="4" w:space="0" w:color="auto"/>
            </w:tcBorders>
            <w:shd w:val="clear" w:color="auto" w:fill="auto"/>
            <w:noWrap/>
            <w:vAlign w:val="bottom"/>
            <w:hideMark/>
          </w:tcPr>
          <w:p w14:paraId="34EE11ED"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2.318,50   </w:t>
            </w:r>
          </w:p>
        </w:tc>
        <w:tc>
          <w:tcPr>
            <w:tcW w:w="463" w:type="pct"/>
            <w:tcBorders>
              <w:top w:val="nil"/>
              <w:left w:val="nil"/>
              <w:bottom w:val="single" w:sz="4" w:space="0" w:color="auto"/>
              <w:right w:val="single" w:sz="4" w:space="0" w:color="auto"/>
            </w:tcBorders>
            <w:shd w:val="clear" w:color="auto" w:fill="auto"/>
            <w:noWrap/>
            <w:vAlign w:val="bottom"/>
            <w:hideMark/>
          </w:tcPr>
          <w:p w14:paraId="2C327283"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50,78   </w:t>
            </w:r>
          </w:p>
        </w:tc>
        <w:tc>
          <w:tcPr>
            <w:tcW w:w="537" w:type="pct"/>
            <w:tcBorders>
              <w:top w:val="nil"/>
              <w:left w:val="nil"/>
              <w:bottom w:val="single" w:sz="4" w:space="0" w:color="auto"/>
              <w:right w:val="single" w:sz="4" w:space="0" w:color="auto"/>
            </w:tcBorders>
            <w:shd w:val="clear" w:color="auto" w:fill="auto"/>
            <w:noWrap/>
            <w:vAlign w:val="bottom"/>
            <w:hideMark/>
          </w:tcPr>
          <w:p w14:paraId="265FD505"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263,50   </w:t>
            </w:r>
          </w:p>
        </w:tc>
        <w:tc>
          <w:tcPr>
            <w:tcW w:w="593" w:type="pct"/>
            <w:tcBorders>
              <w:top w:val="nil"/>
              <w:left w:val="nil"/>
              <w:bottom w:val="single" w:sz="4" w:space="0" w:color="auto"/>
              <w:right w:val="single" w:sz="4" w:space="0" w:color="auto"/>
            </w:tcBorders>
            <w:shd w:val="clear" w:color="auto" w:fill="auto"/>
            <w:noWrap/>
            <w:vAlign w:val="bottom"/>
            <w:hideMark/>
          </w:tcPr>
          <w:p w14:paraId="457BFAF5"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6.283,00   </w:t>
            </w:r>
          </w:p>
        </w:tc>
        <w:tc>
          <w:tcPr>
            <w:tcW w:w="843" w:type="pct"/>
            <w:tcBorders>
              <w:top w:val="nil"/>
              <w:left w:val="nil"/>
              <w:bottom w:val="single" w:sz="4" w:space="0" w:color="auto"/>
              <w:right w:val="single" w:sz="4" w:space="0" w:color="auto"/>
            </w:tcBorders>
            <w:shd w:val="clear" w:color="auto" w:fill="auto"/>
            <w:noWrap/>
            <w:vAlign w:val="bottom"/>
            <w:hideMark/>
          </w:tcPr>
          <w:p w14:paraId="40575030"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224.306,00   </w:t>
            </w:r>
          </w:p>
        </w:tc>
        <w:tc>
          <w:tcPr>
            <w:tcW w:w="565" w:type="pct"/>
            <w:tcBorders>
              <w:top w:val="nil"/>
              <w:left w:val="nil"/>
              <w:bottom w:val="single" w:sz="4" w:space="0" w:color="auto"/>
              <w:right w:val="single" w:sz="4" w:space="0" w:color="auto"/>
            </w:tcBorders>
            <w:shd w:val="clear" w:color="auto" w:fill="auto"/>
            <w:noWrap/>
            <w:vAlign w:val="bottom"/>
            <w:hideMark/>
          </w:tcPr>
          <w:p w14:paraId="70AC0A57" w14:textId="77777777" w:rsidR="00134998" w:rsidRPr="004E3104" w:rsidRDefault="00134998" w:rsidP="009F4DF4">
            <w:pPr>
              <w:spacing w:line="240" w:lineRule="auto"/>
              <w:jc w:val="right"/>
              <w:rPr>
                <w:rFonts w:ascii="Calibri" w:hAnsi="Calibri" w:cs="Calibri"/>
                <w:color w:val="000000"/>
                <w:sz w:val="18"/>
                <w:szCs w:val="18"/>
                <w:lang w:eastAsia="sl-SI"/>
              </w:rPr>
            </w:pPr>
            <w:r w:rsidRPr="004E3104">
              <w:rPr>
                <w:rFonts w:ascii="Calibri" w:hAnsi="Calibri" w:cs="Calibri"/>
                <w:color w:val="000000"/>
                <w:sz w:val="18"/>
                <w:szCs w:val="18"/>
                <w:lang w:eastAsia="sl-SI"/>
              </w:rPr>
              <w:t>-3%</w:t>
            </w:r>
          </w:p>
        </w:tc>
      </w:tr>
      <w:tr w:rsidR="00134998" w:rsidRPr="004E3104" w14:paraId="2A9C4AFA" w14:textId="77777777" w:rsidTr="009F4DF4">
        <w:trPr>
          <w:trHeight w:val="288"/>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14:paraId="3FE8E755"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ne OMD</w:t>
            </w:r>
          </w:p>
        </w:tc>
        <w:tc>
          <w:tcPr>
            <w:tcW w:w="537" w:type="pct"/>
            <w:tcBorders>
              <w:top w:val="nil"/>
              <w:left w:val="nil"/>
              <w:bottom w:val="single" w:sz="4" w:space="0" w:color="auto"/>
              <w:right w:val="single" w:sz="4" w:space="0" w:color="auto"/>
            </w:tcBorders>
            <w:shd w:val="clear" w:color="auto" w:fill="auto"/>
            <w:noWrap/>
            <w:vAlign w:val="bottom"/>
            <w:hideMark/>
          </w:tcPr>
          <w:p w14:paraId="64FF6E29"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2.114,66   </w:t>
            </w:r>
          </w:p>
        </w:tc>
        <w:tc>
          <w:tcPr>
            <w:tcW w:w="463" w:type="pct"/>
            <w:tcBorders>
              <w:top w:val="nil"/>
              <w:left w:val="nil"/>
              <w:bottom w:val="single" w:sz="4" w:space="0" w:color="auto"/>
              <w:right w:val="single" w:sz="4" w:space="0" w:color="auto"/>
            </w:tcBorders>
            <w:shd w:val="clear" w:color="auto" w:fill="auto"/>
            <w:noWrap/>
            <w:vAlign w:val="bottom"/>
            <w:hideMark/>
          </w:tcPr>
          <w:p w14:paraId="36320345"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327,26   </w:t>
            </w:r>
          </w:p>
        </w:tc>
        <w:tc>
          <w:tcPr>
            <w:tcW w:w="537" w:type="pct"/>
            <w:tcBorders>
              <w:top w:val="nil"/>
              <w:left w:val="nil"/>
              <w:bottom w:val="single" w:sz="4" w:space="0" w:color="auto"/>
              <w:right w:val="single" w:sz="4" w:space="0" w:color="auto"/>
            </w:tcBorders>
            <w:shd w:val="clear" w:color="auto" w:fill="auto"/>
            <w:noWrap/>
            <w:vAlign w:val="bottom"/>
            <w:hideMark/>
          </w:tcPr>
          <w:p w14:paraId="37B448E1"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1.363,25   </w:t>
            </w:r>
          </w:p>
        </w:tc>
        <w:tc>
          <w:tcPr>
            <w:tcW w:w="593" w:type="pct"/>
            <w:tcBorders>
              <w:top w:val="nil"/>
              <w:left w:val="nil"/>
              <w:bottom w:val="single" w:sz="4" w:space="0" w:color="auto"/>
              <w:right w:val="single" w:sz="4" w:space="0" w:color="auto"/>
            </w:tcBorders>
            <w:shd w:val="clear" w:color="auto" w:fill="auto"/>
            <w:noWrap/>
            <w:vAlign w:val="bottom"/>
            <w:hideMark/>
          </w:tcPr>
          <w:p w14:paraId="1A5CBF46"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12.018,75   </w:t>
            </w:r>
          </w:p>
        </w:tc>
        <w:tc>
          <w:tcPr>
            <w:tcW w:w="843" w:type="pct"/>
            <w:tcBorders>
              <w:top w:val="nil"/>
              <w:left w:val="nil"/>
              <w:bottom w:val="single" w:sz="4" w:space="0" w:color="auto"/>
              <w:right w:val="single" w:sz="4" w:space="0" w:color="auto"/>
            </w:tcBorders>
            <w:shd w:val="clear" w:color="auto" w:fill="auto"/>
            <w:noWrap/>
            <w:vAlign w:val="bottom"/>
            <w:hideMark/>
          </w:tcPr>
          <w:p w14:paraId="7322AA9B" w14:textId="77777777" w:rsidR="00134998" w:rsidRPr="004E3104" w:rsidRDefault="00134998" w:rsidP="009F4DF4">
            <w:pPr>
              <w:spacing w:line="240" w:lineRule="auto"/>
              <w:rPr>
                <w:rFonts w:ascii="Calibri" w:hAnsi="Calibri" w:cs="Calibri"/>
                <w:color w:val="000000"/>
                <w:sz w:val="18"/>
                <w:szCs w:val="18"/>
                <w:lang w:eastAsia="sl-SI"/>
              </w:rPr>
            </w:pPr>
            <w:r w:rsidRPr="004E3104">
              <w:rPr>
                <w:rFonts w:ascii="Calibri" w:hAnsi="Calibri" w:cs="Calibri"/>
                <w:color w:val="000000"/>
                <w:sz w:val="18"/>
                <w:szCs w:val="18"/>
                <w:lang w:eastAsia="sl-SI"/>
              </w:rPr>
              <w:t xml:space="preserve">            260.550,75   </w:t>
            </w:r>
          </w:p>
        </w:tc>
        <w:tc>
          <w:tcPr>
            <w:tcW w:w="565" w:type="pct"/>
            <w:tcBorders>
              <w:top w:val="nil"/>
              <w:left w:val="nil"/>
              <w:bottom w:val="single" w:sz="4" w:space="0" w:color="auto"/>
              <w:right w:val="single" w:sz="4" w:space="0" w:color="auto"/>
            </w:tcBorders>
            <w:shd w:val="clear" w:color="auto" w:fill="auto"/>
            <w:noWrap/>
            <w:vAlign w:val="bottom"/>
            <w:hideMark/>
          </w:tcPr>
          <w:p w14:paraId="13F7F5C5" w14:textId="77777777" w:rsidR="00134998" w:rsidRPr="004E3104" w:rsidRDefault="00134998" w:rsidP="009F4DF4">
            <w:pPr>
              <w:spacing w:line="240" w:lineRule="auto"/>
              <w:jc w:val="right"/>
              <w:rPr>
                <w:rFonts w:ascii="Calibri" w:hAnsi="Calibri" w:cs="Calibri"/>
                <w:color w:val="000000"/>
                <w:sz w:val="18"/>
                <w:szCs w:val="18"/>
                <w:lang w:eastAsia="sl-SI"/>
              </w:rPr>
            </w:pPr>
            <w:r w:rsidRPr="004E3104">
              <w:rPr>
                <w:rFonts w:ascii="Calibri" w:hAnsi="Calibri" w:cs="Calibri"/>
                <w:color w:val="000000"/>
                <w:sz w:val="18"/>
                <w:szCs w:val="18"/>
                <w:lang w:eastAsia="sl-SI"/>
              </w:rPr>
              <w:t>1%</w:t>
            </w:r>
          </w:p>
        </w:tc>
      </w:tr>
    </w:tbl>
    <w:p w14:paraId="2DF067A3" w14:textId="6DEDB39C" w:rsidR="000E73C4" w:rsidRDefault="00134998" w:rsidP="006E3DD0">
      <w:r w:rsidRPr="000933CE">
        <w:rPr>
          <w:sz w:val="18"/>
          <w:szCs w:val="20"/>
        </w:rPr>
        <w:t>Vir: MKGP, lasten preračun, glede</w:t>
      </w:r>
      <w:r>
        <w:rPr>
          <w:sz w:val="18"/>
          <w:szCs w:val="20"/>
        </w:rPr>
        <w:t xml:space="preserve"> povprečne </w:t>
      </w:r>
      <w:r w:rsidRPr="000933CE">
        <w:rPr>
          <w:sz w:val="18"/>
          <w:szCs w:val="20"/>
        </w:rPr>
        <w:t>FADN podatke</w:t>
      </w:r>
    </w:p>
    <w:p w14:paraId="76C6A2C4" w14:textId="17FA29D8" w:rsidR="000E73C4" w:rsidRPr="00E155C1" w:rsidRDefault="000E73C4" w:rsidP="006E3DD0">
      <w:pPr>
        <w:rPr>
          <w:b/>
        </w:rPr>
      </w:pPr>
    </w:p>
    <w:p w14:paraId="732403AE" w14:textId="5B6CEFF4" w:rsidR="00F445F3" w:rsidRDefault="00F445F3" w:rsidP="006E3DD0">
      <w:pPr>
        <w:rPr>
          <w:b/>
        </w:rPr>
      </w:pPr>
      <w:r w:rsidRPr="00E155C1">
        <w:rPr>
          <w:b/>
        </w:rPr>
        <w:t>Povzetek ključni</w:t>
      </w:r>
      <w:r w:rsidR="00DC6064">
        <w:rPr>
          <w:b/>
        </w:rPr>
        <w:t>h</w:t>
      </w:r>
      <w:r w:rsidRPr="00E155C1">
        <w:rPr>
          <w:b/>
        </w:rPr>
        <w:t xml:space="preserve"> ugotovitev</w:t>
      </w:r>
      <w:r>
        <w:rPr>
          <w:b/>
        </w:rPr>
        <w:t xml:space="preserve">: </w:t>
      </w:r>
    </w:p>
    <w:p w14:paraId="31FE1BBA"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color w:val="000000" w:themeColor="text1"/>
          <w:sz w:val="22"/>
          <w:szCs w:val="22"/>
        </w:rPr>
        <w:t>Povprečna ekonomska velikost KMG, zajetih v FADN vzorec, v obdobju 2015-2019 znaša 23.200 € SO. KMG, ki se ukvarjajo z vrtnarstvom, dosegajo največjo ekonomsko velikost (155.300 € SO), najnižjo pa KMG, specializirana za pašno živino (13.600 € SO).</w:t>
      </w:r>
    </w:p>
    <w:p w14:paraId="7C7A77EC"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sz w:val="22"/>
          <w:szCs w:val="22"/>
        </w:rPr>
        <w:t xml:space="preserve">Znotraj posameznih proizvodnih tipov so lahko razlike v ekonomski velikosti KMG izredno velike. Še posebej to velja za KMG, </w:t>
      </w:r>
      <w:r w:rsidRPr="00E155C1">
        <w:rPr>
          <w:rFonts w:ascii="Arial" w:hAnsi="Arial"/>
          <w:color w:val="000000" w:themeColor="text1"/>
          <w:sz w:val="22"/>
          <w:szCs w:val="22"/>
        </w:rPr>
        <w:t xml:space="preserve">specializiranimi za vinogradništvo in KMG, specializiranimi za rejo prašičev/perutnine. Podatek je potrebno obravnavati s previdnostjo, saj je to dejstvo mogoče pripisati tudi vzorcu zajetih KMG. </w:t>
      </w:r>
    </w:p>
    <w:p w14:paraId="01579246"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color w:val="000000" w:themeColor="text1"/>
          <w:sz w:val="22"/>
          <w:szCs w:val="22"/>
        </w:rPr>
        <w:t>Z večanjem ekonomske velikosti KMG se povečuje tudi število PDM, pri čemer imajo KMG v povprečju 1,3 PDM. KMG, ki se ukvarjajo z vrtnarstvom, dosegajo povprečno največ PDM (5,3 PDM), najmanjše število PDM imajo KMG, ki se ukvarjajo s poljedelstvom (0,9 PDM).</w:t>
      </w:r>
    </w:p>
    <w:p w14:paraId="17932C86"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color w:val="000000" w:themeColor="text1"/>
          <w:sz w:val="22"/>
          <w:szCs w:val="22"/>
        </w:rPr>
        <w:t xml:space="preserve">Povprečno razpolaga KMG z 10,3 KZU. KMG, ki se ukvarjajo z rejo prašičev/perutnine, gospodarijo  povprečno z največ KZU na KMG (21,4 KZU), medtem ko KMG z ostalimi trajnimi nasadi v povprečju le z 4,3 KZU/KMG. </w:t>
      </w:r>
    </w:p>
    <w:p w14:paraId="041FC0CA"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color w:val="000000" w:themeColor="text1"/>
          <w:sz w:val="22"/>
          <w:szCs w:val="22"/>
        </w:rPr>
        <w:t>Razmerje med PDM/KMG in fizično velikostjo KMG pokaže, da so najbolj učinkoviti KMG, ki se ukvarjajo  z rejo prašičev/perutnino (13,4 ha / PDM).</w:t>
      </w:r>
    </w:p>
    <w:p w14:paraId="5133B586" w14:textId="77777777" w:rsidR="00F445F3" w:rsidRPr="00E155C1" w:rsidRDefault="00F445F3" w:rsidP="00F445F3">
      <w:pPr>
        <w:pStyle w:val="Odstavekseznama"/>
        <w:numPr>
          <w:ilvl w:val="0"/>
          <w:numId w:val="215"/>
        </w:numPr>
        <w:spacing w:before="0" w:after="120" w:line="260" w:lineRule="atLeast"/>
        <w:ind w:left="714" w:hanging="357"/>
        <w:rPr>
          <w:rFonts w:ascii="Arial" w:hAnsi="Arial"/>
          <w:sz w:val="22"/>
          <w:szCs w:val="22"/>
        </w:rPr>
      </w:pPr>
      <w:r w:rsidRPr="00E155C1">
        <w:rPr>
          <w:rFonts w:ascii="Arial" w:hAnsi="Arial"/>
          <w:color w:val="000000" w:themeColor="text1"/>
          <w:sz w:val="22"/>
          <w:szCs w:val="22"/>
        </w:rPr>
        <w:t>Povprečna vrednost neto dodane vrednosti kmetije na PDM je v obdobju 2015-2019 znašala 5.471 EUR.</w:t>
      </w:r>
    </w:p>
    <w:p w14:paraId="47C7B759" w14:textId="77777777" w:rsidR="00F445F3" w:rsidRPr="00E53EB6" w:rsidRDefault="00F445F3" w:rsidP="00F445F3">
      <w:pPr>
        <w:pStyle w:val="Odstavekseznama"/>
        <w:numPr>
          <w:ilvl w:val="0"/>
          <w:numId w:val="215"/>
        </w:numPr>
        <w:spacing w:before="0" w:after="120" w:line="260" w:lineRule="atLeast"/>
        <w:ind w:left="714" w:hanging="357"/>
        <w:rPr>
          <w:rFonts w:ascii="Arial" w:hAnsi="Arial"/>
          <w:sz w:val="22"/>
          <w:szCs w:val="22"/>
        </w:rPr>
      </w:pPr>
      <w:r w:rsidRPr="00E53EB6">
        <w:rPr>
          <w:rFonts w:ascii="Arial" w:hAnsi="Arial"/>
          <w:sz w:val="22"/>
          <w:szCs w:val="22"/>
        </w:rPr>
        <w:t xml:space="preserve">Povprečna neto dodana vrednost na PDM v obdobju 2015–2019 (povprečje SE425) je najvišja pri KMG, specializiranih v rejo prašičev in perutnine ter vinogradništvu. Najnižja pa je pri pašni živinoreji in mešani usmeritvi. </w:t>
      </w:r>
    </w:p>
    <w:p w14:paraId="2F2A56F1" w14:textId="77777777" w:rsidR="00F445F3" w:rsidRPr="00E155C1" w:rsidRDefault="00F445F3" w:rsidP="00F445F3">
      <w:pPr>
        <w:pStyle w:val="Odstavekseznama"/>
        <w:numPr>
          <w:ilvl w:val="0"/>
          <w:numId w:val="215"/>
        </w:numPr>
        <w:spacing w:before="0" w:after="120" w:line="259" w:lineRule="auto"/>
        <w:ind w:left="714" w:hanging="357"/>
        <w:rPr>
          <w:rFonts w:ascii="Arial" w:hAnsi="Arial"/>
          <w:color w:val="000000" w:themeColor="text1"/>
          <w:sz w:val="22"/>
          <w:szCs w:val="22"/>
        </w:rPr>
      </w:pPr>
      <w:r w:rsidRPr="00E155C1">
        <w:rPr>
          <w:rFonts w:ascii="Arial" w:hAnsi="Arial"/>
          <w:color w:val="000000" w:themeColor="text1"/>
          <w:sz w:val="22"/>
          <w:szCs w:val="22"/>
          <w:shd w:val="clear" w:color="auto" w:fill="FFFFFF"/>
        </w:rPr>
        <w:t>Donosnost sredstev je večinoma negativna pri vseh proizvodnih tipih z izjemo vinogradništva, zrnojedih živali (prašiči/perutnina).</w:t>
      </w:r>
    </w:p>
    <w:p w14:paraId="0B593D4C" w14:textId="77777777" w:rsidR="00F445F3" w:rsidRPr="008C2C96" w:rsidRDefault="00F445F3" w:rsidP="00F445F3">
      <w:pPr>
        <w:pStyle w:val="Odstavekseznama"/>
        <w:numPr>
          <w:ilvl w:val="0"/>
          <w:numId w:val="215"/>
        </w:numPr>
        <w:spacing w:before="0" w:after="120" w:line="259" w:lineRule="auto"/>
        <w:ind w:left="714" w:hanging="357"/>
        <w:jc w:val="left"/>
        <w:rPr>
          <w:rFonts w:ascii="Arial" w:hAnsi="Arial"/>
          <w:sz w:val="22"/>
          <w:szCs w:val="22"/>
        </w:rPr>
      </w:pPr>
      <w:r w:rsidRPr="008C2C96">
        <w:rPr>
          <w:rFonts w:ascii="Arial" w:hAnsi="Arial"/>
          <w:sz w:val="22"/>
          <w:szCs w:val="22"/>
        </w:rPr>
        <w:t xml:space="preserve">Neto dodana vrednost KMG/PDM je bistveno višja na območjih, ki niso OMD. </w:t>
      </w:r>
    </w:p>
    <w:p w14:paraId="67CDBABB" w14:textId="77777777" w:rsidR="00F445F3" w:rsidRPr="00E155C1" w:rsidRDefault="00F445F3" w:rsidP="006E3DD0">
      <w:pPr>
        <w:rPr>
          <w:b/>
        </w:rPr>
      </w:pPr>
    </w:p>
    <w:p w14:paraId="77EEF28C" w14:textId="6B85E640" w:rsidR="00F445F3" w:rsidRDefault="00F445F3" w:rsidP="006E3DD0"/>
    <w:p w14:paraId="0ADF1C17" w14:textId="719F50DF" w:rsidR="00F445F3" w:rsidRDefault="00F445F3" w:rsidP="006E3DD0"/>
    <w:p w14:paraId="07EE6FE7" w14:textId="77777777" w:rsidR="00F445F3" w:rsidRPr="006E3DD0" w:rsidRDefault="00F445F3" w:rsidP="006E3DD0"/>
    <w:p w14:paraId="39BF46BB" w14:textId="006138D2" w:rsidR="00754A51" w:rsidRPr="00304C05" w:rsidRDefault="00300831" w:rsidP="00304C05">
      <w:pPr>
        <w:pStyle w:val="Naslov1"/>
      </w:pPr>
      <w:bookmarkStart w:id="3108" w:name="_Toc90462236"/>
      <w:r w:rsidRPr="00304C05">
        <w:t xml:space="preserve">Specifični vidik: </w:t>
      </w:r>
      <w:r w:rsidR="0087227A" w:rsidRPr="00304C05">
        <w:t xml:space="preserve">Nižja </w:t>
      </w:r>
      <w:r w:rsidRPr="00304C05">
        <w:t xml:space="preserve">konkurenčnost </w:t>
      </w:r>
      <w:r w:rsidR="0087227A" w:rsidRPr="00304C05">
        <w:t xml:space="preserve">kmetij na </w:t>
      </w:r>
      <w:r w:rsidRPr="00304C05">
        <w:t>OMD</w:t>
      </w:r>
      <w:bookmarkEnd w:id="3108"/>
      <w:r w:rsidRPr="00304C05">
        <w:t xml:space="preserve"> </w:t>
      </w:r>
    </w:p>
    <w:p w14:paraId="7A0943BB" w14:textId="77777777" w:rsidR="00754A51" w:rsidRPr="0047652B" w:rsidRDefault="00754A51" w:rsidP="007613FE">
      <w:pPr>
        <w:pStyle w:val="Odstavek1"/>
      </w:pPr>
    </w:p>
    <w:p w14:paraId="507847EE" w14:textId="3FCCF67D" w:rsidR="00754A51" w:rsidRPr="001A32D7" w:rsidRDefault="00754A51" w:rsidP="00304C05">
      <w:pPr>
        <w:rPr>
          <w:lang w:val="en" w:eastAsia="sl-SI"/>
        </w:rPr>
      </w:pPr>
      <w:r w:rsidRPr="005E6F45">
        <w:rPr>
          <w:lang w:val="en" w:eastAsia="sl-SI"/>
        </w:rPr>
        <w:t xml:space="preserve">Slovenija </w:t>
      </w:r>
      <w:r w:rsidR="00E30CAF">
        <w:rPr>
          <w:lang w:val="en" w:eastAsia="sl-SI"/>
        </w:rPr>
        <w:t xml:space="preserve">ima </w:t>
      </w:r>
      <w:r w:rsidRPr="005E6F45">
        <w:rPr>
          <w:lang w:val="en" w:eastAsia="sl-SI"/>
        </w:rPr>
        <w:t xml:space="preserve">velik del </w:t>
      </w:r>
      <w:r w:rsidRPr="001A32D7">
        <w:rPr>
          <w:lang w:val="en" w:eastAsia="sl-SI"/>
        </w:rPr>
        <w:t>KZU</w:t>
      </w:r>
      <w:r w:rsidRPr="005E6F45">
        <w:rPr>
          <w:lang w:val="en" w:eastAsia="sl-SI"/>
        </w:rPr>
        <w:t xml:space="preserve"> na OMD</w:t>
      </w:r>
      <w:r>
        <w:rPr>
          <w:lang w:val="en" w:eastAsia="sl-SI"/>
        </w:rPr>
        <w:t xml:space="preserve"> (76,2 %)</w:t>
      </w:r>
      <w:r w:rsidRPr="005E6F45">
        <w:rPr>
          <w:lang w:val="en" w:eastAsia="sl-SI"/>
        </w:rPr>
        <w:t xml:space="preserve">, še posebej na gorskih območjih, </w:t>
      </w:r>
      <w:r w:rsidR="00E30CAF">
        <w:rPr>
          <w:lang w:val="en" w:eastAsia="sl-SI"/>
        </w:rPr>
        <w:t xml:space="preserve">zato </w:t>
      </w:r>
      <w:r w:rsidRPr="005E6F45">
        <w:rPr>
          <w:lang w:val="en" w:eastAsia="sl-SI"/>
        </w:rPr>
        <w:t>so</w:t>
      </w:r>
      <w:r w:rsidRPr="001A32D7">
        <w:rPr>
          <w:lang w:val="en" w:eastAsia="sl-SI"/>
        </w:rPr>
        <w:t xml:space="preserve"> tamkajšnja </w:t>
      </w:r>
      <w:r w:rsidRPr="005E6F45">
        <w:rPr>
          <w:lang w:val="en" w:eastAsia="sl-SI"/>
        </w:rPr>
        <w:t>kmetijska gospodarstva omejena pri povečevanju svoje produktivnosti z dejavniki, na katere nimajo vpliva</w:t>
      </w:r>
      <w:r w:rsidRPr="001A32D7">
        <w:rPr>
          <w:lang w:val="en" w:eastAsia="sl-SI"/>
        </w:rPr>
        <w:t>,</w:t>
      </w:r>
      <w:r w:rsidRPr="005E6F45">
        <w:rPr>
          <w:lang w:val="en" w:eastAsia="sl-SI"/>
        </w:rPr>
        <w:t xml:space="preserve"> ter s tem tudi manj konkurenčna. </w:t>
      </w:r>
    </w:p>
    <w:p w14:paraId="1A6E5275" w14:textId="184A1AA9" w:rsidR="00754A51" w:rsidRPr="00546EBF" w:rsidRDefault="00754A51" w:rsidP="00304C05">
      <w:r w:rsidRPr="001A32D7">
        <w:t xml:space="preserve">Analiza </w:t>
      </w:r>
      <w:r>
        <w:t>primerjave dohodkov kmetijskih gospodarstev v državah članicah EU</w:t>
      </w:r>
      <w:r w:rsidRPr="001A32D7">
        <w:t xml:space="preserve">, ki temelji na podatkih FADN, kaže, da je bila raven </w:t>
      </w:r>
      <w:r w:rsidR="00464726">
        <w:t>»</w:t>
      </w:r>
      <w:r w:rsidRPr="001A32D7">
        <w:t>dohodkov kmetij v območjih z omejenimi možnostmi nižja od tistih v območjih, ki nimajo območja z omejenimi možnostmi, tudi po vključitvi posebni</w:t>
      </w:r>
      <w:r w:rsidR="00464726">
        <w:t>h plačil, ki jih prejmejo prvi«.</w:t>
      </w:r>
      <w:r w:rsidRPr="001A32D7">
        <w:t xml:space="preserve"> </w:t>
      </w:r>
      <w:r w:rsidR="006A3441">
        <w:t>(Hill in Bradley, 2015)</w:t>
      </w:r>
      <w:r w:rsidR="005E1EB8">
        <w:t xml:space="preserve"> Podrobneje je dohodkovni položaj kmetij v OMD primerjalno glede na kmetije izven OMD prikazan v analizi stanja za cilj 1, zato se v tem delu ne podvajamo.</w:t>
      </w:r>
      <w:r>
        <w:t xml:space="preserve">Kmetijska gospodarstva na </w:t>
      </w:r>
      <w:r w:rsidR="00425A64">
        <w:t>OMD</w:t>
      </w:r>
      <w:r w:rsidRPr="001A32D7">
        <w:t xml:space="preserve"> </w:t>
      </w:r>
      <w:r>
        <w:t xml:space="preserve">lahko izboljšajo svojo </w:t>
      </w:r>
      <w:r w:rsidRPr="001A32D7">
        <w:t xml:space="preserve">finančno </w:t>
      </w:r>
      <w:r>
        <w:t>uči</w:t>
      </w:r>
      <w:r w:rsidRPr="001A32D7">
        <w:t xml:space="preserve">nkovitost in </w:t>
      </w:r>
      <w:r>
        <w:t xml:space="preserve">konkurenčnost tudi preko vlaganj v osnovna sredstva, še posebej, če so te investicije podprte tudi z </w:t>
      </w:r>
      <w:r w:rsidR="0037317E">
        <w:t xml:space="preserve">javnimi </w:t>
      </w:r>
      <w:r>
        <w:t xml:space="preserve">sredstvi, </w:t>
      </w:r>
      <w:r w:rsidRPr="007E0775">
        <w:t>vendar pa zaradi nižjih dohodkov ne (z)morejo vlagati tolikšnih sredstev kot tista, ki kmetujejo izven OMD.</w:t>
      </w:r>
      <w:r>
        <w:t xml:space="preserve"> </w:t>
      </w:r>
      <w:r w:rsidR="004F78B0">
        <w:t xml:space="preserve">S pomočjo javnih sredstev se lahko tveganja, povezana z investiranjem, zmanjšajo, hkrati pa se zmanjša </w:t>
      </w:r>
      <w:r w:rsidR="00064FEE">
        <w:t xml:space="preserve">tudi </w:t>
      </w:r>
      <w:r w:rsidR="004F78B0">
        <w:t xml:space="preserve">možnost neuspeha, še posebej v </w:t>
      </w:r>
      <w:r w:rsidR="004F78B0" w:rsidRPr="00555F8A">
        <w:t>primerjavi s KMG, ki ne investirajo.</w:t>
      </w:r>
      <w:r w:rsidR="00546EBF" w:rsidRPr="00555F8A">
        <w:t xml:space="preserve"> </w:t>
      </w:r>
      <w:r w:rsidR="00546EBF" w:rsidRPr="007F17DB">
        <w:t>(</w:t>
      </w:r>
      <w:r w:rsidR="00546EBF" w:rsidRPr="007F17DB">
        <w:rPr>
          <w:rFonts w:eastAsia="Calibri"/>
          <w:lang w:val="en"/>
        </w:rPr>
        <w:t>Hlavsa</w:t>
      </w:r>
      <w:r w:rsidR="00546EBF" w:rsidRPr="007F17DB">
        <w:rPr>
          <w:lang w:val="en"/>
        </w:rPr>
        <w:t xml:space="preserve"> Tomáš; Hruška Martin; Turková Edita, 2017)</w:t>
      </w:r>
    </w:p>
    <w:p w14:paraId="54433268" w14:textId="3C45DE05" w:rsidR="00754A51" w:rsidRPr="007F17DB" w:rsidRDefault="00754A51" w:rsidP="00304C05">
      <w:r w:rsidRPr="006249A0">
        <w:t xml:space="preserve">Raziskava tehnične učinkovitosti kmetij </w:t>
      </w:r>
      <w:r w:rsidR="00464726" w:rsidRPr="006249A0">
        <w:t>(</w:t>
      </w:r>
      <w:r w:rsidR="00464726" w:rsidRPr="006249A0">
        <w:rPr>
          <w:iCs/>
        </w:rPr>
        <w:t>Baráth et al., 2017)</w:t>
      </w:r>
      <w:r w:rsidRPr="006249A0">
        <w:t xml:space="preserve"> je pokazala, da kmetije na OMD </w:t>
      </w:r>
      <w:r w:rsidR="00630FF0" w:rsidRPr="006249A0">
        <w:t xml:space="preserve">niso </w:t>
      </w:r>
      <w:r w:rsidRPr="006249A0">
        <w:t>tehnično manj učinkovite kot kmetije na območjih, ki niso omejene na OMD</w:t>
      </w:r>
      <w:r w:rsidR="00630FF0" w:rsidRPr="006249A0">
        <w:t xml:space="preserve">, </w:t>
      </w:r>
      <w:r w:rsidR="00630FF0" w:rsidRPr="006249A0">
        <w:rPr>
          <w:rStyle w:val="tlid-translation"/>
        </w:rPr>
        <w:t>temveč da so med obema skupinama predvsem velike razlike v heterogenosti in tehnologij</w:t>
      </w:r>
      <w:r w:rsidR="00DD07E4" w:rsidRPr="006249A0">
        <w:rPr>
          <w:rStyle w:val="tlid-translation"/>
        </w:rPr>
        <w:t>ah, ki so v primeru k</w:t>
      </w:r>
      <w:r w:rsidR="00630FF0" w:rsidRPr="006249A0">
        <w:rPr>
          <w:rStyle w:val="tlid-translation"/>
        </w:rPr>
        <w:t xml:space="preserve">metij na OMD drugačne, prilagojene </w:t>
      </w:r>
      <w:r w:rsidR="00DD07E4" w:rsidRPr="006249A0">
        <w:rPr>
          <w:rStyle w:val="tlid-translation"/>
        </w:rPr>
        <w:t>proizvodnim in okoljskim pogojem, v okviru katerih delujejo</w:t>
      </w:r>
      <w:r w:rsidRPr="006249A0">
        <w:t xml:space="preserve">. </w:t>
      </w:r>
    </w:p>
    <w:p w14:paraId="6D138F26" w14:textId="4AD1947B" w:rsidR="008551AD" w:rsidRDefault="008551AD" w:rsidP="007613FE">
      <w:pPr>
        <w:pStyle w:val="Odstavek1"/>
      </w:pPr>
    </w:p>
    <w:p w14:paraId="3E910697" w14:textId="68A9A2F4" w:rsidR="00754A51" w:rsidRPr="009F3567" w:rsidRDefault="00754A51" w:rsidP="005B2A49">
      <w:pPr>
        <w:pStyle w:val="Naslov2"/>
      </w:pPr>
      <w:bookmarkStart w:id="3109" w:name="_Toc90462237"/>
      <w:r w:rsidRPr="009F3567">
        <w:t>Analiza naložb v okviru podukrepa M</w:t>
      </w:r>
      <w:r w:rsidR="00745D70">
        <w:t>0</w:t>
      </w:r>
      <w:r w:rsidRPr="009F3567">
        <w:t xml:space="preserve">4.1 </w:t>
      </w:r>
      <w:r w:rsidR="00A6739E">
        <w:t xml:space="preserve">Podpora za naložbe v kmetijska gospodarstva </w:t>
      </w:r>
      <w:r w:rsidRPr="009F3567">
        <w:t xml:space="preserve">PRP 2014-2020 </w:t>
      </w:r>
      <w:r w:rsidR="00367511">
        <w:t xml:space="preserve">glede na OMD </w:t>
      </w:r>
      <w:r w:rsidRPr="009F3567">
        <w:t>(stanje 30. 4. 2020)</w:t>
      </w:r>
      <w:bookmarkEnd w:id="3109"/>
    </w:p>
    <w:p w14:paraId="5CB6ABFD" w14:textId="77777777" w:rsidR="00464726" w:rsidRDefault="00464726" w:rsidP="007613FE">
      <w:pPr>
        <w:pStyle w:val="Odstavek1"/>
      </w:pPr>
    </w:p>
    <w:p w14:paraId="66F100A5" w14:textId="2A9B7ACE" w:rsidR="00754A51" w:rsidRDefault="00754A51" w:rsidP="007613FE">
      <w:pPr>
        <w:pStyle w:val="Odstavek1"/>
      </w:pPr>
      <w:r>
        <w:t>Analiza naložb v okviru investicijskega podukrepa M</w:t>
      </w:r>
      <w:r w:rsidR="00745D70">
        <w:t>0</w:t>
      </w:r>
      <w:r>
        <w:t>4.1 iz PRP 2014-2020 kaže, da je p</w:t>
      </w:r>
      <w:r w:rsidRPr="00C84CD6">
        <w:t xml:space="preserve">ovprečna </w:t>
      </w:r>
      <w:r>
        <w:t>vrednost</w:t>
      </w:r>
      <w:r w:rsidRPr="00C84CD6">
        <w:t xml:space="preserve"> </w:t>
      </w:r>
      <w:r>
        <w:t xml:space="preserve">podprtih </w:t>
      </w:r>
      <w:r w:rsidRPr="00C84CD6">
        <w:t xml:space="preserve">naložb glede na OMD </w:t>
      </w:r>
      <w:r>
        <w:t xml:space="preserve">več kot enkrat višja na </w:t>
      </w:r>
      <w:r w:rsidR="0037317E">
        <w:t>območjih</w:t>
      </w:r>
      <w:r w:rsidR="00D07D40">
        <w:t xml:space="preserve"> izven OMD </w:t>
      </w:r>
      <w:r>
        <w:t xml:space="preserve">(266.469 EUR) v primerjavi s povprečno vrednostjo podprtih naložb na OMD </w:t>
      </w:r>
      <w:r w:rsidR="004E7E63">
        <w:t xml:space="preserve">- gorska območja </w:t>
      </w:r>
      <w:r>
        <w:t xml:space="preserve">(120.846 EUR). </w:t>
      </w:r>
    </w:p>
    <w:p w14:paraId="46B29DD2" w14:textId="77777777" w:rsidR="00464726" w:rsidRDefault="00464726" w:rsidP="007613FE">
      <w:pPr>
        <w:pStyle w:val="Odstavek1"/>
      </w:pPr>
    </w:p>
    <w:p w14:paraId="1238AA42" w14:textId="69D9BF15" w:rsidR="00754A51" w:rsidRDefault="00FB256F" w:rsidP="007613FE">
      <w:pPr>
        <w:pStyle w:val="Odstavek1"/>
      </w:pPr>
      <w:r>
        <w:t>Iz</w:t>
      </w:r>
      <w:r w:rsidR="00754A51">
        <w:t xml:space="preserve"> </w:t>
      </w:r>
      <w:r w:rsidR="00A36DE8">
        <w:t>prikaza (</w:t>
      </w:r>
      <w:r w:rsidRPr="00FB256F">
        <w:fldChar w:fldCharType="begin"/>
      </w:r>
      <w:r w:rsidRPr="00863DCE">
        <w:instrText xml:space="preserve"> REF _Ref54879475 \h  \* MERGEFORMAT </w:instrText>
      </w:r>
      <w:r w:rsidRPr="00FB256F">
        <w:fldChar w:fldCharType="separate"/>
      </w:r>
      <w:r w:rsidR="00F25435" w:rsidRPr="009F3567">
        <w:t>Tabela</w:t>
      </w:r>
      <w:r w:rsidR="00F25435" w:rsidRPr="009F3567">
        <w:rPr>
          <w:noProof/>
        </w:rPr>
        <w:t xml:space="preserve"> </w:t>
      </w:r>
      <w:r w:rsidR="00F25435">
        <w:rPr>
          <w:noProof/>
        </w:rPr>
        <w:t>13</w:t>
      </w:r>
      <w:r w:rsidRPr="00FB256F">
        <w:fldChar w:fldCharType="end"/>
      </w:r>
      <w:r w:rsidR="00A36DE8">
        <w:t>)</w:t>
      </w:r>
      <w:r>
        <w:t xml:space="preserve"> je razvidno, da je pri</w:t>
      </w:r>
      <w:r w:rsidR="00754A51">
        <w:t xml:space="preserve"> </w:t>
      </w:r>
      <w:r>
        <w:t>naložbah v mleko</w:t>
      </w:r>
      <w:r w:rsidR="00754A51">
        <w:t xml:space="preserve"> povprečna vrednost naložb na gorskih območjih </w:t>
      </w:r>
      <w:r>
        <w:t>2-krat</w:t>
      </w:r>
      <w:r w:rsidR="00754A51">
        <w:t xml:space="preserve"> nižja od povprečne vrednosti </w:t>
      </w:r>
      <w:r>
        <w:t xml:space="preserve">tovrstnih </w:t>
      </w:r>
      <w:r w:rsidR="00754A51">
        <w:t xml:space="preserve">naložb na </w:t>
      </w:r>
      <w:r w:rsidR="0037317E">
        <w:t>območjih</w:t>
      </w:r>
      <w:r w:rsidR="00D07D40">
        <w:t xml:space="preserve"> izven OMD</w:t>
      </w:r>
      <w:r>
        <w:t>.</w:t>
      </w:r>
      <w:r w:rsidR="00A36DE8">
        <w:t xml:space="preserve"> </w:t>
      </w:r>
      <w:r>
        <w:t>Š</w:t>
      </w:r>
      <w:r w:rsidR="00754A51">
        <w:t xml:space="preserve">e očitnejša pa je razlika pri pašni živini, kjer je povprečna vrednost naložb </w:t>
      </w:r>
      <w:r w:rsidR="004E7E63">
        <w:t>na</w:t>
      </w:r>
      <w:r w:rsidR="00754A51">
        <w:t xml:space="preserve"> </w:t>
      </w:r>
      <w:r w:rsidR="00D07D40">
        <w:t xml:space="preserve">OMD - </w:t>
      </w:r>
      <w:r w:rsidR="004E7E63">
        <w:t>gorska</w:t>
      </w:r>
      <w:r w:rsidR="00D07D40">
        <w:t xml:space="preserve"> območj</w:t>
      </w:r>
      <w:r w:rsidR="004E7E63">
        <w:t>a</w:t>
      </w:r>
      <w:r w:rsidR="00D07D40">
        <w:t xml:space="preserve"> </w:t>
      </w:r>
      <w:r w:rsidR="004E7E63">
        <w:t xml:space="preserve">za </w:t>
      </w:r>
      <w:r w:rsidR="00754A51">
        <w:t>98 % nižja kot tista na OMD</w:t>
      </w:r>
      <w:r w:rsidR="00D07D40">
        <w:t xml:space="preserve"> - izven gorskih območij</w:t>
      </w:r>
      <w:r w:rsidR="00754A51">
        <w:t xml:space="preserve"> in za 116 % nižja kot povprečna vrednost naložb </w:t>
      </w:r>
      <w:r w:rsidR="0037317E">
        <w:t>na območjih</w:t>
      </w:r>
      <w:r w:rsidR="00D07D40">
        <w:t xml:space="preserve"> izven OMD</w:t>
      </w:r>
      <w:r w:rsidR="00754A51">
        <w:t xml:space="preserve">. </w:t>
      </w:r>
    </w:p>
    <w:p w14:paraId="0F08E324" w14:textId="77777777" w:rsidR="00E9020A" w:rsidRDefault="00E9020A" w:rsidP="007613FE">
      <w:pPr>
        <w:pStyle w:val="Odstavek1"/>
      </w:pPr>
    </w:p>
    <w:p w14:paraId="22E859AE" w14:textId="61847233" w:rsidR="00376F0D" w:rsidRPr="00E155C1" w:rsidRDefault="00754A51" w:rsidP="00304C05">
      <w:pPr>
        <w:pStyle w:val="SCPreglednica"/>
        <w:rPr>
          <w:sz w:val="20"/>
        </w:rPr>
      </w:pPr>
      <w:bookmarkStart w:id="3110" w:name="_Ref54879475"/>
      <w:bookmarkStart w:id="3111" w:name="_Toc89861006"/>
      <w:r w:rsidRPr="00E155C1">
        <w:rPr>
          <w:sz w:val="20"/>
        </w:rPr>
        <w:t xml:space="preserve">Tabela </w:t>
      </w:r>
      <w:r w:rsidR="00A87628" w:rsidRPr="00E155C1">
        <w:rPr>
          <w:noProof/>
          <w:sz w:val="20"/>
        </w:rPr>
        <w:fldChar w:fldCharType="begin"/>
      </w:r>
      <w:r w:rsidR="00A87628" w:rsidRPr="00E155C1">
        <w:rPr>
          <w:noProof/>
          <w:sz w:val="20"/>
        </w:rPr>
        <w:instrText xml:space="preserve"> SEQ Tabela \* ARABIC </w:instrText>
      </w:r>
      <w:r w:rsidR="00A87628" w:rsidRPr="00E155C1">
        <w:rPr>
          <w:noProof/>
          <w:sz w:val="20"/>
        </w:rPr>
        <w:fldChar w:fldCharType="separate"/>
      </w:r>
      <w:r w:rsidR="00F25435" w:rsidRPr="00E155C1">
        <w:rPr>
          <w:noProof/>
          <w:sz w:val="20"/>
        </w:rPr>
        <w:t>13</w:t>
      </w:r>
      <w:r w:rsidR="00A87628" w:rsidRPr="00E155C1">
        <w:rPr>
          <w:noProof/>
          <w:sz w:val="20"/>
        </w:rPr>
        <w:fldChar w:fldCharType="end"/>
      </w:r>
      <w:bookmarkEnd w:id="3110"/>
      <w:r w:rsidRPr="00E155C1">
        <w:rPr>
          <w:sz w:val="20"/>
        </w:rPr>
        <w:t>: Povprečna vrednost podprtih naložb v okviru podukrepa M</w:t>
      </w:r>
      <w:r w:rsidR="00745D70" w:rsidRPr="00E155C1">
        <w:rPr>
          <w:sz w:val="20"/>
        </w:rPr>
        <w:t>0</w:t>
      </w:r>
      <w:r w:rsidRPr="00E155C1">
        <w:rPr>
          <w:sz w:val="20"/>
        </w:rPr>
        <w:t>4.1 PRP 2014-2020 (30.</w:t>
      </w:r>
      <w:r w:rsidR="00745D70" w:rsidRPr="00E155C1">
        <w:rPr>
          <w:sz w:val="20"/>
        </w:rPr>
        <w:t xml:space="preserve"> </w:t>
      </w:r>
      <w:r w:rsidRPr="00E155C1">
        <w:rPr>
          <w:sz w:val="20"/>
        </w:rPr>
        <w:t>4.</w:t>
      </w:r>
      <w:r w:rsidR="00745D70" w:rsidRPr="00E155C1">
        <w:rPr>
          <w:sz w:val="20"/>
        </w:rPr>
        <w:t xml:space="preserve"> </w:t>
      </w:r>
      <w:r w:rsidRPr="00E155C1">
        <w:rPr>
          <w:sz w:val="20"/>
        </w:rPr>
        <w:t>2020) glede na OMD in vrsto kmetijske pridelave</w:t>
      </w:r>
      <w:r w:rsidR="00064FEE" w:rsidRPr="00E155C1">
        <w:rPr>
          <w:sz w:val="20"/>
        </w:rPr>
        <w:t xml:space="preserve"> v EUR</w:t>
      </w:r>
      <w:bookmarkEnd w:id="3111"/>
    </w:p>
    <w:tbl>
      <w:tblPr>
        <w:tblW w:w="8981" w:type="dxa"/>
        <w:tblCellMar>
          <w:left w:w="70" w:type="dxa"/>
          <w:right w:w="70" w:type="dxa"/>
        </w:tblCellMar>
        <w:tblLook w:val="04A0" w:firstRow="1" w:lastRow="0" w:firstColumn="1" w:lastColumn="0" w:noHBand="0" w:noVBand="1"/>
      </w:tblPr>
      <w:tblGrid>
        <w:gridCol w:w="2684"/>
        <w:gridCol w:w="1662"/>
        <w:gridCol w:w="1685"/>
        <w:gridCol w:w="1404"/>
        <w:gridCol w:w="1546"/>
      </w:tblGrid>
      <w:tr w:rsidR="00754A51" w:rsidRPr="006430CA" w14:paraId="78658881" w14:textId="77777777" w:rsidTr="009F3567">
        <w:trPr>
          <w:trHeight w:val="235"/>
        </w:trPr>
        <w:tc>
          <w:tcPr>
            <w:tcW w:w="2684"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noWrap/>
            <w:vAlign w:val="center"/>
            <w:hideMark/>
          </w:tcPr>
          <w:p w14:paraId="14ACAAA0" w14:textId="0CAC6D77" w:rsidR="00754A51" w:rsidRPr="00376F0D" w:rsidRDefault="00754A51" w:rsidP="009F3567">
            <w:pPr>
              <w:spacing w:before="0" w:line="276" w:lineRule="auto"/>
              <w:jc w:val="left"/>
              <w:rPr>
                <w:color w:val="000000"/>
                <w:sz w:val="16"/>
                <w:szCs w:val="16"/>
                <w:lang w:eastAsia="sl-SI"/>
              </w:rPr>
            </w:pPr>
            <w:r w:rsidRPr="00376F0D">
              <w:rPr>
                <w:color w:val="000000"/>
                <w:sz w:val="16"/>
                <w:szCs w:val="16"/>
                <w:lang w:eastAsia="sl-SI"/>
              </w:rPr>
              <w:t>VRSTA</w:t>
            </w:r>
            <w:r w:rsidR="00064FEE">
              <w:rPr>
                <w:color w:val="000000"/>
                <w:sz w:val="16"/>
                <w:szCs w:val="16"/>
                <w:lang w:eastAsia="sl-SI"/>
              </w:rPr>
              <w:t xml:space="preserve"> </w:t>
            </w:r>
            <w:r w:rsidRPr="00376F0D">
              <w:rPr>
                <w:color w:val="000000"/>
                <w:sz w:val="16"/>
                <w:szCs w:val="16"/>
                <w:lang w:eastAsia="sl-SI"/>
              </w:rPr>
              <w:t>KMET</w:t>
            </w:r>
            <w:r w:rsidR="00064FEE">
              <w:rPr>
                <w:color w:val="000000"/>
                <w:sz w:val="16"/>
                <w:szCs w:val="16"/>
                <w:lang w:eastAsia="sl-SI"/>
              </w:rPr>
              <w:t xml:space="preserve">IJSKE </w:t>
            </w:r>
            <w:r w:rsidRPr="00376F0D">
              <w:rPr>
                <w:color w:val="000000"/>
                <w:sz w:val="16"/>
                <w:szCs w:val="16"/>
                <w:lang w:eastAsia="sl-SI"/>
              </w:rPr>
              <w:t>PRIDELAVE</w:t>
            </w:r>
          </w:p>
        </w:tc>
        <w:tc>
          <w:tcPr>
            <w:tcW w:w="6297"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14:paraId="3F1A8B79" w14:textId="4DF0211B" w:rsidR="00754A51" w:rsidRPr="00376F0D" w:rsidRDefault="00754A51" w:rsidP="00D07D40">
            <w:pPr>
              <w:spacing w:before="0" w:line="276" w:lineRule="auto"/>
              <w:jc w:val="center"/>
              <w:rPr>
                <w:color w:val="000000"/>
                <w:sz w:val="16"/>
                <w:szCs w:val="16"/>
                <w:lang w:eastAsia="sl-SI"/>
              </w:rPr>
            </w:pPr>
            <w:r w:rsidRPr="00376F0D">
              <w:rPr>
                <w:color w:val="000000"/>
                <w:sz w:val="16"/>
                <w:szCs w:val="16"/>
                <w:lang w:eastAsia="sl-SI"/>
              </w:rPr>
              <w:t>Povprečna vrednost naložb glede na OMD (</w:t>
            </w:r>
            <w:r w:rsidR="009965D9">
              <w:rPr>
                <w:color w:val="000000"/>
                <w:sz w:val="16"/>
                <w:szCs w:val="16"/>
                <w:lang w:eastAsia="sl-SI"/>
              </w:rPr>
              <w:t xml:space="preserve">v </w:t>
            </w:r>
            <w:r w:rsidRPr="00376F0D">
              <w:rPr>
                <w:color w:val="000000"/>
                <w:sz w:val="16"/>
                <w:szCs w:val="16"/>
                <w:lang w:eastAsia="sl-SI"/>
              </w:rPr>
              <w:t>EUR)</w:t>
            </w:r>
          </w:p>
        </w:tc>
      </w:tr>
      <w:tr w:rsidR="00754A51" w:rsidRPr="006430CA" w14:paraId="0DC313FA" w14:textId="77777777" w:rsidTr="009F3567">
        <w:trPr>
          <w:trHeight w:val="470"/>
        </w:trPr>
        <w:tc>
          <w:tcPr>
            <w:tcW w:w="2684"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6A32BE1D" w14:textId="77777777" w:rsidR="00754A51" w:rsidRPr="00376F0D" w:rsidRDefault="00754A51" w:rsidP="009F3567">
            <w:pPr>
              <w:spacing w:before="0" w:line="276" w:lineRule="auto"/>
              <w:jc w:val="left"/>
              <w:rPr>
                <w:color w:val="000000"/>
                <w:sz w:val="16"/>
                <w:szCs w:val="16"/>
                <w:lang w:eastAsia="sl-SI"/>
              </w:rPr>
            </w:pPr>
          </w:p>
        </w:tc>
        <w:tc>
          <w:tcPr>
            <w:tcW w:w="1662" w:type="dxa"/>
            <w:tcBorders>
              <w:top w:val="nil"/>
              <w:left w:val="nil"/>
              <w:bottom w:val="single" w:sz="8" w:space="0" w:color="auto"/>
              <w:right w:val="single" w:sz="4" w:space="0" w:color="auto"/>
            </w:tcBorders>
            <w:shd w:val="clear" w:color="auto" w:fill="C6D9F1" w:themeFill="text2" w:themeFillTint="33"/>
            <w:vAlign w:val="center"/>
            <w:hideMark/>
          </w:tcPr>
          <w:p w14:paraId="37B4451D" w14:textId="1032EF77" w:rsidR="00754A51" w:rsidRPr="00376F0D" w:rsidRDefault="00D07D40" w:rsidP="009F3567">
            <w:pPr>
              <w:spacing w:before="0" w:line="276" w:lineRule="auto"/>
              <w:jc w:val="center"/>
              <w:rPr>
                <w:color w:val="000000"/>
                <w:sz w:val="16"/>
                <w:szCs w:val="16"/>
                <w:lang w:eastAsia="sl-SI"/>
              </w:rPr>
            </w:pPr>
            <w:r>
              <w:rPr>
                <w:color w:val="000000"/>
                <w:sz w:val="16"/>
                <w:szCs w:val="16"/>
                <w:lang w:eastAsia="sl-SI"/>
              </w:rPr>
              <w:t xml:space="preserve">OMD – </w:t>
            </w:r>
            <w:r w:rsidR="00754A51" w:rsidRPr="00376F0D">
              <w:rPr>
                <w:color w:val="000000"/>
                <w:sz w:val="16"/>
                <w:szCs w:val="16"/>
                <w:lang w:eastAsia="sl-SI"/>
              </w:rPr>
              <w:t>gorsk</w:t>
            </w:r>
            <w:r>
              <w:rPr>
                <w:color w:val="000000"/>
                <w:sz w:val="16"/>
                <w:szCs w:val="16"/>
                <w:lang w:eastAsia="sl-SI"/>
              </w:rPr>
              <w:t>a območja</w:t>
            </w:r>
            <w:r w:rsidR="00754A51" w:rsidRPr="00376F0D">
              <w:rPr>
                <w:color w:val="000000"/>
                <w:sz w:val="16"/>
                <w:szCs w:val="16"/>
                <w:lang w:eastAsia="sl-SI"/>
              </w:rPr>
              <w:t xml:space="preserve"> (13.1)</w:t>
            </w:r>
          </w:p>
        </w:tc>
        <w:tc>
          <w:tcPr>
            <w:tcW w:w="1685" w:type="dxa"/>
            <w:tcBorders>
              <w:top w:val="nil"/>
              <w:left w:val="nil"/>
              <w:bottom w:val="single" w:sz="8" w:space="0" w:color="auto"/>
              <w:right w:val="single" w:sz="4" w:space="0" w:color="auto"/>
            </w:tcBorders>
            <w:shd w:val="clear" w:color="auto" w:fill="C6D9F1" w:themeFill="text2" w:themeFillTint="33"/>
            <w:vAlign w:val="center"/>
            <w:hideMark/>
          </w:tcPr>
          <w:p w14:paraId="19CC3690" w14:textId="0D1955DE" w:rsidR="00376F0D" w:rsidRPr="009F3567" w:rsidRDefault="00D07D40" w:rsidP="009F3567">
            <w:pPr>
              <w:spacing w:before="0" w:line="276" w:lineRule="auto"/>
              <w:jc w:val="center"/>
              <w:rPr>
                <w:color w:val="000000"/>
                <w:sz w:val="16"/>
                <w:szCs w:val="16"/>
                <w:lang w:eastAsia="sl-SI"/>
              </w:rPr>
            </w:pPr>
            <w:r>
              <w:rPr>
                <w:color w:val="000000"/>
                <w:sz w:val="16"/>
                <w:szCs w:val="16"/>
                <w:lang w:eastAsia="sl-SI"/>
              </w:rPr>
              <w:t>OMD – izven gorskih območij</w:t>
            </w:r>
            <w:r w:rsidR="00754A51" w:rsidRPr="00376F0D">
              <w:rPr>
                <w:color w:val="000000"/>
                <w:sz w:val="16"/>
                <w:szCs w:val="16"/>
                <w:lang w:eastAsia="sl-SI"/>
              </w:rPr>
              <w:t xml:space="preserve"> </w:t>
            </w:r>
          </w:p>
          <w:p w14:paraId="4A5601A9"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(13.2 in 13.3)</w:t>
            </w:r>
          </w:p>
        </w:tc>
        <w:tc>
          <w:tcPr>
            <w:tcW w:w="1404" w:type="dxa"/>
            <w:tcBorders>
              <w:top w:val="nil"/>
              <w:left w:val="nil"/>
              <w:bottom w:val="single" w:sz="8" w:space="0" w:color="auto"/>
              <w:right w:val="single" w:sz="4" w:space="0" w:color="auto"/>
            </w:tcBorders>
            <w:shd w:val="clear" w:color="auto" w:fill="C6D9F1" w:themeFill="text2" w:themeFillTint="33"/>
            <w:vAlign w:val="center"/>
            <w:hideMark/>
          </w:tcPr>
          <w:p w14:paraId="608A97F2" w14:textId="1FFFCA84" w:rsidR="00754A51" w:rsidRPr="0037317E" w:rsidRDefault="00D07D40" w:rsidP="00D07D40">
            <w:pPr>
              <w:spacing w:before="0" w:line="276" w:lineRule="auto"/>
              <w:jc w:val="center"/>
              <w:rPr>
                <w:color w:val="000000"/>
                <w:sz w:val="16"/>
                <w:szCs w:val="16"/>
                <w:lang w:eastAsia="sl-SI"/>
              </w:rPr>
            </w:pPr>
            <w:r>
              <w:rPr>
                <w:sz w:val="16"/>
                <w:szCs w:val="16"/>
              </w:rPr>
              <w:t>n</w:t>
            </w:r>
            <w:r w:rsidR="0037317E" w:rsidRPr="0037317E">
              <w:rPr>
                <w:sz w:val="16"/>
                <w:szCs w:val="16"/>
              </w:rPr>
              <w:t>e</w:t>
            </w:r>
            <w:r>
              <w:rPr>
                <w:sz w:val="16"/>
                <w:szCs w:val="16"/>
              </w:rPr>
              <w:t xml:space="preserve"> </w:t>
            </w:r>
            <w:r w:rsidR="0037317E" w:rsidRPr="0037317E">
              <w:rPr>
                <w:sz w:val="16"/>
                <w:szCs w:val="16"/>
              </w:rPr>
              <w:t xml:space="preserve">OMD </w:t>
            </w:r>
          </w:p>
        </w:tc>
        <w:tc>
          <w:tcPr>
            <w:tcW w:w="1545" w:type="dxa"/>
            <w:tcBorders>
              <w:top w:val="nil"/>
              <w:left w:val="nil"/>
              <w:bottom w:val="single" w:sz="8" w:space="0" w:color="auto"/>
              <w:right w:val="single" w:sz="8" w:space="0" w:color="auto"/>
            </w:tcBorders>
            <w:shd w:val="clear" w:color="auto" w:fill="C6D9F1" w:themeFill="text2" w:themeFillTint="33"/>
            <w:vAlign w:val="center"/>
            <w:hideMark/>
          </w:tcPr>
          <w:p w14:paraId="3FF3F9CD"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skupaj</w:t>
            </w:r>
          </w:p>
        </w:tc>
      </w:tr>
      <w:tr w:rsidR="00754A51" w:rsidRPr="006430CA" w14:paraId="355BE2EC" w14:textId="77777777" w:rsidTr="009F3567">
        <w:trPr>
          <w:trHeight w:val="430"/>
        </w:trPr>
        <w:tc>
          <w:tcPr>
            <w:tcW w:w="268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E223E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 - govedoreja: krave molznice</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7187423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166.743</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6D03D26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193.178</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46ACA472"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333.585</w:t>
            </w:r>
          </w:p>
        </w:tc>
        <w:tc>
          <w:tcPr>
            <w:tcW w:w="1545" w:type="dxa"/>
            <w:tcBorders>
              <w:top w:val="single" w:sz="4" w:space="0" w:color="auto"/>
              <w:left w:val="nil"/>
              <w:bottom w:val="single" w:sz="4" w:space="0" w:color="auto"/>
              <w:right w:val="single" w:sz="8" w:space="0" w:color="auto"/>
            </w:tcBorders>
            <w:shd w:val="clear" w:color="auto" w:fill="auto"/>
            <w:noWrap/>
            <w:vAlign w:val="center"/>
            <w:hideMark/>
          </w:tcPr>
          <w:p w14:paraId="682D853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206.023</w:t>
            </w:r>
          </w:p>
        </w:tc>
      </w:tr>
      <w:tr w:rsidR="00754A51" w:rsidRPr="006430CA" w14:paraId="088AFAA2" w14:textId="77777777" w:rsidTr="009F3567">
        <w:trPr>
          <w:trHeight w:val="656"/>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211D591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Pašna živina - govedoreja: krave dojilje, goveji pitanci, reja telet</w:t>
            </w:r>
          </w:p>
        </w:tc>
        <w:tc>
          <w:tcPr>
            <w:tcW w:w="1662" w:type="dxa"/>
            <w:tcBorders>
              <w:top w:val="nil"/>
              <w:left w:val="nil"/>
              <w:bottom w:val="single" w:sz="4" w:space="0" w:color="auto"/>
              <w:right w:val="single" w:sz="4" w:space="0" w:color="auto"/>
            </w:tcBorders>
            <w:shd w:val="clear" w:color="auto" w:fill="auto"/>
            <w:noWrap/>
            <w:vAlign w:val="center"/>
            <w:hideMark/>
          </w:tcPr>
          <w:p w14:paraId="7DEEB92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60.297</w:t>
            </w:r>
          </w:p>
        </w:tc>
        <w:tc>
          <w:tcPr>
            <w:tcW w:w="1685" w:type="dxa"/>
            <w:tcBorders>
              <w:top w:val="nil"/>
              <w:left w:val="nil"/>
              <w:bottom w:val="single" w:sz="4" w:space="0" w:color="auto"/>
              <w:right w:val="single" w:sz="4" w:space="0" w:color="auto"/>
            </w:tcBorders>
            <w:shd w:val="clear" w:color="auto" w:fill="auto"/>
            <w:noWrap/>
            <w:vAlign w:val="center"/>
            <w:hideMark/>
          </w:tcPr>
          <w:p w14:paraId="4A417D5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119.093</w:t>
            </w:r>
          </w:p>
        </w:tc>
        <w:tc>
          <w:tcPr>
            <w:tcW w:w="1404" w:type="dxa"/>
            <w:tcBorders>
              <w:top w:val="nil"/>
              <w:left w:val="nil"/>
              <w:bottom w:val="single" w:sz="4" w:space="0" w:color="auto"/>
              <w:right w:val="single" w:sz="4" w:space="0" w:color="auto"/>
            </w:tcBorders>
            <w:shd w:val="clear" w:color="auto" w:fill="auto"/>
            <w:noWrap/>
            <w:vAlign w:val="center"/>
            <w:hideMark/>
          </w:tcPr>
          <w:p w14:paraId="4D72FF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130.042</w:t>
            </w:r>
          </w:p>
        </w:tc>
        <w:tc>
          <w:tcPr>
            <w:tcW w:w="1545" w:type="dxa"/>
            <w:tcBorders>
              <w:top w:val="nil"/>
              <w:left w:val="nil"/>
              <w:bottom w:val="single" w:sz="4" w:space="0" w:color="auto"/>
              <w:right w:val="single" w:sz="8" w:space="0" w:color="auto"/>
            </w:tcBorders>
            <w:shd w:val="clear" w:color="auto" w:fill="auto"/>
            <w:noWrap/>
            <w:vAlign w:val="center"/>
            <w:hideMark/>
          </w:tcPr>
          <w:p w14:paraId="4FCD0D7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68.074</w:t>
            </w:r>
          </w:p>
        </w:tc>
      </w:tr>
      <w:tr w:rsidR="00754A51" w:rsidRPr="006430CA" w14:paraId="49CEDFFE" w14:textId="77777777" w:rsidTr="009F3567">
        <w:trPr>
          <w:trHeight w:val="479"/>
        </w:trPr>
        <w:tc>
          <w:tcPr>
            <w:tcW w:w="2684"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56BDCF40"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vrste kmetijske pridelave</w:t>
            </w:r>
          </w:p>
        </w:tc>
        <w:tc>
          <w:tcPr>
            <w:tcW w:w="166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4AC49F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120.846</w:t>
            </w:r>
          </w:p>
        </w:tc>
        <w:tc>
          <w:tcPr>
            <w:tcW w:w="1685"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41A208F"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195.858</w:t>
            </w:r>
          </w:p>
        </w:tc>
        <w:tc>
          <w:tcPr>
            <w:tcW w:w="1404"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960112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266.469</w:t>
            </w:r>
          </w:p>
        </w:tc>
        <w:tc>
          <w:tcPr>
            <w:tcW w:w="154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657EBABD"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179.912</w:t>
            </w:r>
          </w:p>
        </w:tc>
      </w:tr>
    </w:tbl>
    <w:p w14:paraId="2073EC5E"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1A3F8481" w14:textId="77777777" w:rsidR="00754A51" w:rsidRDefault="00754A51" w:rsidP="007613FE">
      <w:pPr>
        <w:pStyle w:val="Odstavek1"/>
      </w:pPr>
    </w:p>
    <w:p w14:paraId="11CAFEBD" w14:textId="14082DF7" w:rsidR="00754A51" w:rsidRDefault="00754A51" w:rsidP="007613FE">
      <w:pPr>
        <w:pStyle w:val="Odstavek1"/>
      </w:pPr>
      <w:r>
        <w:t>Vrednost podprtih naložb kmetijskih gospodarstev</w:t>
      </w:r>
      <w:r w:rsidR="00F2746C">
        <w:rPr>
          <w:rStyle w:val="Sprotnaopomba-sklic"/>
        </w:rPr>
        <w:footnoteReference w:id="18"/>
      </w:r>
      <w:r w:rsidR="005C0FAE">
        <w:t xml:space="preserve"> </w:t>
      </w:r>
      <w:r w:rsidR="00267222">
        <w:t>na OMD je bila najvišja</w:t>
      </w:r>
      <w:r>
        <w:t xml:space="preserve"> v razredih </w:t>
      </w:r>
      <w:r w:rsidR="00267222">
        <w:t>med</w:t>
      </w:r>
      <w:r>
        <w:t xml:space="preserve"> 200 </w:t>
      </w:r>
      <w:r w:rsidR="00267222">
        <w:t>in</w:t>
      </w:r>
      <w:r>
        <w:t xml:space="preserve"> 400</w:t>
      </w:r>
      <w:r w:rsidR="004E37A0">
        <w:t xml:space="preserve"> točk</w:t>
      </w:r>
      <w:r w:rsidR="000235C6">
        <w:rPr>
          <w:rStyle w:val="Sprotnaopomba-sklic"/>
        </w:rPr>
        <w:footnoteReference w:id="19"/>
      </w:r>
      <w:r w:rsidR="00267222">
        <w:t xml:space="preserve"> (</w:t>
      </w:r>
      <w:r w:rsidR="00267222">
        <w:fldChar w:fldCharType="begin"/>
      </w:r>
      <w:r w:rsidR="00267222">
        <w:instrText xml:space="preserve"> REF _Ref54900155 \h </w:instrText>
      </w:r>
      <w:r w:rsidR="007613FE">
        <w:instrText xml:space="preserve"> \* MERGEFORMAT </w:instrText>
      </w:r>
      <w:r w:rsidR="00267222">
        <w:fldChar w:fldCharType="separate"/>
      </w:r>
      <w:r w:rsidR="00F25435" w:rsidRPr="00E53EB6">
        <w:t xml:space="preserve">Slika </w:t>
      </w:r>
      <w:r w:rsidR="00F25435" w:rsidRPr="00E53EB6">
        <w:rPr>
          <w:noProof/>
        </w:rPr>
        <w:t>45</w:t>
      </w:r>
      <w:r w:rsidR="00267222">
        <w:fldChar w:fldCharType="end"/>
      </w:r>
      <w:r w:rsidR="00267222">
        <w:t xml:space="preserve">). </w:t>
      </w:r>
    </w:p>
    <w:p w14:paraId="339B6324" w14:textId="77777777" w:rsidR="00754A51" w:rsidRDefault="00754A51" w:rsidP="007613FE">
      <w:pPr>
        <w:pStyle w:val="Odstavek1"/>
      </w:pPr>
    </w:p>
    <w:p w14:paraId="6B3724AE" w14:textId="18D81E72" w:rsidR="00464726" w:rsidRPr="00E155C1" w:rsidRDefault="00464726" w:rsidP="00304C05">
      <w:pPr>
        <w:pStyle w:val="SCSlika0"/>
        <w:rPr>
          <w:sz w:val="20"/>
        </w:rPr>
      </w:pPr>
      <w:bookmarkStart w:id="3112" w:name="_Ref54900155"/>
      <w:bookmarkStart w:id="3113" w:name="_Toc89851087"/>
      <w:r w:rsidRPr="00E155C1">
        <w:rPr>
          <w:sz w:val="20"/>
        </w:rPr>
        <w:t xml:space="preserve">Slika </w:t>
      </w:r>
      <w:r w:rsidR="00072AFA" w:rsidRPr="00E155C1">
        <w:rPr>
          <w:noProof/>
          <w:sz w:val="20"/>
        </w:rPr>
        <w:fldChar w:fldCharType="begin"/>
      </w:r>
      <w:r w:rsidR="00072AFA" w:rsidRPr="00E155C1">
        <w:rPr>
          <w:noProof/>
          <w:sz w:val="20"/>
        </w:rPr>
        <w:instrText xml:space="preserve"> SEQ Slika \* ARABIC </w:instrText>
      </w:r>
      <w:r w:rsidR="00072AFA" w:rsidRPr="00E155C1">
        <w:rPr>
          <w:noProof/>
          <w:sz w:val="20"/>
        </w:rPr>
        <w:fldChar w:fldCharType="separate"/>
      </w:r>
      <w:r w:rsidR="00F25435" w:rsidRPr="00E155C1">
        <w:rPr>
          <w:noProof/>
          <w:sz w:val="20"/>
        </w:rPr>
        <w:t>45</w:t>
      </w:r>
      <w:r w:rsidR="00072AFA" w:rsidRPr="00E155C1">
        <w:rPr>
          <w:noProof/>
          <w:sz w:val="20"/>
        </w:rPr>
        <w:fldChar w:fldCharType="end"/>
      </w:r>
      <w:bookmarkEnd w:id="3112"/>
      <w:r w:rsidRPr="00E155C1">
        <w:rPr>
          <w:sz w:val="20"/>
        </w:rPr>
        <w:t>: Število odobrenih vlog in celotna vrednost naložb po točkah OMD v okviru podukrepa M</w:t>
      </w:r>
      <w:r w:rsidR="00F2746C" w:rsidRPr="00E155C1">
        <w:rPr>
          <w:sz w:val="20"/>
        </w:rPr>
        <w:t>0</w:t>
      </w:r>
      <w:r w:rsidRPr="00E155C1">
        <w:rPr>
          <w:sz w:val="20"/>
        </w:rPr>
        <w:t>4.1 PRP 2014–2020, stanje 30. 4. 2020</w:t>
      </w:r>
      <w:bookmarkEnd w:id="3113"/>
    </w:p>
    <w:p w14:paraId="3D8727CA" w14:textId="77777777" w:rsidR="00754A51" w:rsidRDefault="00754A51" w:rsidP="009F3567">
      <w:pPr>
        <w:spacing w:before="0" w:line="276" w:lineRule="auto"/>
        <w:rPr>
          <w:sz w:val="20"/>
          <w:szCs w:val="20"/>
        </w:rPr>
      </w:pPr>
      <w:r>
        <w:rPr>
          <w:noProof/>
          <w:lang w:eastAsia="sl-SI"/>
        </w:rPr>
        <w:drawing>
          <wp:inline distT="0" distB="0" distL="0" distR="0" wp14:anchorId="768EF572" wp14:editId="656AFAD1">
            <wp:extent cx="5735262" cy="2473037"/>
            <wp:effectExtent l="0" t="0" r="18415" b="3810"/>
            <wp:docPr id="1631865580" name="Grafikon 1631865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0E3E89" w14:textId="77777777" w:rsidR="00754A51" w:rsidRPr="003E65EF" w:rsidRDefault="00754A51" w:rsidP="009F3567">
      <w:pPr>
        <w:spacing w:before="0" w:line="276" w:lineRule="auto"/>
        <w:rPr>
          <w:sz w:val="16"/>
          <w:szCs w:val="16"/>
          <w:lang w:eastAsia="en-US"/>
        </w:rPr>
      </w:pPr>
      <w:r w:rsidRPr="00891309">
        <w:rPr>
          <w:sz w:val="16"/>
          <w:szCs w:val="16"/>
        </w:rPr>
        <w:t>Vir: MKGP.</w:t>
      </w:r>
    </w:p>
    <w:p w14:paraId="0E81D28F" w14:textId="77777777" w:rsidR="00754A51" w:rsidRDefault="00754A51" w:rsidP="007613FE">
      <w:pPr>
        <w:pStyle w:val="Odstavek1"/>
      </w:pPr>
    </w:p>
    <w:p w14:paraId="257761B0" w14:textId="16998265" w:rsidR="00754A51" w:rsidRPr="001A32D7" w:rsidRDefault="00754A51" w:rsidP="007613FE">
      <w:pPr>
        <w:pStyle w:val="Odstavek1"/>
        <w:rPr>
          <w:bCs/>
          <w:lang w:eastAsia="sl-SI"/>
        </w:rPr>
      </w:pPr>
      <w:r>
        <w:t xml:space="preserve">V sektorju </w:t>
      </w:r>
      <w:r w:rsidRPr="001A32D7">
        <w:t>govedoreja</w:t>
      </w:r>
      <w:r w:rsidR="00AF77F3">
        <w:rPr>
          <w:rStyle w:val="Sprotnaopomba-sklic"/>
        </w:rPr>
        <w:footnoteReference w:id="20"/>
      </w:r>
      <w:r>
        <w:t xml:space="preserve"> so vrednostno</w:t>
      </w:r>
      <w:r w:rsidRPr="001A32D7">
        <w:t xml:space="preserve"> prevladovale </w:t>
      </w:r>
      <w:r w:rsidRPr="001A32D7">
        <w:rPr>
          <w:bCs/>
          <w:lang w:eastAsia="sl-SI"/>
        </w:rPr>
        <w:t>naložbe v ureditev ali vzdrževanje nepremičnin za kmet</w:t>
      </w:r>
      <w:r w:rsidR="0037317E">
        <w:rPr>
          <w:bCs/>
          <w:lang w:eastAsia="sl-SI"/>
        </w:rPr>
        <w:t>ijsko</w:t>
      </w:r>
      <w:r w:rsidRPr="001A32D7">
        <w:rPr>
          <w:bCs/>
          <w:lang w:eastAsia="sl-SI"/>
        </w:rPr>
        <w:t xml:space="preserve"> dejavnost, nakup pripadajoče opreme za kmet</w:t>
      </w:r>
      <w:r w:rsidR="0037317E">
        <w:rPr>
          <w:bCs/>
          <w:lang w:eastAsia="sl-SI"/>
        </w:rPr>
        <w:t>ijsko</w:t>
      </w:r>
      <w:r w:rsidRPr="001A32D7">
        <w:rPr>
          <w:bCs/>
          <w:lang w:eastAsia="sl-SI"/>
        </w:rPr>
        <w:t xml:space="preserve"> proizvodnjo, ureditev greznic in čistilnih naprav, nakup informacijsko-komunikacijske tehnologije (IKT) in strojne opreme, kjer ni večjih razlik med naložbami </w:t>
      </w:r>
      <w:r w:rsidR="004E7E63">
        <w:rPr>
          <w:bCs/>
          <w:lang w:eastAsia="sl-SI"/>
        </w:rPr>
        <w:t>na</w:t>
      </w:r>
      <w:r w:rsidR="004E7E63" w:rsidRPr="001A32D7">
        <w:rPr>
          <w:bCs/>
          <w:lang w:eastAsia="sl-SI"/>
        </w:rPr>
        <w:t xml:space="preserve">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 xml:space="preserve"> in </w:t>
      </w:r>
      <w:r w:rsidR="004E7E63">
        <w:rPr>
          <w:bCs/>
          <w:lang w:eastAsia="sl-SI"/>
        </w:rPr>
        <w:t xml:space="preserve">na </w:t>
      </w:r>
      <w:r w:rsidRPr="001A32D7">
        <w:rPr>
          <w:bCs/>
          <w:lang w:eastAsia="sl-SI"/>
        </w:rPr>
        <w:t xml:space="preserve">tistih </w:t>
      </w:r>
      <w:r w:rsidR="00D07D40">
        <w:rPr>
          <w:bCs/>
          <w:lang w:eastAsia="sl-SI"/>
        </w:rPr>
        <w:t>izven OMD</w:t>
      </w:r>
      <w:r w:rsidRPr="001A32D7">
        <w:rPr>
          <w:bCs/>
          <w:lang w:eastAsia="sl-SI"/>
        </w:rPr>
        <w:t xml:space="preserve">. </w:t>
      </w:r>
      <w:r>
        <w:rPr>
          <w:bCs/>
          <w:lang w:eastAsia="sl-SI"/>
        </w:rPr>
        <w:t>P</w:t>
      </w:r>
      <w:r w:rsidRPr="001A32D7">
        <w:rPr>
          <w:bCs/>
          <w:lang w:eastAsia="sl-SI"/>
        </w:rPr>
        <w:t>ri naložbah v novo kmetijsko mehanizacijo ter strojno in transportno opremo za prevoz živali in surovin</w:t>
      </w:r>
      <w:r w:rsidRPr="005E6F45">
        <w:rPr>
          <w:bCs/>
          <w:lang w:eastAsia="sl-SI"/>
        </w:rPr>
        <w:t xml:space="preserve"> pa je</w:t>
      </w:r>
      <w:r w:rsidRPr="001A32D7">
        <w:rPr>
          <w:bCs/>
          <w:lang w:eastAsia="sl-SI"/>
        </w:rPr>
        <w:t xml:space="preserve"> vrednost teh naložb na </w:t>
      </w:r>
      <w:r w:rsidR="00D07D40">
        <w:rPr>
          <w:bCs/>
          <w:lang w:eastAsia="sl-SI"/>
        </w:rPr>
        <w:t>OMD – izven gorskih območij</w:t>
      </w:r>
      <w:r w:rsidRPr="001A32D7">
        <w:rPr>
          <w:bCs/>
          <w:lang w:eastAsia="sl-SI"/>
        </w:rPr>
        <w:t xml:space="preserve"> in </w:t>
      </w:r>
      <w:r w:rsidR="004E7E63">
        <w:rPr>
          <w:bCs/>
          <w:lang w:eastAsia="sl-SI"/>
        </w:rPr>
        <w:t xml:space="preserve">na območjih </w:t>
      </w:r>
      <w:r w:rsidR="00D07D40">
        <w:rPr>
          <w:bCs/>
          <w:lang w:eastAsia="sl-SI"/>
        </w:rPr>
        <w:t>izven OMD</w:t>
      </w:r>
      <w:r w:rsidRPr="001A32D7">
        <w:rPr>
          <w:bCs/>
          <w:lang w:eastAsia="sl-SI"/>
        </w:rPr>
        <w:t xml:space="preserve"> za skoraj 80 % nižja od vrednosti naložb na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w:t>
      </w:r>
      <w:r w:rsidR="000B4C41">
        <w:rPr>
          <w:bCs/>
          <w:lang w:eastAsia="sl-SI"/>
        </w:rPr>
        <w:t xml:space="preserve"> Razlog za takšno razhajanje je v tem, da je bil individualni nakup kmetijske mehanizacije znotraj podukrepa M04.1 v programskem obdobju 2014–2020 močno omejen. Individualni nakup je bil podprt za npr. prilagajanje zahtevnosti kmetovanja na OMD – gorskih območjih ali za ekološko kmetovanje. Na območjih izven OMD je bil sofinanciran zgolj kolektivni nakup kmetijske mehanizacije oziroma nakup specialne mehanizacije, za katero so bili izkazani pozitivni vplivi na okolje.</w:t>
      </w:r>
    </w:p>
    <w:p w14:paraId="6FEB5714" w14:textId="1C125483" w:rsidR="00754A51" w:rsidRDefault="00754A51" w:rsidP="007613FE">
      <w:pPr>
        <w:pStyle w:val="Odstavek1"/>
        <w:rPr>
          <w:rFonts w:ascii="Microsoft Sans Serif" w:hAnsi="Microsoft Sans Serif" w:cs="Microsoft Sans Serif"/>
          <w:b/>
          <w:bCs/>
          <w:lang w:eastAsia="sl-SI"/>
        </w:rPr>
      </w:pPr>
      <w:r>
        <w:rPr>
          <w:rFonts w:ascii="Microsoft Sans Serif" w:hAnsi="Microsoft Sans Serif" w:cs="Microsoft Sans Serif"/>
          <w:b/>
          <w:bCs/>
          <w:lang w:eastAsia="sl-SI"/>
        </w:rPr>
        <w:t xml:space="preserve"> </w:t>
      </w:r>
    </w:p>
    <w:p w14:paraId="2255D802" w14:textId="18BB100C" w:rsidR="00F25435" w:rsidRPr="00E53EB6" w:rsidRDefault="00754A51" w:rsidP="00E53EB6">
      <w:pPr>
        <w:pStyle w:val="SCPreglednica"/>
      </w:pPr>
      <w:bookmarkStart w:id="3114" w:name="_Toc89861007"/>
      <w:r w:rsidRPr="00E155C1">
        <w:rPr>
          <w:sz w:val="20"/>
        </w:rPr>
        <w:t xml:space="preserve">Tabela </w:t>
      </w:r>
      <w:r w:rsidR="009F2591" w:rsidRPr="00E155C1">
        <w:rPr>
          <w:noProof/>
          <w:sz w:val="20"/>
        </w:rPr>
        <w:fldChar w:fldCharType="begin"/>
      </w:r>
      <w:r w:rsidR="009F2591" w:rsidRPr="00E155C1">
        <w:rPr>
          <w:noProof/>
          <w:sz w:val="20"/>
        </w:rPr>
        <w:instrText xml:space="preserve"> SEQ Tabela \* ARABIC </w:instrText>
      </w:r>
      <w:r w:rsidR="009F2591" w:rsidRPr="00E155C1">
        <w:rPr>
          <w:noProof/>
          <w:sz w:val="20"/>
        </w:rPr>
        <w:fldChar w:fldCharType="separate"/>
      </w:r>
      <w:r w:rsidR="00F25435" w:rsidRPr="00E155C1">
        <w:rPr>
          <w:noProof/>
          <w:sz w:val="20"/>
        </w:rPr>
        <w:t>14</w:t>
      </w:r>
      <w:r w:rsidR="009F2591" w:rsidRPr="00E155C1">
        <w:rPr>
          <w:noProof/>
          <w:sz w:val="20"/>
        </w:rPr>
        <w:fldChar w:fldCharType="end"/>
      </w:r>
      <w:r w:rsidRPr="00E155C1">
        <w:rPr>
          <w:sz w:val="20"/>
        </w:rPr>
        <w:t>: Vrednost podprtih naložb v okviru podukrepa M</w:t>
      </w:r>
      <w:r w:rsidR="00F2746C" w:rsidRPr="00E155C1">
        <w:rPr>
          <w:sz w:val="20"/>
        </w:rPr>
        <w:t>0</w:t>
      </w:r>
      <w:r w:rsidRPr="00E155C1">
        <w:rPr>
          <w:sz w:val="20"/>
        </w:rPr>
        <w:t>4.1 PRP 2014-2020 (30.</w:t>
      </w:r>
      <w:r w:rsidR="007E3018" w:rsidRPr="00E155C1">
        <w:rPr>
          <w:sz w:val="20"/>
        </w:rPr>
        <w:t xml:space="preserve"> </w:t>
      </w:r>
      <w:r w:rsidRPr="00E155C1">
        <w:rPr>
          <w:sz w:val="20"/>
        </w:rPr>
        <w:t>4.</w:t>
      </w:r>
      <w:r w:rsidR="007E3018" w:rsidRPr="00E155C1">
        <w:rPr>
          <w:sz w:val="20"/>
        </w:rPr>
        <w:t xml:space="preserve"> </w:t>
      </w:r>
      <w:r w:rsidRPr="00E155C1">
        <w:rPr>
          <w:sz w:val="20"/>
        </w:rPr>
        <w:t>2020) glede na OMD in vrsto naložbe v sektorju govedoreja</w:t>
      </w:r>
      <w:bookmarkEnd w:id="3114"/>
      <w:r w:rsidRPr="00E155C1">
        <w:rPr>
          <w:sz w:val="20"/>
        </w:rPr>
        <w:t xml:space="preserve"> </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4"/>
        <w:gridCol w:w="1621"/>
        <w:gridCol w:w="1547"/>
        <w:gridCol w:w="2103"/>
        <w:gridCol w:w="1547"/>
      </w:tblGrid>
      <w:tr w:rsidR="00754A51" w:rsidRPr="00845A6E" w14:paraId="5B0DA7B6" w14:textId="77777777" w:rsidTr="00267222">
        <w:trPr>
          <w:trHeight w:val="249"/>
        </w:trPr>
        <w:tc>
          <w:tcPr>
            <w:tcW w:w="2234" w:type="dxa"/>
            <w:vMerge w:val="restart"/>
            <w:shd w:val="clear" w:color="auto" w:fill="C6D9F1" w:themeFill="text2" w:themeFillTint="33"/>
            <w:noWrap/>
            <w:vAlign w:val="center"/>
            <w:hideMark/>
          </w:tcPr>
          <w:p w14:paraId="1B3CE4F9" w14:textId="77777777" w:rsidR="00754A51" w:rsidRPr="00375F08" w:rsidRDefault="00754A51" w:rsidP="009F3567">
            <w:pPr>
              <w:spacing w:before="0" w:line="276" w:lineRule="auto"/>
              <w:jc w:val="left"/>
              <w:rPr>
                <w:b/>
                <w:color w:val="000000"/>
                <w:sz w:val="16"/>
                <w:szCs w:val="16"/>
                <w:lang w:eastAsia="sl-SI"/>
              </w:rPr>
            </w:pPr>
            <w:r w:rsidRPr="00375F08">
              <w:rPr>
                <w:b/>
                <w:color w:val="000000"/>
                <w:sz w:val="16"/>
                <w:szCs w:val="16"/>
                <w:lang w:eastAsia="sl-SI"/>
              </w:rPr>
              <w:t>Prevladujoča vrsta naložbe</w:t>
            </w:r>
          </w:p>
        </w:tc>
        <w:tc>
          <w:tcPr>
            <w:tcW w:w="6818" w:type="dxa"/>
            <w:gridSpan w:val="4"/>
            <w:shd w:val="clear" w:color="auto" w:fill="C6D9F1" w:themeFill="text2" w:themeFillTint="33"/>
            <w:noWrap/>
            <w:vAlign w:val="center"/>
            <w:hideMark/>
          </w:tcPr>
          <w:p w14:paraId="0A28D204" w14:textId="5C699847" w:rsidR="00754A51" w:rsidRPr="00375F08" w:rsidRDefault="00754A51" w:rsidP="009F3567">
            <w:pPr>
              <w:spacing w:before="0" w:line="276" w:lineRule="auto"/>
              <w:jc w:val="center"/>
              <w:rPr>
                <w:b/>
                <w:color w:val="000000"/>
                <w:sz w:val="16"/>
                <w:szCs w:val="16"/>
                <w:lang w:eastAsia="sl-SI"/>
              </w:rPr>
            </w:pPr>
            <w:r w:rsidRPr="00375F08">
              <w:rPr>
                <w:b/>
                <w:color w:val="000000"/>
                <w:sz w:val="16"/>
                <w:szCs w:val="16"/>
                <w:lang w:eastAsia="sl-SI"/>
              </w:rPr>
              <w:t>Višina vrednosti naložb glede na OMD</w:t>
            </w:r>
            <w:r w:rsidRPr="0096416A">
              <w:rPr>
                <w:b/>
                <w:color w:val="000000"/>
                <w:sz w:val="16"/>
                <w:szCs w:val="16"/>
                <w:lang w:eastAsia="sl-SI"/>
              </w:rPr>
              <w:t xml:space="preserve"> (EUR)</w:t>
            </w:r>
          </w:p>
        </w:tc>
      </w:tr>
      <w:tr w:rsidR="00D07D40" w:rsidRPr="00845A6E" w14:paraId="5E964816" w14:textId="77777777" w:rsidTr="00267222">
        <w:trPr>
          <w:trHeight w:val="257"/>
        </w:trPr>
        <w:tc>
          <w:tcPr>
            <w:tcW w:w="2234" w:type="dxa"/>
            <w:vMerge/>
            <w:shd w:val="clear" w:color="auto" w:fill="C6D9F1" w:themeFill="text2" w:themeFillTint="33"/>
            <w:vAlign w:val="center"/>
            <w:hideMark/>
          </w:tcPr>
          <w:p w14:paraId="35E7DD2A" w14:textId="77777777" w:rsidR="00D07D40" w:rsidRPr="004E7E63" w:rsidRDefault="00D07D40" w:rsidP="00D07D40">
            <w:pPr>
              <w:spacing w:before="0" w:line="276" w:lineRule="auto"/>
              <w:jc w:val="left"/>
              <w:rPr>
                <w:b/>
                <w:color w:val="000000"/>
                <w:sz w:val="16"/>
                <w:szCs w:val="16"/>
                <w:lang w:eastAsia="sl-SI"/>
              </w:rPr>
            </w:pPr>
          </w:p>
        </w:tc>
        <w:tc>
          <w:tcPr>
            <w:tcW w:w="1621" w:type="dxa"/>
            <w:shd w:val="clear" w:color="auto" w:fill="C6D9F1" w:themeFill="text2" w:themeFillTint="33"/>
            <w:vAlign w:val="center"/>
            <w:hideMark/>
          </w:tcPr>
          <w:p w14:paraId="1B1C6B41" w14:textId="5A03BB8D"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OMD – gorska območja (13.1)</w:t>
            </w:r>
          </w:p>
        </w:tc>
        <w:tc>
          <w:tcPr>
            <w:tcW w:w="1547" w:type="dxa"/>
            <w:shd w:val="clear" w:color="auto" w:fill="C6D9F1" w:themeFill="text2" w:themeFillTint="33"/>
            <w:vAlign w:val="center"/>
            <w:hideMark/>
          </w:tcPr>
          <w:p w14:paraId="407A392F" w14:textId="77777777" w:rsidR="00D07D40" w:rsidRPr="00634C04" w:rsidRDefault="00D07D40" w:rsidP="00D07D40">
            <w:pPr>
              <w:spacing w:before="0" w:line="276" w:lineRule="auto"/>
              <w:jc w:val="center"/>
              <w:rPr>
                <w:b/>
                <w:color w:val="000000"/>
                <w:sz w:val="16"/>
                <w:szCs w:val="16"/>
                <w:lang w:eastAsia="sl-SI"/>
              </w:rPr>
            </w:pPr>
            <w:r w:rsidRPr="00634C04">
              <w:rPr>
                <w:b/>
                <w:color w:val="000000"/>
                <w:sz w:val="16"/>
                <w:szCs w:val="16"/>
                <w:lang w:eastAsia="sl-SI"/>
              </w:rPr>
              <w:t xml:space="preserve">OMD – izven gorskih območij </w:t>
            </w:r>
          </w:p>
          <w:p w14:paraId="2C4B4BAB" w14:textId="5C3EEF4E"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(13.2 in 13.3)</w:t>
            </w:r>
          </w:p>
        </w:tc>
        <w:tc>
          <w:tcPr>
            <w:tcW w:w="2103" w:type="dxa"/>
            <w:shd w:val="clear" w:color="auto" w:fill="C6D9F1" w:themeFill="text2" w:themeFillTint="33"/>
            <w:vAlign w:val="center"/>
            <w:hideMark/>
          </w:tcPr>
          <w:p w14:paraId="5FA2BBA8" w14:textId="756F706E" w:rsidR="00D07D40" w:rsidRPr="00375F08" w:rsidRDefault="00D07D40" w:rsidP="00D07D40">
            <w:pPr>
              <w:spacing w:before="0" w:line="276" w:lineRule="auto"/>
              <w:jc w:val="center"/>
              <w:rPr>
                <w:b/>
                <w:color w:val="000000"/>
                <w:sz w:val="16"/>
                <w:szCs w:val="16"/>
                <w:lang w:eastAsia="sl-SI"/>
              </w:rPr>
            </w:pPr>
            <w:r w:rsidRPr="00634C04">
              <w:rPr>
                <w:b/>
                <w:sz w:val="16"/>
                <w:szCs w:val="16"/>
              </w:rPr>
              <w:t xml:space="preserve">ne OMD </w:t>
            </w:r>
          </w:p>
        </w:tc>
        <w:tc>
          <w:tcPr>
            <w:tcW w:w="1547" w:type="dxa"/>
            <w:shd w:val="clear" w:color="auto" w:fill="C6D9F1" w:themeFill="text2" w:themeFillTint="33"/>
            <w:vAlign w:val="center"/>
            <w:hideMark/>
          </w:tcPr>
          <w:p w14:paraId="01060263" w14:textId="77777777" w:rsidR="00D07D40" w:rsidRPr="00375F08" w:rsidRDefault="00D07D40" w:rsidP="00D07D40">
            <w:pPr>
              <w:spacing w:before="0" w:line="276" w:lineRule="auto"/>
              <w:jc w:val="center"/>
              <w:rPr>
                <w:b/>
                <w:color w:val="000000"/>
                <w:sz w:val="16"/>
                <w:szCs w:val="16"/>
                <w:lang w:eastAsia="sl-SI"/>
              </w:rPr>
            </w:pPr>
            <w:r w:rsidRPr="00375F08">
              <w:rPr>
                <w:b/>
                <w:color w:val="000000"/>
                <w:sz w:val="16"/>
                <w:szCs w:val="16"/>
                <w:lang w:eastAsia="sl-SI"/>
              </w:rPr>
              <w:t>skupaj</w:t>
            </w:r>
          </w:p>
        </w:tc>
      </w:tr>
      <w:tr w:rsidR="00754A51" w:rsidRPr="005E6F45" w14:paraId="5A27AF50" w14:textId="77777777" w:rsidTr="00267222">
        <w:trPr>
          <w:trHeight w:val="397"/>
        </w:trPr>
        <w:tc>
          <w:tcPr>
            <w:tcW w:w="2234" w:type="dxa"/>
            <w:shd w:val="clear" w:color="auto" w:fill="auto"/>
            <w:vAlign w:val="center"/>
            <w:hideMark/>
          </w:tcPr>
          <w:p w14:paraId="46584FB5"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in postavitev rastlinjakov ter pripadajoče opreme</w:t>
            </w:r>
          </w:p>
        </w:tc>
        <w:tc>
          <w:tcPr>
            <w:tcW w:w="1621" w:type="dxa"/>
            <w:shd w:val="clear" w:color="auto" w:fill="auto"/>
            <w:noWrap/>
            <w:vAlign w:val="center"/>
            <w:hideMark/>
          </w:tcPr>
          <w:p w14:paraId="44F69E4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c>
          <w:tcPr>
            <w:tcW w:w="1547" w:type="dxa"/>
            <w:shd w:val="clear" w:color="auto" w:fill="auto"/>
            <w:noWrap/>
            <w:vAlign w:val="center"/>
            <w:hideMark/>
          </w:tcPr>
          <w:p w14:paraId="44230D9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0FCD471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512D83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r>
      <w:tr w:rsidR="00754A51" w:rsidRPr="005E6F45" w14:paraId="2E94F502" w14:textId="77777777" w:rsidTr="00267222">
        <w:trPr>
          <w:trHeight w:val="854"/>
        </w:trPr>
        <w:tc>
          <w:tcPr>
            <w:tcW w:w="2234" w:type="dxa"/>
            <w:shd w:val="clear" w:color="auto" w:fill="auto"/>
            <w:vAlign w:val="center"/>
            <w:hideMark/>
          </w:tcPr>
          <w:p w14:paraId="3F7D7298"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Nakup nove kmetijske mehanizacije ter strojne in transportne opreme za prevoz živali in surovin</w:t>
            </w:r>
          </w:p>
        </w:tc>
        <w:tc>
          <w:tcPr>
            <w:tcW w:w="1621" w:type="dxa"/>
            <w:shd w:val="clear" w:color="auto" w:fill="auto"/>
            <w:noWrap/>
            <w:vAlign w:val="center"/>
            <w:hideMark/>
          </w:tcPr>
          <w:p w14:paraId="4AA20596"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23.014.041</w:t>
            </w:r>
          </w:p>
        </w:tc>
        <w:tc>
          <w:tcPr>
            <w:tcW w:w="1547" w:type="dxa"/>
            <w:shd w:val="clear" w:color="auto" w:fill="auto"/>
            <w:noWrap/>
            <w:vAlign w:val="center"/>
            <w:hideMark/>
          </w:tcPr>
          <w:p w14:paraId="44BD399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6.372.575</w:t>
            </w:r>
          </w:p>
        </w:tc>
        <w:tc>
          <w:tcPr>
            <w:tcW w:w="2103" w:type="dxa"/>
            <w:shd w:val="clear" w:color="auto" w:fill="auto"/>
            <w:noWrap/>
            <w:vAlign w:val="center"/>
            <w:hideMark/>
          </w:tcPr>
          <w:p w14:paraId="2A561CA2"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5.684.070</w:t>
            </w:r>
          </w:p>
        </w:tc>
        <w:tc>
          <w:tcPr>
            <w:tcW w:w="1547" w:type="dxa"/>
            <w:shd w:val="clear" w:color="auto" w:fill="auto"/>
            <w:noWrap/>
            <w:vAlign w:val="center"/>
            <w:hideMark/>
          </w:tcPr>
          <w:p w14:paraId="44954C17"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35.070.686</w:t>
            </w:r>
          </w:p>
        </w:tc>
      </w:tr>
      <w:tr w:rsidR="00754A51" w:rsidRPr="005E6F45" w14:paraId="65DCC68B" w14:textId="77777777" w:rsidTr="00267222">
        <w:trPr>
          <w:trHeight w:val="485"/>
        </w:trPr>
        <w:tc>
          <w:tcPr>
            <w:tcW w:w="2234" w:type="dxa"/>
            <w:shd w:val="clear" w:color="auto" w:fill="auto"/>
            <w:vAlign w:val="center"/>
            <w:hideMark/>
          </w:tcPr>
          <w:p w14:paraId="238821B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naložb, namenjenih učinkoviti rabi energije</w:t>
            </w:r>
          </w:p>
        </w:tc>
        <w:tc>
          <w:tcPr>
            <w:tcW w:w="1621" w:type="dxa"/>
            <w:shd w:val="clear" w:color="auto" w:fill="auto"/>
            <w:noWrap/>
            <w:vAlign w:val="center"/>
            <w:hideMark/>
          </w:tcPr>
          <w:p w14:paraId="388281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c>
          <w:tcPr>
            <w:tcW w:w="1547" w:type="dxa"/>
            <w:shd w:val="clear" w:color="auto" w:fill="auto"/>
            <w:noWrap/>
            <w:vAlign w:val="center"/>
            <w:hideMark/>
          </w:tcPr>
          <w:p w14:paraId="01AC6741"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E01D99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80654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r>
      <w:tr w:rsidR="00754A51" w:rsidRPr="005E6F45" w14:paraId="51D1727B" w14:textId="77777777" w:rsidTr="00267222">
        <w:trPr>
          <w:trHeight w:val="603"/>
        </w:trPr>
        <w:tc>
          <w:tcPr>
            <w:tcW w:w="2234" w:type="dxa"/>
            <w:shd w:val="clear" w:color="auto" w:fill="auto"/>
            <w:vAlign w:val="center"/>
            <w:hideMark/>
          </w:tcPr>
          <w:p w14:paraId="61B9A1A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oziroma obnove sadovnjakov in oljčnikov vključno s postavitvijo jagodišč</w:t>
            </w:r>
          </w:p>
        </w:tc>
        <w:tc>
          <w:tcPr>
            <w:tcW w:w="1621" w:type="dxa"/>
            <w:shd w:val="clear" w:color="auto" w:fill="auto"/>
            <w:noWrap/>
            <w:vAlign w:val="center"/>
            <w:hideMark/>
          </w:tcPr>
          <w:p w14:paraId="297B77B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120.290</w:t>
            </w:r>
          </w:p>
        </w:tc>
        <w:tc>
          <w:tcPr>
            <w:tcW w:w="1547" w:type="dxa"/>
            <w:shd w:val="clear" w:color="auto" w:fill="auto"/>
            <w:noWrap/>
            <w:vAlign w:val="center"/>
            <w:hideMark/>
          </w:tcPr>
          <w:p w14:paraId="00AD28A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40.045</w:t>
            </w:r>
          </w:p>
        </w:tc>
        <w:tc>
          <w:tcPr>
            <w:tcW w:w="2103" w:type="dxa"/>
            <w:shd w:val="clear" w:color="auto" w:fill="auto"/>
            <w:noWrap/>
            <w:vAlign w:val="center"/>
            <w:hideMark/>
          </w:tcPr>
          <w:p w14:paraId="0DFCB7A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31F461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160.334</w:t>
            </w:r>
          </w:p>
        </w:tc>
      </w:tr>
      <w:tr w:rsidR="00754A51" w:rsidRPr="005E6F45" w14:paraId="4F038768" w14:textId="77777777" w:rsidTr="00267222">
        <w:trPr>
          <w:trHeight w:val="488"/>
        </w:trPr>
        <w:tc>
          <w:tcPr>
            <w:tcW w:w="2234" w:type="dxa"/>
            <w:shd w:val="clear" w:color="auto" w:fill="auto"/>
            <w:vAlign w:val="center"/>
            <w:hideMark/>
          </w:tcPr>
          <w:p w14:paraId="6B21B3C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pašnikov in obor</w:t>
            </w:r>
          </w:p>
        </w:tc>
        <w:tc>
          <w:tcPr>
            <w:tcW w:w="1621" w:type="dxa"/>
            <w:shd w:val="clear" w:color="auto" w:fill="auto"/>
            <w:noWrap/>
            <w:vAlign w:val="center"/>
            <w:hideMark/>
          </w:tcPr>
          <w:p w14:paraId="06F9FE2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c>
          <w:tcPr>
            <w:tcW w:w="1547" w:type="dxa"/>
            <w:shd w:val="clear" w:color="auto" w:fill="auto"/>
            <w:noWrap/>
            <w:vAlign w:val="center"/>
            <w:hideMark/>
          </w:tcPr>
          <w:p w14:paraId="3F99095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6D085E9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522B19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r>
      <w:tr w:rsidR="00754A51" w:rsidRPr="005E6F45" w14:paraId="51C66716" w14:textId="77777777" w:rsidTr="00267222">
        <w:trPr>
          <w:trHeight w:val="672"/>
        </w:trPr>
        <w:tc>
          <w:tcPr>
            <w:tcW w:w="2234" w:type="dxa"/>
            <w:shd w:val="clear" w:color="auto" w:fill="auto"/>
            <w:vAlign w:val="center"/>
            <w:hideMark/>
          </w:tcPr>
          <w:p w14:paraId="556E785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pridobivanja energije iz obnovljivih virov  na kmetijskih gospodarstvih</w:t>
            </w:r>
          </w:p>
        </w:tc>
        <w:tc>
          <w:tcPr>
            <w:tcW w:w="1621" w:type="dxa"/>
            <w:shd w:val="clear" w:color="auto" w:fill="auto"/>
            <w:noWrap/>
            <w:vAlign w:val="center"/>
            <w:hideMark/>
          </w:tcPr>
          <w:p w14:paraId="0A0CBB5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196.991</w:t>
            </w:r>
          </w:p>
        </w:tc>
        <w:tc>
          <w:tcPr>
            <w:tcW w:w="1547" w:type="dxa"/>
            <w:shd w:val="clear" w:color="auto" w:fill="auto"/>
            <w:noWrap/>
            <w:vAlign w:val="center"/>
            <w:hideMark/>
          </w:tcPr>
          <w:p w14:paraId="257ACDF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161.722</w:t>
            </w:r>
          </w:p>
        </w:tc>
        <w:tc>
          <w:tcPr>
            <w:tcW w:w="2103" w:type="dxa"/>
            <w:shd w:val="clear" w:color="auto" w:fill="auto"/>
            <w:noWrap/>
            <w:vAlign w:val="center"/>
            <w:hideMark/>
          </w:tcPr>
          <w:p w14:paraId="733D729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176326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358.713</w:t>
            </w:r>
          </w:p>
        </w:tc>
      </w:tr>
      <w:tr w:rsidR="00754A51" w:rsidRPr="005E6F45" w14:paraId="598E21F7" w14:textId="77777777" w:rsidTr="00267222">
        <w:trPr>
          <w:trHeight w:val="1459"/>
        </w:trPr>
        <w:tc>
          <w:tcPr>
            <w:tcW w:w="2234" w:type="dxa"/>
            <w:shd w:val="clear" w:color="auto" w:fill="auto"/>
            <w:vAlign w:val="center"/>
            <w:hideMark/>
          </w:tcPr>
          <w:p w14:paraId="436D8D03"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Stroški ureditve ali vzdrževanje nepremičnin za kmet. dejavnost, nakup pripadajoče opreme za kmet. proizvodnjo, ureditev greznic in čistilnih naprav, nakup informacijsko-komunikacijske tehnologije (IKT) in strojne opreme</w:t>
            </w:r>
          </w:p>
        </w:tc>
        <w:tc>
          <w:tcPr>
            <w:tcW w:w="1621" w:type="dxa"/>
            <w:shd w:val="clear" w:color="auto" w:fill="auto"/>
            <w:noWrap/>
            <w:vAlign w:val="center"/>
            <w:hideMark/>
          </w:tcPr>
          <w:p w14:paraId="5CC773A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26.425.180</w:t>
            </w:r>
          </w:p>
        </w:tc>
        <w:tc>
          <w:tcPr>
            <w:tcW w:w="1547" w:type="dxa"/>
            <w:shd w:val="clear" w:color="auto" w:fill="auto"/>
            <w:noWrap/>
            <w:vAlign w:val="center"/>
            <w:hideMark/>
          </w:tcPr>
          <w:p w14:paraId="6AAC6CB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5.681.707</w:t>
            </w:r>
          </w:p>
        </w:tc>
        <w:tc>
          <w:tcPr>
            <w:tcW w:w="2103" w:type="dxa"/>
            <w:shd w:val="clear" w:color="auto" w:fill="auto"/>
            <w:noWrap/>
            <w:vAlign w:val="center"/>
            <w:hideMark/>
          </w:tcPr>
          <w:p w14:paraId="73D27D6B"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24.019.754</w:t>
            </w:r>
          </w:p>
        </w:tc>
        <w:tc>
          <w:tcPr>
            <w:tcW w:w="1547" w:type="dxa"/>
            <w:shd w:val="clear" w:color="auto" w:fill="auto"/>
            <w:noWrap/>
            <w:vAlign w:val="center"/>
            <w:hideMark/>
          </w:tcPr>
          <w:p w14:paraId="6D2257C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61.094.024</w:t>
            </w:r>
          </w:p>
        </w:tc>
      </w:tr>
      <w:tr w:rsidR="00754A51" w:rsidRPr="005E6F45" w14:paraId="615F9C53" w14:textId="77777777" w:rsidTr="00267222">
        <w:trPr>
          <w:trHeight w:val="608"/>
        </w:trPr>
        <w:tc>
          <w:tcPr>
            <w:tcW w:w="2234" w:type="dxa"/>
            <w:shd w:val="clear" w:color="auto" w:fill="auto"/>
            <w:vAlign w:val="center"/>
            <w:hideMark/>
          </w:tcPr>
          <w:p w14:paraId="3CB9F53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priključkov kmetijskega gospodarstva na objekte javne infrastrukture</w:t>
            </w:r>
          </w:p>
        </w:tc>
        <w:tc>
          <w:tcPr>
            <w:tcW w:w="1621" w:type="dxa"/>
            <w:shd w:val="clear" w:color="auto" w:fill="auto"/>
            <w:noWrap/>
            <w:vAlign w:val="center"/>
            <w:hideMark/>
          </w:tcPr>
          <w:p w14:paraId="450236A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c>
          <w:tcPr>
            <w:tcW w:w="1547" w:type="dxa"/>
            <w:shd w:val="clear" w:color="auto" w:fill="auto"/>
            <w:noWrap/>
            <w:vAlign w:val="center"/>
            <w:hideMark/>
          </w:tcPr>
          <w:p w14:paraId="00F8349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D0618A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DEBFD4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r>
      <w:tr w:rsidR="00754A51" w:rsidRPr="005E6F45" w14:paraId="15564FF1" w14:textId="77777777" w:rsidTr="00267222">
        <w:trPr>
          <w:trHeight w:val="861"/>
        </w:trPr>
        <w:tc>
          <w:tcPr>
            <w:tcW w:w="2234" w:type="dxa"/>
            <w:shd w:val="clear" w:color="auto" w:fill="auto"/>
            <w:vAlign w:val="center"/>
            <w:hideMark/>
          </w:tcPr>
          <w:p w14:paraId="2BFD03C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zasebnih namakalnih sistemov, ki so namenjeni enemu uporabniku, ter nakupa in postavitve namakalne opreme</w:t>
            </w:r>
          </w:p>
        </w:tc>
        <w:tc>
          <w:tcPr>
            <w:tcW w:w="1621" w:type="dxa"/>
            <w:shd w:val="clear" w:color="auto" w:fill="auto"/>
            <w:noWrap/>
            <w:vAlign w:val="center"/>
            <w:hideMark/>
          </w:tcPr>
          <w:p w14:paraId="2486CB2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258.970</w:t>
            </w:r>
          </w:p>
        </w:tc>
        <w:tc>
          <w:tcPr>
            <w:tcW w:w="1547" w:type="dxa"/>
            <w:shd w:val="clear" w:color="auto" w:fill="auto"/>
            <w:noWrap/>
            <w:vAlign w:val="center"/>
            <w:hideMark/>
          </w:tcPr>
          <w:p w14:paraId="622C532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59801ED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19.036</w:t>
            </w:r>
          </w:p>
        </w:tc>
        <w:tc>
          <w:tcPr>
            <w:tcW w:w="1547" w:type="dxa"/>
            <w:shd w:val="clear" w:color="auto" w:fill="auto"/>
            <w:noWrap/>
            <w:vAlign w:val="center"/>
            <w:hideMark/>
          </w:tcPr>
          <w:p w14:paraId="232D20F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278.006</w:t>
            </w:r>
          </w:p>
        </w:tc>
      </w:tr>
      <w:tr w:rsidR="00754A51" w:rsidRPr="00845A6E" w14:paraId="3426425E" w14:textId="77777777" w:rsidTr="00267222">
        <w:trPr>
          <w:trHeight w:val="259"/>
        </w:trPr>
        <w:tc>
          <w:tcPr>
            <w:tcW w:w="2234" w:type="dxa"/>
            <w:shd w:val="clear" w:color="auto" w:fill="C6D9F1" w:themeFill="text2" w:themeFillTint="33"/>
            <w:vAlign w:val="center"/>
            <w:hideMark/>
          </w:tcPr>
          <w:p w14:paraId="2B458A79"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w:t>
            </w:r>
          </w:p>
        </w:tc>
        <w:tc>
          <w:tcPr>
            <w:tcW w:w="1621" w:type="dxa"/>
            <w:shd w:val="clear" w:color="auto" w:fill="C6D9F1" w:themeFill="text2" w:themeFillTint="33"/>
            <w:noWrap/>
            <w:vAlign w:val="center"/>
            <w:hideMark/>
          </w:tcPr>
          <w:p w14:paraId="25DE0718" w14:textId="77777777" w:rsidR="00AC0C12" w:rsidRDefault="00AC0C12" w:rsidP="009F3567">
            <w:pPr>
              <w:spacing w:before="0" w:line="276" w:lineRule="auto"/>
              <w:jc w:val="right"/>
              <w:rPr>
                <w:b/>
                <w:color w:val="000000"/>
                <w:sz w:val="16"/>
                <w:szCs w:val="16"/>
                <w:lang w:eastAsia="sl-SI"/>
              </w:rPr>
            </w:pPr>
          </w:p>
          <w:p w14:paraId="51C2F3F7" w14:textId="77777777" w:rsidR="00754A51" w:rsidRDefault="00754A51" w:rsidP="009F3567">
            <w:pPr>
              <w:spacing w:before="0" w:line="276" w:lineRule="auto"/>
              <w:jc w:val="right"/>
              <w:rPr>
                <w:b/>
                <w:color w:val="000000"/>
                <w:sz w:val="16"/>
                <w:szCs w:val="16"/>
                <w:lang w:eastAsia="sl-SI"/>
              </w:rPr>
            </w:pPr>
            <w:r w:rsidRPr="001A32D7">
              <w:rPr>
                <w:b/>
                <w:color w:val="000000"/>
                <w:sz w:val="16"/>
                <w:szCs w:val="16"/>
                <w:lang w:eastAsia="sl-SI"/>
              </w:rPr>
              <w:t>51.699.255</w:t>
            </w:r>
          </w:p>
          <w:p w14:paraId="3F16392D" w14:textId="77777777" w:rsidR="00AC0C12" w:rsidRPr="001A32D7" w:rsidRDefault="00AC0C12" w:rsidP="009F3567">
            <w:pPr>
              <w:spacing w:before="0" w:line="276" w:lineRule="auto"/>
              <w:jc w:val="right"/>
              <w:rPr>
                <w:b/>
                <w:color w:val="000000"/>
                <w:sz w:val="16"/>
                <w:szCs w:val="16"/>
                <w:lang w:eastAsia="sl-SI"/>
              </w:rPr>
            </w:pPr>
          </w:p>
        </w:tc>
        <w:tc>
          <w:tcPr>
            <w:tcW w:w="1547" w:type="dxa"/>
            <w:shd w:val="clear" w:color="auto" w:fill="C6D9F1" w:themeFill="text2" w:themeFillTint="33"/>
            <w:noWrap/>
            <w:vAlign w:val="center"/>
            <w:hideMark/>
          </w:tcPr>
          <w:p w14:paraId="529C43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17.223.432</w:t>
            </w:r>
          </w:p>
        </w:tc>
        <w:tc>
          <w:tcPr>
            <w:tcW w:w="2103" w:type="dxa"/>
            <w:shd w:val="clear" w:color="auto" w:fill="C6D9F1" w:themeFill="text2" w:themeFillTint="33"/>
            <w:noWrap/>
            <w:vAlign w:val="center"/>
            <w:hideMark/>
          </w:tcPr>
          <w:p w14:paraId="4FC8CD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29.722.860</w:t>
            </w:r>
          </w:p>
        </w:tc>
        <w:tc>
          <w:tcPr>
            <w:tcW w:w="1547" w:type="dxa"/>
            <w:shd w:val="clear" w:color="auto" w:fill="C6D9F1" w:themeFill="text2" w:themeFillTint="33"/>
            <w:noWrap/>
            <w:vAlign w:val="center"/>
            <w:hideMark/>
          </w:tcPr>
          <w:p w14:paraId="657E2A3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98.645.547</w:t>
            </w:r>
          </w:p>
        </w:tc>
      </w:tr>
    </w:tbl>
    <w:p w14:paraId="3ACCE771"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61D7A4FA" w14:textId="77777777" w:rsidR="00754A51" w:rsidRDefault="00754A51" w:rsidP="007613FE">
      <w:pPr>
        <w:pStyle w:val="Odstavek1"/>
      </w:pPr>
    </w:p>
    <w:p w14:paraId="5DE47E62" w14:textId="209BA6F1" w:rsidR="00267222" w:rsidRDefault="00267222" w:rsidP="007613FE">
      <w:pPr>
        <w:pStyle w:val="Odstavek1"/>
      </w:pPr>
      <w:r>
        <w:t xml:space="preserve">Povprečno podprto KMG v sektorju govedoreja na OMD - gorska območja je precej manjše: v povprečju obdeluje 38,7 ha KZU in redi 37 GVŽ, medtem ko KMG na območjih izven OMD obdeluje skoraj 61 ha KZU ter redi 84 GVŽ. </w:t>
      </w:r>
    </w:p>
    <w:p w14:paraId="5A5FCEA5" w14:textId="77777777" w:rsidR="00754A51" w:rsidRDefault="00754A51" w:rsidP="007613FE">
      <w:pPr>
        <w:pStyle w:val="Odstavek1"/>
      </w:pPr>
    </w:p>
    <w:p w14:paraId="288786B4" w14:textId="1885E981" w:rsidR="00376F0D" w:rsidRPr="00E155C1" w:rsidRDefault="00376F0D" w:rsidP="00304C05">
      <w:pPr>
        <w:pStyle w:val="SCSlika0"/>
        <w:rPr>
          <w:sz w:val="20"/>
        </w:rPr>
      </w:pPr>
      <w:bookmarkStart w:id="3115" w:name="_Toc89851088"/>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sidRPr="00E155C1">
        <w:rPr>
          <w:noProof/>
          <w:sz w:val="20"/>
        </w:rPr>
        <w:t>46</w:t>
      </w:r>
      <w:r w:rsidR="009F2591" w:rsidRPr="00E155C1">
        <w:rPr>
          <w:noProof/>
          <w:sz w:val="20"/>
        </w:rPr>
        <w:fldChar w:fldCharType="end"/>
      </w:r>
      <w:r w:rsidRPr="00E155C1">
        <w:rPr>
          <w:sz w:val="20"/>
        </w:rPr>
        <w:t>: Primerjava povprečnega števila ha KZU, števila GVŽ, PDM in PDM/ha KZU v sektorju govedorej</w:t>
      </w:r>
      <w:r w:rsidR="007E3018" w:rsidRPr="00E155C1">
        <w:rPr>
          <w:sz w:val="20"/>
        </w:rPr>
        <w:t>e</w:t>
      </w:r>
      <w:r w:rsidRPr="00E155C1">
        <w:rPr>
          <w:sz w:val="20"/>
        </w:rPr>
        <w:t xml:space="preserve"> glede na OMD za podprte naložbe v okviru podukrepa M</w:t>
      </w:r>
      <w:r w:rsidR="00821CEE" w:rsidRPr="00E155C1">
        <w:rPr>
          <w:sz w:val="20"/>
        </w:rPr>
        <w:t>0</w:t>
      </w:r>
      <w:r w:rsidRPr="00E155C1">
        <w:rPr>
          <w:sz w:val="20"/>
        </w:rPr>
        <w:t>4.1 PRP 2014–2020 (stanje 30. 4. 2020)</w:t>
      </w:r>
      <w:bookmarkEnd w:id="3115"/>
    </w:p>
    <w:p w14:paraId="72477D68" w14:textId="77777777" w:rsidR="00754A51" w:rsidRDefault="00754A51" w:rsidP="009F3567">
      <w:pPr>
        <w:pStyle w:val="Default"/>
        <w:spacing w:line="276" w:lineRule="auto"/>
        <w:jc w:val="both"/>
        <w:rPr>
          <w:sz w:val="20"/>
          <w:szCs w:val="20"/>
        </w:rPr>
      </w:pPr>
      <w:r>
        <w:rPr>
          <w:noProof/>
          <w:lang w:eastAsia="sl-SI"/>
        </w:rPr>
        <w:drawing>
          <wp:inline distT="0" distB="0" distL="0" distR="0" wp14:anchorId="54250D0D" wp14:editId="19714B7B">
            <wp:extent cx="5603443" cy="2662733"/>
            <wp:effectExtent l="0" t="0" r="16510" b="4445"/>
            <wp:docPr id="1631865582" name="Grafikon 1631865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BA2ECB4" w14:textId="77777777" w:rsidR="00754A51" w:rsidRPr="003E65EF" w:rsidRDefault="00376F0D" w:rsidP="009F3567">
      <w:pPr>
        <w:spacing w:before="0" w:line="276" w:lineRule="auto"/>
        <w:rPr>
          <w:sz w:val="16"/>
          <w:szCs w:val="16"/>
          <w:lang w:eastAsia="en-US"/>
        </w:rPr>
      </w:pPr>
      <w:r>
        <w:rPr>
          <w:sz w:val="16"/>
          <w:szCs w:val="16"/>
        </w:rPr>
        <w:t>Vir: MKGP</w:t>
      </w:r>
    </w:p>
    <w:p w14:paraId="745F7AD9" w14:textId="77777777" w:rsidR="00754A51" w:rsidRDefault="00754A51" w:rsidP="007613FE">
      <w:pPr>
        <w:pStyle w:val="Odstavek1"/>
      </w:pPr>
    </w:p>
    <w:p w14:paraId="1ACF0F17" w14:textId="77777777" w:rsidR="00754A51" w:rsidRDefault="00754A51" w:rsidP="007613FE">
      <w:pPr>
        <w:pStyle w:val="Odstavek1"/>
      </w:pPr>
    </w:p>
    <w:p w14:paraId="1482A858" w14:textId="66623676" w:rsidR="00172BB8" w:rsidRDefault="00124161" w:rsidP="007613FE">
      <w:pPr>
        <w:pStyle w:val="Odstavek1"/>
      </w:pPr>
      <w:r w:rsidRPr="00124161">
        <w:t>V</w:t>
      </w:r>
      <w:r>
        <w:t xml:space="preserve"> nadaljevanju sledi še grafični prikaz vlaganj v okviru podukrepa </w:t>
      </w:r>
      <w:r w:rsidR="00821CEE" w:rsidRPr="00821CEE">
        <w:rPr>
          <w:bCs/>
        </w:rPr>
        <w:t>M0</w:t>
      </w:r>
      <w:r w:rsidRPr="00821CEE">
        <w:t>4</w:t>
      </w:r>
      <w:r>
        <w:t>.1 PRP 2014–20</w:t>
      </w:r>
      <w:r w:rsidR="00172BB8">
        <w:t xml:space="preserve">20, iz katerega je razvidno, da </w:t>
      </w:r>
      <w:r>
        <w:t xml:space="preserve">naložbe v kmetijska </w:t>
      </w:r>
      <w:r w:rsidR="00172BB8">
        <w:t>gospodarstva</w:t>
      </w:r>
      <w:r>
        <w:t xml:space="preserve"> gravitirajo na vzhod</w:t>
      </w:r>
      <w:r w:rsidR="00172BB8">
        <w:t>ni del</w:t>
      </w:r>
      <w:r>
        <w:t xml:space="preserve"> države</w:t>
      </w:r>
      <w:r w:rsidR="000B4C41">
        <w:t xml:space="preserve">. </w:t>
      </w:r>
    </w:p>
    <w:p w14:paraId="7380FA47" w14:textId="77777777" w:rsidR="00124161" w:rsidRDefault="00124161" w:rsidP="007613FE">
      <w:pPr>
        <w:pStyle w:val="Odstavek1"/>
      </w:pPr>
    </w:p>
    <w:p w14:paraId="360E6C7B" w14:textId="65681D45" w:rsidR="00124161" w:rsidRDefault="000429A3" w:rsidP="00304C05">
      <w:pPr>
        <w:pStyle w:val="SCSlika0"/>
      </w:pPr>
      <w:bookmarkStart w:id="3116" w:name="_Toc89851089"/>
      <w:r w:rsidRPr="00AC0C12">
        <w:t xml:space="preserve">Slika </w:t>
      </w:r>
      <w:r w:rsidR="00072AFA">
        <w:rPr>
          <w:noProof/>
        </w:rPr>
        <w:fldChar w:fldCharType="begin"/>
      </w:r>
      <w:r w:rsidR="00072AFA">
        <w:rPr>
          <w:noProof/>
        </w:rPr>
        <w:instrText xml:space="preserve"> SEQ Slika \* ARABIC </w:instrText>
      </w:r>
      <w:r w:rsidR="00072AFA">
        <w:rPr>
          <w:noProof/>
        </w:rPr>
        <w:fldChar w:fldCharType="separate"/>
      </w:r>
      <w:r w:rsidR="00F25435">
        <w:rPr>
          <w:noProof/>
        </w:rPr>
        <w:t>47</w:t>
      </w:r>
      <w:r w:rsidR="00072AFA">
        <w:rPr>
          <w:noProof/>
        </w:rPr>
        <w:fldChar w:fldCharType="end"/>
      </w:r>
      <w:r w:rsidR="00124161" w:rsidRPr="00AC0C12">
        <w:t>:</w:t>
      </w:r>
      <w:r w:rsidR="00124161">
        <w:t xml:space="preserve"> Lokacija naložb na KMG v okviru podukrepa </w:t>
      </w:r>
      <w:r w:rsidR="00821CEE" w:rsidRPr="00821CEE">
        <w:rPr>
          <w:bCs/>
        </w:rPr>
        <w:t>M0</w:t>
      </w:r>
      <w:r w:rsidR="00124161" w:rsidRPr="00821CEE">
        <w:t>4</w:t>
      </w:r>
      <w:r w:rsidR="00124161">
        <w:t>.1 PRP 2014–2020</w:t>
      </w:r>
      <w:bookmarkEnd w:id="3116"/>
    </w:p>
    <w:p w14:paraId="626479BB" w14:textId="77777777" w:rsidR="00124161" w:rsidRDefault="00124161" w:rsidP="00304C05">
      <w:pPr>
        <w:jc w:val="left"/>
      </w:pPr>
      <w:r>
        <w:rPr>
          <w:noProof/>
          <w:lang w:eastAsia="sl-SI"/>
        </w:rPr>
        <w:drawing>
          <wp:inline distT="0" distB="0" distL="0" distR="0" wp14:anchorId="3F91E176" wp14:editId="5A8339CB">
            <wp:extent cx="3398520" cy="2403538"/>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kacije_nalozbe_4-1.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07300" cy="2409747"/>
                    </a:xfrm>
                    <a:prstGeom prst="rect">
                      <a:avLst/>
                    </a:prstGeom>
                  </pic:spPr>
                </pic:pic>
              </a:graphicData>
            </a:graphic>
          </wp:inline>
        </w:drawing>
      </w:r>
    </w:p>
    <w:p w14:paraId="439EECF9" w14:textId="77777777" w:rsidR="00124161" w:rsidRPr="00172BB8" w:rsidRDefault="00124161" w:rsidP="009F3567">
      <w:pPr>
        <w:pStyle w:val="Default"/>
        <w:spacing w:line="276" w:lineRule="auto"/>
        <w:jc w:val="both"/>
        <w:rPr>
          <w:rFonts w:ascii="Arial" w:hAnsi="Arial" w:cs="Arial"/>
          <w:sz w:val="16"/>
          <w:szCs w:val="20"/>
        </w:rPr>
      </w:pPr>
      <w:r w:rsidRPr="00172BB8">
        <w:rPr>
          <w:rFonts w:ascii="Arial" w:hAnsi="Arial" w:cs="Arial"/>
          <w:sz w:val="16"/>
          <w:szCs w:val="20"/>
        </w:rPr>
        <w:t>Vir: MKGP</w:t>
      </w:r>
    </w:p>
    <w:p w14:paraId="42F5F7D4" w14:textId="77777777" w:rsidR="00124161" w:rsidRDefault="00124161" w:rsidP="007613FE">
      <w:pPr>
        <w:pStyle w:val="Odstavek1"/>
      </w:pPr>
    </w:p>
    <w:p w14:paraId="71316504" w14:textId="6AD231F7" w:rsidR="00124161" w:rsidRDefault="00172BB8" w:rsidP="007613FE">
      <w:pPr>
        <w:pStyle w:val="Odstavek1"/>
      </w:pPr>
      <w:r>
        <w:t>Prikaz lociranosti naložb na kmetijskih gospodarstvih v skupni vrednosti</w:t>
      </w:r>
      <w:r w:rsidR="0037317E">
        <w:rPr>
          <w:rStyle w:val="Sprotnaopomba-sklic"/>
        </w:rPr>
        <w:footnoteReference w:id="21"/>
      </w:r>
      <w:r>
        <w:t xml:space="preserve"> do 100.000 </w:t>
      </w:r>
      <w:r w:rsidR="00F2746C">
        <w:t>EUR</w:t>
      </w:r>
      <w:r>
        <w:t xml:space="preserve"> in nad 100.000 </w:t>
      </w:r>
      <w:r w:rsidR="00F2746C">
        <w:t>EUR</w:t>
      </w:r>
      <w:r>
        <w:t xml:space="preserve"> kaže, da večje naložbe gravitirajo na vzhodni del države, medtem ko so manjše naložbe razpršene. Na zahodnem in jugozahodnem delu države</w:t>
      </w:r>
      <w:r w:rsidR="0037317E">
        <w:t>,</w:t>
      </w:r>
      <w:r>
        <w:t xml:space="preserve"> </w:t>
      </w:r>
      <w:r w:rsidR="0037317E">
        <w:t xml:space="preserve">ki hkrati večinoma </w:t>
      </w:r>
      <w:r w:rsidR="004E7E63">
        <w:t xml:space="preserve">sodi </w:t>
      </w:r>
      <w:r w:rsidR="0037317E">
        <w:t xml:space="preserve">tudi </w:t>
      </w:r>
      <w:r w:rsidR="00863A21">
        <w:t xml:space="preserve">v </w:t>
      </w:r>
      <w:r w:rsidR="0037317E">
        <w:t xml:space="preserve">OMD, </w:t>
      </w:r>
      <w:r>
        <w:t>je razvidno večje število manjših naložb.</w:t>
      </w:r>
    </w:p>
    <w:p w14:paraId="0EFD44F7" w14:textId="77777777" w:rsidR="00172BB8" w:rsidRDefault="00172BB8"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378"/>
      </w:tblGrid>
      <w:tr w:rsidR="00172BB8" w14:paraId="5F898B5C" w14:textId="77777777" w:rsidTr="00172BB8">
        <w:tc>
          <w:tcPr>
            <w:tcW w:w="4689" w:type="dxa"/>
          </w:tcPr>
          <w:p w14:paraId="254B6A9C" w14:textId="40660386" w:rsidR="00172BB8" w:rsidRDefault="000429A3" w:rsidP="00304C05">
            <w:pPr>
              <w:pStyle w:val="SCSlika0"/>
            </w:pPr>
            <w:bookmarkStart w:id="3117" w:name="_Toc89851090"/>
            <w:r w:rsidRPr="000429A3">
              <w:t xml:space="preserve">Slika </w:t>
            </w:r>
            <w:r w:rsidRPr="000429A3">
              <w:fldChar w:fldCharType="begin"/>
            </w:r>
            <w:r w:rsidRPr="000429A3">
              <w:instrText xml:space="preserve"> SEQ Slika \* ARABIC </w:instrText>
            </w:r>
            <w:r w:rsidRPr="000429A3">
              <w:fldChar w:fldCharType="separate"/>
            </w:r>
            <w:r w:rsidR="00F25435">
              <w:rPr>
                <w:noProof/>
              </w:rPr>
              <w:t>48</w:t>
            </w:r>
            <w:r w:rsidRPr="000429A3">
              <w:fldChar w:fldCharType="end"/>
            </w:r>
            <w:r w:rsidR="00172BB8">
              <w:t xml:space="preserve">: Lokacija naložb iz podukrepa </w:t>
            </w:r>
            <w:r w:rsidR="007E3018">
              <w:t>M0</w:t>
            </w:r>
            <w:r w:rsidR="00172BB8">
              <w:t xml:space="preserve">4.1 v skupni višini do 100.000 </w:t>
            </w:r>
            <w:r w:rsidR="007E3018">
              <w:t>EUR</w:t>
            </w:r>
            <w:bookmarkEnd w:id="3117"/>
          </w:p>
        </w:tc>
        <w:tc>
          <w:tcPr>
            <w:tcW w:w="4373" w:type="dxa"/>
          </w:tcPr>
          <w:p w14:paraId="5945A2F6" w14:textId="77D4FD30" w:rsidR="00172BB8" w:rsidRDefault="000429A3" w:rsidP="00304C05">
            <w:pPr>
              <w:pStyle w:val="SCSlika0"/>
            </w:pPr>
            <w:bookmarkStart w:id="3118" w:name="_Toc89851091"/>
            <w:r w:rsidRPr="000429A3">
              <w:t xml:space="preserve">Slika </w:t>
            </w:r>
            <w:r w:rsidRPr="000429A3">
              <w:fldChar w:fldCharType="begin"/>
            </w:r>
            <w:r w:rsidRPr="000429A3">
              <w:instrText xml:space="preserve"> SEQ Slika \* ARABIC </w:instrText>
            </w:r>
            <w:r w:rsidRPr="000429A3">
              <w:fldChar w:fldCharType="separate"/>
            </w:r>
            <w:r w:rsidR="00F25435">
              <w:rPr>
                <w:noProof/>
              </w:rPr>
              <w:t>49</w:t>
            </w:r>
            <w:r w:rsidRPr="000429A3">
              <w:fldChar w:fldCharType="end"/>
            </w:r>
            <w:r w:rsidR="00172BB8" w:rsidRPr="000429A3">
              <w:t>:</w:t>
            </w:r>
            <w:r w:rsidR="00172BB8">
              <w:t xml:space="preserve"> Lokacija naložb iz podukrepa </w:t>
            </w:r>
            <w:r w:rsidR="007E3018">
              <w:t>M0</w:t>
            </w:r>
            <w:r w:rsidR="00172BB8">
              <w:t xml:space="preserve">4.1 v skupni višini  nad 100.000 </w:t>
            </w:r>
            <w:r w:rsidR="007E3018">
              <w:t>EUR</w:t>
            </w:r>
            <w:bookmarkEnd w:id="3118"/>
          </w:p>
        </w:tc>
      </w:tr>
      <w:tr w:rsidR="00172BB8" w14:paraId="56BD09D2" w14:textId="77777777" w:rsidTr="00172BB8">
        <w:tc>
          <w:tcPr>
            <w:tcW w:w="4689" w:type="dxa"/>
          </w:tcPr>
          <w:p w14:paraId="3AB43A04" w14:textId="77777777" w:rsidR="00172BB8" w:rsidRPr="00172BB8" w:rsidRDefault="00172BB8" w:rsidP="00172BB8">
            <w:pPr>
              <w:pStyle w:val="Default"/>
              <w:spacing w:line="276" w:lineRule="auto"/>
              <w:rPr>
                <w:rFonts w:ascii="Arial" w:hAnsi="Arial" w:cs="Arial"/>
                <w:sz w:val="16"/>
                <w:szCs w:val="20"/>
              </w:rPr>
            </w:pPr>
            <w:r w:rsidRPr="00172BB8">
              <w:rPr>
                <w:rFonts w:ascii="Arial" w:hAnsi="Arial" w:cs="Arial"/>
                <w:noProof/>
                <w:sz w:val="16"/>
                <w:szCs w:val="20"/>
                <w:lang w:eastAsia="sl-SI"/>
              </w:rPr>
              <w:drawing>
                <wp:inline distT="0" distB="0" distL="0" distR="0" wp14:anchorId="774CF6FC" wp14:editId="5EAC245F">
                  <wp:extent cx="3016835" cy="2133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kacije_nalozbe_4-1_manj_kot_100000EUR.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1370" cy="2136807"/>
                          </a:xfrm>
                          <a:prstGeom prst="rect">
                            <a:avLst/>
                          </a:prstGeom>
                        </pic:spPr>
                      </pic:pic>
                    </a:graphicData>
                  </a:graphic>
                </wp:inline>
              </w:drawing>
            </w:r>
          </w:p>
        </w:tc>
        <w:tc>
          <w:tcPr>
            <w:tcW w:w="4373" w:type="dxa"/>
          </w:tcPr>
          <w:p w14:paraId="2F226D04" w14:textId="77777777" w:rsidR="00172BB8" w:rsidRDefault="00172BB8" w:rsidP="009F3567">
            <w:pPr>
              <w:pStyle w:val="Default"/>
              <w:spacing w:line="276" w:lineRule="auto"/>
              <w:jc w:val="both"/>
              <w:rPr>
                <w:rFonts w:ascii="Arial" w:hAnsi="Arial" w:cs="Arial"/>
                <w:sz w:val="20"/>
                <w:szCs w:val="20"/>
              </w:rPr>
            </w:pPr>
            <w:r>
              <w:rPr>
                <w:rFonts w:ascii="Arial" w:hAnsi="Arial" w:cs="Arial"/>
                <w:noProof/>
                <w:sz w:val="20"/>
                <w:szCs w:val="20"/>
                <w:lang w:eastAsia="sl-SI"/>
              </w:rPr>
              <w:drawing>
                <wp:inline distT="0" distB="0" distL="0" distR="0" wp14:anchorId="0CFC300C" wp14:editId="41CC068A">
                  <wp:extent cx="2803784" cy="2148167"/>
                  <wp:effectExtent l="0" t="0" r="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kacije_nalozbe_4-1_več_kot_100000EUR.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13930" cy="2155940"/>
                          </a:xfrm>
                          <a:prstGeom prst="rect">
                            <a:avLst/>
                          </a:prstGeom>
                        </pic:spPr>
                      </pic:pic>
                    </a:graphicData>
                  </a:graphic>
                </wp:inline>
              </w:drawing>
            </w:r>
          </w:p>
        </w:tc>
      </w:tr>
      <w:tr w:rsidR="00172BB8" w14:paraId="7273BA5F" w14:textId="77777777" w:rsidTr="00172BB8">
        <w:tc>
          <w:tcPr>
            <w:tcW w:w="4689" w:type="dxa"/>
          </w:tcPr>
          <w:p w14:paraId="2D2E8F30" w14:textId="77777777" w:rsidR="00172BB8" w:rsidRPr="00172BB8" w:rsidRDefault="00172BB8" w:rsidP="00172BB8">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6E37EC5E" w14:textId="77777777" w:rsidR="00172BB8" w:rsidRDefault="00172BB8" w:rsidP="00172BB8">
            <w:pPr>
              <w:pStyle w:val="Default"/>
              <w:spacing w:line="276" w:lineRule="auto"/>
              <w:jc w:val="both"/>
              <w:rPr>
                <w:rFonts w:ascii="Arial" w:hAnsi="Arial" w:cs="Arial"/>
                <w:sz w:val="20"/>
                <w:szCs w:val="20"/>
              </w:rPr>
            </w:pPr>
            <w:r w:rsidRPr="00172BB8">
              <w:rPr>
                <w:rFonts w:ascii="Arial" w:hAnsi="Arial" w:cs="Arial"/>
                <w:sz w:val="16"/>
                <w:szCs w:val="20"/>
              </w:rPr>
              <w:t>Vir: MKGP</w:t>
            </w:r>
          </w:p>
        </w:tc>
      </w:tr>
    </w:tbl>
    <w:p w14:paraId="5CC1C1D3" w14:textId="77777777" w:rsidR="00172BB8" w:rsidRPr="00124161" w:rsidRDefault="00172BB8" w:rsidP="007613FE">
      <w:pPr>
        <w:pStyle w:val="Odstavek1"/>
      </w:pPr>
    </w:p>
    <w:p w14:paraId="1035AA79" w14:textId="6E4AC62A" w:rsidR="00124161" w:rsidRDefault="00056F93" w:rsidP="007613FE">
      <w:pPr>
        <w:pStyle w:val="Odstavek1"/>
        <w:rPr>
          <w:bCs/>
        </w:rPr>
      </w:pPr>
      <w:r>
        <w:rPr>
          <w:bCs/>
        </w:rPr>
        <w:t>Prikaz g</w:t>
      </w:r>
      <w:r w:rsidRPr="00056F93">
        <w:rPr>
          <w:bCs/>
        </w:rPr>
        <w:t>ostot</w:t>
      </w:r>
      <w:r>
        <w:rPr>
          <w:bCs/>
        </w:rPr>
        <w:t>e</w:t>
      </w:r>
      <w:r w:rsidRPr="00056F93">
        <w:rPr>
          <w:bCs/>
        </w:rPr>
        <w:t xml:space="preserve"> vseh naložb glede na vrednost celotne naložbe </w:t>
      </w:r>
      <w:r>
        <w:rPr>
          <w:bCs/>
        </w:rPr>
        <w:t xml:space="preserve">(z vključenim </w:t>
      </w:r>
      <w:r w:rsidRPr="00056F93">
        <w:rPr>
          <w:bCs/>
        </w:rPr>
        <w:t>DDV</w:t>
      </w:r>
      <w:r>
        <w:rPr>
          <w:bCs/>
        </w:rPr>
        <w:t xml:space="preserve">) nam pokaže, kje so po vrednosti največja kapitalska vlaganja in kam tudi gre posledično največji del dodeljenih nepovratnih podpor. </w:t>
      </w:r>
      <w:r w:rsidR="00A36DE8">
        <w:rPr>
          <w:bCs/>
        </w:rPr>
        <w:t>N</w:t>
      </w:r>
      <w:r>
        <w:rPr>
          <w:bCs/>
        </w:rPr>
        <w:t>ajbolj intenzivna kapitalska vlaganja koncentrirana v severovzhodnem delu države, manjša zgostitev je tudi v celjski kotlini</w:t>
      </w:r>
      <w:r w:rsidR="00A36DE8">
        <w:rPr>
          <w:bCs/>
        </w:rPr>
        <w:t xml:space="preserve"> (</w:t>
      </w:r>
      <w:r w:rsidR="00A36DE8">
        <w:rPr>
          <w:bCs/>
        </w:rPr>
        <w:fldChar w:fldCharType="begin"/>
      </w:r>
      <w:r w:rsidR="00A36DE8">
        <w:rPr>
          <w:bCs/>
        </w:rPr>
        <w:instrText xml:space="preserve"> REF _Ref54899867 \h  \* MERGEFORMAT </w:instrText>
      </w:r>
      <w:r w:rsidR="00A36DE8">
        <w:rPr>
          <w:bCs/>
        </w:rPr>
      </w:r>
      <w:r w:rsidR="00A36DE8">
        <w:rPr>
          <w:bCs/>
        </w:rPr>
        <w:fldChar w:fldCharType="separate"/>
      </w:r>
      <w:r w:rsidR="00F25435" w:rsidRPr="000429A3">
        <w:t xml:space="preserve">Slika </w:t>
      </w:r>
      <w:r w:rsidR="00F25435">
        <w:rPr>
          <w:noProof/>
        </w:rPr>
        <w:t>50</w:t>
      </w:r>
      <w:r w:rsidR="00A36DE8">
        <w:rPr>
          <w:bCs/>
        </w:rPr>
        <w:fldChar w:fldCharType="end"/>
      </w:r>
      <w:r w:rsidR="00A36DE8">
        <w:rPr>
          <w:bCs/>
        </w:rPr>
        <w:t>)</w:t>
      </w:r>
      <w:r>
        <w:rPr>
          <w:bCs/>
        </w:rPr>
        <w:t xml:space="preserve">. Pomembno je tudi izpostaviti, da so po vrednosti najintenzivnejša vlaganja skoncentrirana izven hribovsko-gorskega območja. To napotuje k temu, da so kmetije s hribovsko-gorskih območij </w:t>
      </w:r>
      <w:r w:rsidR="00F3505A">
        <w:rPr>
          <w:bCs/>
        </w:rPr>
        <w:t xml:space="preserve">zaradi nižje konkurenčnosti </w:t>
      </w:r>
      <w:r>
        <w:rPr>
          <w:bCs/>
        </w:rPr>
        <w:t xml:space="preserve">kapitalsko </w:t>
      </w:r>
      <w:r w:rsidR="00F3505A">
        <w:rPr>
          <w:bCs/>
        </w:rPr>
        <w:t>šibkejš</w:t>
      </w:r>
      <w:r w:rsidR="00AC0C12">
        <w:rPr>
          <w:bCs/>
        </w:rPr>
        <w:t>e</w:t>
      </w:r>
      <w:r w:rsidR="00F3505A">
        <w:rPr>
          <w:bCs/>
        </w:rPr>
        <w:t xml:space="preserve"> in posledično ne zmorejo tako intenzivnih vlaganj</w:t>
      </w:r>
      <w:r>
        <w:rPr>
          <w:bCs/>
        </w:rPr>
        <w:t xml:space="preserve">. </w:t>
      </w:r>
    </w:p>
    <w:p w14:paraId="75D9B03B" w14:textId="77777777" w:rsidR="00056F93" w:rsidRDefault="00056F93" w:rsidP="007613FE">
      <w:pPr>
        <w:pStyle w:val="Odstavek1"/>
        <w:rPr>
          <w:bCs/>
        </w:rPr>
      </w:pPr>
    </w:p>
    <w:p w14:paraId="3B4AC431" w14:textId="45A12634" w:rsidR="00056F93" w:rsidRDefault="000429A3" w:rsidP="00304C05">
      <w:pPr>
        <w:pStyle w:val="SCSlika0"/>
      </w:pPr>
      <w:bookmarkStart w:id="3119" w:name="_Ref54899867"/>
      <w:bookmarkStart w:id="3120" w:name="_Toc89851092"/>
      <w:r w:rsidRPr="000429A3">
        <w:t xml:space="preserve">Slika </w:t>
      </w:r>
      <w:r w:rsidR="00072AFA">
        <w:rPr>
          <w:noProof/>
        </w:rPr>
        <w:fldChar w:fldCharType="begin"/>
      </w:r>
      <w:r w:rsidR="00072AFA">
        <w:rPr>
          <w:noProof/>
        </w:rPr>
        <w:instrText xml:space="preserve"> SEQ Slika \* ARABIC </w:instrText>
      </w:r>
      <w:r w:rsidR="00072AFA">
        <w:rPr>
          <w:noProof/>
        </w:rPr>
        <w:fldChar w:fldCharType="separate"/>
      </w:r>
      <w:r w:rsidR="00F25435">
        <w:rPr>
          <w:noProof/>
        </w:rPr>
        <w:t>50</w:t>
      </w:r>
      <w:r w:rsidR="00072AFA">
        <w:rPr>
          <w:noProof/>
        </w:rPr>
        <w:fldChar w:fldCharType="end"/>
      </w:r>
      <w:bookmarkEnd w:id="3119"/>
      <w:r w:rsidR="00056F93" w:rsidRPr="000429A3">
        <w:t>:</w:t>
      </w:r>
      <w:r w:rsidR="00056F93">
        <w:t xml:space="preserve"> Prikaz g</w:t>
      </w:r>
      <w:r w:rsidR="00056F93" w:rsidRPr="00056F93">
        <w:t>ostot</w:t>
      </w:r>
      <w:r w:rsidR="00056F93">
        <w:t>e</w:t>
      </w:r>
      <w:r w:rsidR="00056F93" w:rsidRPr="00056F93">
        <w:t xml:space="preserve"> naložb</w:t>
      </w:r>
      <w:r w:rsidR="00056F93">
        <w:t xml:space="preserve"> iz podukrepa </w:t>
      </w:r>
      <w:r w:rsidR="00821CEE">
        <w:t>M0</w:t>
      </w:r>
      <w:r w:rsidR="00056F93">
        <w:t>4.1</w:t>
      </w:r>
      <w:r w:rsidR="00056F93" w:rsidRPr="00056F93">
        <w:t xml:space="preserve"> glede na vrednost celotne naložbe </w:t>
      </w:r>
      <w:r w:rsidR="00056F93">
        <w:t xml:space="preserve">(z vključenim </w:t>
      </w:r>
      <w:r w:rsidR="00056F93" w:rsidRPr="00056F93">
        <w:t>DDV</w:t>
      </w:r>
      <w:r w:rsidR="00056F93">
        <w:t>)</w:t>
      </w:r>
      <w:bookmarkEnd w:id="3120"/>
    </w:p>
    <w:p w14:paraId="3E554FE9" w14:textId="77777777" w:rsidR="00056F93" w:rsidRPr="00056F93" w:rsidRDefault="00056F93" w:rsidP="009F3567">
      <w:pPr>
        <w:pStyle w:val="Default"/>
        <w:spacing w:line="276" w:lineRule="auto"/>
        <w:jc w:val="both"/>
        <w:rPr>
          <w:rFonts w:ascii="Arial" w:hAnsi="Arial" w:cs="Arial"/>
          <w:sz w:val="20"/>
          <w:szCs w:val="20"/>
        </w:rPr>
      </w:pPr>
      <w:r>
        <w:rPr>
          <w:rFonts w:ascii="Arial" w:hAnsi="Arial" w:cs="Arial"/>
          <w:noProof/>
          <w:sz w:val="20"/>
          <w:szCs w:val="20"/>
          <w:lang w:eastAsia="sl-SI"/>
        </w:rPr>
        <w:drawing>
          <wp:inline distT="0" distB="0" distL="0" distR="0" wp14:anchorId="4B23AF3A" wp14:editId="33062EC5">
            <wp:extent cx="3268980" cy="2311924"/>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stota_nalozbe_4-1.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74715" cy="2315980"/>
                    </a:xfrm>
                    <a:prstGeom prst="rect">
                      <a:avLst/>
                    </a:prstGeom>
                  </pic:spPr>
                </pic:pic>
              </a:graphicData>
            </a:graphic>
          </wp:inline>
        </w:drawing>
      </w:r>
    </w:p>
    <w:p w14:paraId="69E77BC1" w14:textId="77777777" w:rsidR="00124161" w:rsidRDefault="00124161" w:rsidP="007613FE">
      <w:pPr>
        <w:pStyle w:val="Odstavek1"/>
      </w:pPr>
    </w:p>
    <w:p w14:paraId="7EF97CFF" w14:textId="4E25E03C" w:rsidR="00124161" w:rsidRDefault="00F3505A" w:rsidP="007613FE">
      <w:pPr>
        <w:pStyle w:val="Odstavek1"/>
      </w:pPr>
      <w:r w:rsidRPr="00F3505A">
        <w:t>Če k</w:t>
      </w:r>
      <w:r>
        <w:t xml:space="preserve"> analizi gostote vseh naložb</w:t>
      </w:r>
      <w:r w:rsidR="00097725">
        <w:t xml:space="preserve"> na KMG </w:t>
      </w:r>
      <w:r>
        <w:t>glede na vrednost celotne naložbe (z vključenim DDV)</w:t>
      </w:r>
      <w:r w:rsidR="00097725">
        <w:t xml:space="preserve"> iz podukrepa </w:t>
      </w:r>
      <w:r w:rsidR="00821CEE">
        <w:t>M0</w:t>
      </w:r>
      <w:r w:rsidR="00097725">
        <w:t xml:space="preserve">4.1 </w:t>
      </w:r>
      <w:r>
        <w:t xml:space="preserve">dodamo še podatek za tip </w:t>
      </w:r>
      <w:r w:rsidRPr="00F3505A">
        <w:rPr>
          <w:i/>
        </w:rPr>
        <w:t>proizvodnje mleko / govedoreja (krave molznice)</w:t>
      </w:r>
      <w:r>
        <w:rPr>
          <w:i/>
        </w:rPr>
        <w:t xml:space="preserve">, </w:t>
      </w:r>
      <w:r>
        <w:t>lahko ugotovimo</w:t>
      </w:r>
      <w:r w:rsidR="00097725">
        <w:t xml:space="preserve">, da so glede na vrednost </w:t>
      </w:r>
      <w:r w:rsidR="00AC0C12">
        <w:t xml:space="preserve">(volumen) </w:t>
      </w:r>
      <w:r w:rsidR="00097725">
        <w:t>te naložbe skoncentrirane v severovzhodn</w:t>
      </w:r>
      <w:r w:rsidR="00367511">
        <w:t>em</w:t>
      </w:r>
      <w:r w:rsidR="00097725">
        <w:t xml:space="preserve"> del</w:t>
      </w:r>
      <w:r w:rsidR="00367511">
        <w:t>u</w:t>
      </w:r>
      <w:r w:rsidR="00097725">
        <w:t xml:space="preserve"> države, zlasti na štajerskem in celjskem območju. To pa je nekoliko presenetljivo, ker je po drugi strani glavnina </w:t>
      </w:r>
      <w:r w:rsidR="00367511">
        <w:t xml:space="preserve">proizvodnje </w:t>
      </w:r>
      <w:r w:rsidR="00097725">
        <w:t>mleka skoncentrirana na Gorenjskem.</w:t>
      </w:r>
      <w:r>
        <w:t xml:space="preserve"> </w:t>
      </w:r>
      <w:r w:rsidR="000B4C41">
        <w:t xml:space="preserve"> </w:t>
      </w:r>
    </w:p>
    <w:p w14:paraId="1E182ECC" w14:textId="6D5AA59D" w:rsidR="00A36DE8" w:rsidRDefault="00A36DE8" w:rsidP="007613FE">
      <w:pPr>
        <w:pStyle w:val="Odstavek1"/>
      </w:pPr>
    </w:p>
    <w:p w14:paraId="443D4CBB" w14:textId="77777777" w:rsidR="00F3505A" w:rsidRDefault="00F3505A"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20"/>
      </w:tblGrid>
      <w:tr w:rsidR="00097725" w14:paraId="546C469B" w14:textId="77777777" w:rsidTr="006249A0">
        <w:trPr>
          <w:trHeight w:val="899"/>
        </w:trPr>
        <w:tc>
          <w:tcPr>
            <w:tcW w:w="4689" w:type="dxa"/>
          </w:tcPr>
          <w:p w14:paraId="7EB572C7" w14:textId="23B34E9E" w:rsidR="00F3505A" w:rsidRDefault="000429A3" w:rsidP="00304C05">
            <w:pPr>
              <w:pStyle w:val="SCSlika0"/>
            </w:pPr>
            <w:bookmarkStart w:id="3121" w:name="_Toc89851093"/>
            <w:r w:rsidRPr="000429A3">
              <w:t xml:space="preserve">Slika </w:t>
            </w:r>
            <w:r w:rsidRPr="000429A3">
              <w:fldChar w:fldCharType="begin"/>
            </w:r>
            <w:r w:rsidRPr="000429A3">
              <w:instrText xml:space="preserve"> SEQ Slika \* ARABIC </w:instrText>
            </w:r>
            <w:r w:rsidRPr="000429A3">
              <w:fldChar w:fldCharType="separate"/>
            </w:r>
            <w:r w:rsidR="00F25435">
              <w:rPr>
                <w:noProof/>
              </w:rPr>
              <w:t>51</w:t>
            </w:r>
            <w:r w:rsidRPr="000429A3">
              <w:fldChar w:fldCharType="end"/>
            </w:r>
            <w:r w:rsidR="00F3505A" w:rsidRPr="00097725">
              <w:t xml:space="preserve">: </w:t>
            </w:r>
            <w:r w:rsidR="00097725" w:rsidRPr="00097725">
              <w:rPr>
                <w:rFonts w:eastAsiaTheme="minorHAnsi"/>
              </w:rPr>
              <w:t xml:space="preserve">Gostota vseh naložb glede na vrednost celotne naložbe za tip proizvodnje: </w:t>
            </w:r>
            <w:r w:rsidR="00097725" w:rsidRPr="00097725">
              <w:rPr>
                <w:rFonts w:eastAsiaTheme="minorHAnsi"/>
                <w:i/>
                <w:u w:val="single"/>
              </w:rPr>
              <w:t>Mleko - govedoreja: krave molznice</w:t>
            </w:r>
            <w:bookmarkEnd w:id="3121"/>
          </w:p>
        </w:tc>
        <w:tc>
          <w:tcPr>
            <w:tcW w:w="4373" w:type="dxa"/>
          </w:tcPr>
          <w:p w14:paraId="12013C20" w14:textId="2B84B8E2" w:rsidR="00F3505A" w:rsidRDefault="000429A3" w:rsidP="00304C05">
            <w:pPr>
              <w:pStyle w:val="SCSlika0"/>
            </w:pPr>
            <w:bookmarkStart w:id="3122" w:name="_Toc89851094"/>
            <w:r w:rsidRPr="000429A3">
              <w:t xml:space="preserve">Slika </w:t>
            </w:r>
            <w:r w:rsidRPr="000429A3">
              <w:fldChar w:fldCharType="begin"/>
            </w:r>
            <w:r w:rsidRPr="000429A3">
              <w:instrText xml:space="preserve"> SEQ Slika \* ARABIC </w:instrText>
            </w:r>
            <w:r w:rsidRPr="000429A3">
              <w:fldChar w:fldCharType="separate"/>
            </w:r>
            <w:r w:rsidR="00F25435">
              <w:rPr>
                <w:noProof/>
              </w:rPr>
              <w:t>52</w:t>
            </w:r>
            <w:r w:rsidRPr="000429A3">
              <w:fldChar w:fldCharType="end"/>
            </w:r>
            <w:r w:rsidRPr="00097725">
              <w:t xml:space="preserve">: </w:t>
            </w:r>
            <w:r w:rsidR="00097725" w:rsidRPr="00097725">
              <w:rPr>
                <w:rFonts w:eastAsiaTheme="minorHAnsi"/>
                <w:lang w:eastAsia="en-US"/>
              </w:rPr>
              <w:t>Gostota oddaje in p</w:t>
            </w:r>
            <w:r w:rsidR="00097725">
              <w:rPr>
                <w:rFonts w:eastAsiaTheme="minorHAnsi"/>
                <w:lang w:eastAsia="en-US"/>
              </w:rPr>
              <w:t xml:space="preserve">rodaje mleka v </w:t>
            </w:r>
            <w:r w:rsidR="007E3018">
              <w:rPr>
                <w:rFonts w:eastAsiaTheme="minorHAnsi"/>
                <w:lang w:eastAsia="en-US"/>
              </w:rPr>
              <w:t>kg</w:t>
            </w:r>
            <w:r w:rsidR="00097725">
              <w:rPr>
                <w:rFonts w:eastAsiaTheme="minorHAnsi"/>
                <w:lang w:eastAsia="en-US"/>
              </w:rPr>
              <w:t xml:space="preserve"> za leto 2019</w:t>
            </w:r>
            <w:bookmarkEnd w:id="3122"/>
          </w:p>
        </w:tc>
      </w:tr>
      <w:tr w:rsidR="00A36DE8" w14:paraId="5933A594" w14:textId="77777777" w:rsidTr="000429A3">
        <w:trPr>
          <w:trHeight w:val="783"/>
        </w:trPr>
        <w:tc>
          <w:tcPr>
            <w:tcW w:w="4689" w:type="dxa"/>
          </w:tcPr>
          <w:p w14:paraId="3529B88E" w14:textId="5201746E" w:rsidR="00A36DE8" w:rsidRPr="000429A3" w:rsidRDefault="00A36DE8" w:rsidP="007613FE">
            <w:pPr>
              <w:pStyle w:val="Odstavek1"/>
            </w:pPr>
            <w:r>
              <w:rPr>
                <w:noProof/>
                <w:sz w:val="16"/>
                <w:lang w:eastAsia="sl-SI"/>
              </w:rPr>
              <w:drawing>
                <wp:inline distT="0" distB="0" distL="0" distR="0" wp14:anchorId="1CDC7FCC" wp14:editId="521F74CC">
                  <wp:extent cx="2919867" cy="2065020"/>
                  <wp:effectExtent l="0" t="0" r="0" b="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stota_nalozbe_4-1_Mleko - govedoreja krave molznice.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5769" cy="2069194"/>
                          </a:xfrm>
                          <a:prstGeom prst="rect">
                            <a:avLst/>
                          </a:prstGeom>
                        </pic:spPr>
                      </pic:pic>
                    </a:graphicData>
                  </a:graphic>
                </wp:inline>
              </w:drawing>
            </w:r>
          </w:p>
        </w:tc>
        <w:tc>
          <w:tcPr>
            <w:tcW w:w="4373" w:type="dxa"/>
          </w:tcPr>
          <w:p w14:paraId="1C99F408" w14:textId="6183740B" w:rsidR="00A36DE8" w:rsidRPr="000429A3" w:rsidRDefault="00A36DE8" w:rsidP="007613FE">
            <w:pPr>
              <w:pStyle w:val="Odstavek1"/>
            </w:pPr>
            <w:r>
              <w:rPr>
                <w:noProof/>
                <w:lang w:eastAsia="sl-SI"/>
              </w:rPr>
              <w:drawing>
                <wp:inline distT="0" distB="0" distL="0" distR="0" wp14:anchorId="0B07B5BF" wp14:editId="41D41B81">
                  <wp:extent cx="2898318" cy="2049780"/>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izvodnjaMleka2019_KG.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06326" cy="2055444"/>
                          </a:xfrm>
                          <a:prstGeom prst="rect">
                            <a:avLst/>
                          </a:prstGeom>
                        </pic:spPr>
                      </pic:pic>
                    </a:graphicData>
                  </a:graphic>
                </wp:inline>
              </w:drawing>
            </w:r>
          </w:p>
        </w:tc>
      </w:tr>
      <w:tr w:rsidR="00097725" w14:paraId="6F8236F0" w14:textId="77777777" w:rsidTr="000429A3">
        <w:tc>
          <w:tcPr>
            <w:tcW w:w="4689" w:type="dxa"/>
          </w:tcPr>
          <w:p w14:paraId="58DD7DE0" w14:textId="599AC3C1" w:rsidR="00F3505A" w:rsidRPr="00172BB8" w:rsidRDefault="00F3505A" w:rsidP="005B7D8D">
            <w:pPr>
              <w:pStyle w:val="Default"/>
              <w:spacing w:line="276" w:lineRule="auto"/>
              <w:rPr>
                <w:rFonts w:ascii="Arial" w:hAnsi="Arial" w:cs="Arial"/>
                <w:sz w:val="16"/>
                <w:szCs w:val="20"/>
              </w:rPr>
            </w:pPr>
          </w:p>
        </w:tc>
        <w:tc>
          <w:tcPr>
            <w:tcW w:w="4373" w:type="dxa"/>
          </w:tcPr>
          <w:p w14:paraId="4432E4D9" w14:textId="19351BB6" w:rsidR="00F3505A" w:rsidRDefault="00F3505A" w:rsidP="005B7D8D">
            <w:pPr>
              <w:pStyle w:val="Default"/>
              <w:spacing w:line="276" w:lineRule="auto"/>
              <w:jc w:val="both"/>
              <w:rPr>
                <w:rFonts w:ascii="Arial" w:hAnsi="Arial" w:cs="Arial"/>
                <w:sz w:val="20"/>
                <w:szCs w:val="20"/>
              </w:rPr>
            </w:pPr>
          </w:p>
        </w:tc>
      </w:tr>
      <w:tr w:rsidR="00097725" w14:paraId="4B135476" w14:textId="77777777" w:rsidTr="000429A3">
        <w:tc>
          <w:tcPr>
            <w:tcW w:w="4689" w:type="dxa"/>
          </w:tcPr>
          <w:p w14:paraId="71829AC8" w14:textId="77777777" w:rsidR="00F3505A" w:rsidRPr="00172BB8" w:rsidRDefault="00F3505A" w:rsidP="005B7D8D">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3A78E5C4" w14:textId="77777777" w:rsidR="00F3505A" w:rsidRDefault="00097725" w:rsidP="005B7D8D">
            <w:pPr>
              <w:pStyle w:val="Default"/>
              <w:spacing w:line="276" w:lineRule="auto"/>
              <w:jc w:val="both"/>
              <w:rPr>
                <w:rFonts w:ascii="Arial" w:hAnsi="Arial" w:cs="Arial"/>
                <w:sz w:val="20"/>
                <w:szCs w:val="20"/>
              </w:rPr>
            </w:pPr>
            <w:r>
              <w:rPr>
                <w:rFonts w:ascii="Arial" w:hAnsi="Arial" w:cs="Arial"/>
                <w:sz w:val="16"/>
                <w:szCs w:val="20"/>
              </w:rPr>
              <w:t>Vir: ARSKTRP</w:t>
            </w:r>
          </w:p>
        </w:tc>
      </w:tr>
    </w:tbl>
    <w:p w14:paraId="3F9C1EEA" w14:textId="77777777" w:rsidR="00F3505A" w:rsidRPr="00F3505A" w:rsidRDefault="00F3505A" w:rsidP="007613FE">
      <w:pPr>
        <w:pStyle w:val="Odstavek1"/>
      </w:pPr>
    </w:p>
    <w:p w14:paraId="635ACDFF" w14:textId="77777777" w:rsidR="00124161" w:rsidRDefault="00124161" w:rsidP="007613FE">
      <w:pPr>
        <w:pStyle w:val="Odstavek1"/>
        <w:rPr>
          <w:b/>
        </w:rPr>
      </w:pPr>
    </w:p>
    <w:p w14:paraId="2D9DAB6B" w14:textId="1F10982A" w:rsidR="00754A51" w:rsidRPr="003016E0" w:rsidRDefault="00754A51" w:rsidP="005B2A49">
      <w:pPr>
        <w:pStyle w:val="Naslov2"/>
      </w:pPr>
      <w:bookmarkStart w:id="3123" w:name="_Toc90462238"/>
      <w:r w:rsidRPr="003016E0">
        <w:t>Analiza naložb v okviru podukrepa M</w:t>
      </w:r>
      <w:r w:rsidR="007E3018" w:rsidRPr="003016E0">
        <w:t>0</w:t>
      </w:r>
      <w:r w:rsidRPr="003016E0">
        <w:t xml:space="preserve">4.2 Podpora za naložbe v predelavo/trženje in/ali razvoj kmetijskih proizvodov </w:t>
      </w:r>
      <w:r w:rsidR="00A6739E">
        <w:t xml:space="preserve">PRP 2014–2020 </w:t>
      </w:r>
      <w:r w:rsidR="00367511" w:rsidRPr="003016E0">
        <w:t>glede na OM</w:t>
      </w:r>
      <w:r w:rsidR="00CA76EC" w:rsidRPr="003016E0">
        <w:t>D</w:t>
      </w:r>
      <w:r w:rsidR="00367511" w:rsidRPr="003016E0">
        <w:t xml:space="preserve"> </w:t>
      </w:r>
      <w:r w:rsidRPr="003016E0">
        <w:t>(stanje 30. 4. 2020)</w:t>
      </w:r>
      <w:bookmarkEnd w:id="3123"/>
    </w:p>
    <w:p w14:paraId="14C60469" w14:textId="77777777" w:rsidR="00376F0D" w:rsidRPr="001A32D7" w:rsidRDefault="00376F0D" w:rsidP="007613FE">
      <w:pPr>
        <w:pStyle w:val="Odstavek1"/>
        <w:rPr>
          <w:b/>
        </w:rPr>
      </w:pPr>
    </w:p>
    <w:p w14:paraId="0BA3F023" w14:textId="5558FA76" w:rsidR="00754A51" w:rsidRPr="00367511" w:rsidRDefault="00754A51" w:rsidP="007613FE">
      <w:pPr>
        <w:pStyle w:val="Odstavek1"/>
      </w:pPr>
      <w:r w:rsidRPr="00367511">
        <w:t>Analiza naložb v okviru podukrepa M</w:t>
      </w:r>
      <w:r w:rsidR="007E3018">
        <w:t>0</w:t>
      </w:r>
      <w:r w:rsidRPr="00367511">
        <w:t>4.2 Podpora za naložbe v predelavo/trženje in/ali razvoj kmetijskih proizvodov</w:t>
      </w:r>
      <w:r w:rsidRPr="00CA76EC">
        <w:t xml:space="preserve"> kaže, da je p</w:t>
      </w:r>
      <w:r w:rsidRPr="006573DD">
        <w:t xml:space="preserve">ovprečna </w:t>
      </w:r>
      <w:r w:rsidRPr="00367511">
        <w:t xml:space="preserve">vrednost podprtih naložb glede na OMD za skoraj 150 % višja na </w:t>
      </w:r>
      <w:r w:rsidR="004E7E63">
        <w:t xml:space="preserve">območjih izven </w:t>
      </w:r>
      <w:r w:rsidR="00367511" w:rsidRPr="00367511">
        <w:t xml:space="preserve">OMD </w:t>
      </w:r>
      <w:r w:rsidRPr="00367511">
        <w:t xml:space="preserve">(731.324 EUR) v primerjavi s povprečno vrednostjo podprtih naložb na </w:t>
      </w:r>
      <w:r w:rsidR="004E7E63">
        <w:t xml:space="preserve">OMD - </w:t>
      </w:r>
      <w:r w:rsidRPr="00367511">
        <w:t>gorsk</w:t>
      </w:r>
      <w:r w:rsidR="004E7E63">
        <w:t>a</w:t>
      </w:r>
      <w:r w:rsidRPr="00367511">
        <w:t xml:space="preserve"> območj</w:t>
      </w:r>
      <w:r w:rsidR="004E7E63">
        <w:t>a</w:t>
      </w:r>
      <w:r w:rsidRPr="00367511">
        <w:t xml:space="preserve"> (293.179 EUR).</w:t>
      </w:r>
      <w:r w:rsidR="007C7A48">
        <w:t xml:space="preserve">  </w:t>
      </w:r>
    </w:p>
    <w:p w14:paraId="2B4026D6" w14:textId="77777777" w:rsidR="00754A51" w:rsidRPr="00CA76EC" w:rsidRDefault="00754A51" w:rsidP="007613FE">
      <w:pPr>
        <w:pStyle w:val="Odstavek1"/>
      </w:pPr>
    </w:p>
    <w:p w14:paraId="571EBB74" w14:textId="341A2FFB" w:rsidR="00754A51" w:rsidRPr="00367511" w:rsidRDefault="00D80E9A" w:rsidP="007613FE">
      <w:pPr>
        <w:pStyle w:val="Odstavek1"/>
      </w:pPr>
      <w:r w:rsidRPr="00D80E9A">
        <w:fldChar w:fldCharType="begin"/>
      </w:r>
      <w:r w:rsidRPr="00D80E9A">
        <w:instrText xml:space="preserve"> REF _Ref54899905 \h </w:instrText>
      </w:r>
      <w:r>
        <w:instrText xml:space="preserve"> \* MERGEFORMAT </w:instrText>
      </w:r>
      <w:r w:rsidRPr="00D80E9A">
        <w:fldChar w:fldCharType="separate"/>
      </w:r>
      <w:r w:rsidR="002E0D2A" w:rsidRPr="00E53EB6">
        <w:rPr>
          <w:szCs w:val="16"/>
        </w:rPr>
        <w:t>Tabela</w:t>
      </w:r>
      <w:r w:rsidR="002E0D2A" w:rsidRPr="00E155C1">
        <w:rPr>
          <w:noProof/>
          <w:szCs w:val="16"/>
        </w:rPr>
        <w:t xml:space="preserve"> </w:t>
      </w:r>
      <w:r w:rsidR="002E0D2A" w:rsidRPr="00E155C1">
        <w:rPr>
          <w:noProof/>
        </w:rPr>
        <w:t>16</w:t>
      </w:r>
      <w:r w:rsidRPr="00D80E9A">
        <w:fldChar w:fldCharType="end"/>
      </w:r>
      <w:r w:rsidRPr="00D80E9A">
        <w:t xml:space="preserve"> </w:t>
      </w:r>
      <w:r w:rsidR="00754A51" w:rsidRPr="00367511">
        <w:t xml:space="preserve">posebej </w:t>
      </w:r>
      <w:r w:rsidR="00A36DE8" w:rsidRPr="00367511">
        <w:t>izpostavlj</w:t>
      </w:r>
      <w:r w:rsidR="00A36DE8">
        <w:t>a</w:t>
      </w:r>
      <w:r w:rsidR="00A36DE8" w:rsidRPr="00367511">
        <w:t xml:space="preserve"> </w:t>
      </w:r>
      <w:r w:rsidR="00A36DE8">
        <w:t>kmetijsko pridelavo -</w:t>
      </w:r>
      <w:r w:rsidR="00754A51" w:rsidRPr="00367511">
        <w:t xml:space="preserve"> </w:t>
      </w:r>
      <w:r w:rsidR="00754A51" w:rsidRPr="00367511">
        <w:rPr>
          <w:i/>
        </w:rPr>
        <w:t>mleko</w:t>
      </w:r>
      <w:r w:rsidR="00754A51" w:rsidRPr="00367511">
        <w:t xml:space="preserve">, kjer </w:t>
      </w:r>
      <w:r w:rsidR="000000B3">
        <w:t xml:space="preserve">pa </w:t>
      </w:r>
      <w:r w:rsidR="00754A51" w:rsidRPr="00367511">
        <w:t xml:space="preserve">je povprečna vrednost naložb na </w:t>
      </w:r>
      <w:r w:rsidR="004E7E63">
        <w:t xml:space="preserve">OMD - </w:t>
      </w:r>
      <w:r w:rsidR="00754A51" w:rsidRPr="00367511">
        <w:t>gorsk</w:t>
      </w:r>
      <w:r w:rsidR="004E7E63">
        <w:t>a</w:t>
      </w:r>
      <w:r w:rsidR="00754A51" w:rsidRPr="00367511">
        <w:t xml:space="preserve"> območj</w:t>
      </w:r>
      <w:r w:rsidR="004E7E63">
        <w:t>a</w:t>
      </w:r>
      <w:r w:rsidR="00754A51" w:rsidRPr="00367511">
        <w:t xml:space="preserve"> skoraj </w:t>
      </w:r>
      <w:r w:rsidR="007E3018">
        <w:t>petkrat</w:t>
      </w:r>
      <w:r w:rsidR="00754A51" w:rsidRPr="00367511">
        <w:t xml:space="preserve"> višja od tiste na </w:t>
      </w:r>
      <w:r w:rsidR="00E636E4">
        <w:t>območjih</w:t>
      </w:r>
      <w:r w:rsidR="004E7E63">
        <w:t xml:space="preserve"> izven OMD</w:t>
      </w:r>
      <w:r w:rsidR="00754A51" w:rsidRPr="00367511">
        <w:t xml:space="preserve"> </w:t>
      </w:r>
      <w:r w:rsidR="00863A21">
        <w:t xml:space="preserve">Nasprotna pa je </w:t>
      </w:r>
      <w:r w:rsidR="00197E9E">
        <w:t xml:space="preserve">razlika </w:t>
      </w:r>
      <w:r w:rsidR="000235C6">
        <w:t>pri</w:t>
      </w:r>
      <w:r w:rsidR="00197E9E">
        <w:t xml:space="preserve"> </w:t>
      </w:r>
      <w:r w:rsidR="00197E9E" w:rsidRPr="00797A13">
        <w:rPr>
          <w:i/>
        </w:rPr>
        <w:t>govej</w:t>
      </w:r>
      <w:r w:rsidR="000235C6" w:rsidRPr="00797A13">
        <w:rPr>
          <w:i/>
        </w:rPr>
        <w:t>e</w:t>
      </w:r>
      <w:r w:rsidR="00197E9E" w:rsidRPr="00797A13">
        <w:rPr>
          <w:i/>
        </w:rPr>
        <w:t>m mesu</w:t>
      </w:r>
      <w:r w:rsidR="00197E9E">
        <w:t xml:space="preserve">, </w:t>
      </w:r>
      <w:r w:rsidR="00754A51" w:rsidRPr="00367511">
        <w:t xml:space="preserve">kjer je povprečna vrednost naložb </w:t>
      </w:r>
      <w:r w:rsidR="004E7E63">
        <w:t>na OMD -</w:t>
      </w:r>
      <w:r w:rsidR="00197E9E" w:rsidRPr="00367511">
        <w:t xml:space="preserve"> gorsk</w:t>
      </w:r>
      <w:r w:rsidR="004E7E63">
        <w:t>a</w:t>
      </w:r>
      <w:r w:rsidR="00197E9E" w:rsidRPr="00367511">
        <w:t xml:space="preserve"> območj</w:t>
      </w:r>
      <w:r w:rsidR="004E7E63">
        <w:t>a</w:t>
      </w:r>
      <w:r w:rsidR="00754A51" w:rsidRPr="00367511">
        <w:t xml:space="preserve"> </w:t>
      </w:r>
      <w:r w:rsidR="00477D01">
        <w:t>še</w:t>
      </w:r>
      <w:r w:rsidR="000235C6">
        <w:t>s</w:t>
      </w:r>
      <w:r w:rsidR="00477D01">
        <w:t>tkrat</w:t>
      </w:r>
      <w:r w:rsidR="00754A51" w:rsidRPr="00367511">
        <w:t xml:space="preserve"> </w:t>
      </w:r>
      <w:r w:rsidR="00477D01">
        <w:t xml:space="preserve">nižja </w:t>
      </w:r>
      <w:r w:rsidR="00754A51" w:rsidRPr="00367511">
        <w:t xml:space="preserve">od </w:t>
      </w:r>
      <w:r w:rsidR="00477D01">
        <w:t>tiste</w:t>
      </w:r>
      <w:r w:rsidR="00754A51" w:rsidRPr="00367511">
        <w:t xml:space="preserve"> </w:t>
      </w:r>
      <w:r w:rsidR="00197E9E">
        <w:t>na območjih</w:t>
      </w:r>
      <w:r w:rsidR="004E7E63">
        <w:t xml:space="preserve"> izven OMD</w:t>
      </w:r>
      <w:r w:rsidR="002D53C7">
        <w:t>, pri čemer je število vlog med obem</w:t>
      </w:r>
      <w:r w:rsidR="000235C6">
        <w:t>a</w:t>
      </w:r>
      <w:r w:rsidR="002D53C7">
        <w:t xml:space="preserve"> območjema</w:t>
      </w:r>
      <w:r w:rsidR="00E636E4" w:rsidRPr="00E636E4">
        <w:t xml:space="preserve"> </w:t>
      </w:r>
      <w:r w:rsidR="00E636E4">
        <w:t xml:space="preserve">skoraj enako. </w:t>
      </w:r>
    </w:p>
    <w:p w14:paraId="510A3791" w14:textId="77777777" w:rsidR="00754A51" w:rsidRDefault="00754A51" w:rsidP="007613FE">
      <w:pPr>
        <w:pStyle w:val="Odstavek1"/>
      </w:pPr>
    </w:p>
    <w:p w14:paraId="10029B22" w14:textId="6BAF6E99" w:rsidR="00754A51" w:rsidRPr="00E155C1" w:rsidRDefault="00754A51" w:rsidP="00304C05">
      <w:pPr>
        <w:pStyle w:val="SCPreglednica"/>
        <w:rPr>
          <w:sz w:val="20"/>
        </w:rPr>
      </w:pPr>
      <w:bookmarkStart w:id="3124" w:name="_Ref54899905"/>
      <w:bookmarkStart w:id="3125" w:name="_Toc89861008"/>
      <w:r w:rsidRPr="00E155C1">
        <w:rPr>
          <w:sz w:val="20"/>
        </w:rPr>
        <w:t xml:space="preserve">Tabela </w:t>
      </w:r>
      <w:r w:rsidR="00072AFA" w:rsidRPr="00E155C1">
        <w:rPr>
          <w:noProof/>
          <w:sz w:val="20"/>
        </w:rPr>
        <w:fldChar w:fldCharType="begin"/>
      </w:r>
      <w:r w:rsidR="00072AFA" w:rsidRPr="00E155C1">
        <w:rPr>
          <w:noProof/>
          <w:sz w:val="20"/>
        </w:rPr>
        <w:instrText xml:space="preserve"> SEQ Tabela \* ARABIC </w:instrText>
      </w:r>
      <w:r w:rsidR="00072AFA" w:rsidRPr="00E155C1">
        <w:rPr>
          <w:noProof/>
          <w:sz w:val="20"/>
        </w:rPr>
        <w:fldChar w:fldCharType="separate"/>
      </w:r>
      <w:r w:rsidR="002E0D2A">
        <w:rPr>
          <w:noProof/>
          <w:sz w:val="20"/>
        </w:rPr>
        <w:t>16</w:t>
      </w:r>
      <w:r w:rsidR="00072AFA" w:rsidRPr="00E155C1">
        <w:rPr>
          <w:noProof/>
          <w:sz w:val="20"/>
        </w:rPr>
        <w:fldChar w:fldCharType="end"/>
      </w:r>
      <w:bookmarkEnd w:id="3124"/>
      <w:r w:rsidRPr="00E155C1">
        <w:rPr>
          <w:sz w:val="20"/>
        </w:rPr>
        <w:t>: Povprečna vrednost podprtih naložb v okviru podukrepa M</w:t>
      </w:r>
      <w:r w:rsidR="007E3018" w:rsidRPr="00E155C1">
        <w:rPr>
          <w:sz w:val="20"/>
        </w:rPr>
        <w:t>0</w:t>
      </w:r>
      <w:r w:rsidRPr="00E155C1">
        <w:rPr>
          <w:sz w:val="20"/>
        </w:rPr>
        <w:t>4.2 PRP 2014–2020 (30.4.2020) glede na OMD in vrsto dejavnosti</w:t>
      </w:r>
      <w:bookmarkEnd w:id="3125"/>
    </w:p>
    <w:tbl>
      <w:tblPr>
        <w:tblW w:w="9024" w:type="dxa"/>
        <w:tblCellMar>
          <w:left w:w="70" w:type="dxa"/>
          <w:right w:w="70" w:type="dxa"/>
        </w:tblCellMar>
        <w:tblLook w:val="04A0" w:firstRow="1" w:lastRow="0" w:firstColumn="1" w:lastColumn="0" w:noHBand="0" w:noVBand="1"/>
      </w:tblPr>
      <w:tblGrid>
        <w:gridCol w:w="2794"/>
        <w:gridCol w:w="1479"/>
        <w:gridCol w:w="1438"/>
        <w:gridCol w:w="1520"/>
        <w:gridCol w:w="1793"/>
      </w:tblGrid>
      <w:tr w:rsidR="00754A51" w:rsidRPr="005F797B" w14:paraId="500BFBA8" w14:textId="77777777" w:rsidTr="009F3567">
        <w:trPr>
          <w:trHeight w:val="278"/>
        </w:trPr>
        <w:tc>
          <w:tcPr>
            <w:tcW w:w="27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F061894" w14:textId="77777777" w:rsidR="00754A51" w:rsidRPr="00376F0D" w:rsidRDefault="00754A51" w:rsidP="009F3567">
            <w:pPr>
              <w:spacing w:before="0" w:line="276" w:lineRule="auto"/>
              <w:jc w:val="center"/>
              <w:rPr>
                <w:b/>
                <w:color w:val="000000"/>
                <w:sz w:val="16"/>
                <w:szCs w:val="16"/>
                <w:lang w:eastAsia="sl-SI"/>
              </w:rPr>
            </w:pPr>
            <w:r w:rsidRPr="00376F0D">
              <w:rPr>
                <w:b/>
                <w:color w:val="000000"/>
                <w:sz w:val="16"/>
                <w:szCs w:val="16"/>
                <w:lang w:eastAsia="sl-SI"/>
              </w:rPr>
              <w:t>VRSTA DEJAVNOSTI</w:t>
            </w:r>
          </w:p>
        </w:tc>
        <w:tc>
          <w:tcPr>
            <w:tcW w:w="623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7E9CC91" w14:textId="7C90ACC1" w:rsidR="00754A51" w:rsidRDefault="00754A51" w:rsidP="009F3567">
            <w:pPr>
              <w:spacing w:before="0" w:line="276" w:lineRule="auto"/>
              <w:jc w:val="center"/>
              <w:rPr>
                <w:b/>
                <w:color w:val="000000"/>
                <w:sz w:val="16"/>
                <w:szCs w:val="16"/>
                <w:lang w:eastAsia="sl-SI"/>
              </w:rPr>
            </w:pPr>
            <w:r w:rsidRPr="00376F0D">
              <w:rPr>
                <w:b/>
                <w:color w:val="000000"/>
                <w:sz w:val="16"/>
                <w:szCs w:val="16"/>
                <w:lang w:eastAsia="sl-SI"/>
              </w:rPr>
              <w:t>Povprečna višina vrednosti naložb glede na OMD (EUR)</w:t>
            </w:r>
          </w:p>
          <w:p w14:paraId="1F59B89C" w14:textId="77777777" w:rsidR="00AC0C12" w:rsidRPr="00376F0D" w:rsidRDefault="00AC0C12" w:rsidP="009F3567">
            <w:pPr>
              <w:spacing w:before="0" w:line="276" w:lineRule="auto"/>
              <w:jc w:val="center"/>
              <w:rPr>
                <w:b/>
                <w:color w:val="000000"/>
                <w:sz w:val="16"/>
                <w:szCs w:val="16"/>
                <w:lang w:eastAsia="sl-SI"/>
              </w:rPr>
            </w:pPr>
          </w:p>
        </w:tc>
      </w:tr>
      <w:tr w:rsidR="00375F08" w:rsidRPr="008E4705" w14:paraId="2A6157EE" w14:textId="77777777" w:rsidTr="00375F08">
        <w:trPr>
          <w:trHeight w:val="510"/>
        </w:trPr>
        <w:tc>
          <w:tcPr>
            <w:tcW w:w="279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C244B4" w14:textId="77777777" w:rsidR="00375F08" w:rsidRPr="00376F0D" w:rsidRDefault="00375F08" w:rsidP="00375F08">
            <w:pPr>
              <w:spacing w:before="0" w:line="276" w:lineRule="auto"/>
              <w:jc w:val="left"/>
              <w:rPr>
                <w:b/>
                <w:color w:val="000000"/>
                <w:sz w:val="16"/>
                <w:szCs w:val="16"/>
                <w:lang w:eastAsia="sl-SI"/>
              </w:rPr>
            </w:pPr>
          </w:p>
        </w:tc>
        <w:tc>
          <w:tcPr>
            <w:tcW w:w="1479" w:type="dxa"/>
            <w:tcBorders>
              <w:top w:val="nil"/>
              <w:left w:val="nil"/>
              <w:bottom w:val="single" w:sz="4" w:space="0" w:color="auto"/>
              <w:right w:val="single" w:sz="4" w:space="0" w:color="auto"/>
            </w:tcBorders>
            <w:shd w:val="clear" w:color="auto" w:fill="C6D9F1" w:themeFill="text2" w:themeFillTint="33"/>
            <w:vAlign w:val="center"/>
            <w:hideMark/>
          </w:tcPr>
          <w:p w14:paraId="15D2A414" w14:textId="554056DB"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38" w:type="dxa"/>
            <w:tcBorders>
              <w:top w:val="nil"/>
              <w:left w:val="nil"/>
              <w:bottom w:val="single" w:sz="4" w:space="0" w:color="auto"/>
              <w:right w:val="single" w:sz="4" w:space="0" w:color="auto"/>
            </w:tcBorders>
            <w:shd w:val="clear" w:color="auto" w:fill="C6D9F1" w:themeFill="text2" w:themeFillTint="33"/>
            <w:vAlign w:val="center"/>
            <w:hideMark/>
          </w:tcPr>
          <w:p w14:paraId="3A264120"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4CED6251" w14:textId="2050FB62"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520" w:type="dxa"/>
            <w:tcBorders>
              <w:top w:val="nil"/>
              <w:left w:val="nil"/>
              <w:bottom w:val="single" w:sz="4" w:space="0" w:color="auto"/>
              <w:right w:val="single" w:sz="4" w:space="0" w:color="auto"/>
            </w:tcBorders>
            <w:shd w:val="clear" w:color="auto" w:fill="C6D9F1" w:themeFill="text2" w:themeFillTint="33"/>
            <w:vAlign w:val="center"/>
            <w:hideMark/>
          </w:tcPr>
          <w:p w14:paraId="49E1891A" w14:textId="5DC8A0B0" w:rsidR="00375F08" w:rsidRPr="00376F0D"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793" w:type="dxa"/>
            <w:tcBorders>
              <w:top w:val="nil"/>
              <w:left w:val="nil"/>
              <w:bottom w:val="single" w:sz="4" w:space="0" w:color="auto"/>
              <w:right w:val="single" w:sz="4" w:space="0" w:color="auto"/>
            </w:tcBorders>
            <w:shd w:val="clear" w:color="auto" w:fill="C6D9F1" w:themeFill="text2" w:themeFillTint="33"/>
            <w:vAlign w:val="center"/>
            <w:hideMark/>
          </w:tcPr>
          <w:p w14:paraId="6C5595D1" w14:textId="77777777" w:rsidR="00375F08" w:rsidRPr="00376F0D" w:rsidRDefault="00375F08" w:rsidP="00375F08">
            <w:pPr>
              <w:spacing w:before="0" w:line="276" w:lineRule="auto"/>
              <w:jc w:val="center"/>
              <w:rPr>
                <w:b/>
                <w:color w:val="000000"/>
                <w:sz w:val="16"/>
                <w:szCs w:val="16"/>
                <w:lang w:eastAsia="sl-SI"/>
              </w:rPr>
            </w:pPr>
            <w:r w:rsidRPr="00376F0D">
              <w:rPr>
                <w:b/>
                <w:color w:val="000000"/>
                <w:sz w:val="16"/>
                <w:szCs w:val="16"/>
                <w:lang w:eastAsia="sl-SI"/>
              </w:rPr>
              <w:t>skupaj</w:t>
            </w:r>
          </w:p>
        </w:tc>
      </w:tr>
      <w:tr w:rsidR="00754A51" w:rsidRPr="005F797B" w14:paraId="19333EC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7377199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Meso goveje</w:t>
            </w:r>
          </w:p>
        </w:tc>
        <w:tc>
          <w:tcPr>
            <w:tcW w:w="1479" w:type="dxa"/>
            <w:tcBorders>
              <w:top w:val="nil"/>
              <w:left w:val="nil"/>
              <w:bottom w:val="single" w:sz="4" w:space="0" w:color="auto"/>
              <w:right w:val="single" w:sz="4" w:space="0" w:color="auto"/>
            </w:tcBorders>
            <w:shd w:val="clear" w:color="auto" w:fill="auto"/>
            <w:noWrap/>
            <w:vAlign w:val="center"/>
            <w:hideMark/>
          </w:tcPr>
          <w:p w14:paraId="3B1E2879"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174.983</w:t>
            </w:r>
          </w:p>
        </w:tc>
        <w:tc>
          <w:tcPr>
            <w:tcW w:w="1438" w:type="dxa"/>
            <w:tcBorders>
              <w:top w:val="nil"/>
              <w:left w:val="nil"/>
              <w:bottom w:val="single" w:sz="4" w:space="0" w:color="auto"/>
              <w:right w:val="single" w:sz="4" w:space="0" w:color="auto"/>
            </w:tcBorders>
            <w:shd w:val="clear" w:color="auto" w:fill="auto"/>
            <w:noWrap/>
            <w:vAlign w:val="center"/>
            <w:hideMark/>
          </w:tcPr>
          <w:p w14:paraId="0F0389C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166.987</w:t>
            </w:r>
          </w:p>
        </w:tc>
        <w:tc>
          <w:tcPr>
            <w:tcW w:w="1520" w:type="dxa"/>
            <w:tcBorders>
              <w:top w:val="nil"/>
              <w:left w:val="nil"/>
              <w:bottom w:val="single" w:sz="4" w:space="0" w:color="auto"/>
              <w:right w:val="single" w:sz="4" w:space="0" w:color="auto"/>
            </w:tcBorders>
            <w:shd w:val="clear" w:color="auto" w:fill="auto"/>
            <w:noWrap/>
            <w:vAlign w:val="center"/>
            <w:hideMark/>
          </w:tcPr>
          <w:p w14:paraId="15C9F0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1.106.794</w:t>
            </w:r>
          </w:p>
        </w:tc>
        <w:tc>
          <w:tcPr>
            <w:tcW w:w="1793" w:type="dxa"/>
            <w:tcBorders>
              <w:top w:val="nil"/>
              <w:left w:val="nil"/>
              <w:bottom w:val="single" w:sz="4" w:space="0" w:color="auto"/>
              <w:right w:val="single" w:sz="4" w:space="0" w:color="auto"/>
            </w:tcBorders>
            <w:shd w:val="clear" w:color="auto" w:fill="auto"/>
            <w:noWrap/>
            <w:vAlign w:val="center"/>
            <w:hideMark/>
          </w:tcPr>
          <w:p w14:paraId="7F19BB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615.105</w:t>
            </w:r>
          </w:p>
        </w:tc>
      </w:tr>
      <w:tr w:rsidR="00754A51" w:rsidRPr="005F797B" w14:paraId="3C8AB552"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5DFD49C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w:t>
            </w:r>
          </w:p>
        </w:tc>
        <w:tc>
          <w:tcPr>
            <w:tcW w:w="1479" w:type="dxa"/>
            <w:tcBorders>
              <w:top w:val="nil"/>
              <w:left w:val="nil"/>
              <w:bottom w:val="single" w:sz="4" w:space="0" w:color="auto"/>
              <w:right w:val="single" w:sz="4" w:space="0" w:color="auto"/>
            </w:tcBorders>
            <w:shd w:val="clear" w:color="auto" w:fill="auto"/>
            <w:noWrap/>
            <w:vAlign w:val="center"/>
            <w:hideMark/>
          </w:tcPr>
          <w:p w14:paraId="5903B16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344.138</w:t>
            </w:r>
          </w:p>
        </w:tc>
        <w:tc>
          <w:tcPr>
            <w:tcW w:w="1438" w:type="dxa"/>
            <w:tcBorders>
              <w:top w:val="nil"/>
              <w:left w:val="nil"/>
              <w:bottom w:val="single" w:sz="4" w:space="0" w:color="auto"/>
              <w:right w:val="single" w:sz="4" w:space="0" w:color="auto"/>
            </w:tcBorders>
            <w:shd w:val="clear" w:color="auto" w:fill="auto"/>
            <w:noWrap/>
            <w:vAlign w:val="center"/>
            <w:hideMark/>
          </w:tcPr>
          <w:p w14:paraId="7DB8B38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160.033</w:t>
            </w:r>
          </w:p>
        </w:tc>
        <w:tc>
          <w:tcPr>
            <w:tcW w:w="1520" w:type="dxa"/>
            <w:tcBorders>
              <w:top w:val="nil"/>
              <w:left w:val="nil"/>
              <w:bottom w:val="single" w:sz="4" w:space="0" w:color="auto"/>
              <w:right w:val="single" w:sz="4" w:space="0" w:color="auto"/>
            </w:tcBorders>
            <w:shd w:val="clear" w:color="auto" w:fill="auto"/>
            <w:noWrap/>
            <w:vAlign w:val="center"/>
            <w:hideMark/>
          </w:tcPr>
          <w:p w14:paraId="31CBFAF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72.868</w:t>
            </w:r>
          </w:p>
        </w:tc>
        <w:tc>
          <w:tcPr>
            <w:tcW w:w="1793" w:type="dxa"/>
            <w:tcBorders>
              <w:top w:val="nil"/>
              <w:left w:val="nil"/>
              <w:bottom w:val="single" w:sz="4" w:space="0" w:color="auto"/>
              <w:right w:val="single" w:sz="4" w:space="0" w:color="auto"/>
            </w:tcBorders>
            <w:shd w:val="clear" w:color="auto" w:fill="auto"/>
            <w:noWrap/>
            <w:vAlign w:val="center"/>
            <w:hideMark/>
          </w:tcPr>
          <w:p w14:paraId="7968978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283.313</w:t>
            </w:r>
          </w:p>
        </w:tc>
      </w:tr>
      <w:tr w:rsidR="00754A51" w:rsidRPr="005F797B" w14:paraId="4FFF721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5ACE27"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dejavnosti</w:t>
            </w:r>
          </w:p>
        </w:tc>
        <w:tc>
          <w:tcPr>
            <w:tcW w:w="1479" w:type="dxa"/>
            <w:tcBorders>
              <w:top w:val="nil"/>
              <w:left w:val="nil"/>
              <w:bottom w:val="single" w:sz="4" w:space="0" w:color="auto"/>
              <w:right w:val="single" w:sz="4" w:space="0" w:color="auto"/>
            </w:tcBorders>
            <w:shd w:val="clear" w:color="auto" w:fill="C6D9F1" w:themeFill="text2" w:themeFillTint="33"/>
            <w:noWrap/>
            <w:vAlign w:val="center"/>
            <w:hideMark/>
          </w:tcPr>
          <w:p w14:paraId="26A36CF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293.179</w:t>
            </w:r>
          </w:p>
        </w:tc>
        <w:tc>
          <w:tcPr>
            <w:tcW w:w="1438" w:type="dxa"/>
            <w:tcBorders>
              <w:top w:val="nil"/>
              <w:left w:val="nil"/>
              <w:bottom w:val="single" w:sz="4" w:space="0" w:color="auto"/>
              <w:right w:val="single" w:sz="4" w:space="0" w:color="auto"/>
            </w:tcBorders>
            <w:shd w:val="clear" w:color="auto" w:fill="C6D9F1" w:themeFill="text2" w:themeFillTint="33"/>
            <w:noWrap/>
            <w:vAlign w:val="center"/>
            <w:hideMark/>
          </w:tcPr>
          <w:p w14:paraId="6697D51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222.814</w:t>
            </w:r>
          </w:p>
        </w:tc>
        <w:tc>
          <w:tcPr>
            <w:tcW w:w="1520" w:type="dxa"/>
            <w:tcBorders>
              <w:top w:val="nil"/>
              <w:left w:val="nil"/>
              <w:bottom w:val="single" w:sz="4" w:space="0" w:color="auto"/>
              <w:right w:val="single" w:sz="4" w:space="0" w:color="auto"/>
            </w:tcBorders>
            <w:shd w:val="clear" w:color="auto" w:fill="C6D9F1" w:themeFill="text2" w:themeFillTint="33"/>
            <w:noWrap/>
            <w:vAlign w:val="center"/>
            <w:hideMark/>
          </w:tcPr>
          <w:p w14:paraId="69D67DEA"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731.324</w:t>
            </w:r>
          </w:p>
        </w:tc>
        <w:tc>
          <w:tcPr>
            <w:tcW w:w="1793" w:type="dxa"/>
            <w:tcBorders>
              <w:top w:val="nil"/>
              <w:left w:val="nil"/>
              <w:bottom w:val="single" w:sz="4" w:space="0" w:color="auto"/>
              <w:right w:val="single" w:sz="4" w:space="0" w:color="auto"/>
            </w:tcBorders>
            <w:shd w:val="clear" w:color="auto" w:fill="C6D9F1" w:themeFill="text2" w:themeFillTint="33"/>
            <w:noWrap/>
            <w:vAlign w:val="center"/>
            <w:hideMark/>
          </w:tcPr>
          <w:p w14:paraId="64A95A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395.484</w:t>
            </w:r>
          </w:p>
        </w:tc>
      </w:tr>
    </w:tbl>
    <w:p w14:paraId="15C9FDA2" w14:textId="77777777" w:rsidR="00754A51" w:rsidRPr="001A32D7" w:rsidRDefault="00376F0D" w:rsidP="009F3567">
      <w:pPr>
        <w:spacing w:before="0" w:line="276" w:lineRule="auto"/>
        <w:rPr>
          <w:sz w:val="16"/>
          <w:szCs w:val="16"/>
        </w:rPr>
      </w:pPr>
      <w:r>
        <w:rPr>
          <w:sz w:val="16"/>
          <w:szCs w:val="16"/>
        </w:rPr>
        <w:t>Vir: MKGP</w:t>
      </w:r>
    </w:p>
    <w:p w14:paraId="0113F8B0" w14:textId="77777777" w:rsidR="00754A51" w:rsidRDefault="00754A51" w:rsidP="007613FE">
      <w:pPr>
        <w:pStyle w:val="Odstavek1"/>
      </w:pPr>
    </w:p>
    <w:p w14:paraId="76381A54" w14:textId="730FC310" w:rsidR="00754A51" w:rsidRDefault="00754A51" w:rsidP="007613FE">
      <w:pPr>
        <w:pStyle w:val="Odstavek1"/>
      </w:pPr>
      <w:r>
        <w:t xml:space="preserve">Pri podprtih naložbah v </w:t>
      </w:r>
      <w:r w:rsidR="002D53C7">
        <w:t>sektorju</w:t>
      </w:r>
      <w:r>
        <w:t xml:space="preserve"> </w:t>
      </w:r>
      <w:r w:rsidRPr="001A32D7">
        <w:rPr>
          <w:i/>
        </w:rPr>
        <w:t>mleko</w:t>
      </w:r>
      <w:r>
        <w:t xml:space="preserve"> in </w:t>
      </w:r>
      <w:r w:rsidRPr="001A32D7">
        <w:rPr>
          <w:i/>
        </w:rPr>
        <w:t>goveje meso</w:t>
      </w:r>
      <w:r>
        <w:t xml:space="preserve"> so glede na predmet naložbe opazne razlike v celotni vrednosti </w:t>
      </w:r>
      <w:r w:rsidR="007E0775">
        <w:t>naložb</w:t>
      </w:r>
      <w:r>
        <w:t xml:space="preserve"> glede na OMD, in sicer predvsem pri nakupu opreme, kjer je celotna vrednost stroškov naložb </w:t>
      </w:r>
      <w:r w:rsidR="00375F08">
        <w:t>na OMD -</w:t>
      </w:r>
      <w:r>
        <w:t xml:space="preserve"> gorsk</w:t>
      </w:r>
      <w:r w:rsidR="00375F08">
        <w:t>a</w:t>
      </w:r>
      <w:r>
        <w:t xml:space="preserve"> območj</w:t>
      </w:r>
      <w:r w:rsidR="00375F08">
        <w:t>a</w:t>
      </w:r>
      <w:r>
        <w:t xml:space="preserve"> več kot </w:t>
      </w:r>
      <w:r w:rsidR="007E3018">
        <w:t>dvakrat</w:t>
      </w:r>
      <w:r>
        <w:t xml:space="preserve"> nižja kot </w:t>
      </w:r>
      <w:r w:rsidR="00367511">
        <w:t xml:space="preserve">na </w:t>
      </w:r>
      <w:r w:rsidR="00367511" w:rsidRPr="00367511">
        <w:t xml:space="preserve">območjih </w:t>
      </w:r>
      <w:r w:rsidR="00375F08">
        <w:t>izven OMD</w:t>
      </w:r>
      <w:r w:rsidR="00F24491">
        <w:t>. P</w:t>
      </w:r>
      <w:r>
        <w:t xml:space="preserve">ri novogradnji objektov </w:t>
      </w:r>
      <w:r w:rsidR="00F24491">
        <w:t xml:space="preserve">pa </w:t>
      </w:r>
      <w:r>
        <w:t xml:space="preserve">je opazno večje investiranje v objekte na </w:t>
      </w:r>
      <w:r w:rsidR="00375F08">
        <w:t xml:space="preserve">OMD - </w:t>
      </w:r>
      <w:r>
        <w:t>gorsk</w:t>
      </w:r>
      <w:r w:rsidR="00375F08">
        <w:t>a</w:t>
      </w:r>
      <w:r>
        <w:t xml:space="preserve"> območj</w:t>
      </w:r>
      <w:r w:rsidR="00375F08">
        <w:t>a</w:t>
      </w:r>
      <w:r>
        <w:t xml:space="preserve">. </w:t>
      </w:r>
      <w:r w:rsidR="00F24491">
        <w:t xml:space="preserve">Na podlagi teh podatkov sklepamo, da so na OMD-gorska območja večja vlaganja v novogradnjo objektov, na ne OMD pa v nakup opreme v obstoječih objektih. </w:t>
      </w:r>
    </w:p>
    <w:p w14:paraId="5A38C3DD" w14:textId="77777777" w:rsidR="00304C05" w:rsidRDefault="00304C05" w:rsidP="00304C05">
      <w:pPr>
        <w:pStyle w:val="SCPreglednica"/>
      </w:pPr>
    </w:p>
    <w:p w14:paraId="59522286" w14:textId="779E7D3D" w:rsidR="000429A3" w:rsidRPr="00E155C1" w:rsidRDefault="00754A51" w:rsidP="00304C05">
      <w:pPr>
        <w:pStyle w:val="SCPreglednica"/>
        <w:rPr>
          <w:sz w:val="20"/>
          <w:szCs w:val="16"/>
        </w:rPr>
      </w:pPr>
      <w:bookmarkStart w:id="3126" w:name="_Toc89861009"/>
      <w:r w:rsidRPr="00E155C1">
        <w:rPr>
          <w:sz w:val="20"/>
        </w:rPr>
        <w:t xml:space="preserve">Tabela </w:t>
      </w:r>
      <w:r w:rsidR="009F2591" w:rsidRPr="00E155C1">
        <w:rPr>
          <w:noProof/>
          <w:sz w:val="20"/>
        </w:rPr>
        <w:fldChar w:fldCharType="begin"/>
      </w:r>
      <w:r w:rsidR="009F2591" w:rsidRPr="00E155C1">
        <w:rPr>
          <w:noProof/>
          <w:sz w:val="20"/>
        </w:rPr>
        <w:instrText xml:space="preserve"> SEQ Tabela \* ARABIC </w:instrText>
      </w:r>
      <w:r w:rsidR="009F2591" w:rsidRPr="00E155C1">
        <w:rPr>
          <w:noProof/>
          <w:sz w:val="20"/>
        </w:rPr>
        <w:fldChar w:fldCharType="separate"/>
      </w:r>
      <w:r w:rsidR="002E0D2A">
        <w:rPr>
          <w:noProof/>
          <w:sz w:val="20"/>
        </w:rPr>
        <w:t>17</w:t>
      </w:r>
      <w:r w:rsidR="009F2591" w:rsidRPr="00E155C1">
        <w:rPr>
          <w:noProof/>
          <w:sz w:val="20"/>
        </w:rPr>
        <w:fldChar w:fldCharType="end"/>
      </w:r>
      <w:r w:rsidRPr="00E155C1">
        <w:rPr>
          <w:sz w:val="20"/>
        </w:rPr>
        <w:t>: Celotna vrednost stroškov podprtih naložb v okviru podukrepa M</w:t>
      </w:r>
      <w:r w:rsidR="007E3018" w:rsidRPr="00E155C1">
        <w:rPr>
          <w:sz w:val="20"/>
        </w:rPr>
        <w:t>0</w:t>
      </w:r>
      <w:r w:rsidRPr="00E155C1">
        <w:rPr>
          <w:sz w:val="20"/>
        </w:rPr>
        <w:t>4.2 PRP 2014-2020 (30.</w:t>
      </w:r>
      <w:r w:rsidR="007E3018" w:rsidRPr="00E155C1">
        <w:rPr>
          <w:sz w:val="20"/>
        </w:rPr>
        <w:t xml:space="preserve"> </w:t>
      </w:r>
      <w:r w:rsidRPr="00E155C1">
        <w:rPr>
          <w:sz w:val="20"/>
        </w:rPr>
        <w:t>4.</w:t>
      </w:r>
      <w:r w:rsidR="007E3018" w:rsidRPr="00E155C1">
        <w:rPr>
          <w:sz w:val="20"/>
        </w:rPr>
        <w:t xml:space="preserve"> </w:t>
      </w:r>
      <w:r w:rsidRPr="00E155C1">
        <w:rPr>
          <w:sz w:val="20"/>
        </w:rPr>
        <w:t>2020) glede na OMD in predmet naložbe v sektorju mleko in goveje meso</w:t>
      </w:r>
      <w:bookmarkEnd w:id="3126"/>
    </w:p>
    <w:tbl>
      <w:tblPr>
        <w:tblW w:w="8970" w:type="dxa"/>
        <w:tblCellMar>
          <w:left w:w="70" w:type="dxa"/>
          <w:right w:w="70" w:type="dxa"/>
        </w:tblCellMar>
        <w:tblLook w:val="04A0" w:firstRow="1" w:lastRow="0" w:firstColumn="1" w:lastColumn="0" w:noHBand="0" w:noVBand="1"/>
      </w:tblPr>
      <w:tblGrid>
        <w:gridCol w:w="3218"/>
        <w:gridCol w:w="1543"/>
        <w:gridCol w:w="1402"/>
        <w:gridCol w:w="1403"/>
        <w:gridCol w:w="1404"/>
      </w:tblGrid>
      <w:tr w:rsidR="00754A51" w:rsidRPr="00845A6E" w14:paraId="3EEDD135" w14:textId="77777777" w:rsidTr="009F3567">
        <w:trPr>
          <w:trHeight w:val="462"/>
        </w:trPr>
        <w:tc>
          <w:tcPr>
            <w:tcW w:w="3218"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3F034945" w14:textId="77777777"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PREDMET NALOŽBE (na ravni stroškov)</w:t>
            </w:r>
          </w:p>
        </w:tc>
        <w:tc>
          <w:tcPr>
            <w:tcW w:w="5752" w:type="dxa"/>
            <w:gridSpan w:val="4"/>
            <w:tcBorders>
              <w:top w:val="single" w:sz="8" w:space="0" w:color="auto"/>
              <w:left w:val="nil"/>
              <w:bottom w:val="single" w:sz="4" w:space="0" w:color="auto"/>
              <w:right w:val="single" w:sz="8" w:space="0" w:color="000000"/>
            </w:tcBorders>
            <w:shd w:val="clear" w:color="auto" w:fill="C6D9F1" w:themeFill="text2" w:themeFillTint="33"/>
            <w:vAlign w:val="center"/>
            <w:hideMark/>
          </w:tcPr>
          <w:p w14:paraId="7C1EA6B1" w14:textId="1261E2DA"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 xml:space="preserve">Celotna vrednost stroškov glede na OMD </w:t>
            </w:r>
            <w:r w:rsidR="00375F08">
              <w:rPr>
                <w:b/>
                <w:color w:val="000000"/>
                <w:sz w:val="16"/>
                <w:szCs w:val="16"/>
                <w:lang w:eastAsia="sl-SI"/>
              </w:rPr>
              <w:t>(EUR)</w:t>
            </w:r>
          </w:p>
        </w:tc>
      </w:tr>
      <w:tr w:rsidR="00375F08" w:rsidRPr="00845A6E" w14:paraId="4FD91ECA" w14:textId="77777777" w:rsidTr="00375F08">
        <w:trPr>
          <w:trHeight w:val="489"/>
        </w:trPr>
        <w:tc>
          <w:tcPr>
            <w:tcW w:w="3218"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447FB04D" w14:textId="77777777" w:rsidR="00375F08" w:rsidRPr="001A32D7" w:rsidRDefault="00375F08" w:rsidP="00375F08">
            <w:pPr>
              <w:spacing w:before="0" w:line="276" w:lineRule="auto"/>
              <w:jc w:val="center"/>
              <w:rPr>
                <w:b/>
                <w:color w:val="000000"/>
                <w:sz w:val="16"/>
                <w:szCs w:val="16"/>
                <w:lang w:eastAsia="sl-SI"/>
              </w:rPr>
            </w:pPr>
          </w:p>
        </w:tc>
        <w:tc>
          <w:tcPr>
            <w:tcW w:w="1543" w:type="dxa"/>
            <w:tcBorders>
              <w:top w:val="nil"/>
              <w:left w:val="nil"/>
              <w:bottom w:val="single" w:sz="8" w:space="0" w:color="auto"/>
              <w:right w:val="single" w:sz="4" w:space="0" w:color="auto"/>
            </w:tcBorders>
            <w:shd w:val="clear" w:color="auto" w:fill="C6D9F1" w:themeFill="text2" w:themeFillTint="33"/>
            <w:vAlign w:val="center"/>
            <w:hideMark/>
          </w:tcPr>
          <w:p w14:paraId="719B4FD6" w14:textId="50487E5D"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02" w:type="dxa"/>
            <w:tcBorders>
              <w:top w:val="nil"/>
              <w:left w:val="nil"/>
              <w:bottom w:val="single" w:sz="8" w:space="0" w:color="auto"/>
              <w:right w:val="single" w:sz="4" w:space="0" w:color="auto"/>
            </w:tcBorders>
            <w:shd w:val="clear" w:color="auto" w:fill="C6D9F1" w:themeFill="text2" w:themeFillTint="33"/>
            <w:vAlign w:val="center"/>
            <w:hideMark/>
          </w:tcPr>
          <w:p w14:paraId="63976125"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6E52CB16" w14:textId="0824A655"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403" w:type="dxa"/>
            <w:tcBorders>
              <w:top w:val="nil"/>
              <w:left w:val="nil"/>
              <w:bottom w:val="single" w:sz="8" w:space="0" w:color="auto"/>
              <w:right w:val="single" w:sz="4" w:space="0" w:color="auto"/>
            </w:tcBorders>
            <w:shd w:val="clear" w:color="auto" w:fill="C6D9F1" w:themeFill="text2" w:themeFillTint="33"/>
            <w:vAlign w:val="center"/>
            <w:hideMark/>
          </w:tcPr>
          <w:p w14:paraId="7945FF0E" w14:textId="010DB79E" w:rsidR="00375F08" w:rsidRPr="001A32D7"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404" w:type="dxa"/>
            <w:tcBorders>
              <w:top w:val="nil"/>
              <w:left w:val="nil"/>
              <w:bottom w:val="single" w:sz="8" w:space="0" w:color="auto"/>
              <w:right w:val="single" w:sz="8" w:space="0" w:color="auto"/>
            </w:tcBorders>
            <w:shd w:val="clear" w:color="auto" w:fill="C6D9F1" w:themeFill="text2" w:themeFillTint="33"/>
            <w:vAlign w:val="center"/>
            <w:hideMark/>
          </w:tcPr>
          <w:p w14:paraId="0D56A3DD" w14:textId="77777777" w:rsidR="00375F08" w:rsidRPr="001A32D7" w:rsidRDefault="00375F08" w:rsidP="00375F08">
            <w:pPr>
              <w:spacing w:before="0" w:line="276" w:lineRule="auto"/>
              <w:jc w:val="center"/>
              <w:rPr>
                <w:b/>
                <w:color w:val="000000"/>
                <w:sz w:val="16"/>
                <w:szCs w:val="16"/>
                <w:lang w:eastAsia="sl-SI"/>
              </w:rPr>
            </w:pPr>
            <w:r w:rsidRPr="001A32D7">
              <w:rPr>
                <w:b/>
                <w:color w:val="000000"/>
                <w:sz w:val="16"/>
                <w:szCs w:val="16"/>
                <w:lang w:eastAsia="sl-SI"/>
              </w:rPr>
              <w:t>skupaj</w:t>
            </w:r>
          </w:p>
        </w:tc>
      </w:tr>
      <w:tr w:rsidR="00754A51" w:rsidRPr="00845A6E" w14:paraId="1A4700B4"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577F0C7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Investicijsko vzdrževanje objektov</w:t>
            </w:r>
          </w:p>
        </w:tc>
        <w:tc>
          <w:tcPr>
            <w:tcW w:w="1543" w:type="dxa"/>
            <w:tcBorders>
              <w:top w:val="nil"/>
              <w:left w:val="nil"/>
              <w:bottom w:val="single" w:sz="4" w:space="0" w:color="auto"/>
              <w:right w:val="single" w:sz="4" w:space="0" w:color="auto"/>
            </w:tcBorders>
            <w:shd w:val="clear" w:color="auto" w:fill="auto"/>
            <w:noWrap/>
            <w:vAlign w:val="center"/>
            <w:hideMark/>
          </w:tcPr>
          <w:p w14:paraId="400F00D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38.038</w:t>
            </w:r>
          </w:p>
        </w:tc>
        <w:tc>
          <w:tcPr>
            <w:tcW w:w="1402" w:type="dxa"/>
            <w:tcBorders>
              <w:top w:val="nil"/>
              <w:left w:val="nil"/>
              <w:bottom w:val="single" w:sz="4" w:space="0" w:color="auto"/>
              <w:right w:val="single" w:sz="4" w:space="0" w:color="auto"/>
            </w:tcBorders>
            <w:shd w:val="clear" w:color="auto" w:fill="auto"/>
            <w:noWrap/>
            <w:vAlign w:val="center"/>
            <w:hideMark/>
          </w:tcPr>
          <w:p w14:paraId="1A9FDB0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01A2416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441.935</w:t>
            </w:r>
          </w:p>
        </w:tc>
        <w:tc>
          <w:tcPr>
            <w:tcW w:w="1404" w:type="dxa"/>
            <w:tcBorders>
              <w:top w:val="nil"/>
              <w:left w:val="nil"/>
              <w:bottom w:val="single" w:sz="4" w:space="0" w:color="auto"/>
              <w:right w:val="single" w:sz="8" w:space="0" w:color="auto"/>
            </w:tcBorders>
            <w:shd w:val="clear" w:color="auto" w:fill="auto"/>
            <w:noWrap/>
            <w:vAlign w:val="center"/>
            <w:hideMark/>
          </w:tcPr>
          <w:p w14:paraId="48B31C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479.973</w:t>
            </w:r>
          </w:p>
        </w:tc>
      </w:tr>
      <w:tr w:rsidR="00754A51" w:rsidRPr="00845A6E" w14:paraId="6E9A4C0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F2B54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opreme</w:t>
            </w:r>
          </w:p>
        </w:tc>
        <w:tc>
          <w:tcPr>
            <w:tcW w:w="1543" w:type="dxa"/>
            <w:tcBorders>
              <w:top w:val="nil"/>
              <w:left w:val="nil"/>
              <w:bottom w:val="single" w:sz="4" w:space="0" w:color="auto"/>
              <w:right w:val="single" w:sz="4" w:space="0" w:color="auto"/>
            </w:tcBorders>
            <w:shd w:val="clear" w:color="auto" w:fill="auto"/>
            <w:noWrap/>
            <w:vAlign w:val="center"/>
            <w:hideMark/>
          </w:tcPr>
          <w:p w14:paraId="6A2083D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2.961.002</w:t>
            </w:r>
          </w:p>
        </w:tc>
        <w:tc>
          <w:tcPr>
            <w:tcW w:w="1402" w:type="dxa"/>
            <w:tcBorders>
              <w:top w:val="nil"/>
              <w:left w:val="nil"/>
              <w:bottom w:val="single" w:sz="4" w:space="0" w:color="auto"/>
              <w:right w:val="single" w:sz="4" w:space="0" w:color="auto"/>
            </w:tcBorders>
            <w:shd w:val="clear" w:color="auto" w:fill="auto"/>
            <w:noWrap/>
            <w:vAlign w:val="center"/>
            <w:hideMark/>
          </w:tcPr>
          <w:p w14:paraId="7C6E80E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400.954</w:t>
            </w:r>
          </w:p>
        </w:tc>
        <w:tc>
          <w:tcPr>
            <w:tcW w:w="1403" w:type="dxa"/>
            <w:tcBorders>
              <w:top w:val="nil"/>
              <w:left w:val="nil"/>
              <w:bottom w:val="single" w:sz="4" w:space="0" w:color="auto"/>
              <w:right w:val="single" w:sz="4" w:space="0" w:color="auto"/>
            </w:tcBorders>
            <w:shd w:val="clear" w:color="auto" w:fill="auto"/>
            <w:noWrap/>
            <w:vAlign w:val="center"/>
            <w:hideMark/>
          </w:tcPr>
          <w:p w14:paraId="365522A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6.601.490</w:t>
            </w:r>
          </w:p>
        </w:tc>
        <w:tc>
          <w:tcPr>
            <w:tcW w:w="1404" w:type="dxa"/>
            <w:tcBorders>
              <w:top w:val="nil"/>
              <w:left w:val="nil"/>
              <w:bottom w:val="single" w:sz="4" w:space="0" w:color="auto"/>
              <w:right w:val="single" w:sz="8" w:space="0" w:color="auto"/>
            </w:tcBorders>
            <w:shd w:val="clear" w:color="auto" w:fill="auto"/>
            <w:noWrap/>
            <w:vAlign w:val="center"/>
            <w:hideMark/>
          </w:tcPr>
          <w:p w14:paraId="7B1EFB44"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9.963.445</w:t>
            </w:r>
          </w:p>
        </w:tc>
      </w:tr>
      <w:tr w:rsidR="00754A51" w:rsidRPr="00845A6E" w14:paraId="49503A06"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645B60"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Novogradnja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151244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2.401.514</w:t>
            </w:r>
          </w:p>
        </w:tc>
        <w:tc>
          <w:tcPr>
            <w:tcW w:w="1402" w:type="dxa"/>
            <w:tcBorders>
              <w:top w:val="nil"/>
              <w:left w:val="nil"/>
              <w:bottom w:val="single" w:sz="4" w:space="0" w:color="auto"/>
              <w:right w:val="single" w:sz="4" w:space="0" w:color="auto"/>
            </w:tcBorders>
            <w:shd w:val="clear" w:color="auto" w:fill="auto"/>
            <w:noWrap/>
            <w:vAlign w:val="center"/>
            <w:hideMark/>
          </w:tcPr>
          <w:p w14:paraId="78E7090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535.910</w:t>
            </w:r>
          </w:p>
        </w:tc>
        <w:tc>
          <w:tcPr>
            <w:tcW w:w="1403" w:type="dxa"/>
            <w:tcBorders>
              <w:top w:val="nil"/>
              <w:left w:val="nil"/>
              <w:bottom w:val="single" w:sz="4" w:space="0" w:color="auto"/>
              <w:right w:val="single" w:sz="4" w:space="0" w:color="auto"/>
            </w:tcBorders>
            <w:shd w:val="clear" w:color="auto" w:fill="auto"/>
            <w:noWrap/>
            <w:vAlign w:val="center"/>
            <w:hideMark/>
          </w:tcPr>
          <w:p w14:paraId="52530C9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1.995.501</w:t>
            </w:r>
          </w:p>
        </w:tc>
        <w:tc>
          <w:tcPr>
            <w:tcW w:w="1404" w:type="dxa"/>
            <w:tcBorders>
              <w:top w:val="nil"/>
              <w:left w:val="nil"/>
              <w:bottom w:val="single" w:sz="4" w:space="0" w:color="auto"/>
              <w:right w:val="single" w:sz="8" w:space="0" w:color="auto"/>
            </w:tcBorders>
            <w:shd w:val="clear" w:color="auto" w:fill="auto"/>
            <w:noWrap/>
            <w:vAlign w:val="center"/>
            <w:hideMark/>
          </w:tcPr>
          <w:p w14:paraId="5717DB9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4.932.925</w:t>
            </w:r>
          </w:p>
        </w:tc>
      </w:tr>
      <w:tr w:rsidR="00754A51" w:rsidRPr="00845A6E" w14:paraId="5946BE4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25CECFEC"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ostali splošni stroški</w:t>
            </w:r>
          </w:p>
        </w:tc>
        <w:tc>
          <w:tcPr>
            <w:tcW w:w="1543" w:type="dxa"/>
            <w:tcBorders>
              <w:top w:val="nil"/>
              <w:left w:val="nil"/>
              <w:bottom w:val="single" w:sz="4" w:space="0" w:color="auto"/>
              <w:right w:val="single" w:sz="4" w:space="0" w:color="auto"/>
            </w:tcBorders>
            <w:shd w:val="clear" w:color="auto" w:fill="auto"/>
            <w:noWrap/>
            <w:vAlign w:val="center"/>
            <w:hideMark/>
          </w:tcPr>
          <w:p w14:paraId="0A0B5F1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161.789</w:t>
            </w:r>
          </w:p>
        </w:tc>
        <w:tc>
          <w:tcPr>
            <w:tcW w:w="1402" w:type="dxa"/>
            <w:tcBorders>
              <w:top w:val="nil"/>
              <w:left w:val="nil"/>
              <w:bottom w:val="single" w:sz="4" w:space="0" w:color="auto"/>
              <w:right w:val="single" w:sz="4" w:space="0" w:color="auto"/>
            </w:tcBorders>
            <w:shd w:val="clear" w:color="auto" w:fill="auto"/>
            <w:noWrap/>
            <w:vAlign w:val="center"/>
            <w:hideMark/>
          </w:tcPr>
          <w:p w14:paraId="714C8E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11.479</w:t>
            </w:r>
          </w:p>
        </w:tc>
        <w:tc>
          <w:tcPr>
            <w:tcW w:w="1403" w:type="dxa"/>
            <w:tcBorders>
              <w:top w:val="nil"/>
              <w:left w:val="nil"/>
              <w:bottom w:val="single" w:sz="4" w:space="0" w:color="auto"/>
              <w:right w:val="single" w:sz="4" w:space="0" w:color="auto"/>
            </w:tcBorders>
            <w:shd w:val="clear" w:color="auto" w:fill="auto"/>
            <w:noWrap/>
            <w:vAlign w:val="center"/>
            <w:hideMark/>
          </w:tcPr>
          <w:p w14:paraId="211178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224.724</w:t>
            </w:r>
          </w:p>
        </w:tc>
        <w:tc>
          <w:tcPr>
            <w:tcW w:w="1404" w:type="dxa"/>
            <w:tcBorders>
              <w:top w:val="nil"/>
              <w:left w:val="nil"/>
              <w:bottom w:val="single" w:sz="4" w:space="0" w:color="auto"/>
              <w:right w:val="single" w:sz="8" w:space="0" w:color="auto"/>
            </w:tcBorders>
            <w:shd w:val="clear" w:color="auto" w:fill="auto"/>
            <w:noWrap/>
            <w:vAlign w:val="center"/>
            <w:hideMark/>
          </w:tcPr>
          <w:p w14:paraId="3636397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397.991</w:t>
            </w:r>
          </w:p>
        </w:tc>
      </w:tr>
      <w:tr w:rsidR="00754A51" w:rsidRPr="00845A6E" w14:paraId="4013583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09FD966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OVE</w:t>
            </w:r>
          </w:p>
        </w:tc>
        <w:tc>
          <w:tcPr>
            <w:tcW w:w="1543" w:type="dxa"/>
            <w:tcBorders>
              <w:top w:val="nil"/>
              <w:left w:val="nil"/>
              <w:bottom w:val="single" w:sz="4" w:space="0" w:color="auto"/>
              <w:right w:val="single" w:sz="4" w:space="0" w:color="auto"/>
            </w:tcBorders>
            <w:shd w:val="clear" w:color="auto" w:fill="auto"/>
            <w:noWrap/>
            <w:vAlign w:val="center"/>
            <w:hideMark/>
          </w:tcPr>
          <w:p w14:paraId="608008F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c>
          <w:tcPr>
            <w:tcW w:w="1402" w:type="dxa"/>
            <w:tcBorders>
              <w:top w:val="nil"/>
              <w:left w:val="nil"/>
              <w:bottom w:val="single" w:sz="4" w:space="0" w:color="auto"/>
              <w:right w:val="single" w:sz="4" w:space="0" w:color="auto"/>
            </w:tcBorders>
            <w:shd w:val="clear" w:color="auto" w:fill="auto"/>
            <w:noWrap/>
            <w:vAlign w:val="center"/>
            <w:hideMark/>
          </w:tcPr>
          <w:p w14:paraId="2AE4EF3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BBA7BC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2C2C71B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r>
      <w:tr w:rsidR="00754A51" w:rsidRPr="00845A6E" w14:paraId="0347954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412B1A0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Rekonstrukcija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2D93652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2" w:type="dxa"/>
            <w:tcBorders>
              <w:top w:val="nil"/>
              <w:left w:val="nil"/>
              <w:bottom w:val="single" w:sz="4" w:space="0" w:color="auto"/>
              <w:right w:val="single" w:sz="4" w:space="0" w:color="auto"/>
            </w:tcBorders>
            <w:shd w:val="clear" w:color="auto" w:fill="auto"/>
            <w:noWrap/>
            <w:vAlign w:val="center"/>
            <w:hideMark/>
          </w:tcPr>
          <w:p w14:paraId="0A9C496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8B801A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c>
          <w:tcPr>
            <w:tcW w:w="1404" w:type="dxa"/>
            <w:tcBorders>
              <w:top w:val="nil"/>
              <w:left w:val="nil"/>
              <w:bottom w:val="single" w:sz="4" w:space="0" w:color="auto"/>
              <w:right w:val="single" w:sz="8" w:space="0" w:color="auto"/>
            </w:tcBorders>
            <w:shd w:val="clear" w:color="auto" w:fill="auto"/>
            <w:noWrap/>
            <w:vAlign w:val="center"/>
            <w:hideMark/>
          </w:tcPr>
          <w:p w14:paraId="36234C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r>
      <w:tr w:rsidR="00754A51" w:rsidRPr="00845A6E" w14:paraId="3C073084" w14:textId="77777777" w:rsidTr="00375F08">
        <w:trPr>
          <w:trHeight w:val="250"/>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6C37392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Ureditev dovoznih površin</w:t>
            </w:r>
          </w:p>
        </w:tc>
        <w:tc>
          <w:tcPr>
            <w:tcW w:w="1543" w:type="dxa"/>
            <w:tcBorders>
              <w:top w:val="nil"/>
              <w:left w:val="nil"/>
              <w:bottom w:val="single" w:sz="4" w:space="0" w:color="auto"/>
              <w:right w:val="single" w:sz="4" w:space="0" w:color="auto"/>
            </w:tcBorders>
            <w:shd w:val="clear" w:color="auto" w:fill="auto"/>
            <w:noWrap/>
            <w:vAlign w:val="center"/>
            <w:hideMark/>
          </w:tcPr>
          <w:p w14:paraId="1D97B3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85.078</w:t>
            </w:r>
          </w:p>
        </w:tc>
        <w:tc>
          <w:tcPr>
            <w:tcW w:w="1402" w:type="dxa"/>
            <w:tcBorders>
              <w:top w:val="nil"/>
              <w:left w:val="nil"/>
              <w:bottom w:val="single" w:sz="4" w:space="0" w:color="auto"/>
              <w:right w:val="single" w:sz="4" w:space="0" w:color="auto"/>
            </w:tcBorders>
            <w:shd w:val="clear" w:color="auto" w:fill="auto"/>
            <w:noWrap/>
            <w:vAlign w:val="center"/>
            <w:hideMark/>
          </w:tcPr>
          <w:p w14:paraId="5FDBB5B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32.718</w:t>
            </w:r>
          </w:p>
        </w:tc>
        <w:tc>
          <w:tcPr>
            <w:tcW w:w="1403" w:type="dxa"/>
            <w:tcBorders>
              <w:top w:val="nil"/>
              <w:left w:val="nil"/>
              <w:bottom w:val="single" w:sz="4" w:space="0" w:color="auto"/>
              <w:right w:val="single" w:sz="4" w:space="0" w:color="auto"/>
            </w:tcBorders>
            <w:shd w:val="clear" w:color="auto" w:fill="auto"/>
            <w:noWrap/>
            <w:vAlign w:val="center"/>
            <w:hideMark/>
          </w:tcPr>
          <w:p w14:paraId="0AD63F0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583D202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117.796</w:t>
            </w:r>
          </w:p>
        </w:tc>
      </w:tr>
      <w:tr w:rsidR="00754A51" w:rsidRPr="00845A6E" w14:paraId="4B92C5E1" w14:textId="77777777" w:rsidTr="00375F08">
        <w:trPr>
          <w:trHeight w:val="250"/>
        </w:trPr>
        <w:tc>
          <w:tcPr>
            <w:tcW w:w="3218"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7ADD0234"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 </w:t>
            </w:r>
            <w:r>
              <w:rPr>
                <w:b/>
                <w:color w:val="000000"/>
                <w:sz w:val="16"/>
                <w:szCs w:val="16"/>
                <w:lang w:eastAsia="sl-SI"/>
              </w:rPr>
              <w:t>Skupaj</w:t>
            </w:r>
          </w:p>
        </w:tc>
        <w:tc>
          <w:tcPr>
            <w:tcW w:w="154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0BAA8552"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5.698.683</w:t>
            </w:r>
          </w:p>
        </w:tc>
        <w:tc>
          <w:tcPr>
            <w:tcW w:w="140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7C95B27"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981.061</w:t>
            </w:r>
          </w:p>
        </w:tc>
        <w:tc>
          <w:tcPr>
            <w:tcW w:w="140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2BAC221"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10.106.882</w:t>
            </w:r>
          </w:p>
        </w:tc>
        <w:tc>
          <w:tcPr>
            <w:tcW w:w="140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01B6597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16.786.626</w:t>
            </w:r>
          </w:p>
        </w:tc>
      </w:tr>
    </w:tbl>
    <w:p w14:paraId="58BE238D" w14:textId="77777777" w:rsidR="00754A51" w:rsidRPr="001A32D7" w:rsidRDefault="00376F0D" w:rsidP="009F3567">
      <w:pPr>
        <w:spacing w:before="0" w:line="276" w:lineRule="auto"/>
        <w:rPr>
          <w:sz w:val="16"/>
          <w:szCs w:val="16"/>
        </w:rPr>
      </w:pPr>
      <w:r>
        <w:rPr>
          <w:sz w:val="16"/>
          <w:szCs w:val="16"/>
        </w:rPr>
        <w:t>Vir: MKGP</w:t>
      </w:r>
    </w:p>
    <w:p w14:paraId="1166CEC3" w14:textId="77777777" w:rsidR="00754A51" w:rsidRDefault="00754A51" w:rsidP="007613FE">
      <w:pPr>
        <w:spacing w:before="0" w:line="260" w:lineRule="atLeast"/>
        <w:rPr>
          <w:sz w:val="20"/>
          <w:szCs w:val="20"/>
        </w:rPr>
      </w:pPr>
    </w:p>
    <w:p w14:paraId="3016CFF4" w14:textId="36B121B0" w:rsidR="00754A51" w:rsidRDefault="00267222" w:rsidP="00304C05">
      <w:r>
        <w:t xml:space="preserve">Povprečno podprto KMG v sektorju mleko in goveje meso </w:t>
      </w:r>
      <w:r w:rsidR="00C06B99">
        <w:t>n</w:t>
      </w:r>
      <w:r w:rsidR="00375F08">
        <w:t>a</w:t>
      </w:r>
      <w:r w:rsidR="00754A51">
        <w:t xml:space="preserve"> </w:t>
      </w:r>
      <w:r w:rsidR="00375F08">
        <w:t xml:space="preserve">OMD – gorska </w:t>
      </w:r>
      <w:r w:rsidR="00754A51">
        <w:t>območj</w:t>
      </w:r>
      <w:r w:rsidR="00375F08">
        <w:t>a</w:t>
      </w:r>
      <w:r w:rsidR="00754A51">
        <w:t xml:space="preserve"> </w:t>
      </w:r>
      <w:r w:rsidR="00C06B99">
        <w:t>je večje:</w:t>
      </w:r>
      <w:r w:rsidR="00754A51">
        <w:t xml:space="preserve"> </w:t>
      </w:r>
      <w:r w:rsidR="00C06B99">
        <w:t xml:space="preserve">v povprečju </w:t>
      </w:r>
      <w:r w:rsidR="00754A51">
        <w:t xml:space="preserve">obdeluje 41 ha KZU in redi 57 GVŽ, </w:t>
      </w:r>
      <w:r w:rsidR="00C06B99">
        <w:t xml:space="preserve">medtem ko KMG </w:t>
      </w:r>
      <w:r w:rsidR="00754A51">
        <w:t xml:space="preserve">na </w:t>
      </w:r>
      <w:r w:rsidR="00CA76EC">
        <w:t xml:space="preserve">območjih </w:t>
      </w:r>
      <w:r w:rsidR="00375F08">
        <w:t xml:space="preserve">izven OMD </w:t>
      </w:r>
      <w:r w:rsidR="00754A51">
        <w:t>obdeluje 31 ha KZU ter redi 36 GVŽ.</w:t>
      </w:r>
    </w:p>
    <w:p w14:paraId="7634978F" w14:textId="32959839" w:rsidR="00754A51" w:rsidRDefault="00754A51" w:rsidP="007613FE">
      <w:pPr>
        <w:spacing w:before="0" w:line="260" w:lineRule="atLeast"/>
        <w:rPr>
          <w:sz w:val="20"/>
          <w:szCs w:val="20"/>
        </w:rPr>
      </w:pPr>
    </w:p>
    <w:p w14:paraId="5AA73392" w14:textId="2763FB58" w:rsidR="00B15628" w:rsidRPr="00E155C1" w:rsidRDefault="00B15628" w:rsidP="00304C05">
      <w:pPr>
        <w:pStyle w:val="SCSlika0"/>
        <w:rPr>
          <w:sz w:val="20"/>
        </w:rPr>
      </w:pPr>
      <w:bookmarkStart w:id="3127" w:name="_Toc89851095"/>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sidRPr="00E155C1">
        <w:rPr>
          <w:noProof/>
          <w:sz w:val="20"/>
        </w:rPr>
        <w:t>53</w:t>
      </w:r>
      <w:r w:rsidR="009F2591" w:rsidRPr="00E155C1">
        <w:rPr>
          <w:noProof/>
          <w:sz w:val="20"/>
        </w:rPr>
        <w:fldChar w:fldCharType="end"/>
      </w:r>
      <w:r w:rsidRPr="00E155C1">
        <w:rPr>
          <w:sz w:val="20"/>
        </w:rPr>
        <w:t>: Primerjava povprečnega števila ha KZU, števila GVŽ, PDM in PDM/ha KZU v sektorju mleko in goveje meso glede na OMD za podprte naložbe v okviru podukrepa M</w:t>
      </w:r>
      <w:r w:rsidR="007E3018" w:rsidRPr="00E155C1">
        <w:rPr>
          <w:sz w:val="20"/>
        </w:rPr>
        <w:t>0</w:t>
      </w:r>
      <w:r w:rsidRPr="00E155C1">
        <w:rPr>
          <w:sz w:val="20"/>
        </w:rPr>
        <w:t>4.2 PRP 2014–2020 (stanje 30. 4. 2020)</w:t>
      </w:r>
      <w:bookmarkEnd w:id="3127"/>
    </w:p>
    <w:p w14:paraId="5B725429" w14:textId="77777777" w:rsidR="00754A51" w:rsidRDefault="00754A51" w:rsidP="009F3567">
      <w:pPr>
        <w:spacing w:before="0" w:line="276" w:lineRule="auto"/>
        <w:rPr>
          <w:sz w:val="20"/>
          <w:szCs w:val="20"/>
        </w:rPr>
      </w:pPr>
    </w:p>
    <w:p w14:paraId="4C1386DB" w14:textId="77777777" w:rsidR="00754A51" w:rsidRDefault="00754A51" w:rsidP="009F3567">
      <w:pPr>
        <w:spacing w:before="0" w:line="276" w:lineRule="auto"/>
        <w:rPr>
          <w:sz w:val="20"/>
          <w:szCs w:val="20"/>
        </w:rPr>
      </w:pPr>
      <w:r>
        <w:rPr>
          <w:noProof/>
          <w:lang w:eastAsia="sl-SI"/>
        </w:rPr>
        <w:drawing>
          <wp:inline distT="0" distB="0" distL="0" distR="0" wp14:anchorId="373B8FA9" wp14:editId="7DFD3DAE">
            <wp:extent cx="5727801" cy="2121408"/>
            <wp:effectExtent l="0" t="0" r="6350" b="12700"/>
            <wp:docPr id="1631865583" name="Grafikon 163186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42950DC" w14:textId="77777777" w:rsidR="00754A51" w:rsidRDefault="00B15628" w:rsidP="009F3567">
      <w:pPr>
        <w:spacing w:before="0" w:line="276" w:lineRule="auto"/>
        <w:rPr>
          <w:sz w:val="16"/>
          <w:szCs w:val="16"/>
        </w:rPr>
      </w:pPr>
      <w:r>
        <w:rPr>
          <w:sz w:val="16"/>
          <w:szCs w:val="16"/>
        </w:rPr>
        <w:t>Vir: MKGP</w:t>
      </w:r>
    </w:p>
    <w:p w14:paraId="600FBE78" w14:textId="77777777" w:rsidR="00B15628" w:rsidRDefault="00B15628" w:rsidP="007613FE">
      <w:pPr>
        <w:spacing w:before="0" w:line="260" w:lineRule="atLeast"/>
        <w:rPr>
          <w:sz w:val="20"/>
          <w:szCs w:val="20"/>
        </w:rPr>
      </w:pPr>
    </w:p>
    <w:p w14:paraId="57E9F37A" w14:textId="05A5CCA6" w:rsidR="00754A51" w:rsidRPr="005B2A49" w:rsidRDefault="00754A51" w:rsidP="007613FE">
      <w:pPr>
        <w:pStyle w:val="Default"/>
        <w:spacing w:line="260" w:lineRule="atLeast"/>
        <w:jc w:val="both"/>
        <w:rPr>
          <w:rFonts w:ascii="Arial" w:hAnsi="Arial" w:cs="Arial"/>
          <w:sz w:val="22"/>
          <w:szCs w:val="20"/>
        </w:rPr>
      </w:pPr>
      <w:r w:rsidRPr="005B2A49">
        <w:rPr>
          <w:rFonts w:ascii="Arial" w:hAnsi="Arial" w:cs="Arial"/>
          <w:sz w:val="22"/>
          <w:szCs w:val="20"/>
        </w:rPr>
        <w:t xml:space="preserve">Primerjava ekonomskih kazalnikov podprtih kmetijskih gospodarstev v okviru podukrepa </w:t>
      </w:r>
      <w:r w:rsidR="00477D01" w:rsidRPr="005B2A49">
        <w:rPr>
          <w:rFonts w:ascii="Arial" w:hAnsi="Arial" w:cs="Arial"/>
          <w:sz w:val="22"/>
          <w:szCs w:val="20"/>
        </w:rPr>
        <w:t>M0</w:t>
      </w:r>
      <w:r w:rsidRPr="005B2A49">
        <w:rPr>
          <w:rFonts w:ascii="Arial" w:hAnsi="Arial" w:cs="Arial"/>
          <w:sz w:val="22"/>
          <w:szCs w:val="20"/>
        </w:rPr>
        <w:t xml:space="preserve">4.2 med območji pokaže še posebej velike razlike v povprečni BDV/vlogo, kjer </w:t>
      </w:r>
      <w:r w:rsidR="00AC0C12" w:rsidRPr="005B2A49">
        <w:rPr>
          <w:rFonts w:ascii="Arial" w:hAnsi="Arial" w:cs="Arial"/>
          <w:sz w:val="22"/>
          <w:szCs w:val="20"/>
        </w:rPr>
        <w:t xml:space="preserve">je </w:t>
      </w:r>
      <w:r w:rsidRPr="005B2A49">
        <w:rPr>
          <w:rFonts w:ascii="Arial" w:hAnsi="Arial" w:cs="Arial"/>
          <w:sz w:val="22"/>
          <w:szCs w:val="20"/>
        </w:rPr>
        <w:t xml:space="preserve">povprečna bruto dodana vrednost </w:t>
      </w:r>
      <w:r w:rsidR="00C06B99" w:rsidRPr="005B2A49">
        <w:rPr>
          <w:rFonts w:ascii="Arial" w:hAnsi="Arial" w:cs="Arial"/>
          <w:sz w:val="22"/>
          <w:szCs w:val="20"/>
        </w:rPr>
        <w:t xml:space="preserve">na vlogo </w:t>
      </w:r>
      <w:r w:rsidRPr="005B2A49">
        <w:rPr>
          <w:rFonts w:ascii="Arial" w:hAnsi="Arial" w:cs="Arial"/>
          <w:sz w:val="22"/>
          <w:szCs w:val="20"/>
        </w:rPr>
        <w:t xml:space="preserve">na </w:t>
      </w:r>
      <w:r w:rsidR="00375F08" w:rsidRPr="005B2A49">
        <w:rPr>
          <w:rFonts w:ascii="Arial" w:hAnsi="Arial" w:cs="Arial"/>
          <w:sz w:val="22"/>
          <w:szCs w:val="20"/>
        </w:rPr>
        <w:t xml:space="preserve">OMD – </w:t>
      </w:r>
      <w:r w:rsidRPr="005B2A49">
        <w:rPr>
          <w:rFonts w:ascii="Arial" w:hAnsi="Arial" w:cs="Arial"/>
          <w:sz w:val="22"/>
          <w:szCs w:val="20"/>
        </w:rPr>
        <w:t>gorsk</w:t>
      </w:r>
      <w:r w:rsidR="00375F08" w:rsidRPr="005B2A49">
        <w:rPr>
          <w:rFonts w:ascii="Arial" w:hAnsi="Arial" w:cs="Arial"/>
          <w:sz w:val="22"/>
          <w:szCs w:val="20"/>
        </w:rPr>
        <w:t>a</w:t>
      </w:r>
      <w:r w:rsidRPr="005B2A49">
        <w:rPr>
          <w:rFonts w:ascii="Arial" w:hAnsi="Arial" w:cs="Arial"/>
          <w:sz w:val="22"/>
          <w:szCs w:val="20"/>
        </w:rPr>
        <w:t xml:space="preserve"> območj</w:t>
      </w:r>
      <w:r w:rsidR="00375F08" w:rsidRPr="005B2A49">
        <w:rPr>
          <w:rFonts w:ascii="Arial" w:hAnsi="Arial" w:cs="Arial"/>
          <w:sz w:val="22"/>
          <w:szCs w:val="20"/>
        </w:rPr>
        <w:t>a</w:t>
      </w:r>
      <w:r w:rsidRPr="005B2A49">
        <w:rPr>
          <w:rFonts w:ascii="Arial" w:hAnsi="Arial" w:cs="Arial"/>
          <w:sz w:val="22"/>
          <w:szCs w:val="20"/>
        </w:rPr>
        <w:t xml:space="preserve"> (518.626 EUR) skoraj </w:t>
      </w:r>
      <w:r w:rsidR="002D53C7" w:rsidRPr="005B2A49">
        <w:rPr>
          <w:rFonts w:ascii="Arial" w:hAnsi="Arial" w:cs="Arial"/>
          <w:sz w:val="22"/>
          <w:szCs w:val="20"/>
        </w:rPr>
        <w:t>dvakrat</w:t>
      </w:r>
      <w:r w:rsidRPr="005B2A49">
        <w:rPr>
          <w:rFonts w:ascii="Arial" w:hAnsi="Arial" w:cs="Arial"/>
          <w:sz w:val="22"/>
          <w:szCs w:val="20"/>
        </w:rPr>
        <w:t xml:space="preserve"> nižja od povprečja BDV/vlogo </w:t>
      </w:r>
      <w:r w:rsidR="00CA76EC" w:rsidRPr="005B2A49">
        <w:rPr>
          <w:rFonts w:ascii="Arial" w:hAnsi="Arial" w:cs="Arial"/>
          <w:sz w:val="22"/>
          <w:szCs w:val="20"/>
        </w:rPr>
        <w:t xml:space="preserve">na </w:t>
      </w:r>
      <w:r w:rsidR="00375F08" w:rsidRPr="005B2A49">
        <w:rPr>
          <w:rFonts w:ascii="Arial" w:hAnsi="Arial" w:cs="Arial"/>
          <w:sz w:val="22"/>
          <w:szCs w:val="20"/>
        </w:rPr>
        <w:t>območjih izven OMD</w:t>
      </w:r>
      <w:r w:rsidR="00CA76EC" w:rsidRPr="005B2A49">
        <w:rPr>
          <w:rFonts w:ascii="Arial" w:hAnsi="Arial" w:cs="Arial"/>
          <w:sz w:val="22"/>
          <w:szCs w:val="20"/>
        </w:rPr>
        <w:t xml:space="preserve"> </w:t>
      </w:r>
      <w:r w:rsidRPr="005B2A49">
        <w:rPr>
          <w:rFonts w:ascii="Arial" w:hAnsi="Arial" w:cs="Arial"/>
          <w:sz w:val="22"/>
          <w:szCs w:val="20"/>
        </w:rPr>
        <w:t xml:space="preserve">(1.420.008 EUR). Ob tem je potrebno izpostaviti, da je najvišja BDV/vlogo na OMD </w:t>
      </w:r>
      <w:r w:rsidR="00375F08" w:rsidRPr="005B2A49">
        <w:rPr>
          <w:rFonts w:ascii="Arial" w:hAnsi="Arial" w:cs="Arial"/>
          <w:sz w:val="22"/>
          <w:szCs w:val="20"/>
        </w:rPr>
        <w:t>– izven gorskih območij</w:t>
      </w:r>
      <w:r w:rsidRPr="005B2A49">
        <w:rPr>
          <w:rFonts w:ascii="Arial" w:hAnsi="Arial" w:cs="Arial"/>
          <w:sz w:val="22"/>
          <w:szCs w:val="20"/>
        </w:rPr>
        <w:t xml:space="preserve"> (1.861.906 EUR). </w:t>
      </w:r>
    </w:p>
    <w:p w14:paraId="06249A27" w14:textId="77777777" w:rsidR="0094131C" w:rsidRDefault="0094131C" w:rsidP="007613FE">
      <w:pPr>
        <w:pStyle w:val="Default"/>
        <w:spacing w:line="260" w:lineRule="atLeast"/>
        <w:jc w:val="both"/>
        <w:rPr>
          <w:rFonts w:ascii="Arial" w:hAnsi="Arial" w:cs="Arial"/>
          <w:sz w:val="20"/>
          <w:szCs w:val="20"/>
        </w:rPr>
      </w:pPr>
    </w:p>
    <w:p w14:paraId="452E6CE8" w14:textId="02B4E5E7" w:rsidR="004541CC" w:rsidRPr="00E155C1" w:rsidRDefault="004541CC" w:rsidP="00130171">
      <w:pPr>
        <w:pStyle w:val="SCSlika0"/>
        <w:rPr>
          <w:sz w:val="20"/>
        </w:rPr>
      </w:pPr>
      <w:bookmarkStart w:id="3128" w:name="_Toc89851096"/>
      <w:r w:rsidRPr="00E155C1">
        <w:rPr>
          <w:sz w:val="20"/>
        </w:rPr>
        <w:t xml:space="preserve">Slika </w:t>
      </w:r>
      <w:r w:rsidR="009F2591" w:rsidRPr="00E155C1">
        <w:rPr>
          <w:noProof/>
          <w:sz w:val="20"/>
        </w:rPr>
        <w:fldChar w:fldCharType="begin"/>
      </w:r>
      <w:r w:rsidR="009F2591" w:rsidRPr="00E155C1">
        <w:rPr>
          <w:noProof/>
          <w:sz w:val="20"/>
        </w:rPr>
        <w:instrText xml:space="preserve"> SEQ Slika \* ARABIC </w:instrText>
      </w:r>
      <w:r w:rsidR="009F2591" w:rsidRPr="00E155C1">
        <w:rPr>
          <w:noProof/>
          <w:sz w:val="20"/>
        </w:rPr>
        <w:fldChar w:fldCharType="separate"/>
      </w:r>
      <w:r w:rsidR="00F25435" w:rsidRPr="00E155C1">
        <w:rPr>
          <w:noProof/>
          <w:sz w:val="20"/>
        </w:rPr>
        <w:t>54</w:t>
      </w:r>
      <w:r w:rsidR="009F2591" w:rsidRPr="00E155C1">
        <w:rPr>
          <w:noProof/>
          <w:sz w:val="20"/>
        </w:rPr>
        <w:fldChar w:fldCharType="end"/>
      </w:r>
      <w:r w:rsidRPr="00E155C1">
        <w:rPr>
          <w:sz w:val="20"/>
        </w:rPr>
        <w:t>: Primerjava ekonomskih kazalnikov: BDV/vlogo, Prihodek/PDM, Skupni prihodek kmetijske dejavnosti in Skupni prihodek nekmetijske dejavnosti glede na OMD za podprte naložbe v okviru podukrepa M</w:t>
      </w:r>
      <w:r w:rsidR="002D53C7" w:rsidRPr="00E155C1">
        <w:rPr>
          <w:sz w:val="20"/>
        </w:rPr>
        <w:t>0</w:t>
      </w:r>
      <w:r w:rsidRPr="00E155C1">
        <w:rPr>
          <w:sz w:val="20"/>
        </w:rPr>
        <w:t>4.</w:t>
      </w:r>
      <w:r w:rsidR="00CA76EC" w:rsidRPr="00E155C1">
        <w:rPr>
          <w:sz w:val="20"/>
        </w:rPr>
        <w:t xml:space="preserve">2 </w:t>
      </w:r>
      <w:r w:rsidRPr="00E155C1">
        <w:rPr>
          <w:sz w:val="20"/>
        </w:rPr>
        <w:t>PRP 2014–2020 (stanje 30. 4. 2020) v EUR</w:t>
      </w:r>
      <w:bookmarkEnd w:id="3128"/>
      <w:r w:rsidRPr="00E155C1">
        <w:rPr>
          <w:sz w:val="20"/>
        </w:rPr>
        <w:t xml:space="preserve"> </w:t>
      </w:r>
    </w:p>
    <w:p w14:paraId="37401199" w14:textId="77777777" w:rsidR="00754A51" w:rsidRDefault="00754A51" w:rsidP="009F3567">
      <w:pPr>
        <w:pStyle w:val="Default"/>
        <w:spacing w:line="276" w:lineRule="auto"/>
        <w:jc w:val="both"/>
        <w:rPr>
          <w:rFonts w:ascii="Arial" w:hAnsi="Arial" w:cs="Arial"/>
          <w:sz w:val="20"/>
          <w:szCs w:val="20"/>
        </w:rPr>
      </w:pPr>
      <w:r>
        <w:rPr>
          <w:noProof/>
          <w:lang w:eastAsia="sl-SI"/>
        </w:rPr>
        <w:drawing>
          <wp:inline distT="0" distB="0" distL="0" distR="0" wp14:anchorId="2AF28438" wp14:editId="60FF3222">
            <wp:extent cx="5760720" cy="2150669"/>
            <wp:effectExtent l="0" t="0" r="11430" b="2540"/>
            <wp:docPr id="1631865584" name="Grafikon 1631865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FEFFB8A" w14:textId="77777777" w:rsidR="00754A51" w:rsidRPr="003E65EF" w:rsidRDefault="004541CC" w:rsidP="009F3567">
      <w:pPr>
        <w:spacing w:before="0" w:line="276" w:lineRule="auto"/>
        <w:rPr>
          <w:sz w:val="16"/>
          <w:szCs w:val="16"/>
          <w:lang w:eastAsia="en-US"/>
        </w:rPr>
      </w:pPr>
      <w:r>
        <w:rPr>
          <w:sz w:val="16"/>
          <w:szCs w:val="16"/>
        </w:rPr>
        <w:t>Vir: MKGP</w:t>
      </w:r>
    </w:p>
    <w:p w14:paraId="2491B89F" w14:textId="77777777" w:rsidR="00754A51" w:rsidRDefault="00754A51" w:rsidP="007613FE">
      <w:pPr>
        <w:pStyle w:val="Odstavek1"/>
      </w:pPr>
    </w:p>
    <w:p w14:paraId="05647D4A" w14:textId="7723940B" w:rsidR="00754A51" w:rsidRDefault="00754A51" w:rsidP="007613FE">
      <w:pPr>
        <w:pStyle w:val="Odstavek1"/>
      </w:pPr>
      <w:r>
        <w:t xml:space="preserve">Več kot 50 % naložb v dopolnilne dejavnosti izvajajo </w:t>
      </w:r>
      <w:r w:rsidR="00C06B99">
        <w:t>KMG</w:t>
      </w:r>
      <w:r>
        <w:t xml:space="preserve"> na OMD </w:t>
      </w:r>
      <w:r w:rsidR="00375F08">
        <w:t xml:space="preserve">- gorska območja </w:t>
      </w:r>
      <w:r>
        <w:t>(52 % vseh), sledijo kmetijska gospod</w:t>
      </w:r>
      <w:r w:rsidR="00BC569B">
        <w:t xml:space="preserve">arstva na </w:t>
      </w:r>
      <w:r w:rsidR="00CA76EC" w:rsidRPr="00CA76EC">
        <w:t>območjih</w:t>
      </w:r>
      <w:r w:rsidR="00BC569B">
        <w:t xml:space="preserve"> </w:t>
      </w:r>
      <w:r w:rsidR="00375F08">
        <w:t xml:space="preserve">izven OMD </w:t>
      </w:r>
      <w:r w:rsidR="00BC569B">
        <w:t>(32 % dopolni</w:t>
      </w:r>
      <w:r>
        <w:t>l</w:t>
      </w:r>
      <w:r w:rsidR="00BC569B">
        <w:t>n</w:t>
      </w:r>
      <w:r>
        <w:t xml:space="preserve">ih dejavnosti) ter tista na OMD </w:t>
      </w:r>
      <w:r w:rsidR="00375F08">
        <w:t xml:space="preserve">– izven gorskih </w:t>
      </w:r>
      <w:r>
        <w:t xml:space="preserve">območjih (15 % vseh dopolnilnih dejavnosti). </w:t>
      </w:r>
    </w:p>
    <w:p w14:paraId="7B2724F8" w14:textId="77777777" w:rsidR="00754A51" w:rsidRDefault="00754A51" w:rsidP="007613FE">
      <w:pPr>
        <w:pStyle w:val="Odstavek1"/>
      </w:pPr>
    </w:p>
    <w:p w14:paraId="09AEB536" w14:textId="65DB1417" w:rsidR="004541CC" w:rsidRPr="003E65EF" w:rsidRDefault="00754A51" w:rsidP="00E155C1">
      <w:pPr>
        <w:pStyle w:val="SCPreglednica"/>
        <w:rPr>
          <w:sz w:val="16"/>
          <w:szCs w:val="16"/>
        </w:rPr>
      </w:pPr>
      <w:bookmarkStart w:id="3129" w:name="_Toc89861010"/>
      <w:r w:rsidRPr="00E155C1">
        <w:rPr>
          <w:sz w:val="20"/>
        </w:rPr>
        <w:t xml:space="preserve">Tabela </w:t>
      </w:r>
      <w:r w:rsidR="009F2591" w:rsidRPr="00E155C1">
        <w:rPr>
          <w:noProof/>
          <w:sz w:val="20"/>
        </w:rPr>
        <w:fldChar w:fldCharType="begin"/>
      </w:r>
      <w:r w:rsidR="009F2591" w:rsidRPr="00E155C1">
        <w:rPr>
          <w:noProof/>
          <w:sz w:val="20"/>
        </w:rPr>
        <w:instrText xml:space="preserve"> SEQ Tabela \* ARABIC </w:instrText>
      </w:r>
      <w:r w:rsidR="009F2591" w:rsidRPr="00E155C1">
        <w:rPr>
          <w:noProof/>
          <w:sz w:val="20"/>
        </w:rPr>
        <w:fldChar w:fldCharType="separate"/>
      </w:r>
      <w:r w:rsidR="002E0D2A">
        <w:rPr>
          <w:noProof/>
          <w:sz w:val="20"/>
        </w:rPr>
        <w:t>18</w:t>
      </w:r>
      <w:r w:rsidR="009F2591" w:rsidRPr="00E155C1">
        <w:rPr>
          <w:noProof/>
          <w:sz w:val="20"/>
        </w:rPr>
        <w:fldChar w:fldCharType="end"/>
      </w:r>
      <w:r w:rsidRPr="00E155C1">
        <w:rPr>
          <w:sz w:val="20"/>
        </w:rPr>
        <w:t xml:space="preserve">: Celotna vrednost podprtih naložb v okviru podukrepa M4.2 PRP 2014-2020 (30.4.2020) glede na OMD in vrsto </w:t>
      </w:r>
      <w:r w:rsidR="00E636E4" w:rsidRPr="00E155C1">
        <w:rPr>
          <w:sz w:val="20"/>
        </w:rPr>
        <w:t>naložbe</w:t>
      </w:r>
      <w:bookmarkEnd w:id="3129"/>
    </w:p>
    <w:tbl>
      <w:tblPr>
        <w:tblW w:w="8480" w:type="dxa"/>
        <w:tblCellMar>
          <w:left w:w="70" w:type="dxa"/>
          <w:right w:w="70" w:type="dxa"/>
        </w:tblCellMar>
        <w:tblLook w:val="04A0" w:firstRow="1" w:lastRow="0" w:firstColumn="1" w:lastColumn="0" w:noHBand="0" w:noVBand="1"/>
      </w:tblPr>
      <w:tblGrid>
        <w:gridCol w:w="2720"/>
        <w:gridCol w:w="1440"/>
        <w:gridCol w:w="1400"/>
        <w:gridCol w:w="1480"/>
        <w:gridCol w:w="1440"/>
      </w:tblGrid>
      <w:tr w:rsidR="00754A51" w:rsidRPr="00DE40F0" w14:paraId="48DF5D50" w14:textId="77777777" w:rsidTr="009F3567">
        <w:trPr>
          <w:trHeight w:val="288"/>
        </w:trPr>
        <w:tc>
          <w:tcPr>
            <w:tcW w:w="27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A8DBF" w14:textId="7F4AAAEE" w:rsidR="00754A51" w:rsidRPr="00DE40F0" w:rsidRDefault="00E636E4" w:rsidP="009F3567">
            <w:pPr>
              <w:spacing w:before="0" w:line="276" w:lineRule="auto"/>
              <w:jc w:val="center"/>
              <w:rPr>
                <w:b/>
                <w:bCs/>
                <w:color w:val="000000"/>
                <w:sz w:val="16"/>
                <w:szCs w:val="16"/>
                <w:lang w:eastAsia="sl-SI"/>
              </w:rPr>
            </w:pPr>
            <w:r>
              <w:rPr>
                <w:b/>
                <w:bCs/>
                <w:color w:val="000000"/>
                <w:sz w:val="16"/>
                <w:szCs w:val="16"/>
                <w:lang w:eastAsia="sl-SI"/>
              </w:rPr>
              <w:t>Vrsta naložbe</w:t>
            </w:r>
          </w:p>
        </w:tc>
        <w:tc>
          <w:tcPr>
            <w:tcW w:w="576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8CC838C" w14:textId="6E8C64DE" w:rsidR="00754A51" w:rsidRPr="00DE40F0" w:rsidRDefault="00754A51" w:rsidP="009F3567">
            <w:pPr>
              <w:spacing w:before="0" w:line="276" w:lineRule="auto"/>
              <w:jc w:val="center"/>
              <w:rPr>
                <w:b/>
                <w:bCs/>
                <w:color w:val="000000"/>
                <w:sz w:val="16"/>
                <w:szCs w:val="16"/>
                <w:lang w:eastAsia="sl-SI"/>
              </w:rPr>
            </w:pPr>
            <w:r w:rsidRPr="00DE40F0">
              <w:rPr>
                <w:b/>
                <w:bCs/>
                <w:color w:val="000000"/>
                <w:sz w:val="16"/>
                <w:szCs w:val="16"/>
                <w:lang w:eastAsia="sl-SI"/>
              </w:rPr>
              <w:t>Višina vrednosti naložb glede na OMD (EUR)</w:t>
            </w:r>
          </w:p>
        </w:tc>
      </w:tr>
      <w:tr w:rsidR="00375F08" w:rsidRPr="00DE40F0" w14:paraId="1997BEF2" w14:textId="77777777" w:rsidTr="009F3567">
        <w:trPr>
          <w:trHeight w:val="528"/>
        </w:trPr>
        <w:tc>
          <w:tcPr>
            <w:tcW w:w="27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0B9C88" w14:textId="77777777" w:rsidR="00375F08" w:rsidRPr="00DE40F0" w:rsidRDefault="00375F08" w:rsidP="00375F08">
            <w:pPr>
              <w:spacing w:before="0" w:line="276" w:lineRule="auto"/>
              <w:jc w:val="left"/>
              <w:rPr>
                <w:b/>
                <w:bCs/>
                <w:color w:val="000000"/>
                <w:sz w:val="16"/>
                <w:szCs w:val="16"/>
                <w:lang w:eastAsia="sl-SI"/>
              </w:rPr>
            </w:pP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2480D869" w14:textId="668D3BAA"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OMD – gorska območja (13.1)</w:t>
            </w:r>
          </w:p>
        </w:tc>
        <w:tc>
          <w:tcPr>
            <w:tcW w:w="1400" w:type="dxa"/>
            <w:tcBorders>
              <w:top w:val="nil"/>
              <w:left w:val="nil"/>
              <w:bottom w:val="single" w:sz="4" w:space="0" w:color="auto"/>
              <w:right w:val="single" w:sz="4" w:space="0" w:color="auto"/>
            </w:tcBorders>
            <w:shd w:val="clear" w:color="auto" w:fill="C6D9F1" w:themeFill="text2" w:themeFillTint="33"/>
            <w:vAlign w:val="center"/>
            <w:hideMark/>
          </w:tcPr>
          <w:p w14:paraId="2BCCE9C8"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7DFB0729" w14:textId="5336DF98"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(13.2 in 13.3)</w:t>
            </w:r>
          </w:p>
        </w:tc>
        <w:tc>
          <w:tcPr>
            <w:tcW w:w="1480" w:type="dxa"/>
            <w:tcBorders>
              <w:top w:val="nil"/>
              <w:left w:val="nil"/>
              <w:bottom w:val="single" w:sz="4" w:space="0" w:color="auto"/>
              <w:right w:val="single" w:sz="4" w:space="0" w:color="auto"/>
            </w:tcBorders>
            <w:shd w:val="clear" w:color="auto" w:fill="C6D9F1" w:themeFill="text2" w:themeFillTint="33"/>
            <w:vAlign w:val="center"/>
            <w:hideMark/>
          </w:tcPr>
          <w:p w14:paraId="224EB9FD" w14:textId="7B2CA734" w:rsidR="00375F08" w:rsidRPr="00DE40F0" w:rsidRDefault="00375F08" w:rsidP="00375F08">
            <w:pPr>
              <w:spacing w:before="0" w:line="276" w:lineRule="auto"/>
              <w:jc w:val="center"/>
              <w:rPr>
                <w:b/>
                <w:bCs/>
                <w:color w:val="000000"/>
                <w:sz w:val="16"/>
                <w:szCs w:val="16"/>
                <w:lang w:eastAsia="sl-SI"/>
              </w:rPr>
            </w:pPr>
            <w:r w:rsidRPr="00EB3C1B">
              <w:rPr>
                <w:b/>
                <w:sz w:val="16"/>
                <w:szCs w:val="16"/>
              </w:rPr>
              <w:t xml:space="preserve">ne OMD </w:t>
            </w: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4141EFC2" w14:textId="77777777" w:rsidR="00375F08" w:rsidRPr="00DE40F0" w:rsidRDefault="00375F08" w:rsidP="00375F08">
            <w:pPr>
              <w:spacing w:before="0" w:line="276" w:lineRule="auto"/>
              <w:jc w:val="center"/>
              <w:rPr>
                <w:b/>
                <w:bCs/>
                <w:color w:val="000000"/>
                <w:sz w:val="16"/>
                <w:szCs w:val="16"/>
                <w:lang w:eastAsia="sl-SI"/>
              </w:rPr>
            </w:pPr>
            <w:r w:rsidRPr="00DE40F0">
              <w:rPr>
                <w:b/>
                <w:bCs/>
                <w:color w:val="000000"/>
                <w:sz w:val="16"/>
                <w:szCs w:val="16"/>
                <w:lang w:eastAsia="sl-SI"/>
              </w:rPr>
              <w:t>skupaj</w:t>
            </w:r>
          </w:p>
        </w:tc>
      </w:tr>
      <w:tr w:rsidR="00754A51" w:rsidRPr="00DE40F0" w14:paraId="00C3C663"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D84F8BE"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1_predelava in trženje</w:t>
            </w:r>
          </w:p>
        </w:tc>
        <w:tc>
          <w:tcPr>
            <w:tcW w:w="1440" w:type="dxa"/>
            <w:tcBorders>
              <w:top w:val="nil"/>
              <w:left w:val="nil"/>
              <w:bottom w:val="single" w:sz="4" w:space="0" w:color="auto"/>
              <w:right w:val="single" w:sz="4" w:space="0" w:color="auto"/>
            </w:tcBorders>
            <w:shd w:val="clear" w:color="auto" w:fill="auto"/>
            <w:noWrap/>
            <w:vAlign w:val="center"/>
            <w:hideMark/>
          </w:tcPr>
          <w:p w14:paraId="21477F05"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3.203.641</w:t>
            </w:r>
          </w:p>
        </w:tc>
        <w:tc>
          <w:tcPr>
            <w:tcW w:w="1400" w:type="dxa"/>
            <w:tcBorders>
              <w:top w:val="nil"/>
              <w:left w:val="nil"/>
              <w:bottom w:val="single" w:sz="4" w:space="0" w:color="auto"/>
              <w:right w:val="single" w:sz="4" w:space="0" w:color="auto"/>
            </w:tcBorders>
            <w:shd w:val="clear" w:color="auto" w:fill="auto"/>
            <w:noWrap/>
            <w:vAlign w:val="center"/>
            <w:hideMark/>
          </w:tcPr>
          <w:p w14:paraId="4EE0AF2B"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405.022</w:t>
            </w:r>
          </w:p>
        </w:tc>
        <w:tc>
          <w:tcPr>
            <w:tcW w:w="1480" w:type="dxa"/>
            <w:tcBorders>
              <w:top w:val="nil"/>
              <w:left w:val="nil"/>
              <w:bottom w:val="single" w:sz="4" w:space="0" w:color="auto"/>
              <w:right w:val="single" w:sz="4" w:space="0" w:color="auto"/>
            </w:tcBorders>
            <w:shd w:val="clear" w:color="auto" w:fill="auto"/>
            <w:noWrap/>
            <w:vAlign w:val="center"/>
            <w:hideMark/>
          </w:tcPr>
          <w:p w14:paraId="1CACE1FC"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2.109.215</w:t>
            </w:r>
          </w:p>
        </w:tc>
        <w:tc>
          <w:tcPr>
            <w:tcW w:w="1440" w:type="dxa"/>
            <w:tcBorders>
              <w:top w:val="nil"/>
              <w:left w:val="nil"/>
              <w:bottom w:val="single" w:sz="4" w:space="0" w:color="auto"/>
              <w:right w:val="single" w:sz="4" w:space="0" w:color="auto"/>
            </w:tcBorders>
            <w:shd w:val="clear" w:color="auto" w:fill="auto"/>
            <w:noWrap/>
            <w:vAlign w:val="center"/>
            <w:hideMark/>
          </w:tcPr>
          <w:p w14:paraId="2F664076"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5.717.878</w:t>
            </w:r>
          </w:p>
        </w:tc>
      </w:tr>
      <w:tr w:rsidR="00754A51" w:rsidRPr="00DE40F0" w14:paraId="6872AC5B"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19E7D6F"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2_predelava</w:t>
            </w:r>
          </w:p>
        </w:tc>
        <w:tc>
          <w:tcPr>
            <w:tcW w:w="1440" w:type="dxa"/>
            <w:tcBorders>
              <w:top w:val="nil"/>
              <w:left w:val="nil"/>
              <w:bottom w:val="single" w:sz="4" w:space="0" w:color="auto"/>
              <w:right w:val="single" w:sz="4" w:space="0" w:color="auto"/>
            </w:tcBorders>
            <w:shd w:val="clear" w:color="auto" w:fill="auto"/>
            <w:noWrap/>
            <w:vAlign w:val="center"/>
            <w:hideMark/>
          </w:tcPr>
          <w:p w14:paraId="683EF160"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25.128.883</w:t>
            </w:r>
          </w:p>
        </w:tc>
        <w:tc>
          <w:tcPr>
            <w:tcW w:w="1400" w:type="dxa"/>
            <w:tcBorders>
              <w:top w:val="nil"/>
              <w:left w:val="nil"/>
              <w:bottom w:val="single" w:sz="4" w:space="0" w:color="auto"/>
              <w:right w:val="single" w:sz="4" w:space="0" w:color="auto"/>
            </w:tcBorders>
            <w:shd w:val="clear" w:color="auto" w:fill="auto"/>
            <w:noWrap/>
            <w:vAlign w:val="center"/>
            <w:hideMark/>
          </w:tcPr>
          <w:p w14:paraId="51BEE463"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8.023.954</w:t>
            </w:r>
          </w:p>
        </w:tc>
        <w:tc>
          <w:tcPr>
            <w:tcW w:w="1480" w:type="dxa"/>
            <w:tcBorders>
              <w:top w:val="nil"/>
              <w:left w:val="nil"/>
              <w:bottom w:val="single" w:sz="4" w:space="0" w:color="auto"/>
              <w:right w:val="single" w:sz="4" w:space="0" w:color="auto"/>
            </w:tcBorders>
            <w:shd w:val="clear" w:color="auto" w:fill="auto"/>
            <w:noWrap/>
            <w:vAlign w:val="center"/>
            <w:hideMark/>
          </w:tcPr>
          <w:p w14:paraId="234C95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33.252.626</w:t>
            </w:r>
          </w:p>
        </w:tc>
        <w:tc>
          <w:tcPr>
            <w:tcW w:w="1440" w:type="dxa"/>
            <w:tcBorders>
              <w:top w:val="nil"/>
              <w:left w:val="nil"/>
              <w:bottom w:val="single" w:sz="4" w:space="0" w:color="auto"/>
              <w:right w:val="single" w:sz="4" w:space="0" w:color="auto"/>
            </w:tcBorders>
            <w:shd w:val="clear" w:color="auto" w:fill="auto"/>
            <w:noWrap/>
            <w:vAlign w:val="center"/>
            <w:hideMark/>
          </w:tcPr>
          <w:p w14:paraId="4C0149A2"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66.405.462</w:t>
            </w:r>
          </w:p>
        </w:tc>
      </w:tr>
      <w:tr w:rsidR="00754A51" w:rsidRPr="00DE40F0" w14:paraId="70D0D45A"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124B1D77"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3_trženje</w:t>
            </w:r>
          </w:p>
        </w:tc>
        <w:tc>
          <w:tcPr>
            <w:tcW w:w="1440" w:type="dxa"/>
            <w:tcBorders>
              <w:top w:val="nil"/>
              <w:left w:val="nil"/>
              <w:bottom w:val="single" w:sz="4" w:space="0" w:color="auto"/>
              <w:right w:val="single" w:sz="4" w:space="0" w:color="auto"/>
            </w:tcBorders>
            <w:shd w:val="clear" w:color="auto" w:fill="auto"/>
            <w:noWrap/>
            <w:vAlign w:val="center"/>
            <w:hideMark/>
          </w:tcPr>
          <w:p w14:paraId="66B622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985.381</w:t>
            </w:r>
          </w:p>
        </w:tc>
        <w:tc>
          <w:tcPr>
            <w:tcW w:w="1400" w:type="dxa"/>
            <w:tcBorders>
              <w:top w:val="nil"/>
              <w:left w:val="nil"/>
              <w:bottom w:val="single" w:sz="4" w:space="0" w:color="auto"/>
              <w:right w:val="single" w:sz="4" w:space="0" w:color="auto"/>
            </w:tcBorders>
            <w:shd w:val="clear" w:color="auto" w:fill="auto"/>
            <w:noWrap/>
            <w:vAlign w:val="center"/>
            <w:hideMark/>
          </w:tcPr>
          <w:p w14:paraId="7447A21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37.973</w:t>
            </w:r>
          </w:p>
        </w:tc>
        <w:tc>
          <w:tcPr>
            <w:tcW w:w="1480" w:type="dxa"/>
            <w:tcBorders>
              <w:top w:val="nil"/>
              <w:left w:val="nil"/>
              <w:bottom w:val="single" w:sz="4" w:space="0" w:color="auto"/>
              <w:right w:val="single" w:sz="4" w:space="0" w:color="auto"/>
            </w:tcBorders>
            <w:shd w:val="clear" w:color="auto" w:fill="auto"/>
            <w:noWrap/>
            <w:vAlign w:val="center"/>
            <w:hideMark/>
          </w:tcPr>
          <w:p w14:paraId="7B22AB0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1.204.346</w:t>
            </w:r>
          </w:p>
        </w:tc>
        <w:tc>
          <w:tcPr>
            <w:tcW w:w="1440" w:type="dxa"/>
            <w:tcBorders>
              <w:top w:val="nil"/>
              <w:left w:val="nil"/>
              <w:bottom w:val="single" w:sz="4" w:space="0" w:color="auto"/>
              <w:right w:val="single" w:sz="4" w:space="0" w:color="auto"/>
            </w:tcBorders>
            <w:shd w:val="clear" w:color="auto" w:fill="auto"/>
            <w:noWrap/>
            <w:vAlign w:val="center"/>
            <w:hideMark/>
          </w:tcPr>
          <w:p w14:paraId="7C08988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2.227.700</w:t>
            </w:r>
          </w:p>
        </w:tc>
      </w:tr>
      <w:tr w:rsidR="00754A51" w:rsidRPr="00DE40F0" w14:paraId="09A33BB9" w14:textId="77777777" w:rsidTr="009F3567">
        <w:trPr>
          <w:trHeight w:val="288"/>
        </w:trPr>
        <w:tc>
          <w:tcPr>
            <w:tcW w:w="27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66F6208" w14:textId="77777777" w:rsidR="00754A51" w:rsidRPr="00DE40F0" w:rsidRDefault="00754A51" w:rsidP="009F3567">
            <w:pPr>
              <w:spacing w:before="0" w:line="276" w:lineRule="auto"/>
              <w:jc w:val="left"/>
              <w:rPr>
                <w:b/>
                <w:bCs/>
                <w:color w:val="000000"/>
                <w:sz w:val="16"/>
                <w:szCs w:val="16"/>
                <w:lang w:eastAsia="sl-SI"/>
              </w:rPr>
            </w:pPr>
            <w:r w:rsidRPr="00DE40F0">
              <w:rPr>
                <w:b/>
                <w:bCs/>
                <w:color w:val="000000"/>
                <w:sz w:val="16"/>
                <w:szCs w:val="16"/>
                <w:lang w:eastAsia="sl-SI"/>
              </w:rPr>
              <w:t>Skupaj</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A107E95"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29.317.905</w:t>
            </w:r>
          </w:p>
        </w:tc>
        <w:tc>
          <w:tcPr>
            <w:tcW w:w="1400" w:type="dxa"/>
            <w:tcBorders>
              <w:top w:val="nil"/>
              <w:left w:val="nil"/>
              <w:bottom w:val="single" w:sz="4" w:space="0" w:color="auto"/>
              <w:right w:val="single" w:sz="4" w:space="0" w:color="auto"/>
            </w:tcBorders>
            <w:shd w:val="clear" w:color="auto" w:fill="C6D9F1" w:themeFill="text2" w:themeFillTint="33"/>
            <w:noWrap/>
            <w:vAlign w:val="center"/>
            <w:hideMark/>
          </w:tcPr>
          <w:p w14:paraId="75D50460"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8.466.949</w:t>
            </w:r>
          </w:p>
        </w:tc>
        <w:tc>
          <w:tcPr>
            <w:tcW w:w="1480" w:type="dxa"/>
            <w:tcBorders>
              <w:top w:val="nil"/>
              <w:left w:val="nil"/>
              <w:bottom w:val="single" w:sz="4" w:space="0" w:color="auto"/>
              <w:right w:val="single" w:sz="4" w:space="0" w:color="auto"/>
            </w:tcBorders>
            <w:shd w:val="clear" w:color="auto" w:fill="C6D9F1" w:themeFill="text2" w:themeFillTint="33"/>
            <w:noWrap/>
            <w:vAlign w:val="center"/>
            <w:hideMark/>
          </w:tcPr>
          <w:p w14:paraId="0815C672"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36.566.187</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66AC8B9"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74.351.040</w:t>
            </w:r>
          </w:p>
        </w:tc>
      </w:tr>
    </w:tbl>
    <w:p w14:paraId="5636EBDE" w14:textId="77777777" w:rsidR="00754A51" w:rsidRPr="00DE40F0" w:rsidRDefault="00754A51" w:rsidP="009F3567">
      <w:pPr>
        <w:spacing w:before="0" w:line="276" w:lineRule="auto"/>
        <w:rPr>
          <w:sz w:val="16"/>
          <w:szCs w:val="16"/>
        </w:rPr>
      </w:pPr>
      <w:r w:rsidRPr="00DE40F0">
        <w:rPr>
          <w:sz w:val="16"/>
          <w:szCs w:val="16"/>
        </w:rPr>
        <w:t>Vir: MK</w:t>
      </w:r>
      <w:r w:rsidR="004541CC">
        <w:rPr>
          <w:sz w:val="16"/>
          <w:szCs w:val="16"/>
        </w:rPr>
        <w:t>GP</w:t>
      </w:r>
    </w:p>
    <w:p w14:paraId="14037E51" w14:textId="77777777" w:rsidR="00754A51" w:rsidRDefault="00754A51" w:rsidP="007613FE">
      <w:pPr>
        <w:pStyle w:val="Default"/>
        <w:spacing w:line="260" w:lineRule="atLeast"/>
        <w:jc w:val="both"/>
        <w:rPr>
          <w:rFonts w:ascii="Arial" w:hAnsi="Arial" w:cs="Arial"/>
          <w:sz w:val="20"/>
          <w:szCs w:val="20"/>
        </w:rPr>
      </w:pPr>
    </w:p>
    <w:p w14:paraId="651194A8" w14:textId="205CA420" w:rsidR="00754A51" w:rsidRDefault="00754A51" w:rsidP="00130171">
      <w:r>
        <w:t xml:space="preserve">Med </w:t>
      </w:r>
      <w:r w:rsidR="00C06B99">
        <w:t>KMG</w:t>
      </w:r>
      <w:r>
        <w:t xml:space="preserve">, ki so vkjučena v oba podukrepa </w:t>
      </w:r>
      <w:r w:rsidR="00821CEE">
        <w:t>M0</w:t>
      </w:r>
      <w:r>
        <w:t xml:space="preserve">4.1 in </w:t>
      </w:r>
      <w:r w:rsidR="00821CEE">
        <w:t>M0</w:t>
      </w:r>
      <w:r>
        <w:t xml:space="preserve">4.2, je največ tistih na </w:t>
      </w:r>
      <w:r w:rsidR="00375F08">
        <w:t xml:space="preserve">OMD - </w:t>
      </w:r>
      <w:r>
        <w:t xml:space="preserve">gorskih območjih (54 %), </w:t>
      </w:r>
      <w:r w:rsidR="00375F08">
        <w:t xml:space="preserve">medtem ko je </w:t>
      </w:r>
      <w:r>
        <w:t xml:space="preserve">delež </w:t>
      </w:r>
      <w:r w:rsidR="00C06B99">
        <w:t>KMG</w:t>
      </w:r>
      <w:r>
        <w:t xml:space="preserve"> na OMD</w:t>
      </w:r>
      <w:r w:rsidR="00375F08">
        <w:t xml:space="preserve"> – izven gorskih </w:t>
      </w:r>
      <w:r>
        <w:t>območ</w:t>
      </w:r>
      <w:r w:rsidR="00C06B99">
        <w:t>i</w:t>
      </w:r>
      <w:r>
        <w:t xml:space="preserve">j (22 %) in </w:t>
      </w:r>
      <w:r w:rsidR="00CA76EC">
        <w:t xml:space="preserve">območjih </w:t>
      </w:r>
      <w:r w:rsidR="00375F08">
        <w:t xml:space="preserve">izven OMD </w:t>
      </w:r>
      <w:r>
        <w:t xml:space="preserve">(24 %) je približno enak.  </w:t>
      </w:r>
    </w:p>
    <w:p w14:paraId="4DB44DE2" w14:textId="4D36F284" w:rsidR="00754A51" w:rsidRDefault="00754A51" w:rsidP="00F3225E">
      <w:pPr>
        <w:pStyle w:val="1"/>
      </w:pPr>
    </w:p>
    <w:p w14:paraId="7C3B850A" w14:textId="24DD479A" w:rsidR="00A743DF" w:rsidRPr="00130171" w:rsidRDefault="00A743DF" w:rsidP="005B2A49">
      <w:pPr>
        <w:pStyle w:val="Naslov2"/>
      </w:pPr>
      <w:bookmarkStart w:id="3130" w:name="_Toc90462239"/>
      <w:r w:rsidRPr="00130171">
        <w:t xml:space="preserve">Analiza podpor kmetijam </w:t>
      </w:r>
      <w:r w:rsidR="00124BB6" w:rsidRPr="00130171">
        <w:t xml:space="preserve">na OMD </w:t>
      </w:r>
      <w:r w:rsidRPr="00130171">
        <w:t xml:space="preserve">v okviru podukrepa </w:t>
      </w:r>
      <w:r w:rsidR="00821CEE" w:rsidRPr="00130171">
        <w:t>M0</w:t>
      </w:r>
      <w:r w:rsidRPr="00130171">
        <w:t xml:space="preserve">6.3 </w:t>
      </w:r>
      <w:r w:rsidR="00A6739E" w:rsidRPr="00130171">
        <w:t xml:space="preserve">Pomoč za zagon dejavnosti, namenjena zagonu majhnih kmetij </w:t>
      </w:r>
      <w:r w:rsidRPr="00130171">
        <w:t>PRP 2014–2020</w:t>
      </w:r>
      <w:bookmarkEnd w:id="3130"/>
      <w:r w:rsidRPr="00130171">
        <w:t xml:space="preserve"> </w:t>
      </w:r>
    </w:p>
    <w:p w14:paraId="126BCA05" w14:textId="77777777" w:rsidR="00754A51" w:rsidRPr="00130171" w:rsidRDefault="00A743DF" w:rsidP="007613FE">
      <w:pPr>
        <w:spacing w:before="0" w:line="260" w:lineRule="atLeast"/>
        <w:rPr>
          <w:szCs w:val="20"/>
        </w:rPr>
      </w:pPr>
      <w:r w:rsidRPr="00130171">
        <w:rPr>
          <w:szCs w:val="20"/>
        </w:rPr>
        <w:t xml:space="preserve"> </w:t>
      </w:r>
    </w:p>
    <w:p w14:paraId="4C31DF2F" w14:textId="5810B14A" w:rsidR="00600C5C" w:rsidRPr="00130171" w:rsidRDefault="00600C5C" w:rsidP="007613FE">
      <w:pPr>
        <w:spacing w:before="0" w:line="260" w:lineRule="atLeast"/>
        <w:rPr>
          <w:szCs w:val="20"/>
        </w:rPr>
      </w:pPr>
      <w:r w:rsidRPr="00130171">
        <w:rPr>
          <w:szCs w:val="20"/>
        </w:rPr>
        <w:t xml:space="preserve">V okviru podukrepa 6.3 je bila podpora specifično namenjena majhnim kmetijam na OMD. Iz analize dveh objavljenih javnih razpisov v višini 40 mio </w:t>
      </w:r>
      <w:r w:rsidR="004879E5" w:rsidRPr="00130171">
        <w:rPr>
          <w:szCs w:val="20"/>
        </w:rPr>
        <w:t>EUR</w:t>
      </w:r>
      <w:r w:rsidRPr="00130171">
        <w:rPr>
          <w:szCs w:val="20"/>
        </w:rPr>
        <w:t xml:space="preserve"> je razvidno, da te majhne kmetije po pričakovanjih pretežno vlagajo v nakup kmetijske mehanizacije. Kar pa je morda</w:t>
      </w:r>
      <w:r w:rsidR="00F92358" w:rsidRPr="00130171">
        <w:rPr>
          <w:szCs w:val="20"/>
        </w:rPr>
        <w:t xml:space="preserve"> nekoliko</w:t>
      </w:r>
      <w:r w:rsidRPr="00130171">
        <w:rPr>
          <w:szCs w:val="20"/>
        </w:rPr>
        <w:t xml:space="preserve"> presenetljiv podatek, pa je, da sta drugi in tretje najpogosteje izbrani razvojni cilj poslovnega načrta nakup IKT opreme in postavitev rastlinjakov. Oba ta cilja sta </w:t>
      </w:r>
      <w:r w:rsidRPr="00130171">
        <w:rPr>
          <w:color w:val="000000"/>
          <w:szCs w:val="20"/>
        </w:rPr>
        <w:t xml:space="preserve">opredeljena kot cilja, ki prispevata k doseganju horizontalnim ciljem inovacije, okolje in podnebne spremembe. Analiza 1. javnega razpisa kaže, da kar 43 % vseh izbranih ciljev predstavljajo cilji, ki prispevajo k doseganju horizontalnih ciljev inovacije, okolje in podnebne spremembe. </w:t>
      </w:r>
    </w:p>
    <w:p w14:paraId="304BDED9" w14:textId="77777777" w:rsidR="00A743DF" w:rsidRDefault="00A743DF" w:rsidP="007613FE">
      <w:pPr>
        <w:spacing w:before="0" w:line="260" w:lineRule="atLeast"/>
        <w:rPr>
          <w:sz w:val="20"/>
          <w:szCs w:val="20"/>
        </w:rPr>
      </w:pPr>
    </w:p>
    <w:p w14:paraId="69B0FD53" w14:textId="209E978A" w:rsidR="00600C5C" w:rsidRPr="008949F4" w:rsidRDefault="00551D9B" w:rsidP="00130171">
      <w:pPr>
        <w:pStyle w:val="SCSlika0"/>
      </w:pPr>
      <w:bookmarkStart w:id="3131" w:name="_Toc89851097"/>
      <w:r w:rsidRPr="008949F4">
        <w:t xml:space="preserve">Slika </w:t>
      </w:r>
      <w:r w:rsidR="009F2591">
        <w:rPr>
          <w:noProof/>
        </w:rPr>
        <w:fldChar w:fldCharType="begin"/>
      </w:r>
      <w:r w:rsidR="009F2591">
        <w:rPr>
          <w:noProof/>
        </w:rPr>
        <w:instrText xml:space="preserve"> SEQ Slika \* ARABIC </w:instrText>
      </w:r>
      <w:r w:rsidR="009F2591">
        <w:rPr>
          <w:noProof/>
        </w:rPr>
        <w:fldChar w:fldCharType="separate"/>
      </w:r>
      <w:r w:rsidR="00F25435">
        <w:rPr>
          <w:noProof/>
        </w:rPr>
        <w:t>55</w:t>
      </w:r>
      <w:r w:rsidR="009F2591">
        <w:rPr>
          <w:noProof/>
        </w:rPr>
        <w:fldChar w:fldCharType="end"/>
      </w:r>
      <w:r w:rsidR="00600C5C" w:rsidRPr="008949F4">
        <w:rPr>
          <w:rFonts w:eastAsiaTheme="minorHAnsi"/>
        </w:rPr>
        <w:t>:</w:t>
      </w:r>
      <w:r w:rsidR="000C3B23">
        <w:rPr>
          <w:rFonts w:eastAsiaTheme="minorHAnsi"/>
        </w:rPr>
        <w:t xml:space="preserve"> </w:t>
      </w:r>
      <w:r w:rsidR="00600C5C" w:rsidRPr="008949F4">
        <w:rPr>
          <w:rFonts w:eastAsiaTheme="minorHAnsi"/>
        </w:rPr>
        <w:t xml:space="preserve">Izbrani razvojni cilj majhnih kmetij iz podukrepa </w:t>
      </w:r>
      <w:r w:rsidR="00821CEE">
        <w:rPr>
          <w:rFonts w:eastAsiaTheme="minorHAnsi"/>
        </w:rPr>
        <w:t>M0</w:t>
      </w:r>
      <w:r w:rsidR="00600C5C" w:rsidRPr="008949F4">
        <w:rPr>
          <w:rFonts w:eastAsiaTheme="minorHAnsi"/>
        </w:rPr>
        <w:t xml:space="preserve">6.3 PRP </w:t>
      </w:r>
      <w:r w:rsidR="00EF54A6" w:rsidRPr="008949F4">
        <w:rPr>
          <w:rFonts w:eastAsiaTheme="minorHAnsi"/>
        </w:rPr>
        <w:t>20</w:t>
      </w:r>
      <w:r w:rsidR="00600C5C" w:rsidRPr="008949F4">
        <w:rPr>
          <w:rFonts w:eastAsiaTheme="minorHAnsi"/>
        </w:rPr>
        <w:t>14</w:t>
      </w:r>
      <w:r w:rsidR="00EF54A6" w:rsidRPr="008949F4">
        <w:rPr>
          <w:rFonts w:eastAsiaTheme="minorHAnsi"/>
        </w:rPr>
        <w:t>–</w:t>
      </w:r>
      <w:r w:rsidR="00600C5C" w:rsidRPr="008949F4">
        <w:rPr>
          <w:rFonts w:eastAsiaTheme="minorHAnsi"/>
        </w:rPr>
        <w:t>20</w:t>
      </w:r>
      <w:r w:rsidR="00EF54A6" w:rsidRPr="008949F4">
        <w:rPr>
          <w:rFonts w:eastAsiaTheme="minorHAnsi"/>
        </w:rPr>
        <w:t>20</w:t>
      </w:r>
      <w:bookmarkEnd w:id="3131"/>
    </w:p>
    <w:p w14:paraId="45F358D5" w14:textId="77777777" w:rsidR="00600C5C" w:rsidRDefault="00F92358" w:rsidP="009F3567">
      <w:pPr>
        <w:spacing w:before="0" w:line="276" w:lineRule="auto"/>
        <w:rPr>
          <w:sz w:val="20"/>
          <w:szCs w:val="20"/>
        </w:rPr>
      </w:pPr>
      <w:r>
        <w:rPr>
          <w:noProof/>
          <w:lang w:eastAsia="sl-SI"/>
        </w:rPr>
        <w:drawing>
          <wp:inline distT="0" distB="0" distL="0" distR="0" wp14:anchorId="56CF156A" wp14:editId="61756D14">
            <wp:extent cx="5246078" cy="2221523"/>
            <wp:effectExtent l="0" t="0" r="12065" b="7620"/>
            <wp:docPr id="1631865604" name="Grafikon 1631865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A3AAA3" w14:textId="77777777" w:rsidR="00600C5C" w:rsidRPr="009F3567" w:rsidRDefault="00600C5C" w:rsidP="009F3567">
      <w:pPr>
        <w:spacing w:before="0" w:line="276" w:lineRule="auto"/>
        <w:rPr>
          <w:sz w:val="16"/>
          <w:szCs w:val="20"/>
        </w:rPr>
      </w:pPr>
      <w:r w:rsidRPr="009F3567">
        <w:rPr>
          <w:sz w:val="16"/>
          <w:szCs w:val="20"/>
        </w:rPr>
        <w:t>Vir: MKGP</w:t>
      </w:r>
    </w:p>
    <w:p w14:paraId="58D5FF16" w14:textId="77777777" w:rsidR="00A743DF" w:rsidRDefault="00A743DF" w:rsidP="007613FE">
      <w:pPr>
        <w:spacing w:before="0" w:line="260" w:lineRule="atLeast"/>
        <w:rPr>
          <w:sz w:val="20"/>
          <w:szCs w:val="20"/>
        </w:rPr>
      </w:pPr>
    </w:p>
    <w:p w14:paraId="13E4E31F" w14:textId="2C1B76DE" w:rsidR="007E0775" w:rsidRDefault="007E0775" w:rsidP="007613FE">
      <w:pPr>
        <w:spacing w:before="0" w:line="260" w:lineRule="atLeast"/>
        <w:rPr>
          <w:sz w:val="20"/>
        </w:rPr>
      </w:pPr>
    </w:p>
    <w:p w14:paraId="34ABF838" w14:textId="4151DFB5" w:rsidR="000000B3" w:rsidRDefault="000000B3" w:rsidP="007613FE">
      <w:pPr>
        <w:spacing w:before="0" w:line="260" w:lineRule="atLeast"/>
        <w:rPr>
          <w:sz w:val="20"/>
        </w:rPr>
      </w:pPr>
    </w:p>
    <w:p w14:paraId="7CFFF865" w14:textId="2CBB4E35" w:rsidR="000000B3" w:rsidRPr="00E155C1" w:rsidRDefault="000000B3" w:rsidP="00E155C1">
      <w:pPr>
        <w:pStyle w:val="Naslov2"/>
        <w:rPr>
          <w:sz w:val="22"/>
        </w:rPr>
      </w:pPr>
      <w:bookmarkStart w:id="3132" w:name="_Toc90462240"/>
      <w:r w:rsidRPr="00E155C1">
        <w:rPr>
          <w:sz w:val="22"/>
        </w:rPr>
        <w:t>Ključne ugotovitve</w:t>
      </w:r>
      <w:bookmarkEnd w:id="3132"/>
    </w:p>
    <w:p w14:paraId="28B41495" w14:textId="78BCF450" w:rsidR="000000B3" w:rsidRDefault="000000B3" w:rsidP="00E155C1">
      <w:pPr>
        <w:rPr>
          <w:lang w:eastAsia="en-US"/>
        </w:rPr>
      </w:pPr>
    </w:p>
    <w:p w14:paraId="2433BD70" w14:textId="77777777" w:rsidR="000000B3" w:rsidRPr="0048510D" w:rsidRDefault="000000B3" w:rsidP="00E155C1">
      <w:pPr>
        <w:pStyle w:val="Odstavekseznama"/>
        <w:numPr>
          <w:ilvl w:val="0"/>
          <w:numId w:val="221"/>
        </w:numPr>
        <w:rPr>
          <w:szCs w:val="22"/>
          <w:lang w:val="en" w:eastAsia="sl-SI"/>
        </w:rPr>
      </w:pPr>
      <w:r w:rsidRPr="00E155C1">
        <w:rPr>
          <w:rFonts w:ascii="Arial" w:hAnsi="Arial"/>
          <w:sz w:val="22"/>
          <w:szCs w:val="22"/>
          <w:lang w:val="en" w:eastAsia="sl-SI"/>
        </w:rPr>
        <w:t xml:space="preserve">Slovenija ima velik del KZU na OMD (76,2 %), še posebej na gorskih območjih, zato so tamkajšnja kmetijska gospodarstva omejena pri povečevanju svoje produktivnosti z dejavniki, na katere nimajo vpliva, ter s tem tudi manj konkurenčna. </w:t>
      </w:r>
    </w:p>
    <w:p w14:paraId="6FF734D2" w14:textId="0886F04A" w:rsidR="000000B3" w:rsidRPr="0048510D" w:rsidRDefault="000000B3" w:rsidP="00E155C1">
      <w:pPr>
        <w:pStyle w:val="Odstavekseznama"/>
        <w:numPr>
          <w:ilvl w:val="0"/>
          <w:numId w:val="221"/>
        </w:numPr>
        <w:rPr>
          <w:szCs w:val="22"/>
          <w:lang w:val="en" w:eastAsia="sl-SI"/>
        </w:rPr>
      </w:pPr>
      <w:r w:rsidRPr="00E155C1">
        <w:rPr>
          <w:rFonts w:ascii="Arial" w:hAnsi="Arial"/>
          <w:sz w:val="22"/>
          <w:szCs w:val="22"/>
          <w:lang w:val="en" w:eastAsia="sl-SI"/>
        </w:rPr>
        <w:t xml:space="preserve">Analiza investicijskih podpor v okviru podukrepa M4.1 </w:t>
      </w:r>
      <w:r w:rsidRPr="00E155C1">
        <w:rPr>
          <w:rFonts w:ascii="Arial" w:hAnsi="Arial"/>
          <w:sz w:val="22"/>
          <w:szCs w:val="22"/>
        </w:rPr>
        <w:t>Podpora za naložbe v kmetijska gospodarstva</w:t>
      </w:r>
      <w:r w:rsidRPr="00E155C1">
        <w:rPr>
          <w:rFonts w:ascii="Arial" w:hAnsi="Arial"/>
          <w:sz w:val="22"/>
          <w:szCs w:val="22"/>
          <w:lang w:val="en" w:eastAsia="sl-SI"/>
        </w:rPr>
        <w:t xml:space="preserve"> iz PRP 2014–2020</w:t>
      </w:r>
      <w:r>
        <w:rPr>
          <w:rFonts w:ascii="Arial" w:hAnsi="Arial"/>
          <w:sz w:val="22"/>
          <w:szCs w:val="22"/>
          <w:lang w:val="en" w:eastAsia="sl-SI"/>
        </w:rPr>
        <w:t xml:space="preserve"> </w:t>
      </w:r>
      <w:r w:rsidRPr="00E155C1">
        <w:rPr>
          <w:rFonts w:ascii="Arial" w:hAnsi="Arial"/>
          <w:sz w:val="22"/>
          <w:szCs w:val="22"/>
          <w:lang w:val="en" w:eastAsia="sl-SI"/>
        </w:rPr>
        <w:t>kaže, da so v povprečju naložbe gorskih KMG vrednostno manjše kot naložbe kmetij izven območij OMD. Najbolj očitne so te razlike pri naložbah v mleko in pašno živinorejo. Tudi po velikostni strukturi so povprečno podprta govedorejska KMG iz gorskih OMD precej manjša v primerjavi z KMG izven gorskih območij</w:t>
      </w:r>
    </w:p>
    <w:p w14:paraId="49233013" w14:textId="77777777" w:rsidR="000000B3" w:rsidRPr="0048510D" w:rsidRDefault="000000B3" w:rsidP="00E155C1">
      <w:pPr>
        <w:pStyle w:val="Odstavekseznama"/>
        <w:numPr>
          <w:ilvl w:val="0"/>
          <w:numId w:val="221"/>
        </w:numPr>
        <w:rPr>
          <w:szCs w:val="22"/>
        </w:rPr>
      </w:pPr>
      <w:r w:rsidRPr="00E155C1">
        <w:rPr>
          <w:rFonts w:ascii="Arial" w:hAnsi="Arial"/>
          <w:sz w:val="22"/>
          <w:szCs w:val="22"/>
        </w:rPr>
        <w:t>Prikaz lociranosti naložb na kmetijskih gospodarstvih (financiranih iz podukrepa 4.1 PRP 14-20) v skupni vrednosti</w:t>
      </w:r>
      <w:r w:rsidRPr="00E155C1">
        <w:rPr>
          <w:rStyle w:val="Sprotnaopomba-sklic"/>
          <w:rFonts w:ascii="Arial" w:hAnsi="Arial"/>
          <w:sz w:val="22"/>
          <w:szCs w:val="22"/>
        </w:rPr>
        <w:footnoteReference w:id="22"/>
      </w:r>
      <w:r w:rsidRPr="00E155C1">
        <w:rPr>
          <w:rFonts w:ascii="Arial" w:hAnsi="Arial"/>
          <w:sz w:val="22"/>
          <w:szCs w:val="22"/>
        </w:rPr>
        <w:t xml:space="preserve"> do 100.000 EUR in nad 100.000 EUR kaže, da večje naložbe gravitirajo na vzhodni del države, medtem ko so manjše naložbe razpršene.</w:t>
      </w:r>
    </w:p>
    <w:p w14:paraId="7AE6A9DD" w14:textId="77777777" w:rsidR="000000B3" w:rsidRPr="004B07DA" w:rsidRDefault="000000B3" w:rsidP="00E155C1">
      <w:pPr>
        <w:pStyle w:val="Odstavek1"/>
        <w:numPr>
          <w:ilvl w:val="0"/>
          <w:numId w:val="221"/>
        </w:numPr>
        <w:rPr>
          <w:bCs/>
          <w:szCs w:val="22"/>
        </w:rPr>
      </w:pPr>
      <w:r w:rsidRPr="00E53EB6">
        <w:rPr>
          <w:bCs/>
          <w:szCs w:val="22"/>
        </w:rPr>
        <w:t>Prikaz gostote vseh naložb glede na vrednost celotne naložbe (z vključenim DDV) nam pokaže, kje so po vrednosti največja kapitalska vlaganja in kam tudi gre posledično največji del dodeljenih nepovratnih podpor. Najbolj intenzivna kapitalska vlaganja koncentrirana v severov</w:t>
      </w:r>
      <w:r w:rsidRPr="004B07DA">
        <w:rPr>
          <w:bCs/>
          <w:szCs w:val="22"/>
        </w:rPr>
        <w:t xml:space="preserve">zhodnem delu države. Pomembno je tudi izpostaviti, da so po vrednosti najintenzivnejša vlaganja skoncentrirana izven hribovsko-gorskega območja. To napotuje k temu, da so kmetije s hribovsko-gorskih območij zaradi nižje konkurenčnosti kapitalsko šibkejše in posledično ne zmorejo tako intenzivnih vlaganj. </w:t>
      </w:r>
    </w:p>
    <w:p w14:paraId="4BE54832" w14:textId="0512148E" w:rsidR="000000B3" w:rsidRPr="00E155C1" w:rsidRDefault="000000B3" w:rsidP="00E155C1">
      <w:pPr>
        <w:pStyle w:val="Odstavek1"/>
        <w:numPr>
          <w:ilvl w:val="0"/>
          <w:numId w:val="221"/>
        </w:numPr>
        <w:rPr>
          <w:bCs/>
          <w:szCs w:val="22"/>
        </w:rPr>
      </w:pPr>
      <w:r w:rsidRPr="00E155C1">
        <w:rPr>
          <w:bCs/>
          <w:szCs w:val="22"/>
        </w:rPr>
        <w:t>Analiza investicijskih podpor v okviru podukrepa M4.</w:t>
      </w:r>
      <w:r>
        <w:rPr>
          <w:bCs/>
          <w:szCs w:val="22"/>
        </w:rPr>
        <w:t>2</w:t>
      </w:r>
      <w:r w:rsidRPr="00E155C1">
        <w:rPr>
          <w:bCs/>
          <w:szCs w:val="22"/>
        </w:rPr>
        <w:t xml:space="preserve"> </w:t>
      </w:r>
      <w:r w:rsidRPr="00E53EB6">
        <w:rPr>
          <w:bCs/>
          <w:szCs w:val="22"/>
        </w:rPr>
        <w:t xml:space="preserve">Podpora </w:t>
      </w:r>
      <w:r>
        <w:rPr>
          <w:bCs/>
          <w:szCs w:val="22"/>
        </w:rPr>
        <w:t xml:space="preserve">naložbam v predelavo in trženje in razvoj </w:t>
      </w:r>
      <w:r w:rsidRPr="00E155C1">
        <w:rPr>
          <w:bCs/>
          <w:szCs w:val="22"/>
        </w:rPr>
        <w:t xml:space="preserve">iz PRP 2014–2020 </w:t>
      </w:r>
      <w:r w:rsidR="0072182E">
        <w:rPr>
          <w:bCs/>
          <w:szCs w:val="22"/>
        </w:rPr>
        <w:t xml:space="preserve">kaže </w:t>
      </w:r>
      <w:r>
        <w:rPr>
          <w:bCs/>
          <w:szCs w:val="22"/>
        </w:rPr>
        <w:t xml:space="preserve">na </w:t>
      </w:r>
      <w:r w:rsidR="0072182E">
        <w:rPr>
          <w:bCs/>
          <w:szCs w:val="22"/>
        </w:rPr>
        <w:t xml:space="preserve">višjo povprečno višino vrednosti naložb na gorskih OMD, ko gre za segment predelave mleka, medtem ko je pri predelavi govejega mesa izrazito večja povprečna vrednost naložb na območjih, ki niso OMD. </w:t>
      </w:r>
    </w:p>
    <w:p w14:paraId="7524A86B" w14:textId="568137AF" w:rsidR="000000B3" w:rsidRDefault="000000B3" w:rsidP="007613FE">
      <w:pPr>
        <w:spacing w:before="0" w:line="260" w:lineRule="atLeast"/>
        <w:rPr>
          <w:sz w:val="20"/>
        </w:rPr>
      </w:pPr>
    </w:p>
    <w:p w14:paraId="364229D7" w14:textId="77777777" w:rsidR="000000B3" w:rsidRDefault="000000B3" w:rsidP="007613FE">
      <w:pPr>
        <w:spacing w:before="0" w:line="260" w:lineRule="atLeast"/>
        <w:rPr>
          <w:sz w:val="20"/>
        </w:rPr>
      </w:pPr>
    </w:p>
    <w:p w14:paraId="7FA0424D" w14:textId="77777777" w:rsidR="0072182E" w:rsidRPr="00EF50B8" w:rsidRDefault="0072182E" w:rsidP="0072182E">
      <w:pPr>
        <w:pStyle w:val="SCPreglednica"/>
        <w:rPr>
          <w:sz w:val="20"/>
        </w:rPr>
      </w:pPr>
      <w:r w:rsidRPr="00EF50B8">
        <w:rPr>
          <w:sz w:val="20"/>
        </w:rPr>
        <w:t xml:space="preserve">Tabela </w:t>
      </w:r>
      <w:r w:rsidRPr="00EF50B8">
        <w:rPr>
          <w:noProof/>
          <w:sz w:val="20"/>
        </w:rPr>
        <w:fldChar w:fldCharType="begin"/>
      </w:r>
      <w:r w:rsidRPr="00EF50B8">
        <w:rPr>
          <w:noProof/>
          <w:sz w:val="20"/>
        </w:rPr>
        <w:instrText xml:space="preserve"> SEQ Tabela \* ARABIC </w:instrText>
      </w:r>
      <w:r w:rsidRPr="00EF50B8">
        <w:rPr>
          <w:noProof/>
          <w:sz w:val="20"/>
        </w:rPr>
        <w:fldChar w:fldCharType="separate"/>
      </w:r>
      <w:r>
        <w:rPr>
          <w:noProof/>
          <w:sz w:val="20"/>
        </w:rPr>
        <w:t>16</w:t>
      </w:r>
      <w:r w:rsidRPr="00EF50B8">
        <w:rPr>
          <w:noProof/>
          <w:sz w:val="20"/>
        </w:rPr>
        <w:fldChar w:fldCharType="end"/>
      </w:r>
      <w:r w:rsidRPr="00EF50B8">
        <w:rPr>
          <w:sz w:val="20"/>
        </w:rPr>
        <w:t>: Povprečna vrednost podprtih naložb v okviru podukrepa M04.2 PRP 2014–2020 (30.4.2020) glede na OMD in vrsto dejavnosti</w:t>
      </w:r>
    </w:p>
    <w:tbl>
      <w:tblPr>
        <w:tblW w:w="9024" w:type="dxa"/>
        <w:tblCellMar>
          <w:left w:w="70" w:type="dxa"/>
          <w:right w:w="70" w:type="dxa"/>
        </w:tblCellMar>
        <w:tblLook w:val="04A0" w:firstRow="1" w:lastRow="0" w:firstColumn="1" w:lastColumn="0" w:noHBand="0" w:noVBand="1"/>
      </w:tblPr>
      <w:tblGrid>
        <w:gridCol w:w="2794"/>
        <w:gridCol w:w="1479"/>
        <w:gridCol w:w="1438"/>
        <w:gridCol w:w="1520"/>
        <w:gridCol w:w="1793"/>
      </w:tblGrid>
      <w:tr w:rsidR="0072182E" w:rsidRPr="005F797B" w14:paraId="50D2F0F8" w14:textId="77777777" w:rsidTr="009C3C2F">
        <w:trPr>
          <w:trHeight w:val="278"/>
        </w:trPr>
        <w:tc>
          <w:tcPr>
            <w:tcW w:w="27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21C8992" w14:textId="77777777" w:rsidR="0072182E" w:rsidRPr="00376F0D" w:rsidRDefault="0072182E" w:rsidP="009C3C2F">
            <w:pPr>
              <w:spacing w:before="0" w:line="276" w:lineRule="auto"/>
              <w:jc w:val="center"/>
              <w:rPr>
                <w:b/>
                <w:color w:val="000000"/>
                <w:sz w:val="16"/>
                <w:szCs w:val="16"/>
                <w:lang w:eastAsia="sl-SI"/>
              </w:rPr>
            </w:pPr>
            <w:r w:rsidRPr="00376F0D">
              <w:rPr>
                <w:b/>
                <w:color w:val="000000"/>
                <w:sz w:val="16"/>
                <w:szCs w:val="16"/>
                <w:lang w:eastAsia="sl-SI"/>
              </w:rPr>
              <w:t>VRSTA DEJAVNOSTI</w:t>
            </w:r>
          </w:p>
        </w:tc>
        <w:tc>
          <w:tcPr>
            <w:tcW w:w="623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BD67AC8" w14:textId="77777777" w:rsidR="0072182E" w:rsidRDefault="0072182E" w:rsidP="009C3C2F">
            <w:pPr>
              <w:spacing w:before="0" w:line="276" w:lineRule="auto"/>
              <w:jc w:val="center"/>
              <w:rPr>
                <w:b/>
                <w:color w:val="000000"/>
                <w:sz w:val="16"/>
                <w:szCs w:val="16"/>
                <w:lang w:eastAsia="sl-SI"/>
              </w:rPr>
            </w:pPr>
            <w:r w:rsidRPr="00376F0D">
              <w:rPr>
                <w:b/>
                <w:color w:val="000000"/>
                <w:sz w:val="16"/>
                <w:szCs w:val="16"/>
                <w:lang w:eastAsia="sl-SI"/>
              </w:rPr>
              <w:t>Povprečna višina vrednosti naložb glede na OMD (EUR)</w:t>
            </w:r>
          </w:p>
          <w:p w14:paraId="4E313534" w14:textId="77777777" w:rsidR="0072182E" w:rsidRPr="00376F0D" w:rsidRDefault="0072182E" w:rsidP="009C3C2F">
            <w:pPr>
              <w:spacing w:before="0" w:line="276" w:lineRule="auto"/>
              <w:jc w:val="center"/>
              <w:rPr>
                <w:b/>
                <w:color w:val="000000"/>
                <w:sz w:val="16"/>
                <w:szCs w:val="16"/>
                <w:lang w:eastAsia="sl-SI"/>
              </w:rPr>
            </w:pPr>
          </w:p>
        </w:tc>
      </w:tr>
      <w:tr w:rsidR="0072182E" w:rsidRPr="008E4705" w14:paraId="5BD10D36" w14:textId="77777777" w:rsidTr="009C3C2F">
        <w:trPr>
          <w:trHeight w:val="510"/>
        </w:trPr>
        <w:tc>
          <w:tcPr>
            <w:tcW w:w="279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733535" w14:textId="77777777" w:rsidR="0072182E" w:rsidRPr="00376F0D" w:rsidRDefault="0072182E" w:rsidP="009C3C2F">
            <w:pPr>
              <w:spacing w:before="0" w:line="276" w:lineRule="auto"/>
              <w:jc w:val="left"/>
              <w:rPr>
                <w:b/>
                <w:color w:val="000000"/>
                <w:sz w:val="16"/>
                <w:szCs w:val="16"/>
                <w:lang w:eastAsia="sl-SI"/>
              </w:rPr>
            </w:pPr>
          </w:p>
        </w:tc>
        <w:tc>
          <w:tcPr>
            <w:tcW w:w="1479" w:type="dxa"/>
            <w:tcBorders>
              <w:top w:val="nil"/>
              <w:left w:val="nil"/>
              <w:bottom w:val="single" w:sz="4" w:space="0" w:color="auto"/>
              <w:right w:val="single" w:sz="4" w:space="0" w:color="auto"/>
            </w:tcBorders>
            <w:shd w:val="clear" w:color="auto" w:fill="C6D9F1" w:themeFill="text2" w:themeFillTint="33"/>
            <w:vAlign w:val="center"/>
            <w:hideMark/>
          </w:tcPr>
          <w:p w14:paraId="29CD074D" w14:textId="77777777" w:rsidR="0072182E" w:rsidRPr="00376F0D" w:rsidRDefault="0072182E" w:rsidP="009C3C2F">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38" w:type="dxa"/>
            <w:tcBorders>
              <w:top w:val="nil"/>
              <w:left w:val="nil"/>
              <w:bottom w:val="single" w:sz="4" w:space="0" w:color="auto"/>
              <w:right w:val="single" w:sz="4" w:space="0" w:color="auto"/>
            </w:tcBorders>
            <w:shd w:val="clear" w:color="auto" w:fill="C6D9F1" w:themeFill="text2" w:themeFillTint="33"/>
            <w:vAlign w:val="center"/>
            <w:hideMark/>
          </w:tcPr>
          <w:p w14:paraId="399DCEAB" w14:textId="77777777" w:rsidR="0072182E" w:rsidRPr="00EB3C1B" w:rsidRDefault="0072182E" w:rsidP="009C3C2F">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760E4AB6" w14:textId="77777777" w:rsidR="0072182E" w:rsidRPr="00376F0D" w:rsidRDefault="0072182E" w:rsidP="009C3C2F">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520" w:type="dxa"/>
            <w:tcBorders>
              <w:top w:val="nil"/>
              <w:left w:val="nil"/>
              <w:bottom w:val="single" w:sz="4" w:space="0" w:color="auto"/>
              <w:right w:val="single" w:sz="4" w:space="0" w:color="auto"/>
            </w:tcBorders>
            <w:shd w:val="clear" w:color="auto" w:fill="C6D9F1" w:themeFill="text2" w:themeFillTint="33"/>
            <w:vAlign w:val="center"/>
            <w:hideMark/>
          </w:tcPr>
          <w:p w14:paraId="1D552B18" w14:textId="77777777" w:rsidR="0072182E" w:rsidRPr="00376F0D" w:rsidRDefault="0072182E" w:rsidP="009C3C2F">
            <w:pPr>
              <w:spacing w:before="0" w:line="276" w:lineRule="auto"/>
              <w:jc w:val="center"/>
              <w:rPr>
                <w:b/>
                <w:color w:val="000000"/>
                <w:sz w:val="16"/>
                <w:szCs w:val="16"/>
                <w:lang w:eastAsia="sl-SI"/>
              </w:rPr>
            </w:pPr>
            <w:r w:rsidRPr="00EB3C1B">
              <w:rPr>
                <w:b/>
                <w:sz w:val="16"/>
                <w:szCs w:val="16"/>
              </w:rPr>
              <w:t xml:space="preserve">ne OMD </w:t>
            </w:r>
          </w:p>
        </w:tc>
        <w:tc>
          <w:tcPr>
            <w:tcW w:w="1793" w:type="dxa"/>
            <w:tcBorders>
              <w:top w:val="nil"/>
              <w:left w:val="nil"/>
              <w:bottom w:val="single" w:sz="4" w:space="0" w:color="auto"/>
              <w:right w:val="single" w:sz="4" w:space="0" w:color="auto"/>
            </w:tcBorders>
            <w:shd w:val="clear" w:color="auto" w:fill="C6D9F1" w:themeFill="text2" w:themeFillTint="33"/>
            <w:vAlign w:val="center"/>
            <w:hideMark/>
          </w:tcPr>
          <w:p w14:paraId="6762FEAC" w14:textId="77777777" w:rsidR="0072182E" w:rsidRPr="00376F0D" w:rsidRDefault="0072182E" w:rsidP="009C3C2F">
            <w:pPr>
              <w:spacing w:before="0" w:line="276" w:lineRule="auto"/>
              <w:jc w:val="center"/>
              <w:rPr>
                <w:b/>
                <w:color w:val="000000"/>
                <w:sz w:val="16"/>
                <w:szCs w:val="16"/>
                <w:lang w:eastAsia="sl-SI"/>
              </w:rPr>
            </w:pPr>
            <w:r w:rsidRPr="00376F0D">
              <w:rPr>
                <w:b/>
                <w:color w:val="000000"/>
                <w:sz w:val="16"/>
                <w:szCs w:val="16"/>
                <w:lang w:eastAsia="sl-SI"/>
              </w:rPr>
              <w:t>skupaj</w:t>
            </w:r>
          </w:p>
        </w:tc>
      </w:tr>
      <w:tr w:rsidR="0072182E" w:rsidRPr="005F797B" w14:paraId="328D8684" w14:textId="77777777" w:rsidTr="009C3C2F">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7DF4ACB3" w14:textId="77777777" w:rsidR="0072182E" w:rsidRPr="001A32D7" w:rsidRDefault="0072182E" w:rsidP="009C3C2F">
            <w:pPr>
              <w:spacing w:before="0" w:line="276" w:lineRule="auto"/>
              <w:jc w:val="left"/>
              <w:rPr>
                <w:color w:val="000000"/>
                <w:sz w:val="16"/>
                <w:szCs w:val="16"/>
                <w:lang w:eastAsia="sl-SI"/>
              </w:rPr>
            </w:pPr>
            <w:r w:rsidRPr="001A32D7">
              <w:rPr>
                <w:color w:val="000000"/>
                <w:sz w:val="16"/>
                <w:szCs w:val="16"/>
                <w:lang w:eastAsia="sl-SI"/>
              </w:rPr>
              <w:t>Meso goveje</w:t>
            </w:r>
          </w:p>
        </w:tc>
        <w:tc>
          <w:tcPr>
            <w:tcW w:w="1479" w:type="dxa"/>
            <w:tcBorders>
              <w:top w:val="nil"/>
              <w:left w:val="nil"/>
              <w:bottom w:val="single" w:sz="4" w:space="0" w:color="auto"/>
              <w:right w:val="single" w:sz="4" w:space="0" w:color="auto"/>
            </w:tcBorders>
            <w:shd w:val="clear" w:color="auto" w:fill="auto"/>
            <w:noWrap/>
            <w:vAlign w:val="center"/>
            <w:hideMark/>
          </w:tcPr>
          <w:p w14:paraId="2E92584C"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174.983</w:t>
            </w:r>
          </w:p>
        </w:tc>
        <w:tc>
          <w:tcPr>
            <w:tcW w:w="1438" w:type="dxa"/>
            <w:tcBorders>
              <w:top w:val="nil"/>
              <w:left w:val="nil"/>
              <w:bottom w:val="single" w:sz="4" w:space="0" w:color="auto"/>
              <w:right w:val="single" w:sz="4" w:space="0" w:color="auto"/>
            </w:tcBorders>
            <w:shd w:val="clear" w:color="auto" w:fill="auto"/>
            <w:noWrap/>
            <w:vAlign w:val="center"/>
            <w:hideMark/>
          </w:tcPr>
          <w:p w14:paraId="3F522C75"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166.987</w:t>
            </w:r>
          </w:p>
        </w:tc>
        <w:tc>
          <w:tcPr>
            <w:tcW w:w="1520" w:type="dxa"/>
            <w:tcBorders>
              <w:top w:val="nil"/>
              <w:left w:val="nil"/>
              <w:bottom w:val="single" w:sz="4" w:space="0" w:color="auto"/>
              <w:right w:val="single" w:sz="4" w:space="0" w:color="auto"/>
            </w:tcBorders>
            <w:shd w:val="clear" w:color="auto" w:fill="auto"/>
            <w:noWrap/>
            <w:vAlign w:val="center"/>
            <w:hideMark/>
          </w:tcPr>
          <w:p w14:paraId="4E805DF8"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1.106.794</w:t>
            </w:r>
          </w:p>
        </w:tc>
        <w:tc>
          <w:tcPr>
            <w:tcW w:w="1793" w:type="dxa"/>
            <w:tcBorders>
              <w:top w:val="nil"/>
              <w:left w:val="nil"/>
              <w:bottom w:val="single" w:sz="4" w:space="0" w:color="auto"/>
              <w:right w:val="single" w:sz="4" w:space="0" w:color="auto"/>
            </w:tcBorders>
            <w:shd w:val="clear" w:color="auto" w:fill="auto"/>
            <w:noWrap/>
            <w:vAlign w:val="center"/>
            <w:hideMark/>
          </w:tcPr>
          <w:p w14:paraId="2DA1C84A"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615.105</w:t>
            </w:r>
          </w:p>
        </w:tc>
      </w:tr>
      <w:tr w:rsidR="0072182E" w:rsidRPr="005F797B" w14:paraId="0C06E714" w14:textId="77777777" w:rsidTr="009C3C2F">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7A6E424D" w14:textId="77777777" w:rsidR="0072182E" w:rsidRPr="001A32D7" w:rsidRDefault="0072182E" w:rsidP="009C3C2F">
            <w:pPr>
              <w:spacing w:before="0" w:line="276" w:lineRule="auto"/>
              <w:jc w:val="left"/>
              <w:rPr>
                <w:color w:val="000000"/>
                <w:sz w:val="16"/>
                <w:szCs w:val="16"/>
                <w:lang w:eastAsia="sl-SI"/>
              </w:rPr>
            </w:pPr>
            <w:r w:rsidRPr="001A32D7">
              <w:rPr>
                <w:color w:val="000000"/>
                <w:sz w:val="16"/>
                <w:szCs w:val="16"/>
                <w:lang w:eastAsia="sl-SI"/>
              </w:rPr>
              <w:t>Mleko</w:t>
            </w:r>
          </w:p>
        </w:tc>
        <w:tc>
          <w:tcPr>
            <w:tcW w:w="1479" w:type="dxa"/>
            <w:tcBorders>
              <w:top w:val="nil"/>
              <w:left w:val="nil"/>
              <w:bottom w:val="single" w:sz="4" w:space="0" w:color="auto"/>
              <w:right w:val="single" w:sz="4" w:space="0" w:color="auto"/>
            </w:tcBorders>
            <w:shd w:val="clear" w:color="auto" w:fill="auto"/>
            <w:noWrap/>
            <w:vAlign w:val="center"/>
            <w:hideMark/>
          </w:tcPr>
          <w:p w14:paraId="72F287B2"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344.138</w:t>
            </w:r>
          </w:p>
        </w:tc>
        <w:tc>
          <w:tcPr>
            <w:tcW w:w="1438" w:type="dxa"/>
            <w:tcBorders>
              <w:top w:val="nil"/>
              <w:left w:val="nil"/>
              <w:bottom w:val="single" w:sz="4" w:space="0" w:color="auto"/>
              <w:right w:val="single" w:sz="4" w:space="0" w:color="auto"/>
            </w:tcBorders>
            <w:shd w:val="clear" w:color="auto" w:fill="auto"/>
            <w:noWrap/>
            <w:vAlign w:val="center"/>
            <w:hideMark/>
          </w:tcPr>
          <w:p w14:paraId="5D4C9E17"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160.033</w:t>
            </w:r>
          </w:p>
        </w:tc>
        <w:tc>
          <w:tcPr>
            <w:tcW w:w="1520" w:type="dxa"/>
            <w:tcBorders>
              <w:top w:val="nil"/>
              <w:left w:val="nil"/>
              <w:bottom w:val="single" w:sz="4" w:space="0" w:color="auto"/>
              <w:right w:val="single" w:sz="4" w:space="0" w:color="auto"/>
            </w:tcBorders>
            <w:shd w:val="clear" w:color="auto" w:fill="auto"/>
            <w:noWrap/>
            <w:vAlign w:val="center"/>
            <w:hideMark/>
          </w:tcPr>
          <w:p w14:paraId="5F59BDE2"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72.868</w:t>
            </w:r>
          </w:p>
        </w:tc>
        <w:tc>
          <w:tcPr>
            <w:tcW w:w="1793" w:type="dxa"/>
            <w:tcBorders>
              <w:top w:val="nil"/>
              <w:left w:val="nil"/>
              <w:bottom w:val="single" w:sz="4" w:space="0" w:color="auto"/>
              <w:right w:val="single" w:sz="4" w:space="0" w:color="auto"/>
            </w:tcBorders>
            <w:shd w:val="clear" w:color="auto" w:fill="auto"/>
            <w:noWrap/>
            <w:vAlign w:val="center"/>
            <w:hideMark/>
          </w:tcPr>
          <w:p w14:paraId="10D665AA" w14:textId="77777777" w:rsidR="0072182E" w:rsidRPr="001A32D7" w:rsidRDefault="0072182E" w:rsidP="009C3C2F">
            <w:pPr>
              <w:spacing w:before="0" w:line="276" w:lineRule="auto"/>
              <w:jc w:val="right"/>
              <w:rPr>
                <w:color w:val="000000"/>
                <w:sz w:val="16"/>
                <w:szCs w:val="16"/>
                <w:lang w:eastAsia="sl-SI"/>
              </w:rPr>
            </w:pPr>
            <w:r w:rsidRPr="001A32D7">
              <w:rPr>
                <w:color w:val="000000"/>
                <w:sz w:val="16"/>
                <w:szCs w:val="16"/>
                <w:lang w:eastAsia="sl-SI"/>
              </w:rPr>
              <w:t>283.313</w:t>
            </w:r>
          </w:p>
        </w:tc>
      </w:tr>
      <w:tr w:rsidR="0072182E" w:rsidRPr="005F797B" w14:paraId="711E1E46" w14:textId="77777777" w:rsidTr="009C3C2F">
        <w:trPr>
          <w:trHeight w:val="290"/>
        </w:trPr>
        <w:tc>
          <w:tcPr>
            <w:tcW w:w="279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FDBA634" w14:textId="77777777" w:rsidR="0072182E" w:rsidRPr="001A32D7" w:rsidRDefault="0072182E" w:rsidP="009C3C2F">
            <w:pPr>
              <w:spacing w:before="0" w:line="276" w:lineRule="auto"/>
              <w:jc w:val="left"/>
              <w:rPr>
                <w:b/>
                <w:color w:val="000000"/>
                <w:sz w:val="16"/>
                <w:szCs w:val="16"/>
                <w:lang w:eastAsia="sl-SI"/>
              </w:rPr>
            </w:pPr>
            <w:r w:rsidRPr="001A32D7">
              <w:rPr>
                <w:b/>
                <w:color w:val="000000"/>
                <w:sz w:val="16"/>
                <w:szCs w:val="16"/>
                <w:lang w:eastAsia="sl-SI"/>
              </w:rPr>
              <w:t>Skupaj vse dejavnosti</w:t>
            </w:r>
          </w:p>
        </w:tc>
        <w:tc>
          <w:tcPr>
            <w:tcW w:w="1479" w:type="dxa"/>
            <w:tcBorders>
              <w:top w:val="nil"/>
              <w:left w:val="nil"/>
              <w:bottom w:val="single" w:sz="4" w:space="0" w:color="auto"/>
              <w:right w:val="single" w:sz="4" w:space="0" w:color="auto"/>
            </w:tcBorders>
            <w:shd w:val="clear" w:color="auto" w:fill="C6D9F1" w:themeFill="text2" w:themeFillTint="33"/>
            <w:noWrap/>
            <w:vAlign w:val="center"/>
            <w:hideMark/>
          </w:tcPr>
          <w:p w14:paraId="28842515" w14:textId="77777777" w:rsidR="0072182E" w:rsidRPr="001A32D7" w:rsidRDefault="0072182E" w:rsidP="009C3C2F">
            <w:pPr>
              <w:spacing w:before="0" w:line="276" w:lineRule="auto"/>
              <w:jc w:val="right"/>
              <w:rPr>
                <w:b/>
                <w:color w:val="000000"/>
                <w:sz w:val="16"/>
                <w:szCs w:val="16"/>
                <w:lang w:eastAsia="sl-SI"/>
              </w:rPr>
            </w:pPr>
            <w:r w:rsidRPr="001A32D7">
              <w:rPr>
                <w:b/>
                <w:color w:val="000000"/>
                <w:sz w:val="16"/>
                <w:szCs w:val="16"/>
                <w:lang w:eastAsia="sl-SI"/>
              </w:rPr>
              <w:t>293.179</w:t>
            </w:r>
          </w:p>
        </w:tc>
        <w:tc>
          <w:tcPr>
            <w:tcW w:w="1438" w:type="dxa"/>
            <w:tcBorders>
              <w:top w:val="nil"/>
              <w:left w:val="nil"/>
              <w:bottom w:val="single" w:sz="4" w:space="0" w:color="auto"/>
              <w:right w:val="single" w:sz="4" w:space="0" w:color="auto"/>
            </w:tcBorders>
            <w:shd w:val="clear" w:color="auto" w:fill="C6D9F1" w:themeFill="text2" w:themeFillTint="33"/>
            <w:noWrap/>
            <w:vAlign w:val="center"/>
            <w:hideMark/>
          </w:tcPr>
          <w:p w14:paraId="708F6AC5" w14:textId="77777777" w:rsidR="0072182E" w:rsidRPr="001A32D7" w:rsidRDefault="0072182E" w:rsidP="009C3C2F">
            <w:pPr>
              <w:spacing w:before="0" w:line="276" w:lineRule="auto"/>
              <w:jc w:val="right"/>
              <w:rPr>
                <w:b/>
                <w:color w:val="000000"/>
                <w:sz w:val="16"/>
                <w:szCs w:val="16"/>
                <w:lang w:eastAsia="sl-SI"/>
              </w:rPr>
            </w:pPr>
            <w:r w:rsidRPr="001A32D7">
              <w:rPr>
                <w:b/>
                <w:color w:val="000000"/>
                <w:sz w:val="16"/>
                <w:szCs w:val="16"/>
                <w:lang w:eastAsia="sl-SI"/>
              </w:rPr>
              <w:t>222.814</w:t>
            </w:r>
          </w:p>
        </w:tc>
        <w:tc>
          <w:tcPr>
            <w:tcW w:w="1520" w:type="dxa"/>
            <w:tcBorders>
              <w:top w:val="nil"/>
              <w:left w:val="nil"/>
              <w:bottom w:val="single" w:sz="4" w:space="0" w:color="auto"/>
              <w:right w:val="single" w:sz="4" w:space="0" w:color="auto"/>
            </w:tcBorders>
            <w:shd w:val="clear" w:color="auto" w:fill="C6D9F1" w:themeFill="text2" w:themeFillTint="33"/>
            <w:noWrap/>
            <w:vAlign w:val="center"/>
            <w:hideMark/>
          </w:tcPr>
          <w:p w14:paraId="49000718" w14:textId="77777777" w:rsidR="0072182E" w:rsidRPr="001A32D7" w:rsidRDefault="0072182E" w:rsidP="009C3C2F">
            <w:pPr>
              <w:spacing w:before="0" w:line="276" w:lineRule="auto"/>
              <w:jc w:val="right"/>
              <w:rPr>
                <w:b/>
                <w:color w:val="000000"/>
                <w:sz w:val="16"/>
                <w:szCs w:val="16"/>
                <w:lang w:eastAsia="sl-SI"/>
              </w:rPr>
            </w:pPr>
            <w:r w:rsidRPr="001A32D7">
              <w:rPr>
                <w:b/>
                <w:color w:val="000000"/>
                <w:sz w:val="16"/>
                <w:szCs w:val="16"/>
                <w:lang w:eastAsia="sl-SI"/>
              </w:rPr>
              <w:t>731.324</w:t>
            </w:r>
          </w:p>
        </w:tc>
        <w:tc>
          <w:tcPr>
            <w:tcW w:w="1793" w:type="dxa"/>
            <w:tcBorders>
              <w:top w:val="nil"/>
              <w:left w:val="nil"/>
              <w:bottom w:val="single" w:sz="4" w:space="0" w:color="auto"/>
              <w:right w:val="single" w:sz="4" w:space="0" w:color="auto"/>
            </w:tcBorders>
            <w:shd w:val="clear" w:color="auto" w:fill="C6D9F1" w:themeFill="text2" w:themeFillTint="33"/>
            <w:noWrap/>
            <w:vAlign w:val="center"/>
            <w:hideMark/>
          </w:tcPr>
          <w:p w14:paraId="211D038E" w14:textId="77777777" w:rsidR="0072182E" w:rsidRPr="001A32D7" w:rsidRDefault="0072182E" w:rsidP="009C3C2F">
            <w:pPr>
              <w:spacing w:before="0" w:line="276" w:lineRule="auto"/>
              <w:jc w:val="right"/>
              <w:rPr>
                <w:b/>
                <w:color w:val="000000"/>
                <w:sz w:val="16"/>
                <w:szCs w:val="16"/>
                <w:lang w:eastAsia="sl-SI"/>
              </w:rPr>
            </w:pPr>
            <w:r w:rsidRPr="001A32D7">
              <w:rPr>
                <w:b/>
                <w:color w:val="000000"/>
                <w:sz w:val="16"/>
                <w:szCs w:val="16"/>
                <w:lang w:eastAsia="sl-SI"/>
              </w:rPr>
              <w:t>395.484</w:t>
            </w:r>
          </w:p>
        </w:tc>
      </w:tr>
    </w:tbl>
    <w:p w14:paraId="2B7C4C68" w14:textId="77777777" w:rsidR="0072182E" w:rsidRPr="001A32D7" w:rsidRDefault="0072182E" w:rsidP="0072182E">
      <w:pPr>
        <w:spacing w:before="0" w:line="276" w:lineRule="auto"/>
        <w:rPr>
          <w:sz w:val="16"/>
          <w:szCs w:val="16"/>
        </w:rPr>
      </w:pPr>
      <w:r>
        <w:rPr>
          <w:sz w:val="16"/>
          <w:szCs w:val="16"/>
        </w:rPr>
        <w:t>Vir: MKGP</w:t>
      </w:r>
    </w:p>
    <w:p w14:paraId="44494605" w14:textId="77777777" w:rsidR="000000B3" w:rsidRDefault="000000B3" w:rsidP="007613FE">
      <w:pPr>
        <w:spacing w:before="0" w:line="260" w:lineRule="atLeast"/>
        <w:rPr>
          <w:sz w:val="20"/>
        </w:rPr>
      </w:pPr>
    </w:p>
    <w:p w14:paraId="4EE9D56E" w14:textId="74DEBD9E" w:rsidR="007E0775" w:rsidRPr="007E0775" w:rsidRDefault="007E0775" w:rsidP="00130171">
      <w:pPr>
        <w:pStyle w:val="Naslov1"/>
      </w:pPr>
      <w:bookmarkStart w:id="3133" w:name="_Toc90462241"/>
      <w:r w:rsidRPr="007E0775">
        <w:t>Tržna usmerjenost kmetijskih gospodarstev</w:t>
      </w:r>
      <w:bookmarkEnd w:id="3133"/>
    </w:p>
    <w:p w14:paraId="7BADCD80" w14:textId="77777777" w:rsidR="007E0775" w:rsidRDefault="007E0775" w:rsidP="007613FE">
      <w:pPr>
        <w:spacing w:before="0" w:line="260" w:lineRule="atLeast"/>
        <w:rPr>
          <w:sz w:val="20"/>
        </w:rPr>
      </w:pPr>
    </w:p>
    <w:p w14:paraId="55B1A0F5" w14:textId="77777777" w:rsidR="007E0775" w:rsidRDefault="007E0775" w:rsidP="007613FE">
      <w:pPr>
        <w:spacing w:before="0" w:line="260" w:lineRule="atLeast"/>
        <w:rPr>
          <w:sz w:val="20"/>
        </w:rPr>
      </w:pPr>
    </w:p>
    <w:p w14:paraId="1A78C1C8" w14:textId="1745DCEF" w:rsidR="00E250CA" w:rsidRDefault="00F679A2" w:rsidP="00130171">
      <w:r>
        <w:t>T</w:t>
      </w:r>
      <w:r w:rsidR="0051019D">
        <w:t xml:space="preserve">ržna usmerjenost kmetij in konkurenčnost </w:t>
      </w:r>
      <w:r>
        <w:t xml:space="preserve">sta </w:t>
      </w:r>
      <w:r w:rsidR="0051019D">
        <w:t>prepletena pojma</w:t>
      </w:r>
      <w:r>
        <w:t>.</w:t>
      </w:r>
      <w:r w:rsidR="0051019D">
        <w:t xml:space="preserve"> </w:t>
      </w:r>
      <w:r>
        <w:t>T</w:t>
      </w:r>
      <w:r w:rsidR="0051019D">
        <w:t xml:space="preserve">ržno usmerjeno kmetovanje </w:t>
      </w:r>
      <w:r>
        <w:t xml:space="preserve">je namreč </w:t>
      </w:r>
      <w:r w:rsidR="0051019D">
        <w:t>tisto, ki temelji na rednem ustvarjanju prihodkov s prodajo kmetijskih proizvodov na trgu. Ker pa slovenske kmetije</w:t>
      </w:r>
      <w:r w:rsidR="00E250CA">
        <w:rPr>
          <w:rStyle w:val="Sprotnaopomba-sklic"/>
        </w:rPr>
        <w:footnoteReference w:id="23"/>
      </w:r>
      <w:r w:rsidR="00E250CA">
        <w:t xml:space="preserve"> (z izjemo tistih KMG, organiziranih v obliki pravne osebe ali s.p.)</w:t>
      </w:r>
      <w:r w:rsidR="0051019D">
        <w:t xml:space="preserve"> niso dolžne voditi knjigovodstva, tako kot npr. gospodarske družbe, ni mogoče ugotoviti, kolikšna je višina dejansko ustvarjenih prihodkov s prodajo kmetijskih proizvodov na trgu. </w:t>
      </w:r>
    </w:p>
    <w:p w14:paraId="70183DA4" w14:textId="647E9D20" w:rsidR="0051019D" w:rsidRPr="006249A0" w:rsidRDefault="00E250CA" w:rsidP="00130171">
      <w:r w:rsidRPr="006249A0">
        <w:t>V želji, da bi vseeno poskušali identificirati skupino tržno usmerjenih kmetijskih gospodarstev, za katera bi lahko pridobili določene podatke o fizični velikosti, smo se omejili na tista kmetijska gospodarstva, ki so identificirana za namene DDV</w:t>
      </w:r>
      <w:r w:rsidRPr="00E155C1">
        <w:rPr>
          <w:vertAlign w:val="superscript"/>
        </w:rPr>
        <w:footnoteReference w:id="24"/>
      </w:r>
      <w:r w:rsidRPr="006249A0">
        <w:t>. Kmetijsko gospodarstvo se za identifikacijo za namen DDV lahko odloči prostovoljno ali pa je to njegova obveznost, če preseže določeno mejo katastrskega dohodka.</w:t>
      </w:r>
      <w:r w:rsidR="00D40D0B" w:rsidRPr="006249A0">
        <w:t xml:space="preserve"> V nadaljevanju so torej predstavljene kmetije, ki so že tako tržne, da morajo vstopiti v sistem DDV. Seveda pa to ni edini možni segment »tržnih kmetij«. Kot rečeno, so tržne kmetije vse tiste, ki viške prodajajo na trgu, in sicer bodisi neposredno na kmetiji ali pa preko preskrbnih verig.  </w:t>
      </w:r>
    </w:p>
    <w:p w14:paraId="07AEA8C2" w14:textId="063AF5A8" w:rsidR="00F3225E" w:rsidRPr="00A85EAE" w:rsidRDefault="00F3225E" w:rsidP="007613FE">
      <w:pPr>
        <w:pStyle w:val="Bulet1"/>
        <w:spacing w:before="0" w:line="260" w:lineRule="atLeast"/>
        <w:rPr>
          <w:rFonts w:ascii="Arial" w:hAnsi="Arial" w:cs="Arial"/>
          <w:color w:val="auto"/>
          <w:sz w:val="20"/>
          <w:szCs w:val="20"/>
        </w:rPr>
      </w:pPr>
    </w:p>
    <w:p w14:paraId="6D01B86F" w14:textId="77777777" w:rsidR="006D3D4B" w:rsidRPr="00130171" w:rsidRDefault="006D3D4B" w:rsidP="005B2A49">
      <w:pPr>
        <w:pStyle w:val="Naslov2"/>
      </w:pPr>
      <w:bookmarkStart w:id="3134" w:name="_Toc90462242"/>
      <w:r w:rsidRPr="00130171">
        <w:t>Struktura kmetijskih gospodarstev glede na identificiranost za namen DDV</w:t>
      </w:r>
      <w:bookmarkEnd w:id="3134"/>
    </w:p>
    <w:p w14:paraId="760D5DE7" w14:textId="77777777" w:rsidR="006D3D4B" w:rsidRPr="00130171" w:rsidRDefault="006D3D4B" w:rsidP="007613FE">
      <w:pPr>
        <w:spacing w:before="0" w:line="260" w:lineRule="atLeast"/>
        <w:rPr>
          <w:i/>
          <w:u w:val="single"/>
        </w:rPr>
      </w:pPr>
    </w:p>
    <w:p w14:paraId="1DF2DF9A" w14:textId="59235EDF" w:rsidR="00A36DE8" w:rsidRPr="00130171" w:rsidRDefault="006D3D4B" w:rsidP="007613FE">
      <w:pPr>
        <w:spacing w:before="0" w:line="260" w:lineRule="atLeast"/>
      </w:pPr>
      <w:r w:rsidRPr="00130171">
        <w:t>Med analiziranimi kmetijskimi gospodarstvi</w:t>
      </w:r>
      <w:r w:rsidR="00D40D0B" w:rsidRPr="00130171">
        <w:t>, ki so identificirana za DDV,</w:t>
      </w:r>
      <w:r w:rsidR="00E95B10">
        <w:t xml:space="preserve"> za leto 2019</w:t>
      </w:r>
      <w:r w:rsidRPr="00130171">
        <w:t xml:space="preserve"> je 254 kmetijskih gospodarstev takšnih, ki so organizirana kot pravne osebe, ki so oddala zbirno vlogo in opravljajo dejavnost kmetijstva, 7.655 kmetijskih gospodarstev pa je takšnih, ki so organizirana kot kmetije, ki so oddala zbirne vloge in pri katerih je nosilec kmetije enak davčnemu zavezancu za DDV. Bistveno pri tem je, da so kmetijska gospodarstva, ki so identificirana za DDV in oddajajo zbirno vlogo, bistveno večja od povprečja v Sloveniji. </w:t>
      </w:r>
      <w:r w:rsidR="00A70A3E" w:rsidRPr="00130171">
        <w:t xml:space="preserve">Zanimivo je tudi to, da imajo nekoliko večji delež njivskih površin v celotnem obsegu KZU. </w:t>
      </w:r>
    </w:p>
    <w:p w14:paraId="3372BA72" w14:textId="77777777" w:rsidR="00A36DE8" w:rsidRPr="00130171" w:rsidRDefault="00A36DE8" w:rsidP="007613FE">
      <w:pPr>
        <w:spacing w:before="0" w:line="260" w:lineRule="atLeast"/>
      </w:pPr>
    </w:p>
    <w:p w14:paraId="79D85030" w14:textId="42EA595A" w:rsidR="006D3D4B" w:rsidRPr="00130171" w:rsidRDefault="00A70A3E" w:rsidP="007613FE">
      <w:pPr>
        <w:spacing w:before="0" w:line="260" w:lineRule="atLeast"/>
      </w:pPr>
      <w:r w:rsidRPr="00130171">
        <w:t xml:space="preserve">Glede obtežbe (GVŽ na hektar) pa izstopajo predvsem pravne osebe, ki imajo bistveno nižjo obtežbo, iz česar lahko sklepamo, da gre najverjetneje za specializirana poljedelska kmetijska gospodarstva. </w:t>
      </w:r>
      <w:r w:rsidR="00D3300B" w:rsidRPr="00130171">
        <w:t xml:space="preserve">In še starostni podatek: povprečna starost nosilca KMG, ki je identificiran za DDV in je oddal zbirno vlogo, je </w:t>
      </w:r>
      <w:r w:rsidR="00CA76EC" w:rsidRPr="00130171">
        <w:t xml:space="preserve">bistveno </w:t>
      </w:r>
      <w:r w:rsidR="00D3300B" w:rsidRPr="00130171">
        <w:t xml:space="preserve">nižja od povprečne starosti ostalih nosilcev KMG, ki so oddala zbirno vlogo. </w:t>
      </w:r>
    </w:p>
    <w:p w14:paraId="7A894994" w14:textId="77777777" w:rsidR="00A70A3E" w:rsidRDefault="00A70A3E" w:rsidP="007613FE">
      <w:pPr>
        <w:spacing w:before="0" w:line="260" w:lineRule="atLeast"/>
        <w:rPr>
          <w:sz w:val="20"/>
        </w:rPr>
      </w:pPr>
    </w:p>
    <w:p w14:paraId="5BA9BBFD" w14:textId="11E46274" w:rsidR="00F25435" w:rsidRPr="00E53EB6" w:rsidRDefault="000429A3" w:rsidP="00E155C1">
      <w:pPr>
        <w:spacing w:before="0"/>
      </w:pPr>
      <w:bookmarkStart w:id="3135" w:name="_Toc89851098"/>
      <w:r w:rsidRPr="00E155C1">
        <w:rPr>
          <w:sz w:val="20"/>
          <w:szCs w:val="20"/>
        </w:rPr>
        <w:t xml:space="preserve">Slika </w:t>
      </w:r>
      <w:r w:rsidRPr="00E155C1">
        <w:rPr>
          <w:sz w:val="20"/>
          <w:szCs w:val="20"/>
        </w:rPr>
        <w:fldChar w:fldCharType="begin"/>
      </w:r>
      <w:r w:rsidRPr="00E155C1">
        <w:rPr>
          <w:sz w:val="20"/>
          <w:szCs w:val="20"/>
        </w:rPr>
        <w:instrText xml:space="preserve"> SEQ Slika \* ARABIC </w:instrText>
      </w:r>
      <w:r w:rsidRPr="00E155C1">
        <w:rPr>
          <w:sz w:val="20"/>
          <w:szCs w:val="20"/>
        </w:rPr>
        <w:fldChar w:fldCharType="separate"/>
      </w:r>
      <w:r w:rsidR="001B3E9B">
        <w:rPr>
          <w:noProof/>
          <w:sz w:val="20"/>
          <w:szCs w:val="20"/>
        </w:rPr>
        <w:t>56</w:t>
      </w:r>
      <w:r w:rsidRPr="00E155C1">
        <w:rPr>
          <w:sz w:val="20"/>
          <w:szCs w:val="20"/>
        </w:rPr>
        <w:fldChar w:fldCharType="end"/>
      </w:r>
      <w:r w:rsidRPr="00E155C1">
        <w:rPr>
          <w:rFonts w:ascii="Helv" w:eastAsiaTheme="minorHAnsi" w:hAnsi="Helv" w:cs="Helv"/>
          <w:color w:val="000000"/>
          <w:sz w:val="20"/>
          <w:szCs w:val="22"/>
          <w:lang w:eastAsia="en-US"/>
        </w:rPr>
        <w:t>:</w:t>
      </w:r>
      <w:r w:rsidR="00A70A3E" w:rsidRPr="00E155C1">
        <w:rPr>
          <w:sz w:val="20"/>
        </w:rPr>
        <w:t xml:space="preserve"> Primerjava povprečne velikosti KZU v ha za KMG, identificirana za DDV glede na vsa KMG, ki oddajajo zbirno vlogo</w:t>
      </w:r>
      <w:bookmarkEnd w:id="3135"/>
    </w:p>
    <w:p w14:paraId="0C322323" w14:textId="77777777" w:rsidR="006D3D4B" w:rsidRDefault="006D3D4B" w:rsidP="00E155C1">
      <w:pPr>
        <w:pStyle w:val="SCSlika0"/>
        <w:rPr>
          <w:sz w:val="20"/>
        </w:rPr>
      </w:pPr>
      <w:r>
        <w:rPr>
          <w:noProof/>
          <w:lang w:eastAsia="sl-SI"/>
        </w:rPr>
        <w:drawing>
          <wp:inline distT="0" distB="0" distL="0" distR="0" wp14:anchorId="3F5A60FF" wp14:editId="0947DEB9">
            <wp:extent cx="5760720" cy="2636520"/>
            <wp:effectExtent l="0" t="0" r="11430" b="1143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A7AA8AA" w14:textId="3A1E05E6" w:rsidR="006D3D4B" w:rsidRPr="00A70A3E" w:rsidRDefault="00A70A3E" w:rsidP="006D3D4B">
      <w:pPr>
        <w:spacing w:before="0" w:line="276" w:lineRule="auto"/>
        <w:rPr>
          <w:sz w:val="16"/>
        </w:rPr>
      </w:pPr>
      <w:r w:rsidRPr="00A70A3E">
        <w:rPr>
          <w:sz w:val="16"/>
        </w:rPr>
        <w:t xml:space="preserve">Vir: </w:t>
      </w:r>
      <w:hyperlink r:id="rId80" w:history="1">
        <w:r w:rsidR="00CA76EC" w:rsidRPr="008720AC">
          <w:rPr>
            <w:rStyle w:val="Hiperpovezava"/>
            <w:rFonts w:ascii="Times New Roman" w:hAnsi="Times New Roman"/>
            <w:sz w:val="16"/>
            <w:szCs w:val="16"/>
          </w:rPr>
          <w:t>https://www.fu.gov.si/e_storitve/seznami_davcnih_zavezancev/</w:t>
        </w:r>
      </w:hyperlink>
      <w:r w:rsidR="00CA76EC">
        <w:rPr>
          <w:sz w:val="16"/>
          <w:szCs w:val="16"/>
        </w:rPr>
        <w:t xml:space="preserve">, </w:t>
      </w:r>
      <w:r w:rsidRPr="00A70A3E">
        <w:rPr>
          <w:sz w:val="16"/>
        </w:rPr>
        <w:t>preračun MKGP</w:t>
      </w:r>
    </w:p>
    <w:p w14:paraId="4EA56F61" w14:textId="77777777" w:rsidR="00A70A3E" w:rsidRDefault="00A70A3E" w:rsidP="007613FE">
      <w:pPr>
        <w:spacing w:before="0" w:line="260" w:lineRule="atLeast"/>
        <w:rPr>
          <w:sz w:val="20"/>
        </w:rPr>
      </w:pPr>
    </w:p>
    <w:p w14:paraId="3BAEAC30" w14:textId="77777777" w:rsidR="00A70A3E" w:rsidRDefault="00A70A3E" w:rsidP="007613FE">
      <w:pPr>
        <w:spacing w:before="0" w:line="260" w:lineRule="atLeast"/>
        <w:rPr>
          <w:sz w:val="20"/>
        </w:rPr>
      </w:pPr>
    </w:p>
    <w:p w14:paraId="37108002" w14:textId="01A1C4C0" w:rsidR="00A70A3E" w:rsidRPr="00E155C1" w:rsidRDefault="000429A3" w:rsidP="00130171">
      <w:pPr>
        <w:pStyle w:val="SCSlika0"/>
        <w:rPr>
          <w:sz w:val="20"/>
        </w:rPr>
      </w:pPr>
      <w:bookmarkStart w:id="3136" w:name="_Toc89851099"/>
      <w:r w:rsidRPr="00E155C1">
        <w:rPr>
          <w:sz w:val="20"/>
          <w:szCs w:val="20"/>
        </w:rPr>
        <w:t xml:space="preserve">Slika </w:t>
      </w:r>
      <w:r w:rsidRPr="00E155C1">
        <w:rPr>
          <w:sz w:val="20"/>
          <w:szCs w:val="20"/>
        </w:rPr>
        <w:fldChar w:fldCharType="begin"/>
      </w:r>
      <w:r w:rsidRPr="00E155C1">
        <w:rPr>
          <w:sz w:val="20"/>
          <w:szCs w:val="20"/>
        </w:rPr>
        <w:instrText xml:space="preserve"> SEQ Slika \* ARABIC </w:instrText>
      </w:r>
      <w:r w:rsidRPr="00E155C1">
        <w:rPr>
          <w:sz w:val="20"/>
          <w:szCs w:val="20"/>
        </w:rPr>
        <w:fldChar w:fldCharType="separate"/>
      </w:r>
      <w:r w:rsidR="00F25435" w:rsidRPr="00E155C1">
        <w:rPr>
          <w:noProof/>
          <w:sz w:val="20"/>
          <w:szCs w:val="20"/>
        </w:rPr>
        <w:t>57</w:t>
      </w:r>
      <w:r w:rsidRPr="00E155C1">
        <w:rPr>
          <w:sz w:val="20"/>
          <w:szCs w:val="20"/>
        </w:rPr>
        <w:fldChar w:fldCharType="end"/>
      </w:r>
      <w:r w:rsidRPr="00E155C1">
        <w:rPr>
          <w:rFonts w:ascii="Helv" w:eastAsiaTheme="minorHAnsi" w:hAnsi="Helv" w:cs="Helv"/>
          <w:color w:val="000000"/>
          <w:sz w:val="20"/>
          <w:szCs w:val="22"/>
          <w:lang w:eastAsia="en-US"/>
        </w:rPr>
        <w:t>:</w:t>
      </w:r>
      <w:r w:rsidRPr="00E155C1">
        <w:rPr>
          <w:sz w:val="20"/>
        </w:rPr>
        <w:t xml:space="preserve"> </w:t>
      </w:r>
      <w:r w:rsidR="00A70A3E" w:rsidRPr="00E155C1">
        <w:rPr>
          <w:sz w:val="20"/>
        </w:rPr>
        <w:t>Primerjava deleža njiv v KZU za KMG, identificirana za DDV glede na vsa KMG, ki oddajajo zbirno vlogo</w:t>
      </w:r>
      <w:bookmarkEnd w:id="3136"/>
    </w:p>
    <w:p w14:paraId="0F0BAD03" w14:textId="77777777" w:rsidR="006D3D4B" w:rsidRDefault="00A70A3E" w:rsidP="006D3D4B">
      <w:pPr>
        <w:spacing w:before="0" w:line="276" w:lineRule="auto"/>
        <w:rPr>
          <w:sz w:val="20"/>
        </w:rPr>
      </w:pPr>
      <w:r>
        <w:rPr>
          <w:noProof/>
          <w:lang w:eastAsia="sl-SI"/>
        </w:rPr>
        <w:drawing>
          <wp:inline distT="0" distB="0" distL="0" distR="0" wp14:anchorId="253808A5" wp14:editId="71B06693">
            <wp:extent cx="5760720" cy="2602230"/>
            <wp:effectExtent l="0" t="0" r="1143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DF90F3A" w14:textId="4233BBAC" w:rsidR="00A70A3E" w:rsidRPr="00A70A3E" w:rsidRDefault="006D3D4B" w:rsidP="00A70A3E">
      <w:pPr>
        <w:spacing w:before="0" w:line="276" w:lineRule="auto"/>
        <w:rPr>
          <w:sz w:val="16"/>
        </w:rPr>
      </w:pPr>
      <w:r>
        <w:rPr>
          <w:sz w:val="20"/>
        </w:rPr>
        <w:t xml:space="preserve"> </w:t>
      </w:r>
      <w:r w:rsidR="00A70A3E" w:rsidRPr="00A70A3E">
        <w:rPr>
          <w:sz w:val="16"/>
        </w:rPr>
        <w:t xml:space="preserve">Vir: </w:t>
      </w:r>
      <w:hyperlink r:id="rId82"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00A70A3E" w:rsidRPr="00A70A3E">
        <w:rPr>
          <w:sz w:val="16"/>
        </w:rPr>
        <w:t>preračun MKGP</w:t>
      </w:r>
    </w:p>
    <w:p w14:paraId="66C9F451" w14:textId="77777777" w:rsidR="0051019D" w:rsidRDefault="0051019D" w:rsidP="007613FE">
      <w:pPr>
        <w:spacing w:before="0" w:line="260" w:lineRule="atLeast"/>
        <w:rPr>
          <w:sz w:val="20"/>
        </w:rPr>
      </w:pPr>
    </w:p>
    <w:p w14:paraId="6CAEB5DE" w14:textId="77777777" w:rsidR="00A70A3E" w:rsidRDefault="00A70A3E" w:rsidP="007613FE">
      <w:pPr>
        <w:spacing w:before="0" w:line="260" w:lineRule="atLeast"/>
        <w:rPr>
          <w:sz w:val="20"/>
        </w:rPr>
      </w:pPr>
    </w:p>
    <w:p w14:paraId="0583FBD0" w14:textId="1FC74FAE" w:rsidR="00A70A3E" w:rsidRPr="00E155C1" w:rsidRDefault="000429A3" w:rsidP="00130171">
      <w:pPr>
        <w:pStyle w:val="SCSlika0"/>
        <w:rPr>
          <w:sz w:val="20"/>
        </w:rPr>
      </w:pPr>
      <w:bookmarkStart w:id="3137" w:name="_Toc89851100"/>
      <w:r w:rsidRPr="00E155C1">
        <w:rPr>
          <w:sz w:val="20"/>
          <w:szCs w:val="20"/>
        </w:rPr>
        <w:t xml:space="preserve">Slika </w:t>
      </w:r>
      <w:r w:rsidRPr="00E155C1">
        <w:rPr>
          <w:sz w:val="20"/>
          <w:szCs w:val="20"/>
        </w:rPr>
        <w:fldChar w:fldCharType="begin"/>
      </w:r>
      <w:r w:rsidRPr="00E155C1">
        <w:rPr>
          <w:sz w:val="20"/>
          <w:szCs w:val="20"/>
        </w:rPr>
        <w:instrText xml:space="preserve"> SEQ Slika \* ARABIC </w:instrText>
      </w:r>
      <w:r w:rsidRPr="00E155C1">
        <w:rPr>
          <w:sz w:val="20"/>
          <w:szCs w:val="20"/>
        </w:rPr>
        <w:fldChar w:fldCharType="separate"/>
      </w:r>
      <w:r w:rsidR="00F25435" w:rsidRPr="00E155C1">
        <w:rPr>
          <w:noProof/>
          <w:sz w:val="20"/>
          <w:szCs w:val="20"/>
        </w:rPr>
        <w:t>58</w:t>
      </w:r>
      <w:r w:rsidRPr="00E155C1">
        <w:rPr>
          <w:sz w:val="20"/>
          <w:szCs w:val="20"/>
        </w:rPr>
        <w:fldChar w:fldCharType="end"/>
      </w:r>
      <w:r w:rsidR="00A70A3E" w:rsidRPr="00E155C1">
        <w:rPr>
          <w:sz w:val="20"/>
        </w:rPr>
        <w:t>: Primerjava obtežbe z GVŽ/KZU za KMG, identificirana za DDV glede na vsa KMG, ki oddajajo zbirno vlogo</w:t>
      </w:r>
      <w:bookmarkEnd w:id="3137"/>
    </w:p>
    <w:p w14:paraId="33601F46" w14:textId="77777777" w:rsidR="00A70A3E" w:rsidRPr="006D3D4B" w:rsidRDefault="00A70A3E" w:rsidP="006D3D4B">
      <w:pPr>
        <w:spacing w:before="0" w:line="276" w:lineRule="auto"/>
        <w:rPr>
          <w:sz w:val="20"/>
        </w:rPr>
      </w:pPr>
      <w:r>
        <w:rPr>
          <w:noProof/>
          <w:lang w:eastAsia="sl-SI"/>
        </w:rPr>
        <w:drawing>
          <wp:inline distT="0" distB="0" distL="0" distR="0" wp14:anchorId="175BFDEE" wp14:editId="3F2955EC">
            <wp:extent cx="5760720" cy="2602230"/>
            <wp:effectExtent l="0" t="0" r="11430" b="762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99C8990" w14:textId="6B8F0EE8" w:rsidR="0051019D" w:rsidRDefault="00A70A3E" w:rsidP="0051019D">
      <w:pPr>
        <w:spacing w:before="0" w:line="276" w:lineRule="auto"/>
        <w:rPr>
          <w:sz w:val="20"/>
        </w:rPr>
      </w:pPr>
      <w:r w:rsidRPr="00A70A3E">
        <w:rPr>
          <w:sz w:val="16"/>
        </w:rPr>
        <w:t xml:space="preserve">Vir: </w:t>
      </w:r>
      <w:hyperlink r:id="rId84"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55561794" w14:textId="77777777" w:rsidR="0051019D" w:rsidRDefault="0051019D" w:rsidP="007613FE">
      <w:pPr>
        <w:pStyle w:val="Odstavek1"/>
      </w:pPr>
    </w:p>
    <w:p w14:paraId="62D3606E" w14:textId="596C491B" w:rsidR="00D3300B" w:rsidRPr="00E155C1" w:rsidRDefault="000429A3" w:rsidP="007613FE">
      <w:pPr>
        <w:pStyle w:val="Odstavek1"/>
        <w:rPr>
          <w:sz w:val="20"/>
        </w:rPr>
      </w:pPr>
      <w:bookmarkStart w:id="3138" w:name="_Toc89851101"/>
      <w:r w:rsidRPr="00E155C1">
        <w:rPr>
          <w:sz w:val="20"/>
        </w:rPr>
        <w:t xml:space="preserve">Slika </w:t>
      </w:r>
      <w:r w:rsidR="00072AFA" w:rsidRPr="00E155C1">
        <w:rPr>
          <w:noProof/>
          <w:sz w:val="20"/>
        </w:rPr>
        <w:fldChar w:fldCharType="begin"/>
      </w:r>
      <w:r w:rsidR="00072AFA" w:rsidRPr="00E155C1">
        <w:rPr>
          <w:noProof/>
          <w:sz w:val="20"/>
        </w:rPr>
        <w:instrText xml:space="preserve"> SEQ Slika \* ARABIC </w:instrText>
      </w:r>
      <w:r w:rsidR="00072AFA" w:rsidRPr="00E155C1">
        <w:rPr>
          <w:noProof/>
          <w:sz w:val="20"/>
        </w:rPr>
        <w:fldChar w:fldCharType="separate"/>
      </w:r>
      <w:r w:rsidR="00F25435">
        <w:rPr>
          <w:noProof/>
          <w:sz w:val="20"/>
        </w:rPr>
        <w:t>59</w:t>
      </w:r>
      <w:r w:rsidR="00072AFA" w:rsidRPr="00E155C1">
        <w:rPr>
          <w:noProof/>
          <w:sz w:val="20"/>
        </w:rPr>
        <w:fldChar w:fldCharType="end"/>
      </w:r>
      <w:r w:rsidRPr="00E155C1">
        <w:rPr>
          <w:sz w:val="20"/>
        </w:rPr>
        <w:t>:</w:t>
      </w:r>
      <w:r w:rsidR="00A70A3E" w:rsidRPr="00E155C1">
        <w:rPr>
          <w:sz w:val="20"/>
        </w:rPr>
        <w:t xml:space="preserve"> Primerjava povprečne starosti nosilca za KMG, identificiran</w:t>
      </w:r>
      <w:r w:rsidR="00BC4DC1" w:rsidRPr="00E155C1">
        <w:rPr>
          <w:sz w:val="20"/>
        </w:rPr>
        <w:t>o</w:t>
      </w:r>
      <w:r w:rsidR="00A70A3E" w:rsidRPr="00E155C1">
        <w:rPr>
          <w:sz w:val="20"/>
        </w:rPr>
        <w:t xml:space="preserve"> za DDV glede na vsa KMG, ki oddajajo zbirno vlogo</w:t>
      </w:r>
      <w:bookmarkEnd w:id="3138"/>
    </w:p>
    <w:p w14:paraId="622749BB" w14:textId="77777777" w:rsidR="0051019D" w:rsidRDefault="0051019D" w:rsidP="009F3567">
      <w:pPr>
        <w:spacing w:before="0" w:line="276" w:lineRule="auto"/>
        <w:rPr>
          <w:sz w:val="20"/>
        </w:rPr>
      </w:pPr>
      <w:r>
        <w:rPr>
          <w:sz w:val="20"/>
        </w:rPr>
        <w:t xml:space="preserve"> </w:t>
      </w:r>
      <w:r w:rsidR="00A70A3E">
        <w:rPr>
          <w:noProof/>
          <w:lang w:eastAsia="sl-SI"/>
        </w:rPr>
        <w:drawing>
          <wp:inline distT="0" distB="0" distL="0" distR="0" wp14:anchorId="2FD21CFF" wp14:editId="2AAF2972">
            <wp:extent cx="5760720" cy="2450465"/>
            <wp:effectExtent l="0" t="0" r="11430" b="698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84468BF" w14:textId="3C9053B2" w:rsidR="0051019D" w:rsidRDefault="00A70A3E" w:rsidP="009F3567">
      <w:pPr>
        <w:spacing w:before="0" w:line="276" w:lineRule="auto"/>
        <w:rPr>
          <w:sz w:val="20"/>
        </w:rPr>
      </w:pPr>
      <w:r w:rsidRPr="00A70A3E">
        <w:rPr>
          <w:sz w:val="16"/>
        </w:rPr>
        <w:t xml:space="preserve">Vir: </w:t>
      </w:r>
      <w:hyperlink r:id="rId86"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13732AC0" w14:textId="77777777" w:rsidR="0051019D" w:rsidRDefault="0051019D" w:rsidP="007613FE">
      <w:pPr>
        <w:spacing w:before="0" w:line="260" w:lineRule="atLeast"/>
        <w:rPr>
          <w:sz w:val="20"/>
        </w:rPr>
      </w:pPr>
    </w:p>
    <w:p w14:paraId="443C7E37" w14:textId="24B6BA7A" w:rsidR="00D3300B" w:rsidRDefault="00D3300B" w:rsidP="007E558D">
      <w:r>
        <w:t xml:space="preserve">Poleg navedene metode ugotavljanja tržne usmerjenosti KMG bi seveda lahko ubrali tudi druge. Npr. </w:t>
      </w:r>
      <w:r w:rsidR="00A21964">
        <w:t xml:space="preserve">med kmetijskimi gospodarstvi, ki želijo povečati svojo tržno usmerjenost, bi lahko izpostavili tista </w:t>
      </w:r>
      <w:r w:rsidR="00BC4DC1">
        <w:t>KMG</w:t>
      </w:r>
      <w:r w:rsidR="00A21964">
        <w:t xml:space="preserve">, ki so prejela sredstva za ta namen iz naslova »prestrukturiranja« v okviru podukrepa M04.1. Nadalje bi lahko množico tržno usmerjenih kmetijskih gospodarstev poiskali med tistimi, ki se preko podukrepa M16.4 vključujejo </w:t>
      </w:r>
      <w:r>
        <w:t>v lokalne trge in kratke oskrbne verige. Enako velja za KMG, ki se vključujejo v skupine oziroma organizacije proizvajalcev ali pa se vključujejo v sheme kakovosti. Vsi navedeni mehanizmi, tako M</w:t>
      </w:r>
      <w:r w:rsidR="00BC4DC1">
        <w:t>0</w:t>
      </w:r>
      <w:r>
        <w:t>3.1 (podpora za novo vključevanje v sheme kakovosti), M16.4 (kratke dobavne verige in lokalni trgi) in M</w:t>
      </w:r>
      <w:r w:rsidR="00BC4DC1">
        <w:t>0</w:t>
      </w:r>
      <w:r>
        <w:t xml:space="preserve">9.1 (skupine in organizacije proizvajalcev), ki so financirani v okviru PRP 2014–2020, so podrobneje predstavljeni v analizi stanja za cilj 3, zato jih v tem delu posebej ne analiziramo.  </w:t>
      </w:r>
    </w:p>
    <w:p w14:paraId="111C91D8" w14:textId="77777777" w:rsidR="001D4DB3" w:rsidRDefault="001D4DB3" w:rsidP="007E558D"/>
    <w:p w14:paraId="074B0487" w14:textId="7469119F" w:rsidR="00707DFB" w:rsidRPr="007E558D" w:rsidRDefault="0042269F" w:rsidP="005B2A49">
      <w:pPr>
        <w:pStyle w:val="Naslov2"/>
      </w:pPr>
      <w:bookmarkStart w:id="3139" w:name="_Toc90462243"/>
      <w:r w:rsidRPr="007E558D">
        <w:t>Analiza kmetij, ki so prejele podporo za prestrukturiranje s ciljem večje tržne usmerjenosti v okviru podukrepa M</w:t>
      </w:r>
      <w:r w:rsidR="00875637" w:rsidRPr="007E558D">
        <w:t>0</w:t>
      </w:r>
      <w:r w:rsidRPr="007E558D">
        <w:t>4.1 Podpora za naložbe v kmetijska gospodarstva PRP 2014-2020</w:t>
      </w:r>
      <w:bookmarkEnd w:id="3139"/>
    </w:p>
    <w:p w14:paraId="6026C824" w14:textId="44A5EB33" w:rsidR="003F053F" w:rsidRPr="007E558D" w:rsidRDefault="003F053F" w:rsidP="007613FE">
      <w:pPr>
        <w:spacing w:before="0" w:line="260" w:lineRule="atLeast"/>
        <w:rPr>
          <w:b/>
          <w:i/>
          <w:szCs w:val="20"/>
          <w:highlight w:val="yellow"/>
          <w:u w:val="single"/>
        </w:rPr>
      </w:pPr>
    </w:p>
    <w:p w14:paraId="0EC9A47C" w14:textId="0936EF32" w:rsidR="00EC0C06" w:rsidRPr="007E558D" w:rsidRDefault="003F053F" w:rsidP="005B2A49">
      <w:pPr>
        <w:spacing w:before="0" w:line="240" w:lineRule="auto"/>
      </w:pPr>
      <w:r w:rsidRPr="007E558D">
        <w:t>V okviru omenjenega podukrepa se podpora dodeljuje tako naložbam v izboljšanje konkurenčnosti kot tudi nalo</w:t>
      </w:r>
      <w:r w:rsidRPr="007E558D">
        <w:rPr>
          <w:rFonts w:hint="eastAsia"/>
        </w:rPr>
        <w:t>ž</w:t>
      </w:r>
      <w:r w:rsidRPr="007E558D">
        <w:t>bam v prestrukturiranje kmetijskih gospodarstev. V primeru slednjih gre za majhne kmetije, ki jim kmetijstvo ne predstavlja poglavitnega vira dohodka, imajo nizko udele</w:t>
      </w:r>
      <w:r w:rsidRPr="007E558D">
        <w:rPr>
          <w:rFonts w:hint="eastAsia"/>
        </w:rPr>
        <w:t>ž</w:t>
      </w:r>
      <w:r w:rsidRPr="007E558D">
        <w:t xml:space="preserve">bo na trgu ter bodo </w:t>
      </w:r>
      <w:r w:rsidRPr="007E558D">
        <w:rPr>
          <w:rFonts w:hint="eastAsia"/>
        </w:rPr>
        <w:t>š</w:t>
      </w:r>
      <w:r w:rsidRPr="007E558D">
        <w:t>ele z nalo</w:t>
      </w:r>
      <w:r w:rsidRPr="007E558D">
        <w:rPr>
          <w:rFonts w:hint="eastAsia"/>
        </w:rPr>
        <w:t>ž</w:t>
      </w:r>
      <w:r w:rsidRPr="007E558D">
        <w:t xml:space="preserve">bo postala gospodarsko vitalna. Glede na opredelitev te ciljne skupine gre za kmetije, ki </w:t>
      </w:r>
      <w:r w:rsidR="003523E6" w:rsidRPr="007E558D">
        <w:t xml:space="preserve">ustvarijo prihodek, nižji od bruto minimalne plače na zaposlenega v RS, vendar vsaj 4.000 </w:t>
      </w:r>
      <w:r w:rsidR="00515A40" w:rsidRPr="007E558D">
        <w:t>EUR</w:t>
      </w:r>
      <w:r w:rsidR="003523E6" w:rsidRPr="007E558D">
        <w:t xml:space="preserve">. Te kmetije so upravičene do podpore za naložbe v višini do vključno 50.000 </w:t>
      </w:r>
      <w:r w:rsidR="00515A40" w:rsidRPr="007E558D">
        <w:t>EUR</w:t>
      </w:r>
      <w:r w:rsidR="003523E6" w:rsidRPr="007E558D">
        <w:t xml:space="preserve"> skupne priznane vrednosti. Po podatkih na dan 30.4.2020 je bilo tem majhnim kmetijam odobrenih 49 vlog, od tega večina (28) na gorskih OMD. Skupaj je bilo tem vlogam odobrenih 787.357 </w:t>
      </w:r>
      <w:r w:rsidR="00515A40" w:rsidRPr="007E558D">
        <w:t>EUR</w:t>
      </w:r>
      <w:r w:rsidR="00EC0C06" w:rsidRPr="007E558D">
        <w:t xml:space="preserve"> sredstev</w:t>
      </w:r>
      <w:r w:rsidR="003523E6" w:rsidRPr="007E558D">
        <w:t xml:space="preserve">, </w:t>
      </w:r>
      <w:r w:rsidR="00C61AD1" w:rsidRPr="007E558D">
        <w:t xml:space="preserve">od tega 56,4 % na gorskih OMD. </w:t>
      </w:r>
      <w:r w:rsidR="00EC0C06" w:rsidRPr="007E558D">
        <w:t xml:space="preserve">Skupna vrednost teh naložb pa je znašala 2 mio </w:t>
      </w:r>
      <w:r w:rsidR="004879E5" w:rsidRPr="007E558D">
        <w:t>EUR</w:t>
      </w:r>
      <w:r w:rsidR="00EC0C06" w:rsidRPr="007E558D">
        <w:t xml:space="preserve">. </w:t>
      </w:r>
      <w:r w:rsidR="00C61AD1" w:rsidRPr="007E558D">
        <w:t xml:space="preserve">V povprečju je imela takšna podprta </w:t>
      </w:r>
      <w:r w:rsidR="00EC0C06" w:rsidRPr="007E558D">
        <w:t>»</w:t>
      </w:r>
      <w:r w:rsidR="00C61AD1" w:rsidRPr="007E558D">
        <w:t xml:space="preserve">majhna« kmetija 9 GVŽ in 9,1 ha kmetijskih površin v uporabi. Glavnina teh kmetij je lociranih v podravski (14 kmetij) oziroma savinjski (11 kmetij) statistični regiji. </w:t>
      </w:r>
    </w:p>
    <w:p w14:paraId="52C36E63" w14:textId="77777777" w:rsidR="00EC0C06" w:rsidRPr="007E558D" w:rsidRDefault="00EC0C06" w:rsidP="007613FE">
      <w:pPr>
        <w:spacing w:before="0" w:line="260" w:lineRule="atLeast"/>
      </w:pPr>
    </w:p>
    <w:p w14:paraId="01393D8C" w14:textId="1B82FBA7" w:rsidR="003523E6" w:rsidRPr="007E558D" w:rsidRDefault="00C61AD1" w:rsidP="007613FE">
      <w:pPr>
        <w:spacing w:before="0" w:line="260" w:lineRule="atLeast"/>
      </w:pPr>
      <w:r w:rsidRPr="007E558D">
        <w:t xml:space="preserve">Proizvodna usmeritev pretežnega dela teh kmetij je bodisi pašna govedoreja: reja krav dojilj, pitancev ali reja telet (14 kmetij) bodisi sadjarstvo (13 kmetij). </w:t>
      </w:r>
      <w:r w:rsidR="00EC0C06" w:rsidRPr="007E558D">
        <w:t xml:space="preserve">S tem je povezana tudi prevladujoča vrsta podprte naložbe, in sicer po vrednosti naložbe izrazito prevladuje strošek ureditve objektov za kmetijsko dejavnost, nakup in namestitev oz. vgradnjo pripadajoče opreme za kmetijsko proizvodnjo, ureditev greznic in čistilnih naprav, nakup IKT in strojne opreme. Skupna vrednost teh naložb je znašala 1,1 mio </w:t>
      </w:r>
      <w:r w:rsidR="00515A40" w:rsidRPr="007E558D">
        <w:t>EUR</w:t>
      </w:r>
      <w:r w:rsidR="00EC0C06" w:rsidRPr="007E558D">
        <w:t xml:space="preserve">. </w:t>
      </w:r>
    </w:p>
    <w:p w14:paraId="5FC2D4E7" w14:textId="0AFCE8C6" w:rsidR="00D3300B" w:rsidRPr="007E558D" w:rsidRDefault="003523E6" w:rsidP="007613FE">
      <w:pPr>
        <w:spacing w:before="0" w:line="260" w:lineRule="atLeast"/>
      </w:pPr>
      <w:r w:rsidRPr="007E558D">
        <w:rPr>
          <w:u w:val="single"/>
        </w:rPr>
        <w:t xml:space="preserve"> </w:t>
      </w:r>
    </w:p>
    <w:p w14:paraId="4F1674C3" w14:textId="1762B87D" w:rsidR="00707DFB" w:rsidRPr="007E558D" w:rsidRDefault="00707DFB" w:rsidP="005B2A49">
      <w:pPr>
        <w:pStyle w:val="Naslov2"/>
      </w:pPr>
      <w:bookmarkStart w:id="3140" w:name="_Toc90462244"/>
      <w:r w:rsidRPr="007E558D">
        <w:t xml:space="preserve">Analiza vključenih kmetij v podukrep </w:t>
      </w:r>
      <w:r w:rsidR="00821CEE" w:rsidRPr="007E558D">
        <w:t>M</w:t>
      </w:r>
      <w:r w:rsidRPr="007E558D">
        <w:t>16.4 PRP 2014–2020, namenjen vzpostavljanju kratkih dobavnih verig in lokalnih trgov</w:t>
      </w:r>
      <w:bookmarkEnd w:id="3140"/>
      <w:r w:rsidRPr="007E558D">
        <w:t xml:space="preserve"> </w:t>
      </w:r>
    </w:p>
    <w:p w14:paraId="2B8A2B24" w14:textId="77777777" w:rsidR="00707DFB" w:rsidRPr="007E558D" w:rsidRDefault="00707DFB" w:rsidP="007613FE">
      <w:pPr>
        <w:spacing w:before="0" w:line="260" w:lineRule="atLeast"/>
        <w:rPr>
          <w:szCs w:val="20"/>
        </w:rPr>
      </w:pPr>
    </w:p>
    <w:p w14:paraId="6EA5D6CC" w14:textId="347FD55C" w:rsidR="00707DFB" w:rsidRPr="007E558D" w:rsidRDefault="00707DFB" w:rsidP="007613FE">
      <w:pPr>
        <w:autoSpaceDE w:val="0"/>
        <w:autoSpaceDN w:val="0"/>
        <w:adjustRightInd w:val="0"/>
        <w:spacing w:before="0" w:line="260" w:lineRule="atLeast"/>
        <w:rPr>
          <w:rFonts w:eastAsiaTheme="minorHAnsi"/>
          <w:color w:val="000000"/>
          <w:szCs w:val="22"/>
          <w:lang w:eastAsia="en-US"/>
        </w:rPr>
      </w:pPr>
      <w:r w:rsidRPr="007E558D">
        <w:rPr>
          <w:rFonts w:eastAsiaTheme="minorHAnsi"/>
          <w:color w:val="000000"/>
          <w:szCs w:val="22"/>
          <w:lang w:eastAsia="en-US"/>
        </w:rPr>
        <w:t xml:space="preserve">Ker so na OMD manjše kmetije, ki so praviloma manj konkurenčne, predpostavljamo, da si svojo tržno usmerjenost lahko izboljšajo zlasti z vključevanjem v krajše dobavne verige. Navedeno tezo potrjuje kratka analiza kmetij, vključenih v podukrep </w:t>
      </w:r>
      <w:r w:rsidR="00821CEE" w:rsidRPr="007E558D">
        <w:rPr>
          <w:rFonts w:eastAsiaTheme="minorHAnsi"/>
          <w:color w:val="000000"/>
          <w:szCs w:val="22"/>
          <w:lang w:eastAsia="en-US"/>
        </w:rPr>
        <w:t>M</w:t>
      </w:r>
      <w:r w:rsidRPr="007E558D">
        <w:rPr>
          <w:rFonts w:eastAsiaTheme="minorHAnsi"/>
          <w:color w:val="000000"/>
          <w:szCs w:val="22"/>
          <w:lang w:eastAsia="en-US"/>
        </w:rPr>
        <w:t xml:space="preserve">16.4 PRP 2014–2020, ki je specifično namenjen vzpostavljanju tovrstnih verig in razvoju lokalnih trgov. Glede na podatke na na dan 31.12.2019 je razvidno, da se v kratke dobavne verige vključujejo predvsem </w:t>
      </w:r>
      <w:r w:rsidR="00C65E69" w:rsidRPr="007E558D">
        <w:rPr>
          <w:rFonts w:eastAsiaTheme="minorHAnsi"/>
          <w:color w:val="000000"/>
          <w:szCs w:val="22"/>
          <w:lang w:eastAsia="en-US"/>
        </w:rPr>
        <w:t>KMG</w:t>
      </w:r>
      <w:r w:rsidRPr="007E558D">
        <w:rPr>
          <w:rFonts w:eastAsiaTheme="minorHAnsi"/>
          <w:color w:val="000000"/>
          <w:szCs w:val="22"/>
          <w:lang w:eastAsia="en-US"/>
        </w:rPr>
        <w:t xml:space="preserve">, ki imajo površine v OMD (64 %), od teh jih je največ (64 %) </w:t>
      </w:r>
      <w:r w:rsidR="00C65E69" w:rsidRPr="007E558D">
        <w:rPr>
          <w:rFonts w:eastAsiaTheme="minorHAnsi"/>
          <w:color w:val="000000"/>
          <w:szCs w:val="22"/>
          <w:lang w:eastAsia="en-US"/>
        </w:rPr>
        <w:t xml:space="preserve">na OMD - </w:t>
      </w:r>
      <w:r w:rsidRPr="007E558D">
        <w:rPr>
          <w:rFonts w:eastAsiaTheme="minorHAnsi"/>
          <w:color w:val="000000"/>
          <w:szCs w:val="22"/>
          <w:lang w:eastAsia="en-US"/>
        </w:rPr>
        <w:t>gorskih območjih. Po velikosti prevladujejo kmetijska gospodarstva z manj kot 20 ha površin (68 %)</w:t>
      </w:r>
      <w:r w:rsidR="00C65E69" w:rsidRPr="007E558D">
        <w:rPr>
          <w:rFonts w:eastAsiaTheme="minorHAnsi"/>
          <w:color w:val="000000"/>
          <w:szCs w:val="22"/>
          <w:lang w:eastAsia="en-US"/>
        </w:rPr>
        <w:t>;</w:t>
      </w:r>
      <w:r w:rsidRPr="007E558D">
        <w:rPr>
          <w:rFonts w:eastAsiaTheme="minorHAnsi"/>
          <w:color w:val="000000"/>
          <w:szCs w:val="22"/>
          <w:lang w:eastAsia="en-US"/>
        </w:rPr>
        <w:t xml:space="preserve"> takšnih, ki obdelujejo manj kot 5 ha površin, je četrtina vseh.</w:t>
      </w:r>
    </w:p>
    <w:p w14:paraId="2728FD5F" w14:textId="77777777" w:rsidR="001142D5" w:rsidRPr="009F3567" w:rsidRDefault="001142D5" w:rsidP="007613FE">
      <w:pPr>
        <w:autoSpaceDE w:val="0"/>
        <w:autoSpaceDN w:val="0"/>
        <w:adjustRightInd w:val="0"/>
        <w:spacing w:before="0" w:line="260" w:lineRule="atLeast"/>
        <w:rPr>
          <w:rFonts w:eastAsiaTheme="minorHAnsi"/>
          <w:color w:val="000000"/>
          <w:sz w:val="20"/>
          <w:szCs w:val="22"/>
          <w:lang w:eastAsia="en-US"/>
        </w:rPr>
      </w:pPr>
    </w:p>
    <w:p w14:paraId="6B2E3E54" w14:textId="359A4CB0" w:rsidR="00707DFB" w:rsidRPr="00A743DF" w:rsidRDefault="00707DFB" w:rsidP="007E558D">
      <w:pPr>
        <w:pStyle w:val="SCSlika0"/>
        <w:rPr>
          <w:rFonts w:eastAsiaTheme="minorHAnsi"/>
        </w:rPr>
      </w:pPr>
      <w:bookmarkStart w:id="3141" w:name="_Toc89851102"/>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F25435">
        <w:rPr>
          <w:noProof/>
          <w:szCs w:val="20"/>
        </w:rPr>
        <w:t>60</w:t>
      </w:r>
      <w:r w:rsidRPr="005B4234">
        <w:rPr>
          <w:szCs w:val="20"/>
        </w:rPr>
        <w:fldChar w:fldCharType="end"/>
      </w:r>
      <w:r>
        <w:rPr>
          <w:rFonts w:eastAsiaTheme="minorHAnsi"/>
        </w:rPr>
        <w:t xml:space="preserve">: </w:t>
      </w:r>
      <w:r w:rsidRPr="00A743DF">
        <w:rPr>
          <w:rFonts w:eastAsiaTheme="minorHAnsi"/>
        </w:rPr>
        <w:t xml:space="preserve">Kmetijska gospodarstva, vključena v podukrep </w:t>
      </w:r>
      <w:r w:rsidR="00821CEE">
        <w:rPr>
          <w:rFonts w:eastAsiaTheme="minorHAnsi"/>
        </w:rPr>
        <w:t>M</w:t>
      </w:r>
      <w:r w:rsidRPr="00A743DF">
        <w:rPr>
          <w:rFonts w:eastAsiaTheme="minorHAnsi"/>
        </w:rPr>
        <w:t>16.4, po velikosti in OMD</w:t>
      </w:r>
      <w:bookmarkEnd w:id="3141"/>
    </w:p>
    <w:p w14:paraId="6819FDD8" w14:textId="77777777" w:rsidR="00707DFB" w:rsidRDefault="00707DFB" w:rsidP="00707DFB">
      <w:pPr>
        <w:autoSpaceDE w:val="0"/>
        <w:autoSpaceDN w:val="0"/>
        <w:adjustRightInd w:val="0"/>
        <w:spacing w:before="0" w:after="240" w:line="240" w:lineRule="auto"/>
        <w:rPr>
          <w:rFonts w:ascii="Helv" w:eastAsiaTheme="minorHAnsi" w:hAnsi="Helv" w:cs="Helv"/>
          <w:color w:val="000000"/>
          <w:szCs w:val="22"/>
          <w:lang w:eastAsia="en-US"/>
        </w:rPr>
      </w:pPr>
      <w:r>
        <w:rPr>
          <w:noProof/>
          <w:lang w:eastAsia="sl-SI"/>
        </w:rPr>
        <w:drawing>
          <wp:inline distT="0" distB="0" distL="0" distR="0" wp14:anchorId="65816642" wp14:editId="303CE18C">
            <wp:extent cx="5760720" cy="2164715"/>
            <wp:effectExtent l="0" t="0" r="11430" b="6985"/>
            <wp:docPr id="1631865551" name="Grafikon 1631865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2C45DF" w14:textId="77777777" w:rsidR="00707DFB" w:rsidRPr="009F3567" w:rsidRDefault="00707DFB" w:rsidP="00707DFB">
      <w:pPr>
        <w:autoSpaceDE w:val="0"/>
        <w:autoSpaceDN w:val="0"/>
        <w:adjustRightInd w:val="0"/>
        <w:spacing w:before="0" w:after="240" w:line="240" w:lineRule="auto"/>
        <w:rPr>
          <w:rFonts w:eastAsiaTheme="minorHAnsi"/>
          <w:color w:val="000000"/>
          <w:sz w:val="16"/>
          <w:szCs w:val="22"/>
          <w:lang w:eastAsia="en-US"/>
        </w:rPr>
      </w:pPr>
      <w:r w:rsidRPr="009F3567">
        <w:rPr>
          <w:rFonts w:eastAsiaTheme="minorHAnsi"/>
          <w:color w:val="000000"/>
          <w:sz w:val="16"/>
          <w:szCs w:val="22"/>
          <w:lang w:eastAsia="en-US"/>
        </w:rPr>
        <w:t>Vir: MKGP</w:t>
      </w:r>
    </w:p>
    <w:p w14:paraId="2824E5A3" w14:textId="77777777" w:rsidR="00F7188A" w:rsidRDefault="00F7188A" w:rsidP="00E155C1">
      <w:pPr>
        <w:jc w:val="center"/>
      </w:pPr>
      <w:r>
        <w:rPr>
          <w:sz w:val="20"/>
        </w:rPr>
        <w:t>***</w:t>
      </w:r>
    </w:p>
    <w:p w14:paraId="4698B55F" w14:textId="1F018021" w:rsidR="00F7188A" w:rsidRDefault="00F7188A" w:rsidP="00E155C1">
      <w:pPr>
        <w:spacing w:before="0" w:line="260" w:lineRule="atLeast"/>
        <w:jc w:val="center"/>
        <w:rPr>
          <w:sz w:val="20"/>
        </w:rPr>
      </w:pPr>
    </w:p>
    <w:p w14:paraId="179D3D5E" w14:textId="79D53473" w:rsidR="00F7188A" w:rsidRDefault="00F7188A">
      <w:pPr>
        <w:spacing w:before="0" w:line="260" w:lineRule="atLeast"/>
        <w:rPr>
          <w:sz w:val="20"/>
        </w:rPr>
      </w:pPr>
      <w:r>
        <w:rPr>
          <w:sz w:val="20"/>
        </w:rPr>
        <w:t>Poleg sposobnosti generiranja prihodkov na trgu (ki smo jo indirektno prikazali preko identificiranosti za DDV) in ciljnih vlaganj v povečevanje tržne usmerjenosti in prestrukturiranje ter vključevanje v lokalne dobavne verige, bi lahko povečevanje tržne usmerjenosti presojali tudi skozi prilagajanje kmetijskih gospodarstev povpraševanju na trgu, kot npr. vedno več kmetov se vključuje v sistem shem kakovosti, zlasti v Izbrano kakovost in Ekološko kmetovanje, kar je odziv na signale trga in spreminjanje preferenc potrošnik</w:t>
      </w:r>
      <w:r w:rsidR="000A7F0F">
        <w:rPr>
          <w:sz w:val="20"/>
        </w:rPr>
        <w:t>a</w:t>
      </w:r>
      <w:r w:rsidR="00A709AF">
        <w:rPr>
          <w:sz w:val="20"/>
        </w:rPr>
        <w:t>, ki išče lokalno, kakovostno hrano</w:t>
      </w:r>
      <w:r>
        <w:rPr>
          <w:sz w:val="20"/>
        </w:rPr>
        <w:t xml:space="preserve">. Narašča tudi neposredna prodaja, trženje proizvodov na kmetijah – kar </w:t>
      </w:r>
      <w:r w:rsidR="00A709AF">
        <w:rPr>
          <w:sz w:val="20"/>
        </w:rPr>
        <w:t xml:space="preserve">tudi </w:t>
      </w:r>
      <w:r>
        <w:rPr>
          <w:sz w:val="20"/>
        </w:rPr>
        <w:t>krepi lokalno oskrbo prebivalstva</w:t>
      </w:r>
      <w:r w:rsidR="00A709AF">
        <w:rPr>
          <w:sz w:val="20"/>
        </w:rPr>
        <w:t xml:space="preserve"> in</w:t>
      </w:r>
      <w:r>
        <w:rPr>
          <w:sz w:val="20"/>
        </w:rPr>
        <w:t xml:space="preserve"> </w:t>
      </w:r>
      <w:r w:rsidR="00A709AF">
        <w:rPr>
          <w:sz w:val="20"/>
        </w:rPr>
        <w:t xml:space="preserve">vzpostavlja </w:t>
      </w:r>
      <w:r>
        <w:rPr>
          <w:sz w:val="20"/>
        </w:rPr>
        <w:t>neposreden stik s kupcem</w:t>
      </w:r>
      <w:r w:rsidR="00A709AF">
        <w:rPr>
          <w:sz w:val="20"/>
        </w:rPr>
        <w:t>. V času COVID-19 se krepi tudi spletna prodaja.</w:t>
      </w:r>
      <w:r>
        <w:rPr>
          <w:sz w:val="20"/>
        </w:rPr>
        <w:t xml:space="preserve"> </w:t>
      </w:r>
      <w:r w:rsidR="00A709AF">
        <w:rPr>
          <w:sz w:val="20"/>
        </w:rPr>
        <w:t xml:space="preserve">Kmetijska gospodarstva torej dandanes iščejo različne načine, vzvode za uspešnejši dostop do trga, in sicer preko zlasti preko dodajanja vrednosti kmetijskim proizvodov in iskanja novih načinov trženja </w:t>
      </w:r>
      <w:r>
        <w:rPr>
          <w:sz w:val="20"/>
        </w:rPr>
        <w:t>(podrobneje je to analizirano v cilju 3)</w:t>
      </w:r>
      <w:r w:rsidR="00A709AF">
        <w:rPr>
          <w:sz w:val="20"/>
        </w:rPr>
        <w:t>.</w:t>
      </w:r>
      <w:r>
        <w:rPr>
          <w:sz w:val="20"/>
        </w:rPr>
        <w:t xml:space="preserve">   </w:t>
      </w:r>
    </w:p>
    <w:p w14:paraId="3D386436" w14:textId="77777777" w:rsidR="00F7188A" w:rsidRDefault="00F7188A" w:rsidP="00E155C1">
      <w:pPr>
        <w:spacing w:before="0" w:line="260" w:lineRule="atLeast"/>
        <w:jc w:val="center"/>
        <w:rPr>
          <w:sz w:val="20"/>
        </w:rPr>
      </w:pPr>
    </w:p>
    <w:p w14:paraId="78F64B38" w14:textId="03DE89DA" w:rsidR="00F7188A" w:rsidRDefault="00F7188A" w:rsidP="007613FE">
      <w:pPr>
        <w:spacing w:before="0" w:line="260" w:lineRule="atLeast"/>
        <w:rPr>
          <w:sz w:val="20"/>
        </w:rPr>
      </w:pPr>
    </w:p>
    <w:p w14:paraId="0B5B27CC" w14:textId="77777777" w:rsidR="00F7188A" w:rsidRDefault="00F7188A" w:rsidP="007613FE">
      <w:pPr>
        <w:spacing w:before="0" w:line="260" w:lineRule="atLeast"/>
        <w:rPr>
          <w:sz w:val="20"/>
        </w:rPr>
      </w:pPr>
    </w:p>
    <w:p w14:paraId="7BD965D8" w14:textId="77777777" w:rsidR="00F679A2" w:rsidRPr="001A32D7" w:rsidRDefault="00F679A2" w:rsidP="00FC4DC2">
      <w:pPr>
        <w:pStyle w:val="Naslov2"/>
      </w:pPr>
      <w:bookmarkStart w:id="3142" w:name="_Toc90462245"/>
      <w:r w:rsidRPr="001A32D7">
        <w:t>Ključne ugotovitve</w:t>
      </w:r>
      <w:bookmarkEnd w:id="3142"/>
    </w:p>
    <w:p w14:paraId="5E250A93" w14:textId="77777777" w:rsidR="00F679A2" w:rsidRDefault="00F679A2" w:rsidP="00F679A2">
      <w:pPr>
        <w:pStyle w:val="Odstavekseznama"/>
        <w:spacing w:before="0" w:line="260" w:lineRule="atLeast"/>
        <w:ind w:left="426"/>
        <w:rPr>
          <w:rFonts w:ascii="Arial" w:hAnsi="Arial"/>
        </w:rPr>
      </w:pPr>
    </w:p>
    <w:p w14:paraId="5CDC95B1" w14:textId="38271015" w:rsidR="00FC732C" w:rsidRPr="007E558D" w:rsidRDefault="00F679A2" w:rsidP="00FC732C">
      <w:pPr>
        <w:pStyle w:val="Odstavekseznama"/>
        <w:numPr>
          <w:ilvl w:val="0"/>
          <w:numId w:val="203"/>
        </w:numPr>
        <w:tabs>
          <w:tab w:val="left" w:pos="1049"/>
        </w:tabs>
        <w:spacing w:before="0" w:line="260" w:lineRule="atLeast"/>
        <w:contextualSpacing/>
        <w:rPr>
          <w:rFonts w:ascii="Arial" w:hAnsi="Arial"/>
          <w:sz w:val="22"/>
        </w:rPr>
      </w:pPr>
      <w:r w:rsidRPr="007E558D">
        <w:rPr>
          <w:rFonts w:ascii="Arial" w:hAnsi="Arial"/>
          <w:sz w:val="22"/>
        </w:rPr>
        <w:t xml:space="preserve">V odsotnosti knjigovodskih podatkov je tržno usmerjenost kmetij težko analizirati. Zato smo izhajali iz podatkov podprtih kmetij v okviru PRP 2014–2020 in kmetij, vključenih v sistem DDV. </w:t>
      </w:r>
      <w:r w:rsidR="00FC732C">
        <w:rPr>
          <w:rFonts w:ascii="Arial" w:hAnsi="Arial"/>
          <w:sz w:val="22"/>
        </w:rPr>
        <w:t xml:space="preserve">Predpostavljali smo, da so ta kmetijska gospodarstva tržno usmerjena. </w:t>
      </w:r>
      <w:r w:rsidR="00FC732C" w:rsidRPr="007E558D">
        <w:rPr>
          <w:rFonts w:ascii="Arial" w:hAnsi="Arial"/>
          <w:sz w:val="22"/>
        </w:rPr>
        <w:t xml:space="preserve">Za slednje velja, da so </w:t>
      </w:r>
      <w:r w:rsidR="00FC732C">
        <w:rPr>
          <w:rFonts w:ascii="Arial" w:hAnsi="Arial"/>
          <w:sz w:val="22"/>
        </w:rPr>
        <w:t xml:space="preserve">tudi </w:t>
      </w:r>
      <w:r w:rsidR="00FC732C" w:rsidRPr="007E558D">
        <w:rPr>
          <w:rFonts w:ascii="Arial" w:hAnsi="Arial"/>
          <w:sz w:val="22"/>
        </w:rPr>
        <w:t>bistveno večja od povprečja v Sloveniji.</w:t>
      </w:r>
    </w:p>
    <w:p w14:paraId="25E6E180" w14:textId="0877D849" w:rsidR="00F679A2" w:rsidRPr="009A1A7D" w:rsidRDefault="00F679A2" w:rsidP="005B2A49">
      <w:pPr>
        <w:pStyle w:val="Odstavekseznama"/>
        <w:numPr>
          <w:ilvl w:val="0"/>
          <w:numId w:val="203"/>
        </w:numPr>
        <w:tabs>
          <w:tab w:val="left" w:pos="1049"/>
        </w:tabs>
        <w:spacing w:before="0" w:line="260" w:lineRule="atLeast"/>
        <w:contextualSpacing/>
      </w:pPr>
      <w:r w:rsidRPr="007E558D">
        <w:rPr>
          <w:rFonts w:ascii="Arial" w:hAnsi="Arial"/>
          <w:sz w:val="22"/>
        </w:rPr>
        <w:t>Predpostavlja</w:t>
      </w:r>
      <w:r w:rsidR="00FC732C">
        <w:rPr>
          <w:rFonts w:ascii="Arial" w:hAnsi="Arial"/>
          <w:sz w:val="22"/>
        </w:rPr>
        <w:t>li pa smo tudi</w:t>
      </w:r>
      <w:r w:rsidRPr="007E558D">
        <w:rPr>
          <w:rFonts w:ascii="Arial" w:hAnsi="Arial"/>
          <w:sz w:val="22"/>
        </w:rPr>
        <w:t xml:space="preserve">, da so kmetije, ki so kakorkoli vključene v ukrep 3.1, 9.1 ali 16.4 tržno usmerjene, saj se združujejo s ciljem izboljšanja svoje prisotnosti na trgu. Enako velja za kmetijska gospodarstva, ki so bila deležna podpore za prestrukturiranje v okviru podukrepa M04.1. </w:t>
      </w:r>
    </w:p>
    <w:p w14:paraId="78B11373" w14:textId="27DCCED0" w:rsidR="00B74E68" w:rsidRDefault="00B74E68" w:rsidP="00B74E68">
      <w:pPr>
        <w:pStyle w:val="Odstavekseznama"/>
        <w:numPr>
          <w:ilvl w:val="0"/>
          <w:numId w:val="203"/>
        </w:numPr>
        <w:tabs>
          <w:tab w:val="left" w:pos="1049"/>
        </w:tabs>
        <w:spacing w:before="0" w:line="260" w:lineRule="atLeast"/>
        <w:contextualSpacing/>
        <w:rPr>
          <w:rFonts w:ascii="Arial" w:hAnsi="Arial"/>
          <w:sz w:val="22"/>
        </w:rPr>
      </w:pPr>
      <w:r w:rsidRPr="009A1A7D">
        <w:rPr>
          <w:rFonts w:ascii="Arial" w:hAnsi="Arial"/>
          <w:sz w:val="22"/>
        </w:rPr>
        <w:t>Majhne kmetije, ki jim kmetijstvo ne predstavlja poglavitnega vira dohodka</w:t>
      </w:r>
      <w:r w:rsidR="0072182E">
        <w:rPr>
          <w:rFonts w:ascii="Arial" w:hAnsi="Arial"/>
          <w:sz w:val="22"/>
        </w:rPr>
        <w:t>,</w:t>
      </w:r>
      <w:r w:rsidRPr="009A1A7D">
        <w:rPr>
          <w:rFonts w:ascii="Arial" w:hAnsi="Arial"/>
          <w:sz w:val="22"/>
        </w:rPr>
        <w:t xml:space="preserve"> ne predstavljajo pomembne udeležbe na trgu. Naložbe</w:t>
      </w:r>
      <w:r w:rsidR="0072182E">
        <w:rPr>
          <w:rFonts w:ascii="Arial" w:hAnsi="Arial"/>
          <w:sz w:val="22"/>
        </w:rPr>
        <w:t xml:space="preserve"> se</w:t>
      </w:r>
      <w:r w:rsidRPr="009A1A7D">
        <w:rPr>
          <w:rFonts w:ascii="Arial" w:hAnsi="Arial"/>
          <w:sz w:val="22"/>
        </w:rPr>
        <w:t xml:space="preserve"> ne usmerjajo dovolj v osnovno kmetijsko pridelavo in predelavo proizvodov. Z ustreznimi naložbami bi </w:t>
      </w:r>
      <w:r w:rsidR="0072182E">
        <w:rPr>
          <w:rFonts w:ascii="Arial" w:hAnsi="Arial"/>
          <w:sz w:val="22"/>
        </w:rPr>
        <w:t xml:space="preserve">majhnim kmetijam lahko </w:t>
      </w:r>
      <w:r w:rsidRPr="009A1A7D">
        <w:rPr>
          <w:rFonts w:ascii="Arial" w:hAnsi="Arial"/>
          <w:sz w:val="22"/>
        </w:rPr>
        <w:t>omogočili koriščenje proizvodnega potenciala</w:t>
      </w:r>
      <w:r w:rsidR="0072182E">
        <w:rPr>
          <w:rFonts w:ascii="Arial" w:hAnsi="Arial"/>
          <w:sz w:val="22"/>
        </w:rPr>
        <w:t>, dvig dodane vrednosti</w:t>
      </w:r>
      <w:r w:rsidRPr="009A1A7D">
        <w:rPr>
          <w:rFonts w:ascii="Arial" w:hAnsi="Arial"/>
          <w:sz w:val="22"/>
        </w:rPr>
        <w:t xml:space="preserve"> in vitalnost.</w:t>
      </w:r>
    </w:p>
    <w:p w14:paraId="1EAFD459" w14:textId="5901E3CE" w:rsidR="0072182E" w:rsidRDefault="0072182E" w:rsidP="00E155C1">
      <w:pPr>
        <w:tabs>
          <w:tab w:val="left" w:pos="432"/>
          <w:tab w:val="left" w:pos="1049"/>
        </w:tabs>
        <w:spacing w:before="0" w:line="260" w:lineRule="atLeast"/>
        <w:contextualSpacing/>
      </w:pPr>
    </w:p>
    <w:p w14:paraId="388D2BA1" w14:textId="77777777" w:rsidR="0072182E" w:rsidRPr="00E53EB6" w:rsidRDefault="0072182E" w:rsidP="00E155C1">
      <w:pPr>
        <w:tabs>
          <w:tab w:val="left" w:pos="432"/>
          <w:tab w:val="left" w:pos="1049"/>
        </w:tabs>
        <w:spacing w:before="0" w:line="260" w:lineRule="atLeast"/>
        <w:contextualSpacing/>
      </w:pPr>
    </w:p>
    <w:p w14:paraId="15E45893" w14:textId="1B2A363F" w:rsidR="00754A51" w:rsidRDefault="00F679A2" w:rsidP="007E558D">
      <w:pPr>
        <w:pStyle w:val="Naslov1"/>
      </w:pPr>
      <w:bookmarkStart w:id="3143" w:name="_Toc90462246"/>
      <w:r>
        <w:t>Opis stanja</w:t>
      </w:r>
      <w:r w:rsidR="001142D5">
        <w:t xml:space="preserve"> kmetijskih </w:t>
      </w:r>
      <w:r w:rsidR="004E6762">
        <w:t>sektorjev</w:t>
      </w:r>
      <w:bookmarkEnd w:id="3143"/>
    </w:p>
    <w:p w14:paraId="3A2D506A" w14:textId="74CACBB9" w:rsidR="004E6762" w:rsidRDefault="004E6762" w:rsidP="004E6762">
      <w:pPr>
        <w:pStyle w:val="1"/>
      </w:pPr>
    </w:p>
    <w:p w14:paraId="1CEC8384" w14:textId="77777777" w:rsidR="00F679A2" w:rsidRPr="0022702B" w:rsidRDefault="00F679A2" w:rsidP="00F679A2">
      <w:pPr>
        <w:pStyle w:val="Naslov2"/>
      </w:pPr>
      <w:bookmarkStart w:id="3144" w:name="_Toc90462247"/>
      <w:r w:rsidRPr="0022702B">
        <w:t>Govedoreja</w:t>
      </w:r>
      <w:bookmarkEnd w:id="3144"/>
    </w:p>
    <w:p w14:paraId="58CF2989" w14:textId="13EAF5CA" w:rsidR="00F679A2" w:rsidRDefault="00F679A2" w:rsidP="005B2A49">
      <w:pPr>
        <w:spacing w:after="120" w:line="260" w:lineRule="atLeast"/>
        <w:rPr>
          <w:szCs w:val="20"/>
        </w:rPr>
      </w:pPr>
      <w:r w:rsidRPr="003F4427">
        <w:rPr>
          <w:szCs w:val="20"/>
        </w:rPr>
        <w:t>Govedoreja, s prirejo mleka in mesa, je najpomembnejša živinorejska panoga v Sloveniji, s katero se ukvarja 35 % kmetijskih gospodarstev. Prisotna je na celotnem območju države, v največjem obsegu v Savinjski statistični regiji. Panoga je tradicionalno prisotna na območjih, kjer prevladuje absolutno travinje, ker omogoča izrabo naravnih danosti in razvoj dopolnilnih dejavnosti, turizma in ohranjanje krajinskih značilnosti. Intenzivna govedoreja je značilna za nižinska območja države.</w:t>
      </w:r>
    </w:p>
    <w:p w14:paraId="37E405C6" w14:textId="77777777" w:rsidR="00C25531" w:rsidRPr="003F4427" w:rsidRDefault="00C25531" w:rsidP="005B2A49">
      <w:pPr>
        <w:spacing w:after="120" w:line="260" w:lineRule="atLeast"/>
        <w:rPr>
          <w:szCs w:val="20"/>
        </w:rPr>
      </w:pPr>
    </w:p>
    <w:p w14:paraId="1E795153" w14:textId="77777777" w:rsidR="00F679A2" w:rsidRDefault="00F679A2" w:rsidP="00F679A2">
      <w:pPr>
        <w:pStyle w:val="Naslov3"/>
        <w:rPr>
          <w:rFonts w:eastAsia="Calibri"/>
        </w:rPr>
      </w:pPr>
      <w:bookmarkStart w:id="3145" w:name="_Toc90462248"/>
      <w:r w:rsidRPr="0022702B">
        <w:rPr>
          <w:rFonts w:eastAsia="Calibri"/>
        </w:rPr>
        <w:t>Stanje in osnovni ekonomski kazalniki</w:t>
      </w:r>
      <w:bookmarkEnd w:id="3145"/>
    </w:p>
    <w:p w14:paraId="09D636CE" w14:textId="3A00781D" w:rsidR="00F679A2" w:rsidRPr="005B2A49" w:rsidRDefault="00F679A2" w:rsidP="005B2A49">
      <w:pPr>
        <w:spacing w:after="120" w:line="260" w:lineRule="atLeast"/>
        <w:rPr>
          <w:rFonts w:eastAsia="TimesNewRoman"/>
          <w:szCs w:val="20"/>
        </w:rPr>
      </w:pPr>
      <w:r w:rsidRPr="007A3943">
        <w:rPr>
          <w:rFonts w:eastAsia="Calibri"/>
          <w:szCs w:val="20"/>
        </w:rPr>
        <w:t>V Sloveniji se v zadnjem desetletju zmanšuje število kmetijskih gospodarstev</w:t>
      </w:r>
      <w:r w:rsidR="0072182E" w:rsidRPr="007A3943">
        <w:rPr>
          <w:rFonts w:eastAsia="Calibri"/>
          <w:szCs w:val="20"/>
        </w:rPr>
        <w:t>,</w:t>
      </w:r>
      <w:r w:rsidRPr="007A3943">
        <w:rPr>
          <w:rFonts w:eastAsia="Calibri"/>
          <w:szCs w:val="20"/>
        </w:rPr>
        <w:t xml:space="preserve"> na katerih redijo govedo, istočasno pa sta število živali in obseg proizvodnje mleka in mesa večinoma stabilna</w:t>
      </w:r>
      <w:r w:rsidRPr="007A077E">
        <w:rPr>
          <w:rFonts w:eastAsia="Calibri"/>
          <w:szCs w:val="20"/>
        </w:rPr>
        <w:t>. Še leta 2003 je govedo redilo 46.736 kmetijskih gospodarstev, leta 2016 pa samo še 32.805.</w:t>
      </w:r>
      <w:r w:rsidRPr="007A077E">
        <w:rPr>
          <w:rFonts w:eastAsia="TimesNewRoman"/>
          <w:szCs w:val="20"/>
        </w:rPr>
        <w:t xml:space="preserve"> 77 % kmetijskih gospodarstev, ki redijo govedo, je v hribovsko gorskem območju, 59 % jih oddaja mleko. Predvsem pri mesnih pasmah je prireja odvisna od krme</w:t>
      </w:r>
      <w:r w:rsidR="007A3943">
        <w:rPr>
          <w:rFonts w:eastAsia="TimesNewRoman"/>
          <w:szCs w:val="20"/>
        </w:rPr>
        <w:t>,</w:t>
      </w:r>
      <w:r w:rsidRPr="007A077E">
        <w:rPr>
          <w:rFonts w:eastAsia="TimesNewRoman"/>
          <w:szCs w:val="20"/>
        </w:rPr>
        <w:t xml:space="preserve"> pridelane na kmetijskih gospodarstvih. Zadnja leta se je zelo okrepila populacija medvedov in volkov v hribovitih območij, kar povzroča konflikt z rejo živali na prostem.</w:t>
      </w:r>
    </w:p>
    <w:p w14:paraId="07EA49A5" w14:textId="3F0CD218" w:rsidR="00F679A2" w:rsidRPr="007A077E" w:rsidRDefault="00F679A2" w:rsidP="005B2A49">
      <w:pPr>
        <w:spacing w:after="120" w:line="260" w:lineRule="atLeast"/>
        <w:rPr>
          <w:rFonts w:eastAsia="Calibri"/>
          <w:szCs w:val="20"/>
        </w:rPr>
      </w:pPr>
      <w:r w:rsidRPr="007A077E">
        <w:rPr>
          <w:rFonts w:eastAsia="Calibri"/>
          <w:szCs w:val="20"/>
        </w:rPr>
        <w:t>V Sloveniji je od leta 2013 do danes v reji okoli 480 tisoč živali. Po podatkih centralne podatkovne zbirke Govedo na Kmetijskem inštitutu Slovenije, so v letu 2019 na 21.839 kmetijskih gospodarstvih redili 165.935 krav, od tega  100.839 molznic in 60.913 krav dojilj. S tržno prirejo mleka so se ukvarjali na 5.584, z rejo krav dojilj pa na 16.255 kmetijskih gospodarstev. Kmetijska gospodarstva, ki opuščajo prirejo mleka, se preusmerjajo v rejo krav dojilj, katerih število se je gibalo med 59.985 in 63.202. V obdobju od leta 2010 do 2019 se je delež kmetijskih gospodarstev z več kot 20 kravami dojiljami povečal in le-ta v povprečju redijo 29,3 dojilj na kmetijsko gospodarstvo.</w:t>
      </w:r>
    </w:p>
    <w:p w14:paraId="421805D3" w14:textId="69E4A939" w:rsidR="00F679A2" w:rsidRPr="007A077E" w:rsidRDefault="00F679A2" w:rsidP="005B2A49">
      <w:pPr>
        <w:spacing w:after="120" w:line="260" w:lineRule="atLeast"/>
        <w:rPr>
          <w:rFonts w:eastAsia="Calibri"/>
          <w:szCs w:val="20"/>
        </w:rPr>
      </w:pPr>
      <w:r w:rsidRPr="007A077E">
        <w:t>Slovenija ima za prirejo ekološkega mesa in mleka zelo ugodne razmere, ker imamo veliko travinja. Kljub temu se pa večina mlečnih in mesnih proizvodov ne proda kot ekoloških, ker se veliko ekoloških živali iz ekoloških kmetij zakolje kot konvencionalnih.</w:t>
      </w:r>
    </w:p>
    <w:p w14:paraId="2EA4430D" w14:textId="77777777" w:rsidR="00F679A2" w:rsidRPr="007A077E" w:rsidRDefault="00F679A2" w:rsidP="005B2A49">
      <w:pPr>
        <w:spacing w:after="120" w:line="260" w:lineRule="atLeast"/>
        <w:rPr>
          <w:rFonts w:eastAsia="Calibri"/>
          <w:szCs w:val="20"/>
        </w:rPr>
      </w:pPr>
      <w:r w:rsidRPr="007A077E">
        <w:rPr>
          <w:rFonts w:eastAsia="Calibri"/>
          <w:szCs w:val="20"/>
        </w:rPr>
        <w:t xml:space="preserve">Osnova slovenske govedoreje sta dve kombinirani pasmi (lisasta in rjava) ter mlečna črno-bela pasma. V čredah se povečuje število in delež krav črno bele pasme in tudi število krav križank z lisasto pasmo. </w:t>
      </w:r>
    </w:p>
    <w:p w14:paraId="6EAD0391" w14:textId="77777777" w:rsidR="00F679A2" w:rsidRPr="007A077E" w:rsidRDefault="00F679A2" w:rsidP="005B2A49">
      <w:pPr>
        <w:spacing w:after="120" w:line="260" w:lineRule="atLeast"/>
        <w:rPr>
          <w:szCs w:val="20"/>
        </w:rPr>
      </w:pPr>
      <w:r w:rsidRPr="007A077E">
        <w:rPr>
          <w:szCs w:val="20"/>
        </w:rPr>
        <w:t xml:space="preserve">Proizvodnja kravjega mleka je najpomembnejša usmeritev slovenskega kmetijstva. K skupni vrednosti kmetijske proizvodnje v zadnjih letih prispeva okoli 14 %, k vrednosti živinoreje pa približno 33 %. Mlečni sektor je od vseh kmetijskih sektorjev najbolje organiziran in do določene mere prestrukturiran. </w:t>
      </w:r>
    </w:p>
    <w:p w14:paraId="7E6EB434" w14:textId="77777777" w:rsidR="00F679A2" w:rsidRPr="007A077E" w:rsidRDefault="00F679A2" w:rsidP="005B2A49">
      <w:pPr>
        <w:spacing w:after="120" w:line="260" w:lineRule="atLeast"/>
        <w:rPr>
          <w:szCs w:val="20"/>
        </w:rPr>
      </w:pPr>
      <w:r w:rsidRPr="007A077E">
        <w:rPr>
          <w:szCs w:val="20"/>
        </w:rPr>
        <w:t>V zadnjem popisu kmetijskih gospodarstev (2013–2016)  je imelo krave molznice nekaj manj kot 10 tisoč kmetijskih gospodarstev. Med letoma 2010 in 2016 se je njihovo število zmanjšalo za 13 %. Velikost črede vseh krav molznic se je v tem obdobju povečala za dobre 3 %, tako da so kmetijska gospodarstva skupaj redila nekaj več kot 111 tisoč krav molznic. V povprečju so ta KMG v letu 2016 redila 11,6 molznice, kar je skoraj 18 % več kot leta 2010, kar kaže na to, da se nadaljujejo procesi koncentracije in specializacije reje.</w:t>
      </w:r>
    </w:p>
    <w:p w14:paraId="780429B2" w14:textId="77777777" w:rsidR="00F679A2" w:rsidRPr="007A077E" w:rsidRDefault="00F679A2" w:rsidP="005B2A49">
      <w:pPr>
        <w:spacing w:after="120" w:line="260" w:lineRule="atLeast"/>
        <w:rPr>
          <w:szCs w:val="20"/>
        </w:rPr>
      </w:pPr>
      <w:r w:rsidRPr="007A077E">
        <w:rPr>
          <w:szCs w:val="20"/>
        </w:rPr>
        <w:t>Število proizvajalcev mleka, ki mleko oddaja v mlekarne, se je v zadnjih 15 letih zmanjšalo iz 13.900 na okoli 5.000 kmetijskih gospodarstev. C</w:t>
      </w:r>
      <w:r w:rsidRPr="007A077E">
        <w:t>elotna proizvodnja mleka je ostala relativno stabilna, oddaja mleka v mlekarne pa se je povečala za cca 20 %.</w:t>
      </w:r>
      <w:r w:rsidRPr="007A077E">
        <w:rPr>
          <w:szCs w:val="20"/>
        </w:rPr>
        <w:t xml:space="preserve"> Število molznih krav v Sloveniji je relativno stabilno in se v obdobju zadnjih 10 let giblje med 101.000 do 116.000, </w:t>
      </w:r>
      <w:r w:rsidRPr="007A077E">
        <w:t>po podatkih Kmetijskega inštituta Slovenije pa se je v tem obdobju mlečnost v standardni laktaciji dvignila iz cca. 6.000 kg/žival na cca. 7.000 kg/žival.</w:t>
      </w:r>
    </w:p>
    <w:p w14:paraId="52C086C7" w14:textId="043CECFE" w:rsidR="00F679A2" w:rsidRDefault="00F679A2" w:rsidP="00F679A2">
      <w:pPr>
        <w:pStyle w:val="SCSlika0"/>
      </w:pPr>
      <w:bookmarkStart w:id="3146" w:name="_Toc89851103"/>
      <w:r w:rsidRPr="00B34E39">
        <w:t xml:space="preserve">Slika </w:t>
      </w:r>
      <w:r>
        <w:rPr>
          <w:noProof/>
        </w:rPr>
        <w:fldChar w:fldCharType="begin"/>
      </w:r>
      <w:r>
        <w:rPr>
          <w:noProof/>
        </w:rPr>
        <w:instrText xml:space="preserve"> SEQ Slika \* ARABIC </w:instrText>
      </w:r>
      <w:r>
        <w:rPr>
          <w:noProof/>
        </w:rPr>
        <w:fldChar w:fldCharType="separate"/>
      </w:r>
      <w:r w:rsidR="00F25435">
        <w:rPr>
          <w:noProof/>
        </w:rPr>
        <w:t>61</w:t>
      </w:r>
      <w:r>
        <w:rPr>
          <w:noProof/>
        </w:rPr>
        <w:fldChar w:fldCharType="end"/>
      </w:r>
      <w:r w:rsidRPr="00B34E39">
        <w:t>: Število molznih krav in povprečna mlečnost</w:t>
      </w:r>
      <w:bookmarkEnd w:id="3146"/>
      <w:r w:rsidRPr="00B34E39">
        <w:t xml:space="preserve"> </w:t>
      </w:r>
    </w:p>
    <w:p w14:paraId="3EFF5689" w14:textId="77777777" w:rsidR="00F679A2" w:rsidRPr="007A077E" w:rsidRDefault="00F679A2" w:rsidP="00F679A2">
      <w:r w:rsidRPr="00520EAE">
        <w:rPr>
          <w:noProof/>
          <w:lang w:eastAsia="sl-SI"/>
        </w:rPr>
        <w:drawing>
          <wp:inline distT="0" distB="0" distL="0" distR="0" wp14:anchorId="704060BE" wp14:editId="70CC4B36">
            <wp:extent cx="5704840" cy="2218055"/>
            <wp:effectExtent l="0" t="0" r="0" b="0"/>
            <wp:docPr id="24169620" name="Slika 2416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64A7A23B" w14:textId="77777777" w:rsidR="00F679A2" w:rsidRDefault="00F679A2" w:rsidP="00F679A2">
      <w:pPr>
        <w:spacing w:line="360" w:lineRule="auto"/>
        <w:rPr>
          <w:iCs/>
          <w:sz w:val="16"/>
          <w:szCs w:val="16"/>
        </w:rPr>
      </w:pPr>
      <w:r>
        <w:rPr>
          <w:iCs/>
          <w:sz w:val="16"/>
          <w:szCs w:val="16"/>
        </w:rPr>
        <w:t>Vir: SURS, KIS (CPZ Govedo) – ZP-2019</w:t>
      </w:r>
    </w:p>
    <w:p w14:paraId="534B8488" w14:textId="2B921DED" w:rsidR="00F679A2" w:rsidRPr="007A077E" w:rsidRDefault="00F679A2" w:rsidP="005B2A49">
      <w:pPr>
        <w:spacing w:line="260" w:lineRule="atLeast"/>
        <w:rPr>
          <w:bCs/>
          <w:szCs w:val="20"/>
        </w:rPr>
      </w:pPr>
      <w:r w:rsidRPr="007A077E">
        <w:rPr>
          <w:bCs/>
          <w:szCs w:val="20"/>
        </w:rPr>
        <w:t xml:space="preserve">Prireja mleka je relativno stabilna in je v letu 2019 znašala 615 tisoč ton, pri čemer so mlekarne odkupile 564 tisoč ton. Odkup mleka je dobro organiziran. Delež odkupa tujih mlekarn se po letu 2015, ko je ta znašal 39 %, zmanjšuje, saj so v letu 2019 tuje mlekarne odkupile le še 28 % mleka. Večino mleka se izvozi v italijanske, v zadnjih letih pa tudi hrvaške in </w:t>
      </w:r>
      <w:r w:rsidR="0072182E">
        <w:rPr>
          <w:bCs/>
          <w:szCs w:val="20"/>
        </w:rPr>
        <w:t>a</w:t>
      </w:r>
      <w:r w:rsidR="0072182E" w:rsidRPr="007A077E">
        <w:rPr>
          <w:bCs/>
          <w:szCs w:val="20"/>
        </w:rPr>
        <w:t xml:space="preserve">vstrijske  </w:t>
      </w:r>
      <w:r w:rsidRPr="007A077E">
        <w:rPr>
          <w:bCs/>
          <w:szCs w:val="20"/>
        </w:rPr>
        <w:t>mlekarne. Del odkupljenega mleka je tudi ekološke pridelave. V letu 2019 ga je bilo odkup</w:t>
      </w:r>
      <w:r w:rsidR="0072182E">
        <w:rPr>
          <w:bCs/>
          <w:szCs w:val="20"/>
        </w:rPr>
        <w:t>l</w:t>
      </w:r>
      <w:r w:rsidRPr="007A077E">
        <w:rPr>
          <w:bCs/>
          <w:szCs w:val="20"/>
        </w:rPr>
        <w:t>jenega 7.347,7 ton v zadnjih petih letih je nakup narastel za 25 %.</w:t>
      </w:r>
    </w:p>
    <w:p w14:paraId="132830BF" w14:textId="77777777" w:rsidR="00F679A2" w:rsidRPr="007A077E" w:rsidRDefault="00F679A2" w:rsidP="005B2A49">
      <w:pPr>
        <w:spacing w:before="200" w:line="260" w:lineRule="atLeast"/>
        <w:rPr>
          <w:bCs/>
          <w:szCs w:val="20"/>
        </w:rPr>
      </w:pPr>
      <w:r w:rsidRPr="007A077E">
        <w:rPr>
          <w:bCs/>
          <w:szCs w:val="20"/>
        </w:rPr>
        <w:t>Proizvodnja mleka v Sloveniji stalno presega domačo porabo. Samooskrba z mlekom je visoka in znaša med 120 % in 130 %, v letu 2019 je bila 128 %.</w:t>
      </w:r>
    </w:p>
    <w:p w14:paraId="07E2D2FA" w14:textId="77777777" w:rsidR="00F679A2" w:rsidRPr="007A077E" w:rsidRDefault="00F679A2" w:rsidP="005B2A49">
      <w:pPr>
        <w:spacing w:before="200" w:line="260" w:lineRule="atLeast"/>
        <w:rPr>
          <w:bCs/>
          <w:szCs w:val="20"/>
        </w:rPr>
      </w:pPr>
      <w:r w:rsidRPr="007A077E">
        <w:rPr>
          <w:bCs/>
          <w:szCs w:val="20"/>
        </w:rPr>
        <w:t xml:space="preserve">V obdobju od leta 2009 do 2019 odkupne cene mleka v Sloveniji in EU nihajo, pri čemer so v Sloveniji ves čas nekoliko nižje kot v EU. Najnižja povprečna odkupna cena je bila v letu 2009 in 2016 (od 0,25 do 0,26 eur/kg)  najvišja pa v letu 2014 (0,344 eur/kg). </w:t>
      </w:r>
    </w:p>
    <w:p w14:paraId="23C46E27" w14:textId="47C512F2" w:rsidR="00F679A2" w:rsidRPr="007A077E" w:rsidRDefault="00F679A2" w:rsidP="005B2A49">
      <w:pPr>
        <w:spacing w:before="200" w:line="260" w:lineRule="atLeast"/>
        <w:rPr>
          <w:bCs/>
          <w:szCs w:val="20"/>
        </w:rPr>
      </w:pPr>
      <w:r w:rsidRPr="007A077E">
        <w:rPr>
          <w:bCs/>
          <w:szCs w:val="20"/>
        </w:rPr>
        <w:t xml:space="preserve">V zadnjih nekaj letih je obseg zunanje trgovine z mlekom rahlo nihal, a naraščal. Po rekordnih 649 tisoč ton (v ekvivalentu surovega mleka) v letu 2018, se je zunanja trgovina (uvoz  in izvoz)v letu 2019 ponovno nekoliko zmanjšala  (na 619 tisoč ton). </w:t>
      </w:r>
    </w:p>
    <w:p w14:paraId="41C2A3E3" w14:textId="77777777" w:rsidR="00F679A2" w:rsidRPr="007A077E" w:rsidRDefault="00F679A2" w:rsidP="005B2A49">
      <w:pPr>
        <w:pStyle w:val="ZPtekst"/>
        <w:spacing w:before="200" w:after="200" w:line="260" w:lineRule="atLeast"/>
        <w:rPr>
          <w:bCs/>
          <w:szCs w:val="20"/>
        </w:rPr>
      </w:pPr>
      <w:r w:rsidRPr="007A077E">
        <w:rPr>
          <w:bCs/>
          <w:szCs w:val="20"/>
        </w:rPr>
        <w:t>Prireja mesa govedi je poleg prireje mleka najpomembnejša proizvodna usmeritev slovenskega kmetijstva. Prirast govedi v zadnjih letih prispeva k vrednosti kmetijske proizvodnje 11–13 % (leta 2019: 11,7 %), k vrednosti živinoreje pa 26–28 % (leta 2019: 27,1 %).</w:t>
      </w:r>
    </w:p>
    <w:p w14:paraId="63160D82" w14:textId="1F92CA2B" w:rsidR="00F679A2" w:rsidRPr="007A077E" w:rsidRDefault="00F679A2" w:rsidP="005B2A49">
      <w:pPr>
        <w:spacing w:before="200" w:line="260" w:lineRule="atLeast"/>
        <w:rPr>
          <w:bCs/>
          <w:szCs w:val="20"/>
        </w:rPr>
      </w:pPr>
      <w:r w:rsidRPr="007A077E">
        <w:rPr>
          <w:bCs/>
          <w:szCs w:val="20"/>
        </w:rPr>
        <w:t>V Sloveniji je bilo v letu 2019 prirejenega 43,1 tisoč ton govejega mesa, največ od bikov in telic za pitanje</w:t>
      </w:r>
      <w:r w:rsidR="007A3943">
        <w:rPr>
          <w:bCs/>
          <w:szCs w:val="20"/>
        </w:rPr>
        <w:t>,</w:t>
      </w:r>
      <w:r w:rsidRPr="007A077E">
        <w:rPr>
          <w:bCs/>
          <w:szCs w:val="20"/>
        </w:rPr>
        <w:t xml:space="preserve"> mlajših od dveh let, v masi trupov pa je celoten zakol znašal 35,6 tisoč ton. Ekološko proizvedenega govejega mesa v letu 2019 je bilo 278,4 tone</w:t>
      </w:r>
      <w:r w:rsidR="0072182E">
        <w:rPr>
          <w:bCs/>
          <w:szCs w:val="20"/>
        </w:rPr>
        <w:t>,</w:t>
      </w:r>
      <w:r w:rsidRPr="007A077E">
        <w:rPr>
          <w:bCs/>
          <w:szCs w:val="20"/>
        </w:rPr>
        <w:t xml:space="preserve"> kar pomeni 115 % porast od leta 2015. Število ekološko rejenih goved se povečuje (od 20.623 v letu 2010 na 37.126 v letu 2019), najhitreje v letih 2010 – 2015.</w:t>
      </w:r>
    </w:p>
    <w:p w14:paraId="60113075" w14:textId="77777777" w:rsidR="00F679A2" w:rsidRPr="007A077E" w:rsidRDefault="00F679A2" w:rsidP="005B2A49">
      <w:pPr>
        <w:spacing w:before="200" w:line="260" w:lineRule="atLeast"/>
        <w:rPr>
          <w:bCs/>
          <w:szCs w:val="20"/>
        </w:rPr>
      </w:pPr>
      <w:r w:rsidRPr="007A077E">
        <w:rPr>
          <w:bCs/>
          <w:szCs w:val="20"/>
        </w:rPr>
        <w:t>Samooskrba z govejim mesom v Sloveniji se je v zadnjih desetih letih gibala med 98,1 % in 109,5 %, poraba na prebivalca pa je okoli 20 kg govejega mesa, kar je okoli 9 kg več kot v EU.</w:t>
      </w:r>
    </w:p>
    <w:p w14:paraId="0E7CD87E" w14:textId="77777777" w:rsidR="00F679A2" w:rsidRPr="007A077E" w:rsidRDefault="00F679A2" w:rsidP="005B2A49">
      <w:pPr>
        <w:spacing w:before="200" w:line="260" w:lineRule="atLeast"/>
        <w:rPr>
          <w:bCs/>
          <w:szCs w:val="20"/>
        </w:rPr>
      </w:pPr>
      <w:r w:rsidRPr="007A077E">
        <w:rPr>
          <w:bCs/>
          <w:szCs w:val="20"/>
          <w:lang w:eastAsia="fr-FR"/>
        </w:rPr>
        <w:t>Odkupne cene govedi za zakol v Sloveniji sledijo gibanju cen na trgih EU. C</w:t>
      </w:r>
      <w:r w:rsidRPr="007A077E">
        <w:rPr>
          <w:bCs/>
          <w:szCs w:val="20"/>
        </w:rPr>
        <w:t xml:space="preserve">ene pitane govedi (v živi masi) so bile v letu 2019 za 2 % nad ravnijo povprečja cen petletnega obdobja 2014–2018, pri čemer so se glede na leto 2018, odkupne cene za govedo znižale pri vseh kategorijah. V obdobju epidemije Covid-19, spomladi leta 2020, je ta sektor občutil precejšen padec cen, ki se do oktobra 2020 še ni stabiliziral. </w:t>
      </w:r>
    </w:p>
    <w:p w14:paraId="668A0109" w14:textId="77777777" w:rsidR="00F679A2" w:rsidRPr="007A077E" w:rsidRDefault="00F679A2" w:rsidP="005B2A49">
      <w:pPr>
        <w:spacing w:before="200" w:line="260" w:lineRule="atLeast"/>
        <w:rPr>
          <w:bCs/>
          <w:color w:val="000000"/>
          <w:szCs w:val="20"/>
          <w:lang w:bidi="ne-NP"/>
        </w:rPr>
      </w:pPr>
      <w:r w:rsidRPr="007A077E">
        <w:rPr>
          <w:bCs/>
          <w:szCs w:val="20"/>
        </w:rPr>
        <w:t xml:space="preserve">Po vstopu Slovenije v EU se je obseg zunanje trgovine z govedom močno povečal, ob tem so bile opazne tudi precejšnje spremembe in preusmeritev v izvoz živih živali. Po drugi strani je Slovenija močno odvisna od uvoza mesnih pasem telet za nadaljnjo rejo. V letu 2019 je bilo uvoženih </w:t>
      </w:r>
      <w:r w:rsidRPr="007A077E">
        <w:rPr>
          <w:bCs/>
          <w:color w:val="000000"/>
          <w:szCs w:val="20"/>
          <w:lang w:bidi="ne-NP"/>
        </w:rPr>
        <w:t>21.818 telet.</w:t>
      </w:r>
    </w:p>
    <w:p w14:paraId="57569700" w14:textId="77777777" w:rsidR="00F679A2" w:rsidRPr="007A077E" w:rsidRDefault="00F679A2" w:rsidP="005B2A49">
      <w:pPr>
        <w:spacing w:before="200" w:line="260" w:lineRule="atLeast"/>
        <w:rPr>
          <w:bCs/>
          <w:szCs w:val="20"/>
        </w:rPr>
      </w:pPr>
      <w:r w:rsidRPr="007A077E">
        <w:rPr>
          <w:bCs/>
          <w:szCs w:val="20"/>
        </w:rPr>
        <w:t>V letu 2019 je bil koeficient ekonomičnosti prireje mesa 79,9 % pri pitanju do 29 živali in 88,4% pri pitanju do 150 živali. Opazen je trend padanja ekonomičnosti, ki je ves čas znatno pod ekonomičnostjo v EU. Slovenska govedoreja v razvoju zaostaja za povprečjem EU predvsem zaradi strukturnih (majhne, razdrobljene kmetije) in naravnih danosti (OMD, VVO, Kras).</w:t>
      </w:r>
    </w:p>
    <w:p w14:paraId="2FEBC7F2" w14:textId="77777777" w:rsidR="00F679A2" w:rsidRPr="007A077E" w:rsidRDefault="00F679A2" w:rsidP="005B2A49">
      <w:pPr>
        <w:spacing w:before="200" w:line="260" w:lineRule="atLeast"/>
        <w:rPr>
          <w:bCs/>
          <w:color w:val="000000" w:themeColor="text1"/>
          <w:kern w:val="24"/>
          <w:szCs w:val="20"/>
        </w:rPr>
      </w:pPr>
      <w:r w:rsidRPr="007A077E">
        <w:rPr>
          <w:bCs/>
          <w:color w:val="000000" w:themeColor="text1"/>
          <w:kern w:val="24"/>
          <w:szCs w:val="20"/>
        </w:rPr>
        <w:t xml:space="preserve">Govedoreja ob zmerni rabi absolutnega travinja omogoča ohranjanje narave in daje možnost za diverzifikacijo dejavnosti na podeželju (dopolnilne dejavnosti, turizem), hkrati pa je skupaj z rejo drobnice edina tradicionalna panoga v slovenskih hribovitih območjih. S tem ohranja travniške habitate in biotsko raznovrstnost. Pridelava krme na lastnem kmetijskem gospodarstvu in zmerna  intenzivnost pridelave omogočata zaprt krogotok hranil na teh gospodarstvih. </w:t>
      </w:r>
    </w:p>
    <w:p w14:paraId="03626CCE" w14:textId="0005D99B"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Opuščanje proizvodnje mleka in mesa na manjših in srednje velikih rej</w:t>
      </w:r>
      <w:r w:rsidR="007A3943">
        <w:rPr>
          <w:rFonts w:eastAsia="TimesNewRoman"/>
          <w:bCs/>
          <w:color w:val="000000" w:themeColor="text1"/>
          <w:szCs w:val="20"/>
        </w:rPr>
        <w:t>ah</w:t>
      </w:r>
      <w:r w:rsidRPr="007A077E">
        <w:rPr>
          <w:rFonts w:eastAsia="TimesNewRoman"/>
          <w:bCs/>
          <w:color w:val="000000" w:themeColor="text1"/>
          <w:szCs w:val="20"/>
        </w:rPr>
        <w:t xml:space="preserve"> v hribovitih območjih ima lahko za posledico opuščanje in degradacijo podeželskih območij, medtem ko se v naseljenih območjih zaostrujejo konflikti med rejci in okoliškimi prebivalci.</w:t>
      </w:r>
    </w:p>
    <w:p w14:paraId="71F4BECC"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 xml:space="preserve">Tradicionalno prisotne </w:t>
      </w:r>
      <w:r w:rsidRPr="007A077E">
        <w:rPr>
          <w:bCs/>
          <w:color w:val="000000" w:themeColor="text1"/>
          <w:kern w:val="24"/>
          <w:szCs w:val="20"/>
        </w:rPr>
        <w:t>avtohtone in kombinirane pasme domačih živali so prilagojene na lokalne pogoje, žal pa rejcu prinesejo m</w:t>
      </w:r>
      <w:r w:rsidRPr="007A077E">
        <w:rPr>
          <w:rFonts w:eastAsia="TimesNewRoman"/>
          <w:bCs/>
          <w:color w:val="000000" w:themeColor="text1"/>
          <w:szCs w:val="20"/>
        </w:rPr>
        <w:t xml:space="preserve">anjši dohodek kot konvencionalne pasme. Vendar je nujno tudi v teh rejah uvajati tehnološke novosti in inovativnost ter se usmerjati v predelavo in proizvodnjo nišnih proizvodov, običajno višjega cenovnega razreda. </w:t>
      </w:r>
    </w:p>
    <w:p w14:paraId="55489F81"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Slabosti panoge sicer izhajajo iz razdrobljenost kmetijskih površin, posodobiti pa je potrebno tudi skladiščenje in izrabo živalskih gnojil in krme. Mnogi objekti in naprave, ki jih uporabljajo rejci, so dotrajani in zastareli.</w:t>
      </w:r>
    </w:p>
    <w:p w14:paraId="5E1BFA64"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Zaradi obravnave izpustov toplogrednih plinov (TPG) in amonijaka, okoljskih zahtev in uvajanja strožjih biovarnostnih ukrepov so potrebne spremembe v panogi, ki višajo stroške proizvodnje. Govedoreja je sicer najpomembnejši vir izpustov TGP v kmetijstvu. V letu 2017 je prispevala 66,9 % vseh izpustov iz kmetijstva in 6,6 % vseh izpustov TGP v Sloveniji. Največ izpustov TGP prispevajo krave molznice (38 %), goveji pitanci (20 %), plemenske telice (17 %) in krave dojilje (14 %). S prirejo mleka je povezanih približno 55 % (molznice in plemenske telice), s prirejo mesa pa 45 % izpustov TPG. Najpomembnejši vir izpustov v govedoreji je metan, ki se sprosti iz prebavil (79 %), sledi metan, ki nastaja pri skladiščenju živinskih gnojil (18 %). Manjši delež emisij predstavlja še didušikov oksid, ki nastaja pri skladiščenju živinskih gnojil. V zadnjih 30 letih so se izpusti TGP pri prireji mleka zmanjšali. Zaradi povečanja mlečnosti krav molznic (z 2.438 kg v letu 1986 na 5.954 kg na kravo na leto v letu 2017), je z manjšim številom molznic prirejena podobna količina mleka kot nekoč. Širjenje reje krav dojilj po letu 1990, je deloma izničilo zmanjšanje izpustov TGP pri kravah molznicah. Skupni izpusti (za vse krave) so bili leta 2017 12,6 % pod izpusti v letu 1986 in 1,5 % pod izpusti v letu 2005.</w:t>
      </w:r>
    </w:p>
    <w:p w14:paraId="662153DC" w14:textId="378C7630" w:rsidR="00F679A2" w:rsidRPr="007A077E" w:rsidRDefault="00F679A2" w:rsidP="005B2A49">
      <w:pPr>
        <w:spacing w:after="120" w:line="260" w:lineRule="atLeast"/>
        <w:rPr>
          <w:bCs/>
          <w:szCs w:val="20"/>
        </w:rPr>
      </w:pPr>
      <w:r w:rsidRPr="007A077E">
        <w:rPr>
          <w:bCs/>
          <w:szCs w:val="20"/>
        </w:rPr>
        <w:t xml:space="preserve">Rejci goveda so v programskem obdobju SKP 2014-2020 upravičeni do podpor v sklopu neposrednih in proizvodno vezanih plačil ter ukrepov v okviru Programa razvoja podeželja (PRP). Povprečne vrednosti plačilnih pravic za leto 2019 za govedorejske kmetije so po podatkih AKRSKTRP in MKGP različne glede na tip proizvodnje in sicer so bile: za specializirane proizvajalce mleka 184 EUR, za pitanje 166 EUR, za rejo mešane pašne živine 162 EUR, za pitanje in dojilje 147 EUR ter za mešano pašno živino 131 EUR. V letu 2019 je proizvodno vezano plačilo prejelo 2.550 rejcev za mleko v gorskem območju za 36.426 živali in 15.621 rejcev pitalcev za 78.134 živali. V obdobju 2015-2018 je proizvodno vezano podpora za mleko znašala med 127-131,7 EUR. </w:t>
      </w:r>
    </w:p>
    <w:p w14:paraId="2C6B3285" w14:textId="5D628885" w:rsidR="00F679A2" w:rsidRPr="007A077E" w:rsidRDefault="00F679A2" w:rsidP="005B2A49">
      <w:pPr>
        <w:spacing w:after="120" w:line="260" w:lineRule="atLeast"/>
        <w:contextualSpacing/>
        <w:rPr>
          <w:bCs/>
          <w:color w:val="000000"/>
          <w:kern w:val="24"/>
          <w:szCs w:val="20"/>
        </w:rPr>
      </w:pPr>
      <w:r w:rsidRPr="007A077E">
        <w:rPr>
          <w:bCs/>
          <w:color w:val="000000" w:themeColor="text1"/>
          <w:kern w:val="24"/>
          <w:szCs w:val="20"/>
        </w:rPr>
        <w:t>Zaradi velikih investicijskih vlaganj so posodobitve v minulih letih večinoma izvedla večja kmetijska gospodarstva, ki so tehnološko naprednejša, mnoga imajo deloma avtomatizirano oziroma digitalizirano rejo.</w:t>
      </w:r>
      <w:r w:rsidRPr="007A077E">
        <w:rPr>
          <w:rFonts w:eastAsia="TimesNewRoman"/>
          <w:bCs/>
          <w:color w:val="000000" w:themeColor="text1"/>
          <w:szCs w:val="20"/>
        </w:rPr>
        <w:t xml:space="preserve"> </w:t>
      </w:r>
      <w:r w:rsidRPr="007A077E">
        <w:rPr>
          <w:bCs/>
          <w:szCs w:val="20"/>
        </w:rPr>
        <w:t xml:space="preserve">Iz sredstev PRP 2014-2020: podpora sektorju - meso in mesni izdelki ter mleko je bilo do 30. 4. 2020 v podukrepih M04.1 Podpora za naložbe v kmetijska gospodarstva, M04.2 Podpora za naložbe v predelavo/trženje in/ali razvoj kmetijskih proizvodov, M06.1 Pomoč za zagon dejavnosti za mlade kmete in M06.3 Pomoč za zagon dejavnosti, namenjene razvoju majhnih kmetij odobrenih 4.462 vlog v skupni vrednosti 61,8 mio </w:t>
      </w:r>
      <w:r w:rsidRPr="007A077E">
        <w:rPr>
          <w:bCs/>
          <w:color w:val="000000"/>
          <w:kern w:val="24"/>
          <w:szCs w:val="20"/>
        </w:rPr>
        <w:t xml:space="preserve"> EUR. V okviru ukrepa M14 Dobrobit živali je bilo do 30. 4. 2020 izplačanih 16,7 mio EUR.  </w:t>
      </w:r>
    </w:p>
    <w:p w14:paraId="7257C885" w14:textId="38D338BB" w:rsidR="00C25531" w:rsidRDefault="00F679A2" w:rsidP="005B2A49">
      <w:pPr>
        <w:autoSpaceDE w:val="0"/>
        <w:autoSpaceDN w:val="0"/>
        <w:adjustRightInd w:val="0"/>
        <w:spacing w:before="200" w:line="260" w:lineRule="atLeast"/>
        <w:rPr>
          <w:bCs/>
          <w:color w:val="000000"/>
          <w:szCs w:val="20"/>
        </w:rPr>
      </w:pPr>
      <w:r w:rsidRPr="007A077E">
        <w:rPr>
          <w:bCs/>
          <w:szCs w:val="20"/>
        </w:rPr>
        <w:t>Shemo dobrobit živali</w:t>
      </w:r>
      <w:r w:rsidRPr="007A077E">
        <w:rPr>
          <w:bCs/>
          <w:color w:val="000000"/>
          <w:szCs w:val="20"/>
        </w:rPr>
        <w:t>, se za govedo izvaja od leta 2016.  V okviru sheme se spodbuja paša goved,  vključenost v ukrep celo nekoliko presegla načrtovane cilje. V ukrep je vključena dobra četrtina staleža goveda v GVŽ.</w:t>
      </w:r>
    </w:p>
    <w:p w14:paraId="1A343A06" w14:textId="77777777" w:rsidR="002E0D2A" w:rsidRPr="007A077E" w:rsidRDefault="002E0D2A" w:rsidP="005B2A49">
      <w:pPr>
        <w:autoSpaceDE w:val="0"/>
        <w:autoSpaceDN w:val="0"/>
        <w:adjustRightInd w:val="0"/>
        <w:spacing w:before="200" w:line="260" w:lineRule="atLeast"/>
        <w:rPr>
          <w:bCs/>
          <w:color w:val="000000"/>
          <w:szCs w:val="20"/>
        </w:rPr>
      </w:pPr>
    </w:p>
    <w:p w14:paraId="24C88554" w14:textId="281C394C" w:rsidR="00F679A2" w:rsidRDefault="00F679A2" w:rsidP="00F679A2">
      <w:pPr>
        <w:pStyle w:val="SCPreglednica"/>
      </w:pPr>
      <w:bookmarkStart w:id="3147" w:name="_Toc89861011"/>
      <w:r>
        <w:t xml:space="preserve">Tabela </w:t>
      </w:r>
      <w:r>
        <w:rPr>
          <w:noProof/>
        </w:rPr>
        <w:fldChar w:fldCharType="begin"/>
      </w:r>
      <w:r>
        <w:rPr>
          <w:noProof/>
        </w:rPr>
        <w:instrText xml:space="preserve"> SEQ Tabela \* ARABIC </w:instrText>
      </w:r>
      <w:r>
        <w:rPr>
          <w:noProof/>
        </w:rPr>
        <w:fldChar w:fldCharType="separate"/>
      </w:r>
      <w:r w:rsidR="002E0D2A">
        <w:rPr>
          <w:noProof/>
        </w:rPr>
        <w:t>19</w:t>
      </w:r>
      <w:r>
        <w:rPr>
          <w:noProof/>
        </w:rPr>
        <w:fldChar w:fldCharType="end"/>
      </w:r>
      <w:r>
        <w:t xml:space="preserve">: </w:t>
      </w:r>
      <w:r w:rsidRPr="007A077E">
        <w:t>Stalež goveda v GVŽ</w:t>
      </w:r>
      <w:bookmarkEnd w:id="3147"/>
    </w:p>
    <w:p w14:paraId="3BAFA3AF" w14:textId="77777777" w:rsidR="00F679A2" w:rsidRPr="007A077E" w:rsidRDefault="00F679A2" w:rsidP="00F679A2">
      <w:pPr>
        <w:autoSpaceDE w:val="0"/>
        <w:autoSpaceDN w:val="0"/>
        <w:adjustRightInd w:val="0"/>
        <w:spacing w:line="360" w:lineRule="auto"/>
        <w:rPr>
          <w:color w:val="000000"/>
          <w:szCs w:val="20"/>
        </w:rPr>
      </w:pPr>
      <w:r w:rsidRPr="007A077E">
        <w:rPr>
          <w:noProof/>
          <w:color w:val="000000"/>
          <w:szCs w:val="20"/>
          <w:lang w:eastAsia="sl-SI"/>
        </w:rPr>
        <w:drawing>
          <wp:inline distT="0" distB="0" distL="0" distR="0" wp14:anchorId="686E4FED" wp14:editId="6AFD13EE">
            <wp:extent cx="5954233" cy="770879"/>
            <wp:effectExtent l="0" t="0" r="0" b="0"/>
            <wp:docPr id="24169624" name="Slika 2416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4016" cy="781208"/>
                    </a:xfrm>
                    <a:prstGeom prst="rect">
                      <a:avLst/>
                    </a:prstGeom>
                    <a:noFill/>
                    <a:ln>
                      <a:noFill/>
                    </a:ln>
                  </pic:spPr>
                </pic:pic>
              </a:graphicData>
            </a:graphic>
          </wp:inline>
        </w:drawing>
      </w:r>
    </w:p>
    <w:p w14:paraId="5C2744F1" w14:textId="77777777" w:rsidR="00F679A2" w:rsidRPr="007A077E" w:rsidRDefault="00F679A2" w:rsidP="00F679A2">
      <w:pPr>
        <w:autoSpaceDE w:val="0"/>
        <w:autoSpaceDN w:val="0"/>
        <w:adjustRightInd w:val="0"/>
        <w:spacing w:line="360" w:lineRule="auto"/>
        <w:rPr>
          <w:color w:val="000000"/>
          <w:sz w:val="16"/>
          <w:szCs w:val="16"/>
        </w:rPr>
      </w:pPr>
      <w:r w:rsidRPr="007A077E">
        <w:rPr>
          <w:color w:val="000000"/>
          <w:sz w:val="16"/>
          <w:szCs w:val="16"/>
        </w:rPr>
        <w:t>Vir: MKGP-2020</w:t>
      </w:r>
    </w:p>
    <w:p w14:paraId="698CBF9E" w14:textId="035F618D" w:rsidR="00F679A2" w:rsidRDefault="00F679A2" w:rsidP="00F679A2">
      <w:pPr>
        <w:pStyle w:val="SCPreglednica"/>
      </w:pPr>
      <w:bookmarkStart w:id="3148" w:name="_Toc89861012"/>
      <w:r>
        <w:t xml:space="preserve">Tabela </w:t>
      </w:r>
      <w:r>
        <w:rPr>
          <w:noProof/>
        </w:rPr>
        <w:fldChar w:fldCharType="begin"/>
      </w:r>
      <w:r>
        <w:rPr>
          <w:noProof/>
        </w:rPr>
        <w:instrText xml:space="preserve"> SEQ Tabela \* ARABIC </w:instrText>
      </w:r>
      <w:r>
        <w:rPr>
          <w:noProof/>
        </w:rPr>
        <w:fldChar w:fldCharType="separate"/>
      </w:r>
      <w:r w:rsidR="002E0D2A">
        <w:rPr>
          <w:noProof/>
        </w:rPr>
        <w:t>20</w:t>
      </w:r>
      <w:r>
        <w:rPr>
          <w:noProof/>
        </w:rPr>
        <w:fldChar w:fldCharType="end"/>
      </w:r>
      <w:r>
        <w:t>: Izvajanje ukrepa DŽ-</w:t>
      </w:r>
      <w:r w:rsidRPr="007A077E">
        <w:t>govedo</w:t>
      </w:r>
      <w:bookmarkEnd w:id="3148"/>
    </w:p>
    <w:tbl>
      <w:tblPr>
        <w:tblW w:w="9298" w:type="dxa"/>
        <w:tblLayout w:type="fixed"/>
        <w:tblCellMar>
          <w:left w:w="30" w:type="dxa"/>
          <w:right w:w="30" w:type="dxa"/>
        </w:tblCellMar>
        <w:tblLook w:val="00A0" w:firstRow="1" w:lastRow="0" w:firstColumn="1" w:lastColumn="0" w:noHBand="0" w:noVBand="0"/>
      </w:tblPr>
      <w:tblGrid>
        <w:gridCol w:w="3835"/>
        <w:gridCol w:w="1627"/>
        <w:gridCol w:w="1949"/>
        <w:gridCol w:w="1887"/>
      </w:tblGrid>
      <w:tr w:rsidR="00F679A2" w:rsidRPr="00E95B10" w14:paraId="2046A153" w14:textId="77777777" w:rsidTr="00B97309">
        <w:trPr>
          <w:trHeight w:val="305"/>
        </w:trPr>
        <w:tc>
          <w:tcPr>
            <w:tcW w:w="3835" w:type="dxa"/>
            <w:tcBorders>
              <w:top w:val="single" w:sz="6" w:space="0" w:color="000000"/>
              <w:left w:val="single" w:sz="6" w:space="0" w:color="000000"/>
              <w:bottom w:val="single" w:sz="6" w:space="0" w:color="000000"/>
              <w:right w:val="single" w:sz="6" w:space="0" w:color="000000"/>
            </w:tcBorders>
          </w:tcPr>
          <w:p w14:paraId="57A00A15"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DŽ govedo - 30.4.2020</w:t>
            </w:r>
          </w:p>
        </w:tc>
        <w:tc>
          <w:tcPr>
            <w:tcW w:w="1627" w:type="dxa"/>
            <w:tcBorders>
              <w:top w:val="single" w:sz="6" w:space="0" w:color="000000"/>
              <w:left w:val="single" w:sz="6" w:space="0" w:color="000000"/>
              <w:bottom w:val="single" w:sz="6" w:space="0" w:color="000000"/>
              <w:right w:val="single" w:sz="6" w:space="0" w:color="000000"/>
            </w:tcBorders>
          </w:tcPr>
          <w:p w14:paraId="31AFA0DF" w14:textId="77777777" w:rsidR="00F679A2" w:rsidRPr="0007362B" w:rsidRDefault="00F679A2" w:rsidP="00B97309">
            <w:pPr>
              <w:autoSpaceDE w:val="0"/>
              <w:autoSpaceDN w:val="0"/>
              <w:adjustRightInd w:val="0"/>
              <w:spacing w:line="360" w:lineRule="auto"/>
              <w:rPr>
                <w:b/>
                <w:bCs/>
                <w:color w:val="000000"/>
                <w:sz w:val="18"/>
                <w:szCs w:val="20"/>
              </w:rPr>
            </w:pPr>
          </w:p>
        </w:tc>
        <w:tc>
          <w:tcPr>
            <w:tcW w:w="1949" w:type="dxa"/>
            <w:tcBorders>
              <w:top w:val="single" w:sz="6" w:space="0" w:color="000000"/>
              <w:left w:val="single" w:sz="6" w:space="0" w:color="000000"/>
              <w:bottom w:val="single" w:sz="6" w:space="0" w:color="000000"/>
              <w:right w:val="single" w:sz="6" w:space="0" w:color="000000"/>
            </w:tcBorders>
          </w:tcPr>
          <w:p w14:paraId="39BB4B4D" w14:textId="77777777" w:rsidR="00F679A2" w:rsidRPr="0007362B" w:rsidRDefault="00F679A2" w:rsidP="00B97309">
            <w:pPr>
              <w:autoSpaceDE w:val="0"/>
              <w:autoSpaceDN w:val="0"/>
              <w:adjustRightInd w:val="0"/>
              <w:spacing w:line="360" w:lineRule="auto"/>
              <w:rPr>
                <w:b/>
                <w:bCs/>
                <w:color w:val="000000"/>
                <w:sz w:val="18"/>
                <w:szCs w:val="20"/>
              </w:rPr>
            </w:pPr>
          </w:p>
        </w:tc>
        <w:tc>
          <w:tcPr>
            <w:tcW w:w="1887" w:type="dxa"/>
            <w:tcBorders>
              <w:top w:val="single" w:sz="6" w:space="0" w:color="000000"/>
              <w:left w:val="single" w:sz="6" w:space="0" w:color="000000"/>
              <w:bottom w:val="single" w:sz="6" w:space="0" w:color="000000"/>
              <w:right w:val="single" w:sz="6" w:space="0" w:color="000000"/>
            </w:tcBorders>
          </w:tcPr>
          <w:p w14:paraId="61449CF7" w14:textId="77777777" w:rsidR="00F679A2" w:rsidRPr="0007362B" w:rsidRDefault="00F679A2" w:rsidP="00B97309">
            <w:pPr>
              <w:autoSpaceDE w:val="0"/>
              <w:autoSpaceDN w:val="0"/>
              <w:adjustRightInd w:val="0"/>
              <w:spacing w:line="360" w:lineRule="auto"/>
              <w:rPr>
                <w:b/>
                <w:bCs/>
                <w:color w:val="000000"/>
                <w:sz w:val="18"/>
                <w:szCs w:val="20"/>
              </w:rPr>
            </w:pPr>
          </w:p>
        </w:tc>
      </w:tr>
      <w:tr w:rsidR="00F679A2" w:rsidRPr="00E95B10" w14:paraId="458D6283"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50A7AEB7"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 Leto</w:t>
            </w:r>
          </w:p>
        </w:tc>
        <w:tc>
          <w:tcPr>
            <w:tcW w:w="1627" w:type="dxa"/>
            <w:tcBorders>
              <w:top w:val="single" w:sz="12" w:space="0" w:color="000000"/>
              <w:left w:val="single" w:sz="12" w:space="0" w:color="000000"/>
              <w:bottom w:val="single" w:sz="12" w:space="0" w:color="000000"/>
              <w:right w:val="single" w:sz="12" w:space="0" w:color="000000"/>
            </w:tcBorders>
            <w:shd w:val="clear" w:color="auto" w:fill="BFBF00"/>
          </w:tcPr>
          <w:p w14:paraId="4BE679D9"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Število izplačanih vlog</w:t>
            </w:r>
          </w:p>
        </w:tc>
        <w:tc>
          <w:tcPr>
            <w:tcW w:w="1949" w:type="dxa"/>
            <w:tcBorders>
              <w:top w:val="single" w:sz="12" w:space="0" w:color="000000"/>
              <w:left w:val="single" w:sz="12" w:space="0" w:color="000000"/>
              <w:bottom w:val="single" w:sz="12" w:space="0" w:color="000000"/>
              <w:right w:val="single" w:sz="12" w:space="0" w:color="000000"/>
            </w:tcBorders>
            <w:shd w:val="clear" w:color="auto" w:fill="BFBF00"/>
          </w:tcPr>
          <w:p w14:paraId="63DD4BBA"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Število podprtih GVŽ</w:t>
            </w: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3BAF0CDE"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Znesek izplačanih sredstev, €</w:t>
            </w:r>
          </w:p>
        </w:tc>
      </w:tr>
      <w:tr w:rsidR="00F679A2" w:rsidRPr="00E95B10" w14:paraId="256C84BE"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5C090877"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2016</w:t>
            </w:r>
          </w:p>
        </w:tc>
        <w:tc>
          <w:tcPr>
            <w:tcW w:w="1627" w:type="dxa"/>
            <w:tcBorders>
              <w:top w:val="single" w:sz="12" w:space="0" w:color="000000"/>
              <w:left w:val="single" w:sz="12" w:space="0" w:color="000000"/>
              <w:bottom w:val="single" w:sz="12" w:space="0" w:color="000000"/>
              <w:right w:val="single" w:sz="12" w:space="0" w:color="000000"/>
            </w:tcBorders>
          </w:tcPr>
          <w:p w14:paraId="6196A501"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6.761</w:t>
            </w:r>
          </w:p>
        </w:tc>
        <w:tc>
          <w:tcPr>
            <w:tcW w:w="1949" w:type="dxa"/>
            <w:tcBorders>
              <w:top w:val="single" w:sz="12" w:space="0" w:color="000000"/>
              <w:left w:val="single" w:sz="12" w:space="0" w:color="000000"/>
              <w:bottom w:val="single" w:sz="12" w:space="0" w:color="000000"/>
              <w:right w:val="single" w:sz="12" w:space="0" w:color="000000"/>
            </w:tcBorders>
          </w:tcPr>
          <w:p w14:paraId="6B450727"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71.036</w:t>
            </w:r>
          </w:p>
        </w:tc>
        <w:tc>
          <w:tcPr>
            <w:tcW w:w="1887" w:type="dxa"/>
            <w:tcBorders>
              <w:top w:val="single" w:sz="12" w:space="0" w:color="000000"/>
              <w:left w:val="single" w:sz="12" w:space="0" w:color="000000"/>
              <w:bottom w:val="single" w:sz="12" w:space="0" w:color="000000"/>
              <w:right w:val="single" w:sz="12" w:space="0" w:color="000000"/>
            </w:tcBorders>
          </w:tcPr>
          <w:p w14:paraId="523063AB"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3.736.801,54</w:t>
            </w:r>
          </w:p>
        </w:tc>
      </w:tr>
      <w:tr w:rsidR="00F679A2" w:rsidRPr="00E95B10" w14:paraId="0C5E300D"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4F2D3CE5"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2017</w:t>
            </w:r>
          </w:p>
        </w:tc>
        <w:tc>
          <w:tcPr>
            <w:tcW w:w="1627" w:type="dxa"/>
            <w:tcBorders>
              <w:top w:val="single" w:sz="12" w:space="0" w:color="000000"/>
              <w:left w:val="single" w:sz="12" w:space="0" w:color="000000"/>
              <w:bottom w:val="single" w:sz="12" w:space="0" w:color="000000"/>
              <w:right w:val="single" w:sz="12" w:space="0" w:color="000000"/>
            </w:tcBorders>
          </w:tcPr>
          <w:p w14:paraId="15860F2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7.466</w:t>
            </w:r>
          </w:p>
        </w:tc>
        <w:tc>
          <w:tcPr>
            <w:tcW w:w="1949" w:type="dxa"/>
            <w:tcBorders>
              <w:top w:val="single" w:sz="12" w:space="0" w:color="000000"/>
              <w:left w:val="single" w:sz="12" w:space="0" w:color="000000"/>
              <w:bottom w:val="single" w:sz="12" w:space="0" w:color="000000"/>
              <w:right w:val="single" w:sz="12" w:space="0" w:color="000000"/>
            </w:tcBorders>
          </w:tcPr>
          <w:p w14:paraId="530055EF"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83.745</w:t>
            </w:r>
          </w:p>
        </w:tc>
        <w:tc>
          <w:tcPr>
            <w:tcW w:w="1887" w:type="dxa"/>
            <w:tcBorders>
              <w:top w:val="single" w:sz="12" w:space="0" w:color="000000"/>
              <w:left w:val="single" w:sz="12" w:space="0" w:color="000000"/>
              <w:bottom w:val="single" w:sz="12" w:space="0" w:color="000000"/>
              <w:right w:val="single" w:sz="12" w:space="0" w:color="000000"/>
            </w:tcBorders>
          </w:tcPr>
          <w:p w14:paraId="4EED9AF3"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4.397.583,41</w:t>
            </w:r>
          </w:p>
        </w:tc>
      </w:tr>
      <w:tr w:rsidR="00F679A2" w:rsidRPr="00E95B10" w14:paraId="7E5AEB5A"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1466190C"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2018</w:t>
            </w:r>
          </w:p>
        </w:tc>
        <w:tc>
          <w:tcPr>
            <w:tcW w:w="1627" w:type="dxa"/>
            <w:tcBorders>
              <w:top w:val="single" w:sz="12" w:space="0" w:color="000000"/>
              <w:left w:val="single" w:sz="12" w:space="0" w:color="000000"/>
              <w:bottom w:val="single" w:sz="12" w:space="0" w:color="000000"/>
              <w:right w:val="single" w:sz="12" w:space="0" w:color="000000"/>
            </w:tcBorders>
          </w:tcPr>
          <w:p w14:paraId="2BDBAF4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7.580</w:t>
            </w:r>
          </w:p>
        </w:tc>
        <w:tc>
          <w:tcPr>
            <w:tcW w:w="1949" w:type="dxa"/>
            <w:tcBorders>
              <w:top w:val="single" w:sz="12" w:space="0" w:color="000000"/>
              <w:left w:val="single" w:sz="12" w:space="0" w:color="000000"/>
              <w:bottom w:val="single" w:sz="12" w:space="0" w:color="000000"/>
              <w:right w:val="single" w:sz="12" w:space="0" w:color="000000"/>
            </w:tcBorders>
          </w:tcPr>
          <w:p w14:paraId="25E059C4"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86.118</w:t>
            </w:r>
          </w:p>
        </w:tc>
        <w:tc>
          <w:tcPr>
            <w:tcW w:w="1887" w:type="dxa"/>
            <w:tcBorders>
              <w:top w:val="single" w:sz="12" w:space="0" w:color="000000"/>
              <w:left w:val="single" w:sz="12" w:space="0" w:color="000000"/>
              <w:bottom w:val="single" w:sz="12" w:space="0" w:color="000000"/>
              <w:right w:val="single" w:sz="12" w:space="0" w:color="000000"/>
            </w:tcBorders>
          </w:tcPr>
          <w:p w14:paraId="2AE06A4E"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4.536.082,32</w:t>
            </w:r>
          </w:p>
        </w:tc>
      </w:tr>
      <w:tr w:rsidR="00F679A2" w:rsidRPr="00E95B10" w14:paraId="0AF009E8"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0103E4AB"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2019</w:t>
            </w:r>
          </w:p>
        </w:tc>
        <w:tc>
          <w:tcPr>
            <w:tcW w:w="1627" w:type="dxa"/>
            <w:tcBorders>
              <w:top w:val="single" w:sz="12" w:space="0" w:color="000000"/>
              <w:left w:val="single" w:sz="12" w:space="0" w:color="000000"/>
              <w:bottom w:val="single" w:sz="12" w:space="0" w:color="000000"/>
              <w:right w:val="single" w:sz="12" w:space="0" w:color="000000"/>
            </w:tcBorders>
          </w:tcPr>
          <w:p w14:paraId="0D68291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6.561</w:t>
            </w:r>
          </w:p>
        </w:tc>
        <w:tc>
          <w:tcPr>
            <w:tcW w:w="1949" w:type="dxa"/>
            <w:tcBorders>
              <w:top w:val="single" w:sz="12" w:space="0" w:color="000000"/>
              <w:left w:val="single" w:sz="12" w:space="0" w:color="000000"/>
              <w:bottom w:val="single" w:sz="12" w:space="0" w:color="000000"/>
              <w:right w:val="single" w:sz="12" w:space="0" w:color="000000"/>
            </w:tcBorders>
          </w:tcPr>
          <w:p w14:paraId="6FFD67AA"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95.743 (zajem)</w:t>
            </w:r>
          </w:p>
        </w:tc>
        <w:tc>
          <w:tcPr>
            <w:tcW w:w="1887" w:type="dxa"/>
            <w:tcBorders>
              <w:top w:val="single" w:sz="12" w:space="0" w:color="000000"/>
              <w:left w:val="single" w:sz="12" w:space="0" w:color="000000"/>
              <w:bottom w:val="single" w:sz="12" w:space="0" w:color="000000"/>
              <w:right w:val="single" w:sz="12" w:space="0" w:color="000000"/>
            </w:tcBorders>
          </w:tcPr>
          <w:p w14:paraId="677EEA51"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4.076.181,53</w:t>
            </w:r>
          </w:p>
        </w:tc>
      </w:tr>
      <w:tr w:rsidR="00F679A2" w:rsidRPr="00E95B10" w14:paraId="29F253C0"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35B8D303"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Kumulativno 30.4.20209</w:t>
            </w:r>
          </w:p>
        </w:tc>
        <w:tc>
          <w:tcPr>
            <w:tcW w:w="1627" w:type="dxa"/>
            <w:tcBorders>
              <w:top w:val="single" w:sz="12" w:space="0" w:color="000000"/>
              <w:left w:val="single" w:sz="12" w:space="0" w:color="000000"/>
              <w:bottom w:val="single" w:sz="12" w:space="0" w:color="000000"/>
              <w:right w:val="single" w:sz="6" w:space="0" w:color="000000"/>
            </w:tcBorders>
            <w:shd w:val="clear" w:color="auto" w:fill="BFBF00"/>
          </w:tcPr>
          <w:p w14:paraId="0E83E9BE" w14:textId="77777777" w:rsidR="00F679A2" w:rsidRPr="0007362B" w:rsidRDefault="00F679A2" w:rsidP="00B97309">
            <w:pPr>
              <w:autoSpaceDE w:val="0"/>
              <w:autoSpaceDN w:val="0"/>
              <w:adjustRightInd w:val="0"/>
              <w:spacing w:line="360" w:lineRule="auto"/>
              <w:rPr>
                <w:b/>
                <w:bCs/>
                <w:color w:val="000000"/>
                <w:sz w:val="18"/>
                <w:szCs w:val="20"/>
              </w:rPr>
            </w:pPr>
          </w:p>
        </w:tc>
        <w:tc>
          <w:tcPr>
            <w:tcW w:w="1949" w:type="dxa"/>
            <w:tcBorders>
              <w:top w:val="single" w:sz="12" w:space="0" w:color="000000"/>
              <w:left w:val="single" w:sz="6" w:space="0" w:color="000000"/>
              <w:bottom w:val="single" w:sz="12" w:space="0" w:color="000000"/>
              <w:right w:val="single" w:sz="12" w:space="0" w:color="000000"/>
            </w:tcBorders>
            <w:shd w:val="clear" w:color="auto" w:fill="BFBF00"/>
          </w:tcPr>
          <w:p w14:paraId="75AAD4B8" w14:textId="77777777" w:rsidR="00F679A2" w:rsidRPr="0007362B" w:rsidRDefault="00F679A2" w:rsidP="00B97309">
            <w:pPr>
              <w:autoSpaceDE w:val="0"/>
              <w:autoSpaceDN w:val="0"/>
              <w:adjustRightInd w:val="0"/>
              <w:spacing w:line="360" w:lineRule="auto"/>
              <w:rPr>
                <w:b/>
                <w:bCs/>
                <w:color w:val="000000"/>
                <w:sz w:val="18"/>
                <w:szCs w:val="20"/>
              </w:rPr>
            </w:pP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35AF879D"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16.746.648,80</w:t>
            </w:r>
          </w:p>
        </w:tc>
      </w:tr>
    </w:tbl>
    <w:p w14:paraId="5083ABB0" w14:textId="77777777" w:rsidR="00F679A2" w:rsidRPr="007A077E" w:rsidRDefault="00F679A2" w:rsidP="00F679A2">
      <w:pPr>
        <w:autoSpaceDE w:val="0"/>
        <w:autoSpaceDN w:val="0"/>
        <w:adjustRightInd w:val="0"/>
        <w:spacing w:line="360" w:lineRule="auto"/>
        <w:rPr>
          <w:color w:val="000000"/>
          <w:sz w:val="16"/>
          <w:szCs w:val="16"/>
        </w:rPr>
      </w:pPr>
      <w:r w:rsidRPr="007A077E">
        <w:rPr>
          <w:color w:val="000000"/>
          <w:sz w:val="16"/>
          <w:szCs w:val="16"/>
        </w:rPr>
        <w:t>Vir: MKGP-2020</w:t>
      </w:r>
    </w:p>
    <w:p w14:paraId="665E6EF4" w14:textId="77777777" w:rsidR="00F679A2" w:rsidRPr="007A077E" w:rsidRDefault="00F679A2" w:rsidP="005B2A49">
      <w:pPr>
        <w:spacing w:after="120" w:line="260" w:lineRule="atLeast"/>
        <w:rPr>
          <w:szCs w:val="20"/>
        </w:rPr>
      </w:pPr>
      <w:r w:rsidRPr="007A077E">
        <w:rPr>
          <w:color w:val="000000"/>
          <w:kern w:val="24"/>
          <w:szCs w:val="20"/>
        </w:rPr>
        <w:t xml:space="preserve">Rejci so vključeni tudi v ukrepe KOPOP (plačilo kmetijsko-okoljskih-podnebnih obveznosti) in OMD plačila (plačila območjem z naravnimi ali drugimi posebnimi omejitvami). </w:t>
      </w:r>
      <w:r w:rsidRPr="007A077E">
        <w:rPr>
          <w:szCs w:val="20"/>
        </w:rPr>
        <w:t xml:space="preserve">V obdobju pandemije oziroma izrednih razmer zaradi Covid-19 so slovenski rejci prejeli podporo za izgubljen dohodek za govedo, ki je bilo zaklano, in sicer v višini 100 EUR/GVŽ. </w:t>
      </w:r>
    </w:p>
    <w:p w14:paraId="4FD375AF" w14:textId="77777777" w:rsidR="00F679A2" w:rsidRPr="007A077E" w:rsidRDefault="00F679A2" w:rsidP="005B2A49">
      <w:pPr>
        <w:spacing w:after="120" w:line="260" w:lineRule="atLeast"/>
        <w:rPr>
          <w:szCs w:val="20"/>
        </w:rPr>
      </w:pPr>
      <w:r w:rsidRPr="007A077E">
        <w:rPr>
          <w:szCs w:val="20"/>
        </w:rPr>
        <w:t xml:space="preserve">Področje govedoreje je vključeno v dejavnosti javne službe strokovnih nalog v živinoreji. </w:t>
      </w:r>
      <w:r w:rsidRPr="007A077E" w:rsidDel="00B56BA6">
        <w:rPr>
          <w:szCs w:val="20"/>
        </w:rPr>
        <w:t xml:space="preserve">V </w:t>
      </w:r>
      <w:r w:rsidRPr="007A077E">
        <w:rPr>
          <w:szCs w:val="20"/>
        </w:rPr>
        <w:t>to</w:t>
      </w:r>
      <w:r w:rsidRPr="007A077E" w:rsidDel="00B56BA6">
        <w:rPr>
          <w:szCs w:val="20"/>
        </w:rPr>
        <w:t xml:space="preserve"> službo </w:t>
      </w:r>
      <w:r w:rsidRPr="007A077E">
        <w:rPr>
          <w:szCs w:val="20"/>
        </w:rPr>
        <w:t xml:space="preserve">so </w:t>
      </w:r>
      <w:r w:rsidRPr="007A077E" w:rsidDel="00B56BA6">
        <w:rPr>
          <w:szCs w:val="20"/>
        </w:rPr>
        <w:t>vključene: lisasta, rjava, črnobela, limuzin, šarole pasma in cikasto govedo.</w:t>
      </w:r>
      <w:r w:rsidRPr="007A077E">
        <w:rPr>
          <w:szCs w:val="20"/>
        </w:rPr>
        <w:t xml:space="preserve"> Izpostaviti velja nalogo kontrolo prireje, ki se že desetletja izvaja na kmetijskih gospodarstvih s pomočjo izvajalcev javne službe. Ti </w:t>
      </w:r>
      <w:r w:rsidRPr="007A077E">
        <w:rPr>
          <w:color w:val="000000" w:themeColor="text1"/>
          <w:szCs w:val="20"/>
        </w:rPr>
        <w:t xml:space="preserve">posredujejo rejcem rezultate preizkusov, analiz in ocenjevanja plemenskih vrednosti, ki jih uporabljajo pri svojem delu, </w:t>
      </w:r>
      <w:r w:rsidRPr="007A077E">
        <w:rPr>
          <w:szCs w:val="20"/>
        </w:rPr>
        <w:t xml:space="preserve">pripravljajo in javno objavljajo različne analize in publikacije, kar zagotavlja promocijo najboljših plemenskih živali, rejskega in selekcijskega dela ter širjenje strokovnega znanja na področju živinoreje. </w:t>
      </w:r>
      <w:r w:rsidRPr="007A077E">
        <w:rPr>
          <w:rFonts w:eastAsia="Calibri"/>
          <w:szCs w:val="20"/>
        </w:rPr>
        <w:t>V kontrolo prireje mleka je bilo leta 2019 vključenih 3.231 kmetijskih gospodarstev, ki so v povprečju redila 24,5 molznic. Na kmetijskih gospodarstvih s kravami dojiljami so v povprečju 3,7 krave, v kontroli prireje mesa pa 24,3 krav/KMG.</w:t>
      </w:r>
      <w:r w:rsidRPr="007A077E">
        <w:rPr>
          <w:szCs w:val="20"/>
        </w:rPr>
        <w:t xml:space="preserve"> </w:t>
      </w:r>
    </w:p>
    <w:p w14:paraId="7E569BC1" w14:textId="77777777" w:rsidR="00F679A2" w:rsidRPr="007A077E" w:rsidRDefault="00F679A2" w:rsidP="005B2A49">
      <w:pPr>
        <w:spacing w:after="120" w:line="260" w:lineRule="atLeast"/>
        <w:rPr>
          <w:rFonts w:eastAsia="TimesNewRoman"/>
          <w:szCs w:val="20"/>
        </w:rPr>
      </w:pPr>
      <w:r w:rsidRPr="007A077E">
        <w:rPr>
          <w:rFonts w:eastAsia="TimesNewRoman"/>
          <w:szCs w:val="20"/>
        </w:rPr>
        <w:t xml:space="preserve">V okviru javne službe nalog genske banke v živinoreji se varuje/ohranja edina avtohtona pasma goveda: cikasto govedo ter dve tradicionalni pasmi: rjavo in lisasto govedo. V letu 2019 se je Register pasem z zootehniško oceno vodil za naslednje pasme goveda: cikasto, rjavo, lisasto, črno-belo, šarole, limuzin, škotsko višavsko, istrsko, rdeči angus, nemški angus, aberdeen angus in galloway. </w:t>
      </w:r>
      <w:r w:rsidRPr="007A077E">
        <w:rPr>
          <w:szCs w:val="20"/>
        </w:rPr>
        <w:t>Javna služba opravlja naloge na področjih spremljanja stanja in karakterizacije pasem, mehanizmov trajnostne rabe in razvoja, oblik ohranjanja živalskih genskih virov ter politik upravljanja živalskih genskih virov.</w:t>
      </w:r>
    </w:p>
    <w:p w14:paraId="5BA22B81" w14:textId="77777777" w:rsidR="00F679A2" w:rsidRPr="007A077E" w:rsidRDefault="00F679A2" w:rsidP="005B2A49">
      <w:pPr>
        <w:spacing w:after="120" w:line="260" w:lineRule="atLeast"/>
        <w:rPr>
          <w:rFonts w:eastAsia="TimesNewRoman"/>
          <w:szCs w:val="20"/>
        </w:rPr>
      </w:pPr>
      <w:r w:rsidRPr="007A077E">
        <w:rPr>
          <w:szCs w:val="20"/>
        </w:rPr>
        <w:t>Rejcem govedi je svetovanje zagotovljeno preko javne službe kmetijskega svetovanja, ki na primer svetuje tudi na področjih dobrobiti živali, sestave krmnega obroka, rabe in skladiščenja gnojil, pri gradnji objektov in pri številnih drugih tehnoloških vprašanjih.</w:t>
      </w:r>
    </w:p>
    <w:p w14:paraId="776BDF62" w14:textId="77777777" w:rsidR="00F679A2" w:rsidRPr="007A077E" w:rsidRDefault="00F679A2" w:rsidP="005B2A49">
      <w:pPr>
        <w:spacing w:after="120" w:line="260" w:lineRule="atLeast"/>
        <w:rPr>
          <w:rFonts w:eastAsia="TimesNewRoman"/>
          <w:szCs w:val="20"/>
        </w:rPr>
      </w:pPr>
      <w:r w:rsidRPr="007A077E">
        <w:rPr>
          <w:szCs w:val="20"/>
        </w:rPr>
        <w:t xml:space="preserve">Med raziskovalnimi nalogami, ki jih izvajajo slovenski raziskovalci, velja izpostaviti ciljne raziskovalne projekte. V zadnjih desetih letih so bili ti usmerjeni v genomsko selekcijo na primeru rjave pasme govedi, optimiranje prehrane krav molznic, v tehnološke rešitve za boljše izkoriščanje lucerne v prehrani prežvekovalcev, tehnološko ekonomske modele prireje govejega mesa na travinju, ohranjanje avtohtonih pasem domačih živali, genomsko selekcijo in genotipizacijo pri mlečnih pasmah govedi v Sloveniji, obvladovanje paratuberkuloze v rejah krav molznic in dvig konkurenčnosti slovenske govedoreje. Poleg teh so bili raziskovalci vključeni v ERA NET projekta na področju zdravstvenega menedžmenta pri izvirnih kombiniranih pasmah goveda in ekonomsko zanimivih sistemov proste reje živali. </w:t>
      </w:r>
    </w:p>
    <w:p w14:paraId="0065A58C" w14:textId="77777777" w:rsidR="00F679A2" w:rsidRPr="005B2A49" w:rsidRDefault="00F679A2" w:rsidP="005B2A49">
      <w:pPr>
        <w:autoSpaceDE w:val="0"/>
        <w:autoSpaceDN w:val="0"/>
        <w:adjustRightInd w:val="0"/>
        <w:spacing w:after="120" w:line="260" w:lineRule="atLeast"/>
        <w:rPr>
          <w:szCs w:val="20"/>
        </w:rPr>
      </w:pPr>
      <w:r w:rsidRPr="005B2A49">
        <w:rPr>
          <w:szCs w:val="20"/>
        </w:rPr>
        <w:t>Nadalje so bili iz PRP 2014-2020 v sklopu EIP za področje govedoreje odobreni projekti, ki so se nanašali na:</w:t>
      </w:r>
    </w:p>
    <w:p w14:paraId="568C918C"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 xml:space="preserve">razvoj tehnologij pridelave in predelave z beljakovinami bogatih rastlin pri zrnatih stročnicah, </w:t>
      </w:r>
    </w:p>
    <w:p w14:paraId="69B88FB6"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modele lokalne oskrbe na  primeru senenega mesa in mleka,</w:t>
      </w:r>
    </w:p>
    <w:p w14:paraId="686E17E6"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rejo različnih pasem govedi za meso in izdelke vrhunske kakovosti,</w:t>
      </w:r>
    </w:p>
    <w:p w14:paraId="6297CA23"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blaženje in prilagajanje na podnebne spremembe na kmetijskem gospodarstvu z izboljšanjem tehnologije pridelave in konzerviranja z beljakovinami bogate krme,</w:t>
      </w:r>
    </w:p>
    <w:p w14:paraId="74329D05"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 xml:space="preserve">genomsko selekcijo z domačim obračunom genomskih plemenskih vrednosti za slovensko rjavo in črno-belo pasmo govedi ter testiranje in selekcija govedi na genotip A2 beta kazeina, </w:t>
      </w:r>
    </w:p>
    <w:p w14:paraId="54BEAFC4" w14:textId="0371319A"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pridelavo in predelavo z beljakovinami bogatih rastlin –</w:t>
      </w:r>
      <w:r w:rsidR="00EB5B3D">
        <w:rPr>
          <w:rFonts w:ascii="Arial" w:hAnsi="Arial"/>
          <w:sz w:val="22"/>
        </w:rPr>
        <w:t xml:space="preserve"> </w:t>
      </w:r>
      <w:r w:rsidRPr="005B2A49">
        <w:rPr>
          <w:rFonts w:ascii="Arial" w:hAnsi="Arial"/>
          <w:sz w:val="22"/>
        </w:rPr>
        <w:t>travinja in metuljnic,</w:t>
      </w:r>
    </w:p>
    <w:p w14:paraId="3269E239"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trajnostno rabo tal in zagotavljanje rodovitnosti tal na primeru govedorejske kmetije.</w:t>
      </w:r>
    </w:p>
    <w:p w14:paraId="23186D64" w14:textId="419F48F1" w:rsidR="00F679A2" w:rsidRDefault="00F679A2" w:rsidP="005B2A49">
      <w:pPr>
        <w:spacing w:after="120" w:line="260" w:lineRule="atLeast"/>
        <w:rPr>
          <w:szCs w:val="20"/>
        </w:rPr>
      </w:pPr>
      <w:r w:rsidRPr="005B2A49">
        <w:rPr>
          <w:szCs w:val="20"/>
        </w:rPr>
        <w:t>Vključevanje večjega števila partnerjev in tudi rejcev govedi v EIP projekte zagotavlja hitrejši prenos znanja v prakso.</w:t>
      </w:r>
    </w:p>
    <w:p w14:paraId="16BE143A" w14:textId="77777777" w:rsidR="00C25531" w:rsidRPr="005B2A49" w:rsidRDefault="00C25531" w:rsidP="005B2A49">
      <w:pPr>
        <w:spacing w:after="120" w:line="260" w:lineRule="atLeast"/>
        <w:rPr>
          <w:szCs w:val="20"/>
        </w:rPr>
      </w:pPr>
    </w:p>
    <w:p w14:paraId="7AF48BD5" w14:textId="77777777" w:rsidR="00F679A2" w:rsidRDefault="00F679A2" w:rsidP="00F679A2">
      <w:pPr>
        <w:pStyle w:val="Naslov3"/>
        <w:rPr>
          <w:rFonts w:eastAsia="Calibri"/>
        </w:rPr>
      </w:pPr>
      <w:bookmarkStart w:id="3149" w:name="_Toc90462249"/>
      <w:r w:rsidRPr="0022702B">
        <w:rPr>
          <w:rFonts w:eastAsia="Calibri"/>
        </w:rPr>
        <w:t>Ključne ugotovitve</w:t>
      </w:r>
      <w:bookmarkEnd w:id="3149"/>
    </w:p>
    <w:p w14:paraId="6BDD4B91" w14:textId="37ED520E"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Glede na analizo stanja v govedoreji, sta v povezavi z neposrednimi in OMD plačili, obseg proizvodnje in dohodkovna vzdržnost relativno stabilna. Sektor se počasi, a vztrajno prestrukturira, zlasti v mlečnem sektorju</w:t>
      </w:r>
      <w:r w:rsidR="00C2466A">
        <w:rPr>
          <w:rFonts w:ascii="Arial" w:hAnsi="Arial"/>
          <w:sz w:val="22"/>
        </w:rPr>
        <w:t>,</w:t>
      </w:r>
      <w:r w:rsidRPr="005B2A49">
        <w:rPr>
          <w:rFonts w:ascii="Arial" w:hAnsi="Arial"/>
          <w:sz w:val="22"/>
        </w:rPr>
        <w:t xml:space="preserve"> kar se izkazuje z koncentracijo proizvodnje</w:t>
      </w:r>
      <w:r w:rsidR="00EB5B3D">
        <w:rPr>
          <w:rFonts w:ascii="Arial" w:hAnsi="Arial"/>
          <w:sz w:val="22"/>
        </w:rPr>
        <w:t>.</w:t>
      </w:r>
      <w:r w:rsidRPr="005B2A49">
        <w:rPr>
          <w:rFonts w:ascii="Arial" w:hAnsi="Arial"/>
          <w:sz w:val="22"/>
        </w:rPr>
        <w:t xml:space="preserve"> Manjše reje se najprej ekstenzvirajo (iz reje krav za mleko v rejo pitancev), v naslednjem koraku pa se opusti tudi reja pitancev. Dolgoročno to pomeni opuščanje govedoreje v hribovitih območijh in neizbežno zaraščanje kulturne krajine.</w:t>
      </w:r>
    </w:p>
    <w:p w14:paraId="23A8F2E9" w14:textId="0F9102D9"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Številne študije kažejo na to, da se z izboljšanjem tehnologije in modernejšimi hlevi</w:t>
      </w:r>
      <w:r w:rsidR="00C074C7">
        <w:rPr>
          <w:rFonts w:ascii="Arial" w:hAnsi="Arial"/>
          <w:sz w:val="22"/>
        </w:rPr>
        <w:t xml:space="preserve"> </w:t>
      </w:r>
      <w:r w:rsidRPr="005B2A49">
        <w:rPr>
          <w:rFonts w:ascii="Arial" w:hAnsi="Arial"/>
          <w:sz w:val="22"/>
        </w:rPr>
        <w:t>na govedorejskih kmetijah doseže večji ekonomski učinek, zato so potrebne dodatne naložbe v opremo za pripravo krme, digitalizacijo procesov reje, za učinkovito izkoriščanje domače krme na kmetijskih gospodarstvih in dobro delovanje javnih služb, ki delujejo na področju kmetijstva.</w:t>
      </w:r>
    </w:p>
    <w:p w14:paraId="237BAA97" w14:textId="5FC60B6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 xml:space="preserve">Celotna proizvodnja mleka je v zadnjem desetletju relativno stabilna. V zadnjih petih letih se je povečala oddaja mleka v mlekarne, število rejcev se sicer zmanjšuje, hkrati pa se povečuje mlečnost na žival. Kakovost mleka v zadnjih letih niha, v ekstra razred v zadnjih 10 letih lahko uvrstimo 88,36 </w:t>
      </w:r>
      <w:r w:rsidR="00F11FB0">
        <w:rPr>
          <w:rFonts w:ascii="Arial" w:hAnsi="Arial"/>
          <w:sz w:val="22"/>
        </w:rPr>
        <w:t>–</w:t>
      </w:r>
      <w:r w:rsidRPr="005B2A49">
        <w:rPr>
          <w:rFonts w:ascii="Arial" w:hAnsi="Arial"/>
          <w:sz w:val="22"/>
        </w:rPr>
        <w:t xml:space="preserve"> 967 % mleka, ki je imelo 4,12 </w:t>
      </w:r>
      <w:r w:rsidR="00F11FB0">
        <w:rPr>
          <w:rFonts w:ascii="Arial" w:hAnsi="Arial"/>
          <w:sz w:val="22"/>
        </w:rPr>
        <w:t>–</w:t>
      </w:r>
      <w:r w:rsidRPr="005B2A49">
        <w:rPr>
          <w:rFonts w:ascii="Arial" w:hAnsi="Arial"/>
          <w:sz w:val="22"/>
        </w:rPr>
        <w:t xml:space="preserve"> 4</w:t>
      </w:r>
      <w:r w:rsidR="00F11FB0">
        <w:rPr>
          <w:rFonts w:ascii="Arial" w:hAnsi="Arial"/>
          <w:sz w:val="22"/>
        </w:rPr>
        <w:t>,</w:t>
      </w:r>
      <w:r w:rsidRPr="005B2A49">
        <w:rPr>
          <w:rFonts w:ascii="Arial" w:hAnsi="Arial"/>
          <w:sz w:val="22"/>
        </w:rPr>
        <w:t>20% maščob in 3,35 - 3,39 % beljakovin.</w:t>
      </w:r>
    </w:p>
    <w:p w14:paraId="5A4C2371"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Za povečanje ponudbe mesa govedi v shemah višje kakovosti primanjkuje telet za nadaljnje pitanje, ki so rojena v Sloveniji, zato so nujne investicije in prestrukturiranje kmetijskih gospodarstev, proizvodno vezane podpore, povezovanje deležnikov ter podpore za uveljavitev sheme izbrana kakovost.</w:t>
      </w:r>
    </w:p>
    <w:p w14:paraId="35F895EB"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Sektor bi lahko napredoval z boljšo organiziranostjo, trenutno ni organiziranega trga s  plemensko živino, nastopanje na trgu je težavno, prav tako zagotavljanje živali za izbrano kakovost, zato bi morali okrepiti povezovanje in sodelovanje rejcev (medsebojno in v verigi).</w:t>
      </w:r>
    </w:p>
    <w:p w14:paraId="1C9C397B"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Za ohranjanje govedoreje in hkratno zmanjševanje vpliva na okolje je na eni strani potrebno boljše izkoriščanje naravnih danosti na OMD – tudi z izkoriščanjem potenciala za rejo mlade živine in plemenskih živali in na drugi zmanjševanje obsega govedoreje na nižinskih območjih, za kar bodo potrebne dodatne investicije za prestrukturiranja in povezovanje rejcev.</w:t>
      </w:r>
    </w:p>
    <w:p w14:paraId="3055E6BF"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Pri proizvodnji mleka, kjer ima Slovenija visok delež samooskrbe, beležimo velik obseg izvoza kakovostnega surovega mleka, zato je v Sloveniji potrebno okrepiti predelavo mleka v izdelke z višjo dodano vrednostjo.</w:t>
      </w:r>
    </w:p>
    <w:p w14:paraId="6A81F6AA"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 xml:space="preserve">Na področju govejega mesa beležimo velik obseg izvoza živih živali za zakol obenem pa beležimo uvoz govejega mesa v Slovenijo.   </w:t>
      </w:r>
    </w:p>
    <w:p w14:paraId="16E0CA53"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Slovenija ima  zaradi velikega deleža travinja velik potencial za ekološko proizvodnjo, problem pa je trženje. Veliko ekološkega mesa se proda kot konvencionalno  meso.</w:t>
      </w:r>
    </w:p>
    <w:p w14:paraId="48BEA193" w14:textId="77777777" w:rsidR="00F679A2" w:rsidRDefault="00F679A2" w:rsidP="00F679A2">
      <w:pPr>
        <w:tabs>
          <w:tab w:val="left" w:pos="2160"/>
        </w:tabs>
        <w:spacing w:after="120" w:line="360" w:lineRule="auto"/>
        <w:ind w:left="357"/>
        <w:rPr>
          <w:rFonts w:eastAsia="Calibri"/>
          <w:szCs w:val="20"/>
        </w:rPr>
      </w:pPr>
    </w:p>
    <w:p w14:paraId="544972EC" w14:textId="77777777" w:rsidR="00F679A2" w:rsidRDefault="00F679A2" w:rsidP="00F679A2">
      <w:pPr>
        <w:pStyle w:val="Naslov2"/>
      </w:pPr>
      <w:bookmarkStart w:id="3150" w:name="_Toc90462250"/>
      <w:r w:rsidRPr="0022702B">
        <w:t>Prašičereja</w:t>
      </w:r>
      <w:bookmarkEnd w:id="3150"/>
    </w:p>
    <w:p w14:paraId="20CA9E81" w14:textId="77777777" w:rsidR="00F679A2" w:rsidRPr="0022702B" w:rsidRDefault="00F679A2" w:rsidP="00F679A2">
      <w:pPr>
        <w:rPr>
          <w:rFonts w:eastAsia="Calibri"/>
          <w:lang w:eastAsia="en-US"/>
        </w:rPr>
      </w:pPr>
    </w:p>
    <w:p w14:paraId="182F7B61" w14:textId="77777777" w:rsidR="00F679A2" w:rsidRPr="005B2A49" w:rsidRDefault="00F679A2" w:rsidP="005B2A49">
      <w:pPr>
        <w:spacing w:after="120" w:line="260" w:lineRule="atLeast"/>
        <w:rPr>
          <w:rFonts w:eastAsia="Calibri"/>
          <w:szCs w:val="20"/>
        </w:rPr>
      </w:pPr>
      <w:r w:rsidRPr="005B2A49">
        <w:rPr>
          <w:rFonts w:eastAsia="Calibri"/>
          <w:szCs w:val="20"/>
        </w:rPr>
        <w:t>Prašičereja ima v Sloveniji dolgo tradicijo, tako z deležem mesa prašičev v slovenski tradicionalni prehrani, kot z višjo kakovostjo mesa in izdelkov z dobrimi senzoričnimi in kulinaričnimi lastnostmi ter tipičnimi izdelki iz mesa prašičev. Po drugi strani je zaradi smradu in drugih negativnih vplivov na okolje reja prašičev med prebivalci vse manj priljubljena zato nastajajo vedno večji konflikti pri umeščanju prašičerejskih objektov v prostor.</w:t>
      </w:r>
    </w:p>
    <w:p w14:paraId="514D6328" w14:textId="2C3BE65B" w:rsidR="00F679A2" w:rsidRDefault="00F679A2" w:rsidP="005B2A49">
      <w:pPr>
        <w:spacing w:after="120" w:line="260" w:lineRule="atLeast"/>
        <w:rPr>
          <w:bCs/>
          <w:szCs w:val="20"/>
        </w:rPr>
      </w:pPr>
      <w:r w:rsidRPr="005B2A49">
        <w:rPr>
          <w:rFonts w:eastAsia="Calibri"/>
          <w:szCs w:val="20"/>
        </w:rPr>
        <w:t>Reja prašičev sicer omogoča marsikateri kmetiji zaokrožitev proizvodnje in ustvarjanje dodatnega dohodka za obstoj kmetije. Reja je konkurenčna zlasti na večjih farmah (znanje, tehnologija, organizacija ter povezanost v verigi).</w:t>
      </w:r>
    </w:p>
    <w:p w14:paraId="20E1DEA8" w14:textId="77777777" w:rsidR="00F679A2" w:rsidRDefault="00F679A2" w:rsidP="00F679A2">
      <w:pPr>
        <w:pStyle w:val="Naslov3"/>
        <w:rPr>
          <w:rFonts w:eastAsia="Calibri"/>
        </w:rPr>
      </w:pPr>
      <w:bookmarkStart w:id="3151" w:name="_Toc90462251"/>
      <w:r w:rsidRPr="0022702B">
        <w:rPr>
          <w:rFonts w:eastAsia="Calibri"/>
        </w:rPr>
        <w:t>Stanje v sektorju in osnovni ekonomski kazalniki</w:t>
      </w:r>
      <w:bookmarkEnd w:id="3151"/>
    </w:p>
    <w:p w14:paraId="1427A6CE"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Prispevek prireje mesa prašičev k vrednosti slovenskega kmetijstva se je v zadnjem desetletju zmanjševal. Po letu 2015, ko je bil zabeležen najnižji delež (3,3 %), je v letu 2019 znašal 4,2 %. K vrednosti živinoreje prašičereja od leta 2013 prispeva manj kot 10 %, leta 2019 je bil delež le 9,7 %. Panoga v primerjavi z drugimi kmetijskimi panogami od leta 2000 nazaduje. Leta 2005 se je s prašičerejo ukvarjalo 44 %, leta 2016 pa 32% kmetijskih gospodarstev (SURS podatki raziskovanja strukture kmetijskih gospodarstev). </w:t>
      </w:r>
    </w:p>
    <w:p w14:paraId="5036E329"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zadnjem popisu kmetijskih gospodarstev (2013–2016) se je skupno število prašičev zmanjšalo za 5 % in leta 2016 znašalo 266 tisoč živali, zmanjšalo pa se je tudi povprečno število prašičev na gospodarstvo (iz 17,2 prašiča v letu 2007 na 12,1 prašiča v letu 2016). Intenzivna reja prašičev je skoncentrirana predvsem v pomurski, podravski in osrednjeslovenski regiji, kjer je skoraj polovica vseh prašičerejskih gospodarstev in kjer redijo več kot 76 % vseh prašičev v Sloveniji. Po številu prašičev na gospodarstvo izstopa predvsem osrednjeslovenska regija s povprečno 42 prašiči na kmetijsko gospodarstvo. To je kar desetkrat več kot v koroški regiji, kjer redijo manj kot štiri prašiče na kmetijsko gospodarstvo. </w:t>
      </w:r>
    </w:p>
    <w:p w14:paraId="64B569D1" w14:textId="77777777" w:rsidR="00F679A2" w:rsidRPr="005B2A49" w:rsidRDefault="00F679A2" w:rsidP="005B2A49">
      <w:pPr>
        <w:spacing w:after="120" w:line="260" w:lineRule="atLeast"/>
        <w:rPr>
          <w:rFonts w:eastAsia="Calibri"/>
          <w:szCs w:val="20"/>
        </w:rPr>
      </w:pPr>
      <w:r w:rsidRPr="005B2A49">
        <w:rPr>
          <w:rFonts w:eastAsia="Calibri"/>
          <w:szCs w:val="20"/>
        </w:rPr>
        <w:t>Ciklično nihanje števila živali, ki je sicer značilno za prašičerejo, je po izrazitem zmanjšanju v letih 2003 in 2004, v letih 2005 in 2006 ponovno nekoliko poraslo (na 575 tisoč) in se po letu 2006 spremenilo v trend zmanjševanja staleža, ki se je v zadnjih letih nekoliko umiril. Po podatkih SURS je bilo konec leta 2019 v hlevih okoli 240 tisoč živali, kar je najmanj do sedaj. Število prašičev v ekološki reji stagnira in je nizko, tako da je bilo v letu 2019 vključenih le 3.252 prašičev oziroma 1,4 % črede.</w:t>
      </w:r>
    </w:p>
    <w:p w14:paraId="1EA97389"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Slovenija ima izrazito dvopolarno strukturo kmetijskih gospodarstev s prašiči. Večina gospodarstev (87 %) še vedno redi manj kot 10 prašičev, večina staleža prašičev pa je na gospodarstvih, ki redijo 100 ali več prašičev (55 %). </w:t>
      </w:r>
    </w:p>
    <w:p w14:paraId="65C204DE" w14:textId="77777777" w:rsidR="00F679A2" w:rsidRPr="005B2A49" w:rsidRDefault="00F679A2" w:rsidP="005B2A49">
      <w:pPr>
        <w:spacing w:after="120" w:line="260" w:lineRule="atLeast"/>
        <w:rPr>
          <w:rFonts w:eastAsia="Calibri"/>
          <w:szCs w:val="20"/>
        </w:rPr>
      </w:pPr>
      <w:r w:rsidRPr="005B2A49">
        <w:rPr>
          <w:rFonts w:eastAsia="Calibri"/>
          <w:szCs w:val="20"/>
        </w:rPr>
        <w:t>V letih 2007-2013 se je zmanjševal tudi prirast prašičev, ki pa se je v zadnjih šestih letih ustalil. V letu 2019 je bil 2 % nad ravnijo leta 2018 in je znašal dobrih 38 tisoč ton. V rejah se še naprej zmanjšuje interes za zagotavljanje plemenskega materiala, kar je podlaga oziroma pogoj za dolgoročen obstoj panoge in stabilnost trga s prašičjim mesom.</w:t>
      </w:r>
    </w:p>
    <w:p w14:paraId="5F419808" w14:textId="4C958837" w:rsidR="00F679A2" w:rsidRDefault="00F679A2" w:rsidP="00F679A2">
      <w:pPr>
        <w:pStyle w:val="SCSlika0"/>
      </w:pPr>
      <w:bookmarkStart w:id="3152" w:name="_Toc89851104"/>
      <w:r>
        <w:t xml:space="preserve">Slika </w:t>
      </w:r>
      <w:r>
        <w:rPr>
          <w:noProof/>
        </w:rPr>
        <w:fldChar w:fldCharType="begin"/>
      </w:r>
      <w:r>
        <w:rPr>
          <w:noProof/>
        </w:rPr>
        <w:instrText xml:space="preserve"> SEQ Slika \* ARABIC </w:instrText>
      </w:r>
      <w:r>
        <w:rPr>
          <w:noProof/>
        </w:rPr>
        <w:fldChar w:fldCharType="separate"/>
      </w:r>
      <w:r w:rsidR="00F25435">
        <w:rPr>
          <w:noProof/>
        </w:rPr>
        <w:t>62</w:t>
      </w:r>
      <w:r>
        <w:rPr>
          <w:noProof/>
        </w:rPr>
        <w:fldChar w:fldCharType="end"/>
      </w:r>
      <w:r>
        <w:t xml:space="preserve">: </w:t>
      </w:r>
      <w:r w:rsidRPr="00D91539">
        <w:t>Število in prirast prašičev (2007–2019)</w:t>
      </w:r>
      <w:bookmarkEnd w:id="3152"/>
    </w:p>
    <w:p w14:paraId="72724D82" w14:textId="77777777" w:rsidR="00F679A2" w:rsidRPr="007418EE" w:rsidRDefault="00F679A2" w:rsidP="00F679A2">
      <w:pPr>
        <w:spacing w:line="360" w:lineRule="auto"/>
        <w:rPr>
          <w:szCs w:val="20"/>
        </w:rPr>
      </w:pPr>
      <w:r w:rsidRPr="007418EE">
        <w:rPr>
          <w:noProof/>
          <w:szCs w:val="20"/>
          <w:lang w:eastAsia="sl-SI"/>
        </w:rPr>
        <w:drawing>
          <wp:inline distT="0" distB="0" distL="0" distR="0" wp14:anchorId="09F293B1" wp14:editId="3A189517">
            <wp:extent cx="5704840" cy="2218055"/>
            <wp:effectExtent l="0" t="0" r="0" b="0"/>
            <wp:docPr id="24169625" name="Slika 2416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261475EE" w14:textId="77777777" w:rsidR="00F679A2" w:rsidRPr="007418EE" w:rsidRDefault="00F679A2" w:rsidP="00F679A2">
      <w:pPr>
        <w:spacing w:line="360" w:lineRule="auto"/>
        <w:rPr>
          <w:bCs/>
          <w:sz w:val="16"/>
          <w:szCs w:val="16"/>
        </w:rPr>
      </w:pPr>
      <w:r w:rsidRPr="007418EE">
        <w:rPr>
          <w:bCs/>
          <w:sz w:val="16"/>
          <w:szCs w:val="16"/>
        </w:rPr>
        <w:t>Vir: SURS</w:t>
      </w:r>
      <w:r>
        <w:rPr>
          <w:bCs/>
          <w:sz w:val="16"/>
          <w:szCs w:val="16"/>
        </w:rPr>
        <w:t xml:space="preserve"> (ZP-2019)</w:t>
      </w:r>
    </w:p>
    <w:p w14:paraId="79FCEF1E" w14:textId="77777777" w:rsidR="00F679A2" w:rsidRPr="005B2A49" w:rsidRDefault="00F679A2" w:rsidP="005B2A49">
      <w:pPr>
        <w:spacing w:after="120" w:line="260" w:lineRule="atLeast"/>
        <w:rPr>
          <w:rFonts w:eastAsia="Calibri"/>
          <w:szCs w:val="20"/>
        </w:rPr>
      </w:pPr>
      <w:r w:rsidRPr="005B2A49">
        <w:rPr>
          <w:rFonts w:eastAsia="Calibri"/>
          <w:szCs w:val="20"/>
        </w:rPr>
        <w:t xml:space="preserve">Domača prireja mesa prašičev je v letu 2019 znašala 30,5 tisoč ton, poraba pa slabih 76,7 tisoč ton. Najvišja je bila v letih 2004-2006 (okoli 90 tisoč ton), nato v obdobju 2007-2010 okoli 85 tisoč ton in v letu 2018 78 tisoč ton. Poraba prašičjega mesa na prebivalca je v letu 2019 znašala 36,7 kg in med leti nekoliko niha ter je v zadnjem desetletju za okoli petino večja od povprečja v EU. </w:t>
      </w:r>
    </w:p>
    <w:p w14:paraId="776E52EC" w14:textId="77777777" w:rsidR="00F679A2" w:rsidRPr="005B2A49" w:rsidRDefault="00F679A2" w:rsidP="005B2A49">
      <w:pPr>
        <w:spacing w:after="120" w:line="260" w:lineRule="atLeast"/>
        <w:rPr>
          <w:rFonts w:eastAsia="Calibri"/>
          <w:szCs w:val="20"/>
        </w:rPr>
      </w:pPr>
      <w:r w:rsidRPr="005B2A49">
        <w:rPr>
          <w:rFonts w:eastAsia="Calibri"/>
          <w:szCs w:val="20"/>
        </w:rPr>
        <w:t>Stopnja samooskrbe je bila 80 % v letih 2000 do 2004, v letu 2016 je znašala najmanj v zgodovini Slovenije (34 %) in je do leta 2019 narasla na slabih 40 %.</w:t>
      </w:r>
    </w:p>
    <w:p w14:paraId="5E701FD8" w14:textId="77777777" w:rsidR="00F679A2" w:rsidRPr="005B2A49" w:rsidRDefault="00F679A2" w:rsidP="005B2A49">
      <w:pPr>
        <w:spacing w:after="120" w:line="260" w:lineRule="atLeast"/>
        <w:rPr>
          <w:rFonts w:eastAsia="Calibri"/>
          <w:szCs w:val="20"/>
        </w:rPr>
      </w:pPr>
      <w:r w:rsidRPr="005B2A49">
        <w:rPr>
          <w:rFonts w:eastAsia="Calibri"/>
          <w:szCs w:val="20"/>
        </w:rPr>
        <w:t>Slovenija je tradicionalna neto uvoznica prašičjega mesa, večinoma se povečujeta tako izvoz kot uvoz prašičjega mesa. V letu 2019 je skupni obseg zunanje trgovine s prašiči (v ekvivalentu klavnih polovic) znašal 87,8 tisoč ton, primanjkljaj pa 46 tisoč ton. Povečevanje izvoza prašičjega mesa se je začelo po letu 2013 in je doseglo v letu 2019 skoraj 21 tisoč ton. Slovenija izvaža predvsem izdelke iz prašičjega mesa (67 % izvoza), preostalo predstavlja izvoz mesa, izvoza živih živali pa skoraj ni bilo. V uvozu največji delež predstavlja meso (84 %), preostalo pa izdelki in žive živali. Uvoz živih živali je skoncentriran na uvoz pujskov za nadaljnjo rejo.</w:t>
      </w:r>
    </w:p>
    <w:p w14:paraId="0E8281E8"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več kot desetletju splošno slabega ekonomskega položaja prašičerejcev so bile razmere v letu 2019 nadvse ugodne. Dohodki so se po močnem znižanju od leta 2006, ko so bili med najnižjimi v sklopu kmetijskih proizvodnih usmeritev, izrazito povečali. </w:t>
      </w:r>
    </w:p>
    <w:p w14:paraId="3FBE4BFE" w14:textId="0A1DF0E8" w:rsidR="00F679A2" w:rsidRDefault="00F679A2" w:rsidP="00F679A2">
      <w:pPr>
        <w:pStyle w:val="SCSlika0"/>
      </w:pPr>
      <w:bookmarkStart w:id="3153" w:name="_Toc89851105"/>
      <w:r>
        <w:t xml:space="preserve">Slika </w:t>
      </w:r>
      <w:r>
        <w:rPr>
          <w:noProof/>
        </w:rPr>
        <w:fldChar w:fldCharType="begin"/>
      </w:r>
      <w:r>
        <w:rPr>
          <w:noProof/>
        </w:rPr>
        <w:instrText xml:space="preserve"> SEQ Slika \* ARABIC </w:instrText>
      </w:r>
      <w:r>
        <w:rPr>
          <w:noProof/>
        </w:rPr>
        <w:fldChar w:fldCharType="separate"/>
      </w:r>
      <w:r w:rsidR="00F25435">
        <w:rPr>
          <w:noProof/>
        </w:rPr>
        <w:t>63</w:t>
      </w:r>
      <w:r>
        <w:rPr>
          <w:noProof/>
        </w:rPr>
        <w:fldChar w:fldCharType="end"/>
      </w:r>
      <w:r>
        <w:t xml:space="preserve">: </w:t>
      </w:r>
      <w:r w:rsidRPr="00D91539">
        <w:t>Osnovni ekonomski kazalniki pri pitanju prašičev (indeks; povprečje 2014–2018 = 100)</w:t>
      </w:r>
      <w:bookmarkEnd w:id="3153"/>
    </w:p>
    <w:p w14:paraId="02761749" w14:textId="77777777" w:rsidR="00F679A2" w:rsidRPr="007418EE" w:rsidRDefault="00F679A2" w:rsidP="00F679A2">
      <w:pPr>
        <w:spacing w:line="360" w:lineRule="auto"/>
        <w:jc w:val="center"/>
        <w:rPr>
          <w:noProof/>
          <w:szCs w:val="20"/>
        </w:rPr>
      </w:pPr>
      <w:r w:rsidRPr="007418EE">
        <w:rPr>
          <w:noProof/>
          <w:szCs w:val="20"/>
          <w:lang w:eastAsia="sl-SI"/>
        </w:rPr>
        <w:drawing>
          <wp:inline distT="0" distB="0" distL="0" distR="0" wp14:anchorId="5C1C5823" wp14:editId="466E2D2D">
            <wp:extent cx="5706110" cy="2143760"/>
            <wp:effectExtent l="0" t="0" r="8890" b="8890"/>
            <wp:docPr id="24169626" name="Slika 2416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6110" cy="2143760"/>
                    </a:xfrm>
                    <a:prstGeom prst="rect">
                      <a:avLst/>
                    </a:prstGeom>
                    <a:noFill/>
                    <a:ln>
                      <a:noFill/>
                    </a:ln>
                  </pic:spPr>
                </pic:pic>
              </a:graphicData>
            </a:graphic>
          </wp:inline>
        </w:drawing>
      </w:r>
    </w:p>
    <w:p w14:paraId="0767EDFE" w14:textId="77777777" w:rsidR="00F679A2" w:rsidRPr="007418EE" w:rsidRDefault="00F679A2" w:rsidP="00F679A2">
      <w:pPr>
        <w:widowControl w:val="0"/>
        <w:spacing w:line="360" w:lineRule="auto"/>
        <w:ind w:left="170" w:hanging="170"/>
        <w:rPr>
          <w:sz w:val="16"/>
          <w:szCs w:val="16"/>
        </w:rPr>
      </w:pPr>
      <w:r w:rsidRPr="007418EE">
        <w:rPr>
          <w:sz w:val="16"/>
          <w:szCs w:val="16"/>
        </w:rPr>
        <w:t>Vir: Modelne kalkulacije KIS</w:t>
      </w:r>
      <w:r>
        <w:rPr>
          <w:sz w:val="16"/>
          <w:szCs w:val="16"/>
        </w:rPr>
        <w:t xml:space="preserve"> (ZP-2019)</w:t>
      </w:r>
    </w:p>
    <w:p w14:paraId="3921CBAB" w14:textId="77777777" w:rsidR="00F679A2" w:rsidRPr="005B2A49" w:rsidRDefault="00F679A2" w:rsidP="005B2A49">
      <w:pPr>
        <w:spacing w:after="120" w:line="260" w:lineRule="atLeast"/>
        <w:rPr>
          <w:rFonts w:eastAsia="Calibri"/>
          <w:szCs w:val="20"/>
        </w:rPr>
      </w:pPr>
      <w:r w:rsidRPr="005B2A49">
        <w:rPr>
          <w:rFonts w:eastAsia="Calibri"/>
          <w:szCs w:val="20"/>
        </w:rPr>
        <w:t xml:space="preserve">Cene prašičev se v Sloveniji oblikujejo pod močnim vplivom cen na evropskem trgu, ki med leti ciklično zelo nihajo. Slovenija se že nekaj let uvršča v prvo tretjino držav z najvišjo odkupno ceno v EU. Odkupna cena v letu 2019 je bila 7 % nad povprečjem EU. </w:t>
      </w:r>
    </w:p>
    <w:p w14:paraId="608F37E6" w14:textId="77777777" w:rsidR="00F679A2" w:rsidRPr="005B2A49" w:rsidRDefault="00F679A2" w:rsidP="005B2A49">
      <w:pPr>
        <w:spacing w:after="120" w:line="260" w:lineRule="atLeast"/>
        <w:rPr>
          <w:rFonts w:eastAsia="Calibri"/>
          <w:szCs w:val="20"/>
        </w:rPr>
      </w:pPr>
      <w:r w:rsidRPr="005B2A49">
        <w:rPr>
          <w:rFonts w:eastAsia="Calibri"/>
          <w:szCs w:val="20"/>
        </w:rPr>
        <w:t xml:space="preserve">Vpliv prašičereje na okolje v glavnem ni ugoden zaradi potencialnega onesnaževanja predvsem podtalnice z nitrati in kloridi, površinskih voda s fosfati in okolice z amonijakom ter smradom. Prašičereja ni priljubljena zlasti v urbanih okoljih (smrad, vedno večji konflikti pri umeščanju prašičerejskih objektov v prostor). Zato so potrebna večja vlaganja v čistilne naprave, opremo in drugo infrastrukturo. </w:t>
      </w:r>
    </w:p>
    <w:p w14:paraId="71606CD6" w14:textId="77777777" w:rsidR="00F679A2" w:rsidRPr="005B2A49" w:rsidRDefault="00F679A2" w:rsidP="005B2A49">
      <w:pPr>
        <w:spacing w:after="120" w:line="260" w:lineRule="atLeast"/>
        <w:rPr>
          <w:rFonts w:eastAsia="Calibri"/>
          <w:szCs w:val="20"/>
        </w:rPr>
      </w:pPr>
      <w:r w:rsidRPr="005B2A49">
        <w:rPr>
          <w:rFonts w:eastAsia="Calibri"/>
          <w:szCs w:val="20"/>
        </w:rPr>
        <w:t>Zaradi značilnosti prašičereje je nujno dosledno izboljševanje in izvajanje biovarnostnih ukrepov. Pri odprtih rejah (na primer ekološke reje) je tveganje večje kot pri zaprtih rejah. Še posebej je velika nevarnost vnosa afiriške prašičje kuge (APK) in drugih kužnih bolezni.</w:t>
      </w:r>
    </w:p>
    <w:p w14:paraId="1B3C385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SKP 2014 – 2020 lahko prašičerejci za svoje kmetijske površine uveljavljajo osnovno plačilo, plačilo za zeleno komponento in, če so mladi kmetje, tudi plačilo za mlade kmete, prav tako pa je pomembna podpora za strna žita in glede na podatke tudi podpora za zelenjadnice. Po podatkih ARSKTRP o izplačilih neposrednih plačil za leto 2019 je seštevek osnovnega plačila (plačilna pravica) in plačila za zeleno komponento na kmetijskih gospodarstvih, ki imajo tudi prašiče 269 EUR/ha. Povprečna vrednost plačilnih pravic znaša 172 EUR/ha, kar je nekoliko nad povprečjem (160 EUR/ha). Kmetijska gospodarstva, ki redijo prašiče pa uveljavljajo tudi proizvodno vezano podporo za strna žita, ki jo je prejelo 7.770 KMG in proizvodno vezano podporo za zelenjavo, ki jo je prejelo 292 KMG. </w:t>
      </w:r>
    </w:p>
    <w:p w14:paraId="704B33E7" w14:textId="77777777" w:rsidR="00F679A2" w:rsidRPr="005B2A49" w:rsidRDefault="00F679A2" w:rsidP="005B2A49">
      <w:pPr>
        <w:spacing w:after="120" w:line="260" w:lineRule="atLeast"/>
        <w:rPr>
          <w:rFonts w:eastAsia="Calibri"/>
          <w:szCs w:val="20"/>
        </w:rPr>
      </w:pPr>
      <w:r w:rsidRPr="005B2A49">
        <w:rPr>
          <w:rFonts w:eastAsia="Calibri"/>
          <w:szCs w:val="20"/>
        </w:rPr>
        <w:t>Skupno je bilo v programskem obdobju PRP 2014-2020 do 31. 8. 2019 odobrenih 80 vlog pri ukrepih investicij, mladih kmetov, prenosa znanja in informiranja ter dobrobiti živali za prašičerejska kmetijska gospodarstva z zneskom 21,22 milijona EUR. Od tega je bilo do 31. 8. 2019 izplačanih 13,21 milijona EUR. Dodatno so ta KMG prejela tudi približno 14 milijonov sredstev v okviru KOPOP podukrepov, med drugimi tudi za ohranjanje avtohtone pasme krškopoljski prašič.</w:t>
      </w:r>
    </w:p>
    <w:p w14:paraId="1013293F" w14:textId="77777777" w:rsidR="00F679A2" w:rsidRPr="005B2A49" w:rsidRDefault="00F679A2" w:rsidP="005B2A49">
      <w:pPr>
        <w:spacing w:after="120" w:line="260" w:lineRule="atLeast"/>
        <w:rPr>
          <w:rFonts w:eastAsia="Calibri"/>
          <w:szCs w:val="20"/>
        </w:rPr>
      </w:pPr>
      <w:r w:rsidRPr="005B2A49">
        <w:rPr>
          <w:rFonts w:eastAsia="Calibri"/>
          <w:szCs w:val="20"/>
        </w:rPr>
        <w:t>Na področju dobrobiti prašičev se stanje izboljšuje. Ukrep se izvaja od leta 2014, vanj pa je bilo do sedaj vključenih 302 kmetijskih gospodarstev. V letu 2019 je bilo v ukrepu že 50 % vseh GVŽ prašičev. Izvajanje ukrepa dobrobiti živali je potrebno ohraniti in krepiti še naprej, težave so pri pridobivanju dodatnih zemljišč za povečanje proizvodnje, potrebna so velika vlaganja v posodobitev in novogradnje objektov in opreme, digitalizacije ipd.</w:t>
      </w:r>
    </w:p>
    <w:p w14:paraId="4A2200F8" w14:textId="77777777" w:rsidR="00F679A2" w:rsidRPr="005B2A49" w:rsidRDefault="00F679A2" w:rsidP="005B2A49">
      <w:pPr>
        <w:spacing w:after="120" w:line="260" w:lineRule="atLeast"/>
        <w:rPr>
          <w:rFonts w:eastAsia="Calibri"/>
          <w:szCs w:val="20"/>
        </w:rPr>
      </w:pPr>
      <w:r w:rsidRPr="005B2A49">
        <w:rPr>
          <w:rFonts w:eastAsia="Calibri"/>
          <w:szCs w:val="20"/>
        </w:rPr>
        <w:t>Ukrepi podpor de minimis v prašičereji so bili v preteklosti uporabljeni le izjemoma za blažitev poslabšanja ekonomskega položaja.</w:t>
      </w:r>
    </w:p>
    <w:p w14:paraId="158C14F2" w14:textId="77777777" w:rsidR="00F679A2" w:rsidRPr="005B2A49" w:rsidRDefault="00F679A2" w:rsidP="005B2A49">
      <w:pPr>
        <w:spacing w:after="120" w:line="260" w:lineRule="atLeast"/>
        <w:rPr>
          <w:rFonts w:eastAsia="Calibri"/>
          <w:szCs w:val="20"/>
        </w:rPr>
      </w:pPr>
      <w:r w:rsidRPr="005B2A49">
        <w:rPr>
          <w:rFonts w:eastAsia="Calibri"/>
          <w:szCs w:val="20"/>
        </w:rPr>
        <w:t>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3A0C3C24" w14:textId="77777777" w:rsidR="00F679A2" w:rsidRPr="005B2A49" w:rsidRDefault="00F679A2" w:rsidP="005B2A49">
      <w:pPr>
        <w:spacing w:after="120" w:line="260" w:lineRule="atLeast"/>
        <w:rPr>
          <w:rFonts w:eastAsia="Calibri"/>
          <w:szCs w:val="20"/>
        </w:rPr>
      </w:pPr>
      <w:r w:rsidRPr="005B2A49">
        <w:rPr>
          <w:rFonts w:eastAsia="Calibri"/>
          <w:szCs w:val="20"/>
        </w:rPr>
        <w:t>Prašičereja je vključena v izvajanje javne službe strokovnih nalog v živinoreji in javne službe nalog genske banke v živinoreji. V javno službo strokovnih nalog na področju prašičereje so vključene naslednje pasme oz. linije: slovenska landrace (linija 11), slovenski veliki beli prašič (linija 22), pietrain (44), slovenska landrace (linija 55), krškopoljski prašič (88), hibrid 12, hibrid 21 in hibrid 54. V sklopu teh nalog se izvaja predvsem izboljševanje proizvodnih in neproizvodnih lastnosti čistopasemskih plemenskih živali ter ohranjanje genetskega napredka, skrbi se za plemenski material in živali, ki so vpisane v rodovniške knjige in registre ter doseganje boljše kakovosti živinorejskih proizvodov.</w:t>
      </w:r>
    </w:p>
    <w:p w14:paraId="026BFBB6"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varuje/ohranja edina avtohtona pasma prašičev, krškopoljski prašič, ki ima drugo stopnjo ogroženosti. V letu 2019 se je Register pasem z zootehniško oceno vodil za pet pasem prašičev: krškopoljski prašič, slovenska landrace (linija 11), slovenska landrace (linija 55), slovenski veliki beli prašič (linija 22) in pietrain (44). Javna služba opravlja naloge na področjih spremljanja stanja in karakterizacije pasem, mehanizmih trajnostne rabe in razvoja, oblik ohranjanja živalskih genskih virov ter politik upravljanja živalskih genskih virov.</w:t>
      </w:r>
    </w:p>
    <w:p w14:paraId="03A4254D" w14:textId="77777777" w:rsidR="00F679A2" w:rsidRPr="005B2A49" w:rsidRDefault="00F679A2" w:rsidP="005B2A49">
      <w:pPr>
        <w:spacing w:after="120" w:line="260" w:lineRule="atLeast"/>
        <w:rPr>
          <w:rFonts w:eastAsia="Calibri"/>
          <w:szCs w:val="20"/>
        </w:rPr>
      </w:pPr>
      <w:r w:rsidRPr="005B2A49">
        <w:rPr>
          <w:rFonts w:eastAsia="Calibri"/>
          <w:szCs w:val="20"/>
        </w:rPr>
        <w:t>Rejcem prašičev je svetovanje zagotovljeno preko javne službe kmetijskega svetovanja, ki na primer svetuje na področjih tehnologij reje, dobrobiti živali, biovarnostnih ukrepov, sestave krmnega obroka, rabe in skladiščenja gnojil, pri gradnji objektov in drugih tehnoloških vprašanjih.</w:t>
      </w:r>
    </w:p>
    <w:p w14:paraId="4B37A695" w14:textId="77777777" w:rsidR="00F679A2" w:rsidRDefault="00F679A2" w:rsidP="005B2A49">
      <w:pPr>
        <w:spacing w:after="120" w:line="260" w:lineRule="atLeast"/>
        <w:rPr>
          <w:rFonts w:eastAsia="Calibri"/>
          <w:szCs w:val="20"/>
        </w:rPr>
      </w:pPr>
      <w:r w:rsidRPr="005B2A49">
        <w:rPr>
          <w:rFonts w:eastAsia="Calibri"/>
          <w:szCs w:val="20"/>
        </w:rPr>
        <w:t>V zadnjih desetih letih so slovenski raziskovalci na področju prašičereje izvajali štiri ciljne raziskovalne programe, ki so bili usmerjeni v celovite rešitve sistemov rej, v proizvode višje kakovosti z uporabo tehnologije, alternativnih krmil in naravnih dodatkov ter dobrobiti prašičev v povezavi s tehnologijo in  zdravstvenim stanjem. Izvajala sta se aplikativni projekt in ERA-Net projekt na področju imunokastracije merjaščkov glede vpliva na kakovost proizvodov ter EIP projekta na področju sledljivosti porekla pri pasmi krškopoljski prašič in reje prašičev za proizvodnjo izdelkov višje kakovosti.</w:t>
      </w:r>
    </w:p>
    <w:p w14:paraId="30FE8806" w14:textId="77777777" w:rsidR="00F679A2" w:rsidRDefault="00F679A2" w:rsidP="00F679A2">
      <w:pPr>
        <w:rPr>
          <w:highlight w:val="yellow"/>
        </w:rPr>
      </w:pPr>
    </w:p>
    <w:p w14:paraId="2FB519EF" w14:textId="77777777" w:rsidR="00F679A2" w:rsidRPr="0022702B" w:rsidRDefault="00F679A2" w:rsidP="00F679A2">
      <w:pPr>
        <w:pStyle w:val="Naslov3"/>
        <w:rPr>
          <w:rFonts w:eastAsia="Calibri"/>
        </w:rPr>
      </w:pPr>
      <w:bookmarkStart w:id="3154" w:name="_Toc90462252"/>
      <w:r w:rsidRPr="0022702B">
        <w:rPr>
          <w:rFonts w:eastAsia="Calibri"/>
        </w:rPr>
        <w:t>Ključne ugotovitve</w:t>
      </w:r>
      <w:bookmarkEnd w:id="3154"/>
    </w:p>
    <w:p w14:paraId="02A1E65C"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Število prašičev v Sloveniji se v zadnjem desetletju zmanjšuje. Zmanjšuje se interes rejcev za zagotavljanje plemenskega materiala, pujskov za nadaljnjo rejo v Sloveniji ni dovolj in rejci so odvisni od uvoza živali, posledično je onemogočena ponudba sheme kakovosti Izbrana kakovost Slovenije. Potrebne so naložbe in boljša organiziranost prašičerejcev.</w:t>
      </w:r>
    </w:p>
    <w:p w14:paraId="180F0595"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 xml:space="preserve">Na oblikovanje cen v Sloveniji imajo velik vpliv cene na evropskih trgih (vpliv azijskega trga, Covid-19 idr.). </w:t>
      </w:r>
    </w:p>
    <w:p w14:paraId="1355D46A"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Panoga ima v Sloveniji dovolj tržnega potenciala, saj je samooskrba le 40 %, potrošniki pa so navajeni na uporabo prašičjega mesa.</w:t>
      </w:r>
    </w:p>
    <w:p w14:paraId="5EC2A239" w14:textId="61C309D0"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 xml:space="preserve">Večja podjetja kooperantom zagotavljajo znanje in repromaterial ter ustrezno tehnologijo. Rejci </w:t>
      </w:r>
      <w:r w:rsidR="002D10A4">
        <w:rPr>
          <w:rFonts w:ascii="Arial" w:hAnsi="Arial"/>
          <w:sz w:val="22"/>
        </w:rPr>
        <w:t xml:space="preserve">so slabo </w:t>
      </w:r>
      <w:r w:rsidRPr="00F679A2">
        <w:rPr>
          <w:rFonts w:ascii="Arial" w:hAnsi="Arial"/>
          <w:sz w:val="22"/>
        </w:rPr>
        <w:t xml:space="preserve"> organizirani in imamo </w:t>
      </w:r>
      <w:r w:rsidR="002D10A4">
        <w:rPr>
          <w:rFonts w:ascii="Arial" w:hAnsi="Arial"/>
          <w:sz w:val="22"/>
        </w:rPr>
        <w:t xml:space="preserve">samo eno </w:t>
      </w:r>
      <w:r w:rsidRPr="00F679A2">
        <w:rPr>
          <w:rFonts w:ascii="Arial" w:hAnsi="Arial"/>
          <w:sz w:val="22"/>
        </w:rPr>
        <w:t>organizacij</w:t>
      </w:r>
      <w:r w:rsidR="002D10A4">
        <w:rPr>
          <w:rFonts w:ascii="Arial" w:hAnsi="Arial"/>
          <w:sz w:val="22"/>
        </w:rPr>
        <w:t>o</w:t>
      </w:r>
      <w:r w:rsidRPr="00F679A2">
        <w:rPr>
          <w:rFonts w:ascii="Arial" w:hAnsi="Arial"/>
          <w:sz w:val="22"/>
        </w:rPr>
        <w:t xml:space="preserve"> proizvajalcev,</w:t>
      </w:r>
      <w:r w:rsidR="002D10A4">
        <w:rPr>
          <w:rFonts w:ascii="Arial" w:hAnsi="Arial"/>
          <w:sz w:val="22"/>
        </w:rPr>
        <w:t xml:space="preserve"> vzpostavljanje organizacij proizvajalcev</w:t>
      </w:r>
      <w:r w:rsidRPr="00F679A2">
        <w:rPr>
          <w:rFonts w:ascii="Arial" w:hAnsi="Arial"/>
          <w:sz w:val="22"/>
        </w:rPr>
        <w:t xml:space="preserve"> bi bilo treba zaradi zagotavljanja pujskov in tudi uspešne organizirane prodaje spodbujati in okrepiti.</w:t>
      </w:r>
    </w:p>
    <w:p w14:paraId="6BD65BFE" w14:textId="09ED2C69" w:rsid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 xml:space="preserve">Prašičereja v </w:t>
      </w:r>
      <w:r w:rsidRPr="005B2A49">
        <w:rPr>
          <w:rFonts w:ascii="Arial" w:hAnsi="Arial"/>
          <w:sz w:val="22"/>
        </w:rPr>
        <w:t>urbanih okoljih</w:t>
      </w:r>
      <w:r w:rsidRPr="00F679A2">
        <w:rPr>
          <w:rFonts w:ascii="Arial" w:hAnsi="Arial"/>
          <w:sz w:val="22"/>
        </w:rPr>
        <w:t xml:space="preserve"> ni priljubljena (smrad, vedno večji konflikti pri umeščanju prašičerejskih objektov v prostoru), APK in druge prenosljive bolezni predstavljajo resno grožnjo prireji prašičev v Sloveniji, zato bodo potrebne dodatne naložbe za okrepitev biovarnosti.</w:t>
      </w:r>
    </w:p>
    <w:p w14:paraId="6ACD73AC" w14:textId="77777777" w:rsidR="00F679A2" w:rsidRPr="002E7B9B" w:rsidRDefault="00F679A2" w:rsidP="005B2A49">
      <w:pPr>
        <w:pStyle w:val="Odstavekseznama"/>
        <w:autoSpaceDE w:val="0"/>
        <w:autoSpaceDN w:val="0"/>
        <w:adjustRightInd w:val="0"/>
        <w:spacing w:after="120" w:line="260" w:lineRule="atLeast"/>
        <w:ind w:left="360"/>
      </w:pPr>
    </w:p>
    <w:p w14:paraId="1993FFB5" w14:textId="77777777" w:rsidR="00F679A2" w:rsidRPr="0022702B" w:rsidRDefault="00FB6BEC" w:rsidP="00F679A2">
      <w:pPr>
        <w:pStyle w:val="Naslov2"/>
      </w:pPr>
      <w:hyperlink r:id="rId92" w:history="1">
        <w:bookmarkStart w:id="3155" w:name="_Toc90462253"/>
        <w:r w:rsidR="00F679A2" w:rsidRPr="0022702B">
          <w:t>Perutninarstvo</w:t>
        </w:r>
        <w:bookmarkEnd w:id="3155"/>
      </w:hyperlink>
    </w:p>
    <w:p w14:paraId="5DC593E6" w14:textId="77777777" w:rsidR="00F679A2" w:rsidRPr="005B2A49" w:rsidRDefault="00F679A2" w:rsidP="005B2A49">
      <w:pPr>
        <w:spacing w:after="120" w:line="260" w:lineRule="atLeast"/>
        <w:rPr>
          <w:rFonts w:eastAsia="Calibri"/>
          <w:szCs w:val="20"/>
        </w:rPr>
      </w:pPr>
      <w:r w:rsidRPr="005B2A49">
        <w:rPr>
          <w:rFonts w:eastAsia="Calibri"/>
          <w:szCs w:val="20"/>
        </w:rPr>
        <w:t xml:space="preserve">Perutnina je tradicionalno prisotna skoraj na vsakem kmetijskem gospodarstvu, panoga s prirejo perutninskega mesa in jajc pa se je razvila v zadnjih desetletjih in dosega pomemben delež v kmetijskih proizvodnji. Prireja perutninskega mesa in jajc je tržno in izvozno naravnana, večina proizvodnje se odvija v kooperaciji s komercialno uspešnimi pasmami/linijami. Še vedno pa je v tradicionalnih rejah in v genski banki v živinoreji zaslediti štajersko kokoš, slovensko grahasto kokoš, slovensko srebrno kokoš, slovensko rjavo kokoš in slovensko pozno operjeno kokoš. Panoga ima še vedno velik razvojni in izvozni potencial. </w:t>
      </w:r>
    </w:p>
    <w:p w14:paraId="7FC7D3E4" w14:textId="77777777" w:rsidR="00F679A2" w:rsidRPr="005718B1" w:rsidRDefault="00F679A2" w:rsidP="00F679A2"/>
    <w:p w14:paraId="3018BCE7" w14:textId="77777777" w:rsidR="00F679A2" w:rsidRDefault="00F679A2" w:rsidP="00F679A2">
      <w:pPr>
        <w:pStyle w:val="Naslov3"/>
        <w:rPr>
          <w:rFonts w:eastAsia="Calibri"/>
        </w:rPr>
      </w:pPr>
      <w:bookmarkStart w:id="3156" w:name="_Toc90462254"/>
      <w:r w:rsidRPr="0022702B">
        <w:rPr>
          <w:rFonts w:eastAsia="Calibri"/>
        </w:rPr>
        <w:t>Stanje v sektorju in osnovni ekonomski kazalniki</w:t>
      </w:r>
      <w:bookmarkEnd w:id="3156"/>
      <w:r w:rsidRPr="0022702B">
        <w:rPr>
          <w:rFonts w:eastAsia="Calibri"/>
        </w:rPr>
        <w:t xml:space="preserve"> </w:t>
      </w:r>
    </w:p>
    <w:p w14:paraId="4ECB97DC" w14:textId="7D83B565" w:rsidR="00F679A2" w:rsidRPr="005B2A49" w:rsidRDefault="00F679A2" w:rsidP="005B2A49">
      <w:pPr>
        <w:spacing w:after="120" w:line="260" w:lineRule="atLeast"/>
        <w:rPr>
          <w:rFonts w:eastAsia="Calibri"/>
          <w:szCs w:val="20"/>
        </w:rPr>
      </w:pPr>
      <w:r w:rsidRPr="005B2A49">
        <w:rPr>
          <w:rFonts w:eastAsia="Calibri"/>
          <w:szCs w:val="20"/>
        </w:rPr>
        <w:t>Prireja perutninskega mesa v Sloveniji je v zadnjem desetletju dosegla okoli 8</w:t>
      </w:r>
      <w:r w:rsidR="009E7E6E">
        <w:rPr>
          <w:rFonts w:eastAsia="Calibri"/>
          <w:szCs w:val="20"/>
        </w:rPr>
        <w:t> </w:t>
      </w:r>
      <w:r w:rsidRPr="005B2A49">
        <w:rPr>
          <w:rFonts w:eastAsia="Calibri"/>
          <w:szCs w:val="20"/>
        </w:rPr>
        <w:t>% skupne vrednosti kmetijstva, v okviru živinorejske proizvodnje pa okoli 18</w:t>
      </w:r>
      <w:r w:rsidR="009E7E6E">
        <w:rPr>
          <w:rFonts w:eastAsia="Calibri"/>
          <w:szCs w:val="20"/>
        </w:rPr>
        <w:t> </w:t>
      </w:r>
      <w:r w:rsidRPr="005B2A49">
        <w:rPr>
          <w:rFonts w:eastAsia="Calibri"/>
          <w:szCs w:val="20"/>
        </w:rPr>
        <w:t xml:space="preserve">%. </w:t>
      </w:r>
      <w:r w:rsidR="00460106">
        <w:rPr>
          <w:rFonts w:eastAsia="Calibri"/>
          <w:szCs w:val="20"/>
        </w:rPr>
        <w:t>P</w:t>
      </w:r>
      <w:r w:rsidRPr="005B2A49">
        <w:rPr>
          <w:rFonts w:eastAsia="Calibri"/>
          <w:szCs w:val="20"/>
        </w:rPr>
        <w:t>rireja jajc k skupni kmetijski proizvodnji v zadnjih letih prispeva okoli 3</w:t>
      </w:r>
      <w:r w:rsidR="009E7E6E">
        <w:rPr>
          <w:rFonts w:eastAsia="Calibri"/>
          <w:szCs w:val="20"/>
        </w:rPr>
        <w:t> </w:t>
      </w:r>
      <w:r w:rsidRPr="005B2A49">
        <w:rPr>
          <w:rFonts w:eastAsia="Calibri"/>
          <w:szCs w:val="20"/>
        </w:rPr>
        <w:t>%, k vrednosti živinoreje pa okoli 7 %.</w:t>
      </w:r>
    </w:p>
    <w:p w14:paraId="738DA677" w14:textId="7712E7A0" w:rsidR="00F679A2" w:rsidRDefault="00F679A2" w:rsidP="005B2A49">
      <w:pPr>
        <w:spacing w:after="120" w:line="260" w:lineRule="atLeast"/>
      </w:pPr>
      <w:r w:rsidRPr="005B2A49">
        <w:rPr>
          <w:rFonts w:eastAsia="Calibri"/>
          <w:szCs w:val="20"/>
        </w:rPr>
        <w:t>Število kmetijskih gospodarstev, kjer redijo perutnino se je po statističnih podatkih od leta 2005 do 2010 zmanjšalo (iz 45.512 na 36.240), nato pa se je rahlo povečevalo in v letu 2016 znašalo 37.840 kmetijskih gospodarstev. Glede na kategorije živali je največ kmetijskih gospodarstev z rejo kokoši nesnic, sledijo kmetijska gospodarstva, ki zapadejo v kategorijo druge kokoši (petelini, jarkice) in kmetijska gospodarstva z rejo pitovnih piščancev. Po podatkih registra obratov rej kokoši nesnic je bilo na dan 31.</w:t>
      </w:r>
      <w:r w:rsidR="009E7E6E">
        <w:rPr>
          <w:rFonts w:eastAsia="Calibri"/>
          <w:szCs w:val="20"/>
        </w:rPr>
        <w:t> </w:t>
      </w:r>
      <w:r w:rsidRPr="005B2A49">
        <w:rPr>
          <w:rFonts w:eastAsia="Calibri"/>
          <w:szCs w:val="20"/>
        </w:rPr>
        <w:t>3.</w:t>
      </w:r>
      <w:r w:rsidR="009E7E6E">
        <w:rPr>
          <w:rFonts w:eastAsia="Calibri"/>
          <w:szCs w:val="20"/>
        </w:rPr>
        <w:t> </w:t>
      </w:r>
      <w:r w:rsidRPr="005B2A49">
        <w:rPr>
          <w:rFonts w:eastAsia="Calibri"/>
          <w:szCs w:val="20"/>
        </w:rPr>
        <w:t>2020 registriranih 200 obratov (43 proste reje, 86 hlevske reje, 46 baterijske reje in 25 ekološke reje). V povsem zaprtem sistemu poteka 2/3 reje kokoši nesnic.</w:t>
      </w:r>
      <w:r w:rsidR="00460106">
        <w:rPr>
          <w:rFonts w:eastAsia="Calibri"/>
          <w:szCs w:val="20"/>
        </w:rPr>
        <w:t xml:space="preserve"> </w:t>
      </w:r>
      <w:r w:rsidR="00460106">
        <w:t>V letu 2005 je bilo na kmetijskem gospodarstvu povprečno 72,4 kljunov, v letu 2016 pa 164,4 kljunov.</w:t>
      </w:r>
    </w:p>
    <w:p w14:paraId="71379BC2" w14:textId="77777777" w:rsidR="00726070" w:rsidRDefault="00726070" w:rsidP="005B2A49">
      <w:pPr>
        <w:pStyle w:val="SCPreglednica"/>
      </w:pPr>
    </w:p>
    <w:p w14:paraId="40804FCD" w14:textId="789750CB" w:rsidR="00726070" w:rsidRDefault="00726070" w:rsidP="00726070">
      <w:pPr>
        <w:pStyle w:val="SCPreglednica"/>
      </w:pPr>
      <w:bookmarkStart w:id="3157" w:name="_Toc89861013"/>
      <w:r>
        <w:t xml:space="preserve">Tabela </w:t>
      </w:r>
      <w:r>
        <w:rPr>
          <w:noProof/>
        </w:rPr>
        <w:fldChar w:fldCharType="begin"/>
      </w:r>
      <w:r>
        <w:rPr>
          <w:noProof/>
        </w:rPr>
        <w:instrText xml:space="preserve"> SEQ Tabela \* ARABIC </w:instrText>
      </w:r>
      <w:r>
        <w:rPr>
          <w:noProof/>
        </w:rPr>
        <w:fldChar w:fldCharType="separate"/>
      </w:r>
      <w:r w:rsidR="002E0D2A">
        <w:rPr>
          <w:noProof/>
        </w:rPr>
        <w:t>21</w:t>
      </w:r>
      <w:r>
        <w:rPr>
          <w:noProof/>
        </w:rPr>
        <w:fldChar w:fldCharType="end"/>
      </w:r>
      <w:r>
        <w:t xml:space="preserve">: </w:t>
      </w:r>
      <w:r w:rsidRPr="00726070">
        <w:t>Število perutnine po vrstah in število kmetijskih gospodarstev v letih 2000-2016</w:t>
      </w:r>
      <w:bookmarkEnd w:id="3157"/>
    </w:p>
    <w:tbl>
      <w:tblPr>
        <w:tblW w:w="10247" w:type="dxa"/>
        <w:tblCellMar>
          <w:left w:w="70" w:type="dxa"/>
          <w:right w:w="70" w:type="dxa"/>
        </w:tblCellMar>
        <w:tblLook w:val="04A0" w:firstRow="1" w:lastRow="0" w:firstColumn="1" w:lastColumn="0" w:noHBand="0" w:noVBand="1"/>
      </w:tblPr>
      <w:tblGrid>
        <w:gridCol w:w="848"/>
        <w:gridCol w:w="763"/>
        <w:gridCol w:w="763"/>
        <w:gridCol w:w="763"/>
        <w:gridCol w:w="763"/>
        <w:gridCol w:w="763"/>
        <w:gridCol w:w="763"/>
        <w:gridCol w:w="763"/>
        <w:gridCol w:w="639"/>
        <w:gridCol w:w="569"/>
        <w:gridCol w:w="569"/>
        <w:gridCol w:w="569"/>
        <w:gridCol w:w="569"/>
        <w:gridCol w:w="569"/>
        <w:gridCol w:w="574"/>
      </w:tblGrid>
      <w:tr w:rsidR="00460106" w:rsidRPr="00842ABF" w14:paraId="57BFE4EF" w14:textId="77777777" w:rsidTr="00726070">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DC593" w14:textId="77777777" w:rsidR="00460106" w:rsidRPr="00842ABF" w:rsidRDefault="00460106" w:rsidP="00460106">
            <w:pPr>
              <w:spacing w:line="240" w:lineRule="auto"/>
              <w:rPr>
                <w:sz w:val="14"/>
                <w:szCs w:val="14"/>
                <w:lang w:eastAsia="sl-SI"/>
              </w:rPr>
            </w:pPr>
            <w:r w:rsidRPr="00842ABF">
              <w:rPr>
                <w:sz w:val="14"/>
                <w:szCs w:val="14"/>
                <w:lang w:eastAsia="sl-SI"/>
              </w:rPr>
              <w:t> </w:t>
            </w:r>
          </w:p>
        </w:tc>
        <w:tc>
          <w:tcPr>
            <w:tcW w:w="534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8617DA2" w14:textId="77777777" w:rsidR="00460106" w:rsidRPr="0098075F" w:rsidRDefault="00460106" w:rsidP="00460106">
            <w:pPr>
              <w:spacing w:line="240" w:lineRule="auto"/>
              <w:rPr>
                <w:b/>
                <w:sz w:val="14"/>
                <w:szCs w:val="14"/>
                <w:lang w:eastAsia="sl-SI"/>
              </w:rPr>
            </w:pPr>
            <w:r w:rsidRPr="0098075F">
              <w:rPr>
                <w:b/>
                <w:sz w:val="14"/>
                <w:szCs w:val="14"/>
                <w:lang w:eastAsia="sl-SI"/>
              </w:rPr>
              <w:t>Število živali </w:t>
            </w:r>
          </w:p>
        </w:tc>
        <w:tc>
          <w:tcPr>
            <w:tcW w:w="4058"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D7289" w14:textId="77777777" w:rsidR="00460106" w:rsidRPr="0098075F" w:rsidRDefault="00460106" w:rsidP="00460106">
            <w:pPr>
              <w:spacing w:line="240" w:lineRule="auto"/>
              <w:rPr>
                <w:b/>
                <w:sz w:val="14"/>
                <w:szCs w:val="14"/>
                <w:lang w:eastAsia="sl-SI"/>
              </w:rPr>
            </w:pPr>
            <w:r w:rsidRPr="0098075F">
              <w:rPr>
                <w:b/>
                <w:sz w:val="14"/>
                <w:szCs w:val="14"/>
                <w:lang w:eastAsia="sl-SI"/>
              </w:rPr>
              <w:t> Število kmetijskih gospodarstev </w:t>
            </w:r>
          </w:p>
        </w:tc>
      </w:tr>
      <w:tr w:rsidR="00460106" w:rsidRPr="00842ABF" w14:paraId="4669E2BE"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7BE85B4" w14:textId="77777777" w:rsidR="00460106" w:rsidRPr="00842ABF" w:rsidRDefault="00460106" w:rsidP="00460106">
            <w:pPr>
              <w:spacing w:line="240" w:lineRule="auto"/>
              <w:rPr>
                <w:sz w:val="14"/>
                <w:szCs w:val="14"/>
                <w:lang w:eastAsia="sl-SI"/>
              </w:rPr>
            </w:pPr>
            <w:r w:rsidRPr="00842ABF">
              <w:rPr>
                <w:sz w:val="14"/>
                <w:szCs w:val="14"/>
                <w:lang w:eastAsia="sl-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31C4545" w14:textId="77777777" w:rsidR="00460106" w:rsidRPr="00842ABF" w:rsidRDefault="00460106" w:rsidP="00460106">
            <w:pPr>
              <w:spacing w:line="240" w:lineRule="auto"/>
              <w:rPr>
                <w:sz w:val="14"/>
                <w:szCs w:val="14"/>
                <w:lang w:eastAsia="sl-SI"/>
              </w:rPr>
            </w:pPr>
            <w:r w:rsidRPr="00842ABF">
              <w:rPr>
                <w:sz w:val="14"/>
                <w:szCs w:val="14"/>
                <w:lang w:eastAsia="sl-SI"/>
              </w:rPr>
              <w:t>2000</w:t>
            </w:r>
          </w:p>
        </w:tc>
        <w:tc>
          <w:tcPr>
            <w:tcW w:w="763" w:type="dxa"/>
            <w:tcBorders>
              <w:top w:val="nil"/>
              <w:left w:val="nil"/>
              <w:bottom w:val="single" w:sz="4" w:space="0" w:color="auto"/>
              <w:right w:val="single" w:sz="4" w:space="0" w:color="auto"/>
            </w:tcBorders>
            <w:shd w:val="clear" w:color="auto" w:fill="auto"/>
            <w:noWrap/>
            <w:vAlign w:val="bottom"/>
            <w:hideMark/>
          </w:tcPr>
          <w:p w14:paraId="4E9A6412" w14:textId="77777777" w:rsidR="00460106" w:rsidRPr="00842ABF" w:rsidRDefault="00460106" w:rsidP="00460106">
            <w:pPr>
              <w:spacing w:line="240" w:lineRule="auto"/>
              <w:rPr>
                <w:sz w:val="14"/>
                <w:szCs w:val="14"/>
                <w:lang w:eastAsia="sl-SI"/>
              </w:rPr>
            </w:pPr>
            <w:r w:rsidRPr="00842ABF">
              <w:rPr>
                <w:sz w:val="14"/>
                <w:szCs w:val="14"/>
                <w:lang w:eastAsia="sl-SI"/>
              </w:rPr>
              <w:t>2003</w:t>
            </w:r>
          </w:p>
        </w:tc>
        <w:tc>
          <w:tcPr>
            <w:tcW w:w="763" w:type="dxa"/>
            <w:tcBorders>
              <w:top w:val="nil"/>
              <w:left w:val="nil"/>
              <w:bottom w:val="single" w:sz="4" w:space="0" w:color="auto"/>
              <w:right w:val="single" w:sz="4" w:space="0" w:color="auto"/>
            </w:tcBorders>
            <w:shd w:val="clear" w:color="auto" w:fill="auto"/>
            <w:noWrap/>
            <w:vAlign w:val="bottom"/>
            <w:hideMark/>
          </w:tcPr>
          <w:p w14:paraId="13FDF7FC" w14:textId="77777777" w:rsidR="00460106" w:rsidRPr="00842ABF" w:rsidRDefault="00460106" w:rsidP="00460106">
            <w:pPr>
              <w:spacing w:line="240" w:lineRule="auto"/>
              <w:rPr>
                <w:sz w:val="14"/>
                <w:szCs w:val="14"/>
                <w:lang w:eastAsia="sl-SI"/>
              </w:rPr>
            </w:pPr>
            <w:r w:rsidRPr="00842ABF">
              <w:rPr>
                <w:sz w:val="14"/>
                <w:szCs w:val="14"/>
                <w:lang w:eastAsia="sl-SI"/>
              </w:rPr>
              <w:t>2005</w:t>
            </w:r>
          </w:p>
        </w:tc>
        <w:tc>
          <w:tcPr>
            <w:tcW w:w="763" w:type="dxa"/>
            <w:tcBorders>
              <w:top w:val="nil"/>
              <w:left w:val="nil"/>
              <w:bottom w:val="single" w:sz="4" w:space="0" w:color="auto"/>
              <w:right w:val="single" w:sz="4" w:space="0" w:color="auto"/>
            </w:tcBorders>
            <w:shd w:val="clear" w:color="auto" w:fill="auto"/>
            <w:noWrap/>
            <w:vAlign w:val="bottom"/>
            <w:hideMark/>
          </w:tcPr>
          <w:p w14:paraId="111F322D" w14:textId="77777777" w:rsidR="00460106" w:rsidRPr="00842ABF" w:rsidRDefault="00460106" w:rsidP="00460106">
            <w:pPr>
              <w:spacing w:line="240" w:lineRule="auto"/>
              <w:rPr>
                <w:sz w:val="14"/>
                <w:szCs w:val="14"/>
                <w:lang w:eastAsia="sl-SI"/>
              </w:rPr>
            </w:pPr>
            <w:r w:rsidRPr="00842ABF">
              <w:rPr>
                <w:sz w:val="14"/>
                <w:szCs w:val="14"/>
                <w:lang w:eastAsia="sl-SI"/>
              </w:rPr>
              <w:t>2007</w:t>
            </w:r>
          </w:p>
        </w:tc>
        <w:tc>
          <w:tcPr>
            <w:tcW w:w="763" w:type="dxa"/>
            <w:tcBorders>
              <w:top w:val="nil"/>
              <w:left w:val="nil"/>
              <w:bottom w:val="single" w:sz="4" w:space="0" w:color="auto"/>
              <w:right w:val="single" w:sz="4" w:space="0" w:color="auto"/>
            </w:tcBorders>
            <w:shd w:val="clear" w:color="auto" w:fill="auto"/>
            <w:noWrap/>
            <w:vAlign w:val="bottom"/>
            <w:hideMark/>
          </w:tcPr>
          <w:p w14:paraId="74D4A197" w14:textId="77777777" w:rsidR="00460106" w:rsidRPr="00842ABF" w:rsidRDefault="00460106" w:rsidP="00460106">
            <w:pPr>
              <w:spacing w:line="240" w:lineRule="auto"/>
              <w:rPr>
                <w:sz w:val="14"/>
                <w:szCs w:val="14"/>
                <w:lang w:eastAsia="sl-SI"/>
              </w:rPr>
            </w:pPr>
            <w:r w:rsidRPr="00842ABF">
              <w:rPr>
                <w:sz w:val="14"/>
                <w:szCs w:val="14"/>
                <w:lang w:eastAsia="sl-SI"/>
              </w:rPr>
              <w:t>2010</w:t>
            </w:r>
          </w:p>
        </w:tc>
        <w:tc>
          <w:tcPr>
            <w:tcW w:w="763" w:type="dxa"/>
            <w:tcBorders>
              <w:top w:val="nil"/>
              <w:left w:val="nil"/>
              <w:bottom w:val="single" w:sz="4" w:space="0" w:color="auto"/>
              <w:right w:val="single" w:sz="4" w:space="0" w:color="auto"/>
            </w:tcBorders>
            <w:shd w:val="clear" w:color="auto" w:fill="auto"/>
            <w:noWrap/>
            <w:vAlign w:val="bottom"/>
            <w:hideMark/>
          </w:tcPr>
          <w:p w14:paraId="1C48155E" w14:textId="77777777" w:rsidR="00460106" w:rsidRPr="00842ABF" w:rsidRDefault="00460106" w:rsidP="00460106">
            <w:pPr>
              <w:spacing w:line="240" w:lineRule="auto"/>
              <w:rPr>
                <w:sz w:val="14"/>
                <w:szCs w:val="14"/>
                <w:lang w:eastAsia="sl-SI"/>
              </w:rPr>
            </w:pPr>
            <w:r w:rsidRPr="00842ABF">
              <w:rPr>
                <w:sz w:val="14"/>
                <w:szCs w:val="14"/>
                <w:lang w:eastAsia="sl-SI"/>
              </w:rPr>
              <w:t>2013</w:t>
            </w:r>
          </w:p>
        </w:tc>
        <w:tc>
          <w:tcPr>
            <w:tcW w:w="763" w:type="dxa"/>
            <w:tcBorders>
              <w:top w:val="nil"/>
              <w:left w:val="nil"/>
              <w:bottom w:val="single" w:sz="4" w:space="0" w:color="auto"/>
              <w:right w:val="single" w:sz="4" w:space="0" w:color="auto"/>
            </w:tcBorders>
            <w:shd w:val="clear" w:color="auto" w:fill="auto"/>
            <w:noWrap/>
            <w:vAlign w:val="bottom"/>
            <w:hideMark/>
          </w:tcPr>
          <w:p w14:paraId="14688633" w14:textId="77777777" w:rsidR="00460106" w:rsidRPr="00842ABF" w:rsidRDefault="00460106" w:rsidP="00460106">
            <w:pPr>
              <w:spacing w:line="240" w:lineRule="auto"/>
              <w:rPr>
                <w:sz w:val="14"/>
                <w:szCs w:val="14"/>
                <w:lang w:eastAsia="sl-SI"/>
              </w:rPr>
            </w:pPr>
            <w:r w:rsidRPr="00842ABF">
              <w:rPr>
                <w:sz w:val="14"/>
                <w:szCs w:val="14"/>
                <w:lang w:eastAsia="sl-SI"/>
              </w:rPr>
              <w:t>2016</w:t>
            </w:r>
          </w:p>
        </w:tc>
        <w:tc>
          <w:tcPr>
            <w:tcW w:w="639" w:type="dxa"/>
            <w:tcBorders>
              <w:top w:val="nil"/>
              <w:left w:val="nil"/>
              <w:bottom w:val="single" w:sz="4" w:space="0" w:color="auto"/>
              <w:right w:val="single" w:sz="4" w:space="0" w:color="auto"/>
            </w:tcBorders>
            <w:shd w:val="clear" w:color="auto" w:fill="auto"/>
            <w:noWrap/>
            <w:vAlign w:val="bottom"/>
            <w:hideMark/>
          </w:tcPr>
          <w:p w14:paraId="08F11E35" w14:textId="77777777" w:rsidR="00460106" w:rsidRPr="00842ABF" w:rsidRDefault="00460106" w:rsidP="00460106">
            <w:pPr>
              <w:spacing w:line="240" w:lineRule="auto"/>
              <w:rPr>
                <w:sz w:val="14"/>
                <w:szCs w:val="14"/>
                <w:lang w:eastAsia="sl-SI"/>
              </w:rPr>
            </w:pPr>
            <w:r w:rsidRPr="00842ABF">
              <w:rPr>
                <w:sz w:val="14"/>
                <w:szCs w:val="14"/>
                <w:lang w:eastAsia="sl-SI"/>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5209C44" w14:textId="77777777" w:rsidR="00460106" w:rsidRPr="00842ABF" w:rsidRDefault="00460106" w:rsidP="00460106">
            <w:pPr>
              <w:spacing w:line="240" w:lineRule="auto"/>
              <w:rPr>
                <w:sz w:val="14"/>
                <w:szCs w:val="14"/>
                <w:lang w:eastAsia="sl-SI"/>
              </w:rPr>
            </w:pPr>
            <w:r w:rsidRPr="00842ABF">
              <w:rPr>
                <w:sz w:val="14"/>
                <w:szCs w:val="14"/>
                <w:lang w:eastAsia="sl-SI"/>
              </w:rPr>
              <w:t>2003</w:t>
            </w:r>
          </w:p>
        </w:tc>
        <w:tc>
          <w:tcPr>
            <w:tcW w:w="569" w:type="dxa"/>
            <w:tcBorders>
              <w:top w:val="nil"/>
              <w:left w:val="nil"/>
              <w:bottom w:val="single" w:sz="4" w:space="0" w:color="auto"/>
              <w:right w:val="single" w:sz="4" w:space="0" w:color="auto"/>
            </w:tcBorders>
            <w:shd w:val="clear" w:color="auto" w:fill="auto"/>
            <w:noWrap/>
            <w:vAlign w:val="bottom"/>
            <w:hideMark/>
          </w:tcPr>
          <w:p w14:paraId="6F179B57" w14:textId="77777777" w:rsidR="00460106" w:rsidRPr="00842ABF" w:rsidRDefault="00460106" w:rsidP="00460106">
            <w:pPr>
              <w:spacing w:line="240" w:lineRule="auto"/>
              <w:rPr>
                <w:sz w:val="14"/>
                <w:szCs w:val="14"/>
                <w:lang w:eastAsia="sl-SI"/>
              </w:rPr>
            </w:pPr>
            <w:r w:rsidRPr="00842ABF">
              <w:rPr>
                <w:sz w:val="14"/>
                <w:szCs w:val="14"/>
                <w:lang w:eastAsia="sl-SI"/>
              </w:rPr>
              <w:t>2005</w:t>
            </w:r>
          </w:p>
        </w:tc>
        <w:tc>
          <w:tcPr>
            <w:tcW w:w="569" w:type="dxa"/>
            <w:tcBorders>
              <w:top w:val="nil"/>
              <w:left w:val="nil"/>
              <w:bottom w:val="single" w:sz="4" w:space="0" w:color="auto"/>
              <w:right w:val="single" w:sz="4" w:space="0" w:color="auto"/>
            </w:tcBorders>
            <w:shd w:val="clear" w:color="auto" w:fill="auto"/>
            <w:noWrap/>
            <w:vAlign w:val="bottom"/>
            <w:hideMark/>
          </w:tcPr>
          <w:p w14:paraId="77AF531C" w14:textId="77777777" w:rsidR="00460106" w:rsidRPr="00842ABF" w:rsidRDefault="00460106" w:rsidP="00460106">
            <w:pPr>
              <w:spacing w:line="240" w:lineRule="auto"/>
              <w:rPr>
                <w:sz w:val="14"/>
                <w:szCs w:val="14"/>
                <w:lang w:eastAsia="sl-SI"/>
              </w:rPr>
            </w:pPr>
            <w:r w:rsidRPr="00842ABF">
              <w:rPr>
                <w:sz w:val="14"/>
                <w:szCs w:val="14"/>
                <w:lang w:eastAsia="sl-SI"/>
              </w:rPr>
              <w:t>2007</w:t>
            </w:r>
          </w:p>
        </w:tc>
        <w:tc>
          <w:tcPr>
            <w:tcW w:w="569" w:type="dxa"/>
            <w:tcBorders>
              <w:top w:val="nil"/>
              <w:left w:val="nil"/>
              <w:bottom w:val="single" w:sz="4" w:space="0" w:color="auto"/>
              <w:right w:val="single" w:sz="4" w:space="0" w:color="auto"/>
            </w:tcBorders>
            <w:shd w:val="clear" w:color="auto" w:fill="auto"/>
            <w:noWrap/>
            <w:vAlign w:val="bottom"/>
            <w:hideMark/>
          </w:tcPr>
          <w:p w14:paraId="1C1458C7" w14:textId="77777777" w:rsidR="00460106" w:rsidRPr="00842ABF" w:rsidRDefault="00460106" w:rsidP="00460106">
            <w:pPr>
              <w:spacing w:line="240" w:lineRule="auto"/>
              <w:rPr>
                <w:sz w:val="14"/>
                <w:szCs w:val="14"/>
                <w:lang w:eastAsia="sl-SI"/>
              </w:rPr>
            </w:pPr>
            <w:r w:rsidRPr="00842ABF">
              <w:rPr>
                <w:sz w:val="14"/>
                <w:szCs w:val="14"/>
                <w:lang w:eastAsia="sl-SI"/>
              </w:rPr>
              <w:t>2010</w:t>
            </w:r>
          </w:p>
        </w:tc>
        <w:tc>
          <w:tcPr>
            <w:tcW w:w="569" w:type="dxa"/>
            <w:tcBorders>
              <w:top w:val="nil"/>
              <w:left w:val="nil"/>
              <w:bottom w:val="single" w:sz="4" w:space="0" w:color="auto"/>
              <w:right w:val="single" w:sz="4" w:space="0" w:color="auto"/>
            </w:tcBorders>
            <w:shd w:val="clear" w:color="auto" w:fill="auto"/>
            <w:noWrap/>
            <w:vAlign w:val="bottom"/>
            <w:hideMark/>
          </w:tcPr>
          <w:p w14:paraId="539E8AA8" w14:textId="77777777" w:rsidR="00460106" w:rsidRPr="00842ABF" w:rsidRDefault="00460106" w:rsidP="00460106">
            <w:pPr>
              <w:spacing w:line="240" w:lineRule="auto"/>
              <w:rPr>
                <w:sz w:val="14"/>
                <w:szCs w:val="14"/>
                <w:lang w:eastAsia="sl-SI"/>
              </w:rPr>
            </w:pPr>
            <w:r w:rsidRPr="00842ABF">
              <w:rPr>
                <w:sz w:val="14"/>
                <w:szCs w:val="14"/>
                <w:lang w:eastAsia="sl-SI"/>
              </w:rPr>
              <w:t>2013</w:t>
            </w:r>
          </w:p>
        </w:tc>
        <w:tc>
          <w:tcPr>
            <w:tcW w:w="574" w:type="dxa"/>
            <w:tcBorders>
              <w:top w:val="nil"/>
              <w:left w:val="nil"/>
              <w:bottom w:val="single" w:sz="4" w:space="0" w:color="auto"/>
              <w:right w:val="single" w:sz="4" w:space="0" w:color="auto"/>
            </w:tcBorders>
            <w:shd w:val="clear" w:color="auto" w:fill="auto"/>
            <w:noWrap/>
            <w:vAlign w:val="bottom"/>
            <w:hideMark/>
          </w:tcPr>
          <w:p w14:paraId="043A2A00" w14:textId="77777777" w:rsidR="00460106" w:rsidRPr="00842ABF" w:rsidRDefault="00460106" w:rsidP="00460106">
            <w:pPr>
              <w:spacing w:line="240" w:lineRule="auto"/>
              <w:rPr>
                <w:sz w:val="14"/>
                <w:szCs w:val="14"/>
                <w:lang w:eastAsia="sl-SI"/>
              </w:rPr>
            </w:pPr>
            <w:r w:rsidRPr="00842ABF">
              <w:rPr>
                <w:sz w:val="14"/>
                <w:szCs w:val="14"/>
                <w:lang w:eastAsia="sl-SI"/>
              </w:rPr>
              <w:t>2016</w:t>
            </w:r>
          </w:p>
        </w:tc>
      </w:tr>
      <w:tr w:rsidR="00460106" w:rsidRPr="00842ABF" w14:paraId="31C08327"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72C7B52" w14:textId="77777777" w:rsidR="00460106" w:rsidRPr="00842ABF" w:rsidRDefault="00460106" w:rsidP="00460106">
            <w:pPr>
              <w:spacing w:line="240" w:lineRule="auto"/>
              <w:rPr>
                <w:sz w:val="14"/>
                <w:szCs w:val="14"/>
                <w:lang w:eastAsia="sl-SI"/>
              </w:rPr>
            </w:pPr>
            <w:r w:rsidRPr="00842ABF">
              <w:rPr>
                <w:sz w:val="14"/>
                <w:szCs w:val="14"/>
                <w:lang w:eastAsia="sl-SI"/>
              </w:rPr>
              <w:t>PERUTINA - SKUPAJ</w:t>
            </w:r>
          </w:p>
        </w:tc>
        <w:tc>
          <w:tcPr>
            <w:tcW w:w="763" w:type="dxa"/>
            <w:tcBorders>
              <w:top w:val="nil"/>
              <w:left w:val="nil"/>
              <w:bottom w:val="single" w:sz="4" w:space="0" w:color="auto"/>
              <w:right w:val="single" w:sz="4" w:space="0" w:color="auto"/>
            </w:tcBorders>
            <w:shd w:val="clear" w:color="000000" w:fill="FFFFFF"/>
            <w:noWrap/>
            <w:vAlign w:val="center"/>
            <w:hideMark/>
          </w:tcPr>
          <w:p w14:paraId="3083F300" w14:textId="77777777" w:rsidR="00460106" w:rsidRPr="00842ABF" w:rsidRDefault="00460106" w:rsidP="00460106">
            <w:pPr>
              <w:spacing w:line="240" w:lineRule="auto"/>
              <w:jc w:val="right"/>
              <w:rPr>
                <w:sz w:val="14"/>
                <w:szCs w:val="14"/>
                <w:lang w:eastAsia="sl-SI"/>
              </w:rPr>
            </w:pPr>
            <w:r w:rsidRPr="00842ABF">
              <w:rPr>
                <w:sz w:val="14"/>
                <w:szCs w:val="14"/>
                <w:lang w:eastAsia="sl-SI"/>
              </w:rPr>
              <w:t>6.731.009</w:t>
            </w:r>
          </w:p>
        </w:tc>
        <w:tc>
          <w:tcPr>
            <w:tcW w:w="763" w:type="dxa"/>
            <w:tcBorders>
              <w:top w:val="nil"/>
              <w:left w:val="nil"/>
              <w:bottom w:val="single" w:sz="4" w:space="0" w:color="auto"/>
              <w:right w:val="single" w:sz="4" w:space="0" w:color="auto"/>
            </w:tcBorders>
            <w:shd w:val="clear" w:color="000000" w:fill="FFFFFF"/>
            <w:noWrap/>
            <w:vAlign w:val="center"/>
            <w:hideMark/>
          </w:tcPr>
          <w:p w14:paraId="510E044A" w14:textId="77777777" w:rsidR="00460106" w:rsidRPr="00842ABF" w:rsidRDefault="00460106" w:rsidP="00460106">
            <w:pPr>
              <w:spacing w:line="240" w:lineRule="auto"/>
              <w:jc w:val="right"/>
              <w:rPr>
                <w:sz w:val="14"/>
                <w:szCs w:val="14"/>
                <w:lang w:eastAsia="sl-SI"/>
              </w:rPr>
            </w:pPr>
            <w:r w:rsidRPr="00842ABF">
              <w:rPr>
                <w:sz w:val="14"/>
                <w:szCs w:val="14"/>
                <w:lang w:eastAsia="sl-SI"/>
              </w:rPr>
              <w:t>5.133.858</w:t>
            </w:r>
          </w:p>
        </w:tc>
        <w:tc>
          <w:tcPr>
            <w:tcW w:w="763" w:type="dxa"/>
            <w:tcBorders>
              <w:top w:val="nil"/>
              <w:left w:val="nil"/>
              <w:bottom w:val="single" w:sz="4" w:space="0" w:color="auto"/>
              <w:right w:val="single" w:sz="4" w:space="0" w:color="auto"/>
            </w:tcBorders>
            <w:shd w:val="clear" w:color="000000" w:fill="FFFFFF"/>
            <w:noWrap/>
            <w:vAlign w:val="center"/>
            <w:hideMark/>
          </w:tcPr>
          <w:p w14:paraId="21C77B0D" w14:textId="77777777" w:rsidR="00460106" w:rsidRPr="00842ABF" w:rsidRDefault="00460106" w:rsidP="00460106">
            <w:pPr>
              <w:spacing w:line="240" w:lineRule="auto"/>
              <w:jc w:val="right"/>
              <w:rPr>
                <w:sz w:val="14"/>
                <w:szCs w:val="14"/>
                <w:lang w:eastAsia="sl-SI"/>
              </w:rPr>
            </w:pPr>
            <w:r w:rsidRPr="00842ABF">
              <w:rPr>
                <w:sz w:val="14"/>
                <w:szCs w:val="14"/>
                <w:lang w:eastAsia="sl-SI"/>
              </w:rPr>
              <w:t>3.292.826</w:t>
            </w:r>
          </w:p>
        </w:tc>
        <w:tc>
          <w:tcPr>
            <w:tcW w:w="763" w:type="dxa"/>
            <w:tcBorders>
              <w:top w:val="nil"/>
              <w:left w:val="nil"/>
              <w:bottom w:val="single" w:sz="4" w:space="0" w:color="auto"/>
              <w:right w:val="single" w:sz="4" w:space="0" w:color="auto"/>
            </w:tcBorders>
            <w:shd w:val="clear" w:color="000000" w:fill="FFFFFF"/>
            <w:noWrap/>
            <w:vAlign w:val="center"/>
            <w:hideMark/>
          </w:tcPr>
          <w:p w14:paraId="7CC87856" w14:textId="77777777" w:rsidR="00460106" w:rsidRPr="00842ABF" w:rsidRDefault="00460106" w:rsidP="00460106">
            <w:pPr>
              <w:spacing w:line="240" w:lineRule="auto"/>
              <w:jc w:val="right"/>
              <w:rPr>
                <w:sz w:val="14"/>
                <w:szCs w:val="14"/>
                <w:lang w:eastAsia="sl-SI"/>
              </w:rPr>
            </w:pPr>
            <w:r w:rsidRPr="00842ABF">
              <w:rPr>
                <w:sz w:val="14"/>
                <w:szCs w:val="14"/>
                <w:lang w:eastAsia="sl-SI"/>
              </w:rPr>
              <w:t>5.364.220</w:t>
            </w:r>
          </w:p>
        </w:tc>
        <w:tc>
          <w:tcPr>
            <w:tcW w:w="763" w:type="dxa"/>
            <w:tcBorders>
              <w:top w:val="nil"/>
              <w:left w:val="nil"/>
              <w:bottom w:val="single" w:sz="4" w:space="0" w:color="auto"/>
              <w:right w:val="single" w:sz="4" w:space="0" w:color="auto"/>
            </w:tcBorders>
            <w:shd w:val="clear" w:color="000000" w:fill="FFFFFF"/>
            <w:noWrap/>
            <w:vAlign w:val="center"/>
            <w:hideMark/>
          </w:tcPr>
          <w:p w14:paraId="31BD7A8C" w14:textId="77777777" w:rsidR="00460106" w:rsidRPr="00842ABF" w:rsidRDefault="00460106" w:rsidP="00460106">
            <w:pPr>
              <w:spacing w:line="240" w:lineRule="auto"/>
              <w:jc w:val="right"/>
              <w:rPr>
                <w:sz w:val="14"/>
                <w:szCs w:val="14"/>
                <w:lang w:eastAsia="sl-SI"/>
              </w:rPr>
            </w:pPr>
            <w:r w:rsidRPr="00842ABF">
              <w:rPr>
                <w:sz w:val="14"/>
                <w:szCs w:val="14"/>
                <w:lang w:eastAsia="sl-SI"/>
              </w:rPr>
              <w:t>4.900.990</w:t>
            </w:r>
          </w:p>
        </w:tc>
        <w:tc>
          <w:tcPr>
            <w:tcW w:w="763" w:type="dxa"/>
            <w:tcBorders>
              <w:top w:val="nil"/>
              <w:left w:val="nil"/>
              <w:bottom w:val="single" w:sz="4" w:space="0" w:color="auto"/>
              <w:right w:val="single" w:sz="4" w:space="0" w:color="auto"/>
            </w:tcBorders>
            <w:shd w:val="clear" w:color="000000" w:fill="FFFFFF"/>
            <w:noWrap/>
            <w:vAlign w:val="center"/>
            <w:hideMark/>
          </w:tcPr>
          <w:p w14:paraId="4D1317B6" w14:textId="77777777" w:rsidR="00460106" w:rsidRPr="00842ABF" w:rsidRDefault="00460106" w:rsidP="00460106">
            <w:pPr>
              <w:spacing w:line="240" w:lineRule="auto"/>
              <w:jc w:val="right"/>
              <w:rPr>
                <w:sz w:val="14"/>
                <w:szCs w:val="14"/>
                <w:lang w:eastAsia="sl-SI"/>
              </w:rPr>
            </w:pPr>
            <w:r w:rsidRPr="00842ABF">
              <w:rPr>
                <w:sz w:val="14"/>
                <w:szCs w:val="14"/>
                <w:lang w:eastAsia="sl-SI"/>
              </w:rPr>
              <w:t>4.858.025</w:t>
            </w:r>
          </w:p>
        </w:tc>
        <w:tc>
          <w:tcPr>
            <w:tcW w:w="763" w:type="dxa"/>
            <w:tcBorders>
              <w:top w:val="nil"/>
              <w:left w:val="nil"/>
              <w:bottom w:val="single" w:sz="4" w:space="0" w:color="auto"/>
              <w:right w:val="single" w:sz="4" w:space="0" w:color="auto"/>
            </w:tcBorders>
            <w:shd w:val="clear" w:color="000000" w:fill="FFFFFF"/>
            <w:noWrap/>
            <w:vAlign w:val="center"/>
            <w:hideMark/>
          </w:tcPr>
          <w:p w14:paraId="70818C90" w14:textId="77777777" w:rsidR="00460106" w:rsidRPr="00842ABF" w:rsidRDefault="00460106" w:rsidP="00460106">
            <w:pPr>
              <w:spacing w:line="240" w:lineRule="auto"/>
              <w:jc w:val="right"/>
              <w:rPr>
                <w:sz w:val="14"/>
                <w:szCs w:val="14"/>
                <w:lang w:eastAsia="sl-SI"/>
              </w:rPr>
            </w:pPr>
            <w:r w:rsidRPr="00842ABF">
              <w:rPr>
                <w:sz w:val="14"/>
                <w:szCs w:val="14"/>
                <w:lang w:eastAsia="sl-SI"/>
              </w:rPr>
              <w:t>6.222.661</w:t>
            </w:r>
          </w:p>
        </w:tc>
        <w:tc>
          <w:tcPr>
            <w:tcW w:w="639" w:type="dxa"/>
            <w:tcBorders>
              <w:top w:val="nil"/>
              <w:left w:val="nil"/>
              <w:bottom w:val="single" w:sz="4" w:space="0" w:color="auto"/>
              <w:right w:val="single" w:sz="4" w:space="0" w:color="auto"/>
            </w:tcBorders>
            <w:shd w:val="clear" w:color="000000" w:fill="FFFFFF"/>
            <w:noWrap/>
            <w:vAlign w:val="center"/>
            <w:hideMark/>
          </w:tcPr>
          <w:p w14:paraId="34FA5C49" w14:textId="77777777" w:rsidR="00460106" w:rsidRPr="00842ABF" w:rsidRDefault="00460106" w:rsidP="00460106">
            <w:pPr>
              <w:spacing w:line="240" w:lineRule="auto"/>
              <w:jc w:val="right"/>
              <w:rPr>
                <w:sz w:val="14"/>
                <w:szCs w:val="14"/>
                <w:lang w:eastAsia="sl-SI"/>
              </w:rPr>
            </w:pPr>
            <w:r w:rsidRPr="00842ABF">
              <w:rPr>
                <w:sz w:val="14"/>
                <w:szCs w:val="14"/>
                <w:lang w:eastAsia="sl-SI"/>
              </w:rPr>
              <w:t>58.929</w:t>
            </w:r>
          </w:p>
        </w:tc>
        <w:tc>
          <w:tcPr>
            <w:tcW w:w="569" w:type="dxa"/>
            <w:tcBorders>
              <w:top w:val="nil"/>
              <w:left w:val="nil"/>
              <w:bottom w:val="single" w:sz="4" w:space="0" w:color="auto"/>
              <w:right w:val="single" w:sz="4" w:space="0" w:color="auto"/>
            </w:tcBorders>
            <w:shd w:val="clear" w:color="000000" w:fill="FFFFFF"/>
            <w:noWrap/>
            <w:vAlign w:val="center"/>
            <w:hideMark/>
          </w:tcPr>
          <w:p w14:paraId="03B32C9F" w14:textId="77777777" w:rsidR="00460106" w:rsidRPr="00842ABF" w:rsidRDefault="00460106" w:rsidP="00460106">
            <w:pPr>
              <w:spacing w:line="240" w:lineRule="auto"/>
              <w:jc w:val="right"/>
              <w:rPr>
                <w:sz w:val="14"/>
                <w:szCs w:val="14"/>
                <w:lang w:eastAsia="sl-SI"/>
              </w:rPr>
            </w:pPr>
            <w:r w:rsidRPr="00842ABF">
              <w:rPr>
                <w:sz w:val="14"/>
                <w:szCs w:val="14"/>
                <w:lang w:eastAsia="sl-SI"/>
              </w:rPr>
              <w:t>49.369</w:t>
            </w:r>
          </w:p>
        </w:tc>
        <w:tc>
          <w:tcPr>
            <w:tcW w:w="569" w:type="dxa"/>
            <w:tcBorders>
              <w:top w:val="nil"/>
              <w:left w:val="nil"/>
              <w:bottom w:val="single" w:sz="4" w:space="0" w:color="auto"/>
              <w:right w:val="single" w:sz="4" w:space="0" w:color="auto"/>
            </w:tcBorders>
            <w:shd w:val="clear" w:color="000000" w:fill="FFFFFF"/>
            <w:noWrap/>
            <w:vAlign w:val="center"/>
            <w:hideMark/>
          </w:tcPr>
          <w:p w14:paraId="0BC389E9" w14:textId="77777777" w:rsidR="00460106" w:rsidRPr="00842ABF" w:rsidRDefault="00460106" w:rsidP="00460106">
            <w:pPr>
              <w:spacing w:line="240" w:lineRule="auto"/>
              <w:jc w:val="right"/>
              <w:rPr>
                <w:sz w:val="14"/>
                <w:szCs w:val="14"/>
                <w:lang w:eastAsia="sl-SI"/>
              </w:rPr>
            </w:pPr>
            <w:r w:rsidRPr="00842ABF">
              <w:rPr>
                <w:sz w:val="14"/>
                <w:szCs w:val="14"/>
                <w:lang w:eastAsia="sl-SI"/>
              </w:rPr>
              <w:t>45.512</w:t>
            </w:r>
          </w:p>
        </w:tc>
        <w:tc>
          <w:tcPr>
            <w:tcW w:w="569" w:type="dxa"/>
            <w:tcBorders>
              <w:top w:val="nil"/>
              <w:left w:val="nil"/>
              <w:bottom w:val="single" w:sz="4" w:space="0" w:color="auto"/>
              <w:right w:val="single" w:sz="4" w:space="0" w:color="auto"/>
            </w:tcBorders>
            <w:shd w:val="clear" w:color="000000" w:fill="FFFFFF"/>
            <w:noWrap/>
            <w:vAlign w:val="center"/>
            <w:hideMark/>
          </w:tcPr>
          <w:p w14:paraId="678E6152" w14:textId="77777777" w:rsidR="00460106" w:rsidRPr="00842ABF" w:rsidRDefault="00460106" w:rsidP="00460106">
            <w:pPr>
              <w:spacing w:line="240" w:lineRule="auto"/>
              <w:jc w:val="right"/>
              <w:rPr>
                <w:sz w:val="14"/>
                <w:szCs w:val="14"/>
                <w:lang w:eastAsia="sl-SI"/>
              </w:rPr>
            </w:pPr>
            <w:r w:rsidRPr="00842ABF">
              <w:rPr>
                <w:sz w:val="14"/>
                <w:szCs w:val="14"/>
                <w:lang w:eastAsia="sl-SI"/>
              </w:rPr>
              <w:t>39.786</w:t>
            </w:r>
          </w:p>
        </w:tc>
        <w:tc>
          <w:tcPr>
            <w:tcW w:w="569" w:type="dxa"/>
            <w:tcBorders>
              <w:top w:val="nil"/>
              <w:left w:val="nil"/>
              <w:bottom w:val="single" w:sz="4" w:space="0" w:color="auto"/>
              <w:right w:val="single" w:sz="4" w:space="0" w:color="auto"/>
            </w:tcBorders>
            <w:shd w:val="clear" w:color="000000" w:fill="FFFFFF"/>
            <w:noWrap/>
            <w:vAlign w:val="center"/>
            <w:hideMark/>
          </w:tcPr>
          <w:p w14:paraId="5C387109" w14:textId="77777777" w:rsidR="00460106" w:rsidRPr="00842ABF" w:rsidRDefault="00460106" w:rsidP="00460106">
            <w:pPr>
              <w:spacing w:line="240" w:lineRule="auto"/>
              <w:jc w:val="right"/>
              <w:rPr>
                <w:sz w:val="14"/>
                <w:szCs w:val="14"/>
                <w:lang w:eastAsia="sl-SI"/>
              </w:rPr>
            </w:pPr>
            <w:r w:rsidRPr="00842ABF">
              <w:rPr>
                <w:sz w:val="14"/>
                <w:szCs w:val="14"/>
                <w:lang w:eastAsia="sl-SI"/>
              </w:rPr>
              <w:t>36.240</w:t>
            </w:r>
          </w:p>
        </w:tc>
        <w:tc>
          <w:tcPr>
            <w:tcW w:w="569" w:type="dxa"/>
            <w:tcBorders>
              <w:top w:val="nil"/>
              <w:left w:val="nil"/>
              <w:bottom w:val="single" w:sz="4" w:space="0" w:color="auto"/>
              <w:right w:val="single" w:sz="4" w:space="0" w:color="auto"/>
            </w:tcBorders>
            <w:shd w:val="clear" w:color="000000" w:fill="FFFFFF"/>
            <w:noWrap/>
            <w:vAlign w:val="center"/>
            <w:hideMark/>
          </w:tcPr>
          <w:p w14:paraId="7C5555D6" w14:textId="77777777" w:rsidR="00460106" w:rsidRPr="00842ABF" w:rsidRDefault="00460106" w:rsidP="00460106">
            <w:pPr>
              <w:spacing w:line="240" w:lineRule="auto"/>
              <w:jc w:val="right"/>
              <w:rPr>
                <w:sz w:val="14"/>
                <w:szCs w:val="14"/>
                <w:lang w:eastAsia="sl-SI"/>
              </w:rPr>
            </w:pPr>
            <w:r w:rsidRPr="00842ABF">
              <w:rPr>
                <w:sz w:val="14"/>
                <w:szCs w:val="14"/>
                <w:lang w:eastAsia="sl-SI"/>
              </w:rPr>
              <w:t>36.657</w:t>
            </w:r>
          </w:p>
        </w:tc>
        <w:tc>
          <w:tcPr>
            <w:tcW w:w="574" w:type="dxa"/>
            <w:tcBorders>
              <w:top w:val="nil"/>
              <w:left w:val="nil"/>
              <w:bottom w:val="single" w:sz="4" w:space="0" w:color="auto"/>
              <w:right w:val="single" w:sz="4" w:space="0" w:color="auto"/>
            </w:tcBorders>
            <w:shd w:val="clear" w:color="000000" w:fill="FFFFFF"/>
            <w:noWrap/>
            <w:vAlign w:val="center"/>
            <w:hideMark/>
          </w:tcPr>
          <w:p w14:paraId="70CADE56" w14:textId="77777777" w:rsidR="00460106" w:rsidRPr="00842ABF" w:rsidRDefault="00460106" w:rsidP="00460106">
            <w:pPr>
              <w:spacing w:line="240" w:lineRule="auto"/>
              <w:jc w:val="right"/>
              <w:rPr>
                <w:sz w:val="14"/>
                <w:szCs w:val="14"/>
                <w:lang w:eastAsia="sl-SI"/>
              </w:rPr>
            </w:pPr>
            <w:r w:rsidRPr="00842ABF">
              <w:rPr>
                <w:sz w:val="14"/>
                <w:szCs w:val="14"/>
                <w:lang w:eastAsia="sl-SI"/>
              </w:rPr>
              <w:t>37.840</w:t>
            </w:r>
          </w:p>
        </w:tc>
      </w:tr>
      <w:tr w:rsidR="00460106" w:rsidRPr="00842ABF" w14:paraId="0FC75B88"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41743706" w14:textId="77777777" w:rsidR="00460106" w:rsidRPr="00842ABF" w:rsidRDefault="00460106" w:rsidP="00460106">
            <w:pPr>
              <w:spacing w:line="240" w:lineRule="auto"/>
              <w:rPr>
                <w:sz w:val="14"/>
                <w:szCs w:val="14"/>
                <w:lang w:eastAsia="sl-SI"/>
              </w:rPr>
            </w:pPr>
            <w:r w:rsidRPr="00842ABF">
              <w:rPr>
                <w:sz w:val="14"/>
                <w:szCs w:val="14"/>
                <w:lang w:eastAsia="sl-SI"/>
              </w:rPr>
              <w:t>Kokoši nesnice</w:t>
            </w:r>
          </w:p>
        </w:tc>
        <w:tc>
          <w:tcPr>
            <w:tcW w:w="763" w:type="dxa"/>
            <w:tcBorders>
              <w:top w:val="nil"/>
              <w:left w:val="nil"/>
              <w:bottom w:val="single" w:sz="4" w:space="0" w:color="auto"/>
              <w:right w:val="single" w:sz="4" w:space="0" w:color="auto"/>
            </w:tcBorders>
            <w:shd w:val="clear" w:color="000000" w:fill="FFFFFF"/>
            <w:noWrap/>
            <w:vAlign w:val="center"/>
            <w:hideMark/>
          </w:tcPr>
          <w:p w14:paraId="226FC270" w14:textId="77777777" w:rsidR="00460106" w:rsidRPr="00842ABF" w:rsidRDefault="00460106" w:rsidP="00460106">
            <w:pPr>
              <w:spacing w:line="240" w:lineRule="auto"/>
              <w:jc w:val="right"/>
              <w:rPr>
                <w:sz w:val="14"/>
                <w:szCs w:val="14"/>
                <w:lang w:eastAsia="sl-SI"/>
              </w:rPr>
            </w:pPr>
            <w:r w:rsidRPr="00842ABF">
              <w:rPr>
                <w:sz w:val="14"/>
                <w:szCs w:val="14"/>
                <w:lang w:eastAsia="sl-SI"/>
              </w:rPr>
              <w:t>1.581.388</w:t>
            </w:r>
          </w:p>
        </w:tc>
        <w:tc>
          <w:tcPr>
            <w:tcW w:w="763" w:type="dxa"/>
            <w:tcBorders>
              <w:top w:val="nil"/>
              <w:left w:val="nil"/>
              <w:bottom w:val="single" w:sz="4" w:space="0" w:color="auto"/>
              <w:right w:val="single" w:sz="4" w:space="0" w:color="auto"/>
            </w:tcBorders>
            <w:shd w:val="clear" w:color="000000" w:fill="FFFFFF"/>
            <w:noWrap/>
            <w:vAlign w:val="center"/>
            <w:hideMark/>
          </w:tcPr>
          <w:p w14:paraId="348313B0" w14:textId="77777777" w:rsidR="00460106" w:rsidRPr="00842ABF" w:rsidRDefault="00460106" w:rsidP="00460106">
            <w:pPr>
              <w:spacing w:line="240" w:lineRule="auto"/>
              <w:jc w:val="right"/>
              <w:rPr>
                <w:sz w:val="14"/>
                <w:szCs w:val="14"/>
                <w:lang w:eastAsia="sl-SI"/>
              </w:rPr>
            </w:pPr>
            <w:r w:rsidRPr="00842ABF">
              <w:rPr>
                <w:sz w:val="14"/>
                <w:szCs w:val="14"/>
                <w:lang w:eastAsia="sl-SI"/>
              </w:rPr>
              <w:t>1.387.408</w:t>
            </w:r>
          </w:p>
        </w:tc>
        <w:tc>
          <w:tcPr>
            <w:tcW w:w="763" w:type="dxa"/>
            <w:tcBorders>
              <w:top w:val="nil"/>
              <w:left w:val="nil"/>
              <w:bottom w:val="single" w:sz="4" w:space="0" w:color="auto"/>
              <w:right w:val="single" w:sz="4" w:space="0" w:color="auto"/>
            </w:tcBorders>
            <w:shd w:val="clear" w:color="000000" w:fill="FFFFFF"/>
            <w:noWrap/>
            <w:vAlign w:val="center"/>
            <w:hideMark/>
          </w:tcPr>
          <w:p w14:paraId="239707FA" w14:textId="77777777" w:rsidR="00460106" w:rsidRPr="00842ABF" w:rsidRDefault="00460106" w:rsidP="00460106">
            <w:pPr>
              <w:spacing w:line="240" w:lineRule="auto"/>
              <w:jc w:val="right"/>
              <w:rPr>
                <w:sz w:val="14"/>
                <w:szCs w:val="14"/>
                <w:lang w:eastAsia="sl-SI"/>
              </w:rPr>
            </w:pPr>
            <w:r w:rsidRPr="00842ABF">
              <w:rPr>
                <w:sz w:val="14"/>
                <w:szCs w:val="14"/>
                <w:lang w:eastAsia="sl-SI"/>
              </w:rPr>
              <w:t>1.072.156</w:t>
            </w:r>
          </w:p>
        </w:tc>
        <w:tc>
          <w:tcPr>
            <w:tcW w:w="763" w:type="dxa"/>
            <w:tcBorders>
              <w:top w:val="nil"/>
              <w:left w:val="nil"/>
              <w:bottom w:val="single" w:sz="4" w:space="0" w:color="auto"/>
              <w:right w:val="single" w:sz="4" w:space="0" w:color="auto"/>
            </w:tcBorders>
            <w:shd w:val="clear" w:color="000000" w:fill="FFFFFF"/>
            <w:noWrap/>
            <w:vAlign w:val="center"/>
            <w:hideMark/>
          </w:tcPr>
          <w:p w14:paraId="7419CEC5" w14:textId="77777777" w:rsidR="00460106" w:rsidRPr="00842ABF" w:rsidRDefault="00460106" w:rsidP="00460106">
            <w:pPr>
              <w:spacing w:line="240" w:lineRule="auto"/>
              <w:jc w:val="right"/>
              <w:rPr>
                <w:sz w:val="14"/>
                <w:szCs w:val="14"/>
                <w:lang w:eastAsia="sl-SI"/>
              </w:rPr>
            </w:pPr>
            <w:r w:rsidRPr="00842ABF">
              <w:rPr>
                <w:sz w:val="14"/>
                <w:szCs w:val="14"/>
                <w:lang w:eastAsia="sl-SI"/>
              </w:rPr>
              <w:t>1.272.588</w:t>
            </w:r>
          </w:p>
        </w:tc>
        <w:tc>
          <w:tcPr>
            <w:tcW w:w="763" w:type="dxa"/>
            <w:tcBorders>
              <w:top w:val="nil"/>
              <w:left w:val="nil"/>
              <w:bottom w:val="single" w:sz="4" w:space="0" w:color="auto"/>
              <w:right w:val="single" w:sz="4" w:space="0" w:color="auto"/>
            </w:tcBorders>
            <w:shd w:val="clear" w:color="000000" w:fill="FFFFFF"/>
            <w:noWrap/>
            <w:vAlign w:val="center"/>
            <w:hideMark/>
          </w:tcPr>
          <w:p w14:paraId="1D1E4A50" w14:textId="77777777" w:rsidR="00460106" w:rsidRPr="00842ABF" w:rsidRDefault="00460106" w:rsidP="00460106">
            <w:pPr>
              <w:spacing w:line="240" w:lineRule="auto"/>
              <w:jc w:val="right"/>
              <w:rPr>
                <w:sz w:val="14"/>
                <w:szCs w:val="14"/>
                <w:lang w:eastAsia="sl-SI"/>
              </w:rPr>
            </w:pPr>
            <w:r w:rsidRPr="00842ABF">
              <w:rPr>
                <w:sz w:val="14"/>
                <w:szCs w:val="14"/>
                <w:lang w:eastAsia="sl-SI"/>
              </w:rPr>
              <w:t>1.500.192</w:t>
            </w:r>
          </w:p>
        </w:tc>
        <w:tc>
          <w:tcPr>
            <w:tcW w:w="763" w:type="dxa"/>
            <w:tcBorders>
              <w:top w:val="nil"/>
              <w:left w:val="nil"/>
              <w:bottom w:val="single" w:sz="4" w:space="0" w:color="auto"/>
              <w:right w:val="single" w:sz="4" w:space="0" w:color="auto"/>
            </w:tcBorders>
            <w:shd w:val="clear" w:color="000000" w:fill="FFFFFF"/>
            <w:noWrap/>
            <w:vAlign w:val="center"/>
            <w:hideMark/>
          </w:tcPr>
          <w:p w14:paraId="2E15A486" w14:textId="77777777" w:rsidR="00460106" w:rsidRPr="00842ABF" w:rsidRDefault="00460106" w:rsidP="00460106">
            <w:pPr>
              <w:spacing w:line="240" w:lineRule="auto"/>
              <w:jc w:val="right"/>
              <w:rPr>
                <w:sz w:val="14"/>
                <w:szCs w:val="14"/>
                <w:lang w:eastAsia="sl-SI"/>
              </w:rPr>
            </w:pPr>
            <w:r w:rsidRPr="00842ABF">
              <w:rPr>
                <w:sz w:val="14"/>
                <w:szCs w:val="14"/>
                <w:lang w:eastAsia="sl-SI"/>
              </w:rPr>
              <w:t>1.177.654</w:t>
            </w:r>
          </w:p>
        </w:tc>
        <w:tc>
          <w:tcPr>
            <w:tcW w:w="763" w:type="dxa"/>
            <w:tcBorders>
              <w:top w:val="nil"/>
              <w:left w:val="nil"/>
              <w:bottom w:val="single" w:sz="4" w:space="0" w:color="auto"/>
              <w:right w:val="single" w:sz="4" w:space="0" w:color="auto"/>
            </w:tcBorders>
            <w:shd w:val="clear" w:color="000000" w:fill="FFFFFF"/>
            <w:noWrap/>
            <w:vAlign w:val="center"/>
            <w:hideMark/>
          </w:tcPr>
          <w:p w14:paraId="0F556AC5" w14:textId="77777777" w:rsidR="00460106" w:rsidRPr="00842ABF" w:rsidRDefault="00460106" w:rsidP="00460106">
            <w:pPr>
              <w:spacing w:line="240" w:lineRule="auto"/>
              <w:jc w:val="right"/>
              <w:rPr>
                <w:sz w:val="14"/>
                <w:szCs w:val="14"/>
                <w:lang w:eastAsia="sl-SI"/>
              </w:rPr>
            </w:pPr>
            <w:r w:rsidRPr="00842ABF">
              <w:rPr>
                <w:sz w:val="14"/>
                <w:szCs w:val="14"/>
                <w:lang w:eastAsia="sl-SI"/>
              </w:rPr>
              <w:t>1.607.519</w:t>
            </w:r>
          </w:p>
        </w:tc>
        <w:tc>
          <w:tcPr>
            <w:tcW w:w="639" w:type="dxa"/>
            <w:tcBorders>
              <w:top w:val="nil"/>
              <w:left w:val="nil"/>
              <w:bottom w:val="single" w:sz="4" w:space="0" w:color="auto"/>
              <w:right w:val="single" w:sz="4" w:space="0" w:color="auto"/>
            </w:tcBorders>
            <w:shd w:val="clear" w:color="000000" w:fill="FFFFFF"/>
            <w:noWrap/>
            <w:vAlign w:val="center"/>
            <w:hideMark/>
          </w:tcPr>
          <w:p w14:paraId="5AEDC2FC" w14:textId="77777777" w:rsidR="00460106" w:rsidRPr="00842ABF" w:rsidRDefault="00460106" w:rsidP="00460106">
            <w:pPr>
              <w:spacing w:line="240" w:lineRule="auto"/>
              <w:jc w:val="right"/>
              <w:rPr>
                <w:sz w:val="14"/>
                <w:szCs w:val="14"/>
                <w:lang w:eastAsia="sl-SI"/>
              </w:rPr>
            </w:pPr>
            <w:r w:rsidRPr="00842ABF">
              <w:rPr>
                <w:sz w:val="14"/>
                <w:szCs w:val="14"/>
                <w:lang w:eastAsia="sl-SI"/>
              </w:rPr>
              <w:t>55.773</w:t>
            </w:r>
          </w:p>
        </w:tc>
        <w:tc>
          <w:tcPr>
            <w:tcW w:w="569" w:type="dxa"/>
            <w:tcBorders>
              <w:top w:val="nil"/>
              <w:left w:val="nil"/>
              <w:bottom w:val="single" w:sz="4" w:space="0" w:color="auto"/>
              <w:right w:val="single" w:sz="4" w:space="0" w:color="auto"/>
            </w:tcBorders>
            <w:shd w:val="clear" w:color="000000" w:fill="FFFFFF"/>
            <w:noWrap/>
            <w:vAlign w:val="center"/>
            <w:hideMark/>
          </w:tcPr>
          <w:p w14:paraId="6E5E18F5" w14:textId="77777777" w:rsidR="00460106" w:rsidRPr="00842ABF" w:rsidRDefault="00460106" w:rsidP="00460106">
            <w:pPr>
              <w:spacing w:line="240" w:lineRule="auto"/>
              <w:jc w:val="right"/>
              <w:rPr>
                <w:sz w:val="14"/>
                <w:szCs w:val="14"/>
                <w:lang w:eastAsia="sl-SI"/>
              </w:rPr>
            </w:pPr>
            <w:r w:rsidRPr="00842ABF">
              <w:rPr>
                <w:sz w:val="14"/>
                <w:szCs w:val="14"/>
                <w:lang w:eastAsia="sl-SI"/>
              </w:rPr>
              <w:t>47.888</w:t>
            </w:r>
          </w:p>
        </w:tc>
        <w:tc>
          <w:tcPr>
            <w:tcW w:w="569" w:type="dxa"/>
            <w:tcBorders>
              <w:top w:val="nil"/>
              <w:left w:val="nil"/>
              <w:bottom w:val="single" w:sz="4" w:space="0" w:color="auto"/>
              <w:right w:val="single" w:sz="4" w:space="0" w:color="auto"/>
            </w:tcBorders>
            <w:shd w:val="clear" w:color="000000" w:fill="FFFFFF"/>
            <w:noWrap/>
            <w:vAlign w:val="center"/>
            <w:hideMark/>
          </w:tcPr>
          <w:p w14:paraId="2AF05FEC" w14:textId="77777777" w:rsidR="00460106" w:rsidRPr="00842ABF" w:rsidRDefault="00460106" w:rsidP="00460106">
            <w:pPr>
              <w:spacing w:line="240" w:lineRule="auto"/>
              <w:jc w:val="right"/>
              <w:rPr>
                <w:sz w:val="14"/>
                <w:szCs w:val="14"/>
                <w:lang w:eastAsia="sl-SI"/>
              </w:rPr>
            </w:pPr>
            <w:r w:rsidRPr="00842ABF">
              <w:rPr>
                <w:sz w:val="14"/>
                <w:szCs w:val="14"/>
                <w:lang w:eastAsia="sl-SI"/>
              </w:rPr>
              <w:t>43.818</w:t>
            </w:r>
          </w:p>
        </w:tc>
        <w:tc>
          <w:tcPr>
            <w:tcW w:w="569" w:type="dxa"/>
            <w:tcBorders>
              <w:top w:val="nil"/>
              <w:left w:val="nil"/>
              <w:bottom w:val="single" w:sz="4" w:space="0" w:color="auto"/>
              <w:right w:val="single" w:sz="4" w:space="0" w:color="auto"/>
            </w:tcBorders>
            <w:shd w:val="clear" w:color="000000" w:fill="FFFFFF"/>
            <w:noWrap/>
            <w:vAlign w:val="center"/>
            <w:hideMark/>
          </w:tcPr>
          <w:p w14:paraId="629CB062" w14:textId="77777777" w:rsidR="00460106" w:rsidRPr="00842ABF" w:rsidRDefault="00460106" w:rsidP="00460106">
            <w:pPr>
              <w:spacing w:line="240" w:lineRule="auto"/>
              <w:jc w:val="right"/>
              <w:rPr>
                <w:sz w:val="14"/>
                <w:szCs w:val="14"/>
                <w:lang w:eastAsia="sl-SI"/>
              </w:rPr>
            </w:pPr>
            <w:r w:rsidRPr="00842ABF">
              <w:rPr>
                <w:sz w:val="14"/>
                <w:szCs w:val="14"/>
                <w:lang w:eastAsia="sl-SI"/>
              </w:rPr>
              <w:t>37.978</w:t>
            </w:r>
          </w:p>
        </w:tc>
        <w:tc>
          <w:tcPr>
            <w:tcW w:w="569" w:type="dxa"/>
            <w:tcBorders>
              <w:top w:val="nil"/>
              <w:left w:val="nil"/>
              <w:bottom w:val="single" w:sz="4" w:space="0" w:color="auto"/>
              <w:right w:val="single" w:sz="4" w:space="0" w:color="auto"/>
            </w:tcBorders>
            <w:shd w:val="clear" w:color="000000" w:fill="FFFFFF"/>
            <w:noWrap/>
            <w:vAlign w:val="center"/>
            <w:hideMark/>
          </w:tcPr>
          <w:p w14:paraId="30277CAA" w14:textId="77777777" w:rsidR="00460106" w:rsidRPr="00842ABF" w:rsidRDefault="00460106" w:rsidP="00460106">
            <w:pPr>
              <w:spacing w:line="240" w:lineRule="auto"/>
              <w:jc w:val="right"/>
              <w:rPr>
                <w:sz w:val="14"/>
                <w:szCs w:val="14"/>
                <w:lang w:eastAsia="sl-SI"/>
              </w:rPr>
            </w:pPr>
            <w:r w:rsidRPr="00842ABF">
              <w:rPr>
                <w:sz w:val="14"/>
                <w:szCs w:val="14"/>
                <w:lang w:eastAsia="sl-SI"/>
              </w:rPr>
              <w:t>34.837</w:t>
            </w:r>
          </w:p>
        </w:tc>
        <w:tc>
          <w:tcPr>
            <w:tcW w:w="569" w:type="dxa"/>
            <w:tcBorders>
              <w:top w:val="nil"/>
              <w:left w:val="nil"/>
              <w:bottom w:val="single" w:sz="4" w:space="0" w:color="auto"/>
              <w:right w:val="single" w:sz="4" w:space="0" w:color="auto"/>
            </w:tcBorders>
            <w:shd w:val="clear" w:color="000000" w:fill="FFFFFF"/>
            <w:noWrap/>
            <w:vAlign w:val="center"/>
            <w:hideMark/>
          </w:tcPr>
          <w:p w14:paraId="75E65029" w14:textId="77777777" w:rsidR="00460106" w:rsidRPr="00842ABF" w:rsidRDefault="00460106" w:rsidP="00460106">
            <w:pPr>
              <w:spacing w:line="240" w:lineRule="auto"/>
              <w:jc w:val="right"/>
              <w:rPr>
                <w:sz w:val="14"/>
                <w:szCs w:val="14"/>
                <w:lang w:eastAsia="sl-SI"/>
              </w:rPr>
            </w:pPr>
            <w:r w:rsidRPr="00842ABF">
              <w:rPr>
                <w:sz w:val="14"/>
                <w:szCs w:val="14"/>
                <w:lang w:eastAsia="sl-SI"/>
              </w:rPr>
              <w:t>35.499</w:t>
            </w:r>
          </w:p>
        </w:tc>
        <w:tc>
          <w:tcPr>
            <w:tcW w:w="574" w:type="dxa"/>
            <w:tcBorders>
              <w:top w:val="nil"/>
              <w:left w:val="nil"/>
              <w:bottom w:val="single" w:sz="4" w:space="0" w:color="auto"/>
              <w:right w:val="single" w:sz="4" w:space="0" w:color="auto"/>
            </w:tcBorders>
            <w:shd w:val="clear" w:color="000000" w:fill="FFFFFF"/>
            <w:noWrap/>
            <w:vAlign w:val="center"/>
            <w:hideMark/>
          </w:tcPr>
          <w:p w14:paraId="1F9E1CE6" w14:textId="77777777" w:rsidR="00460106" w:rsidRPr="00842ABF" w:rsidRDefault="00460106" w:rsidP="00460106">
            <w:pPr>
              <w:spacing w:line="240" w:lineRule="auto"/>
              <w:jc w:val="right"/>
              <w:rPr>
                <w:sz w:val="14"/>
                <w:szCs w:val="14"/>
                <w:lang w:eastAsia="sl-SI"/>
              </w:rPr>
            </w:pPr>
            <w:r w:rsidRPr="00842ABF">
              <w:rPr>
                <w:sz w:val="14"/>
                <w:szCs w:val="14"/>
                <w:lang w:eastAsia="sl-SI"/>
              </w:rPr>
              <w:t>36.711</w:t>
            </w:r>
          </w:p>
        </w:tc>
      </w:tr>
      <w:tr w:rsidR="00460106" w:rsidRPr="00842ABF" w14:paraId="179F952B"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E0F17D1" w14:textId="77777777" w:rsidR="00460106" w:rsidRPr="00842ABF" w:rsidRDefault="00460106" w:rsidP="00460106">
            <w:pPr>
              <w:spacing w:line="240" w:lineRule="auto"/>
              <w:rPr>
                <w:sz w:val="14"/>
                <w:szCs w:val="14"/>
                <w:lang w:eastAsia="sl-SI"/>
              </w:rPr>
            </w:pPr>
            <w:r w:rsidRPr="00842ABF">
              <w:rPr>
                <w:sz w:val="14"/>
                <w:szCs w:val="14"/>
                <w:lang w:eastAsia="sl-SI"/>
              </w:rPr>
              <w:t>Pitovni piščanci</w:t>
            </w:r>
          </w:p>
        </w:tc>
        <w:tc>
          <w:tcPr>
            <w:tcW w:w="763" w:type="dxa"/>
            <w:tcBorders>
              <w:top w:val="nil"/>
              <w:left w:val="nil"/>
              <w:bottom w:val="single" w:sz="4" w:space="0" w:color="auto"/>
              <w:right w:val="single" w:sz="4" w:space="0" w:color="auto"/>
            </w:tcBorders>
            <w:shd w:val="clear" w:color="000000" w:fill="FFFFFF"/>
            <w:noWrap/>
            <w:vAlign w:val="center"/>
            <w:hideMark/>
          </w:tcPr>
          <w:p w14:paraId="54119B98" w14:textId="77777777" w:rsidR="00460106" w:rsidRPr="00842ABF" w:rsidRDefault="00460106" w:rsidP="00460106">
            <w:pPr>
              <w:spacing w:line="240" w:lineRule="auto"/>
              <w:jc w:val="right"/>
              <w:rPr>
                <w:sz w:val="14"/>
                <w:szCs w:val="14"/>
                <w:lang w:eastAsia="sl-SI"/>
              </w:rPr>
            </w:pPr>
            <w:r w:rsidRPr="00842ABF">
              <w:rPr>
                <w:sz w:val="14"/>
                <w:szCs w:val="14"/>
                <w:lang w:eastAsia="sl-SI"/>
              </w:rPr>
              <w:t>4.253.811</w:t>
            </w:r>
          </w:p>
        </w:tc>
        <w:tc>
          <w:tcPr>
            <w:tcW w:w="763" w:type="dxa"/>
            <w:tcBorders>
              <w:top w:val="nil"/>
              <w:left w:val="nil"/>
              <w:bottom w:val="single" w:sz="4" w:space="0" w:color="auto"/>
              <w:right w:val="single" w:sz="4" w:space="0" w:color="auto"/>
            </w:tcBorders>
            <w:shd w:val="clear" w:color="000000" w:fill="FFFFFF"/>
            <w:noWrap/>
            <w:vAlign w:val="center"/>
            <w:hideMark/>
          </w:tcPr>
          <w:p w14:paraId="428AFAFF" w14:textId="77777777" w:rsidR="00460106" w:rsidRPr="00842ABF" w:rsidRDefault="00460106" w:rsidP="00460106">
            <w:pPr>
              <w:spacing w:line="240" w:lineRule="auto"/>
              <w:jc w:val="right"/>
              <w:rPr>
                <w:sz w:val="14"/>
                <w:szCs w:val="14"/>
                <w:lang w:eastAsia="sl-SI"/>
              </w:rPr>
            </w:pPr>
            <w:r w:rsidRPr="00842ABF">
              <w:rPr>
                <w:sz w:val="14"/>
                <w:szCs w:val="14"/>
                <w:lang w:eastAsia="sl-SI"/>
              </w:rPr>
              <w:t>2.604.304</w:t>
            </w:r>
          </w:p>
        </w:tc>
        <w:tc>
          <w:tcPr>
            <w:tcW w:w="763" w:type="dxa"/>
            <w:tcBorders>
              <w:top w:val="nil"/>
              <w:left w:val="nil"/>
              <w:bottom w:val="single" w:sz="4" w:space="0" w:color="auto"/>
              <w:right w:val="single" w:sz="4" w:space="0" w:color="auto"/>
            </w:tcBorders>
            <w:shd w:val="clear" w:color="000000" w:fill="FFFFFF"/>
            <w:noWrap/>
            <w:vAlign w:val="center"/>
            <w:hideMark/>
          </w:tcPr>
          <w:p w14:paraId="68CBEE3D" w14:textId="77777777" w:rsidR="00460106" w:rsidRPr="00842ABF" w:rsidRDefault="00460106" w:rsidP="00460106">
            <w:pPr>
              <w:spacing w:line="240" w:lineRule="auto"/>
              <w:jc w:val="right"/>
              <w:rPr>
                <w:sz w:val="14"/>
                <w:szCs w:val="14"/>
                <w:lang w:eastAsia="sl-SI"/>
              </w:rPr>
            </w:pPr>
            <w:r w:rsidRPr="00842ABF">
              <w:rPr>
                <w:sz w:val="14"/>
                <w:szCs w:val="14"/>
                <w:lang w:eastAsia="sl-SI"/>
              </w:rPr>
              <w:t>1.714.779</w:t>
            </w:r>
          </w:p>
        </w:tc>
        <w:tc>
          <w:tcPr>
            <w:tcW w:w="763" w:type="dxa"/>
            <w:tcBorders>
              <w:top w:val="nil"/>
              <w:left w:val="nil"/>
              <w:bottom w:val="single" w:sz="4" w:space="0" w:color="auto"/>
              <w:right w:val="single" w:sz="4" w:space="0" w:color="auto"/>
            </w:tcBorders>
            <w:shd w:val="clear" w:color="000000" w:fill="FFFFFF"/>
            <w:noWrap/>
            <w:vAlign w:val="center"/>
            <w:hideMark/>
          </w:tcPr>
          <w:p w14:paraId="727F7FAF" w14:textId="77777777" w:rsidR="00460106" w:rsidRPr="00842ABF" w:rsidRDefault="00460106" w:rsidP="00460106">
            <w:pPr>
              <w:spacing w:line="240" w:lineRule="auto"/>
              <w:jc w:val="right"/>
              <w:rPr>
                <w:sz w:val="14"/>
                <w:szCs w:val="14"/>
                <w:lang w:eastAsia="sl-SI"/>
              </w:rPr>
            </w:pPr>
            <w:r w:rsidRPr="00842ABF">
              <w:rPr>
                <w:sz w:val="14"/>
                <w:szCs w:val="14"/>
                <w:lang w:eastAsia="sl-SI"/>
              </w:rPr>
              <w:t>3.430.688</w:t>
            </w:r>
          </w:p>
        </w:tc>
        <w:tc>
          <w:tcPr>
            <w:tcW w:w="763" w:type="dxa"/>
            <w:tcBorders>
              <w:top w:val="nil"/>
              <w:left w:val="nil"/>
              <w:bottom w:val="single" w:sz="4" w:space="0" w:color="auto"/>
              <w:right w:val="single" w:sz="4" w:space="0" w:color="auto"/>
            </w:tcBorders>
            <w:shd w:val="clear" w:color="000000" w:fill="FFFFFF"/>
            <w:noWrap/>
            <w:vAlign w:val="center"/>
            <w:hideMark/>
          </w:tcPr>
          <w:p w14:paraId="20526180" w14:textId="77777777" w:rsidR="00460106" w:rsidRPr="00842ABF" w:rsidRDefault="00460106" w:rsidP="00460106">
            <w:pPr>
              <w:spacing w:line="240" w:lineRule="auto"/>
              <w:jc w:val="right"/>
              <w:rPr>
                <w:sz w:val="14"/>
                <w:szCs w:val="14"/>
                <w:lang w:eastAsia="sl-SI"/>
              </w:rPr>
            </w:pPr>
            <w:r w:rsidRPr="00842ABF">
              <w:rPr>
                <w:sz w:val="14"/>
                <w:szCs w:val="14"/>
                <w:lang w:eastAsia="sl-SI"/>
              </w:rPr>
              <w:t>2.797.207</w:t>
            </w:r>
          </w:p>
        </w:tc>
        <w:tc>
          <w:tcPr>
            <w:tcW w:w="763" w:type="dxa"/>
            <w:tcBorders>
              <w:top w:val="nil"/>
              <w:left w:val="nil"/>
              <w:bottom w:val="single" w:sz="4" w:space="0" w:color="auto"/>
              <w:right w:val="single" w:sz="4" w:space="0" w:color="auto"/>
            </w:tcBorders>
            <w:shd w:val="clear" w:color="000000" w:fill="FFFFFF"/>
            <w:noWrap/>
            <w:vAlign w:val="center"/>
            <w:hideMark/>
          </w:tcPr>
          <w:p w14:paraId="137327F8" w14:textId="77777777" w:rsidR="00460106" w:rsidRPr="00842ABF" w:rsidRDefault="00460106" w:rsidP="00460106">
            <w:pPr>
              <w:spacing w:line="240" w:lineRule="auto"/>
              <w:jc w:val="right"/>
              <w:rPr>
                <w:sz w:val="14"/>
                <w:szCs w:val="14"/>
                <w:lang w:eastAsia="sl-SI"/>
              </w:rPr>
            </w:pPr>
            <w:r w:rsidRPr="00842ABF">
              <w:rPr>
                <w:sz w:val="14"/>
                <w:szCs w:val="14"/>
                <w:lang w:eastAsia="sl-SI"/>
              </w:rPr>
              <w:t>2.855.129</w:t>
            </w:r>
          </w:p>
        </w:tc>
        <w:tc>
          <w:tcPr>
            <w:tcW w:w="763" w:type="dxa"/>
            <w:tcBorders>
              <w:top w:val="nil"/>
              <w:left w:val="nil"/>
              <w:bottom w:val="single" w:sz="4" w:space="0" w:color="auto"/>
              <w:right w:val="single" w:sz="4" w:space="0" w:color="auto"/>
            </w:tcBorders>
            <w:shd w:val="clear" w:color="000000" w:fill="FFFFFF"/>
            <w:noWrap/>
            <w:vAlign w:val="center"/>
            <w:hideMark/>
          </w:tcPr>
          <w:p w14:paraId="43D11EF9" w14:textId="77777777" w:rsidR="00460106" w:rsidRPr="00842ABF" w:rsidRDefault="00460106" w:rsidP="00460106">
            <w:pPr>
              <w:spacing w:line="240" w:lineRule="auto"/>
              <w:jc w:val="right"/>
              <w:rPr>
                <w:sz w:val="14"/>
                <w:szCs w:val="14"/>
                <w:lang w:eastAsia="sl-SI"/>
              </w:rPr>
            </w:pPr>
            <w:r w:rsidRPr="00842ABF">
              <w:rPr>
                <w:sz w:val="14"/>
                <w:szCs w:val="14"/>
                <w:lang w:eastAsia="sl-SI"/>
              </w:rPr>
              <w:t>3.941.612</w:t>
            </w:r>
          </w:p>
        </w:tc>
        <w:tc>
          <w:tcPr>
            <w:tcW w:w="639" w:type="dxa"/>
            <w:tcBorders>
              <w:top w:val="nil"/>
              <w:left w:val="nil"/>
              <w:bottom w:val="single" w:sz="4" w:space="0" w:color="auto"/>
              <w:right w:val="single" w:sz="4" w:space="0" w:color="auto"/>
            </w:tcBorders>
            <w:shd w:val="clear" w:color="000000" w:fill="FFFFFF"/>
            <w:noWrap/>
            <w:vAlign w:val="center"/>
            <w:hideMark/>
          </w:tcPr>
          <w:p w14:paraId="489E140B" w14:textId="77777777" w:rsidR="00460106" w:rsidRPr="00842ABF" w:rsidRDefault="00460106" w:rsidP="00460106">
            <w:pPr>
              <w:spacing w:line="240" w:lineRule="auto"/>
              <w:jc w:val="right"/>
              <w:rPr>
                <w:sz w:val="14"/>
                <w:szCs w:val="14"/>
                <w:lang w:eastAsia="sl-SI"/>
              </w:rPr>
            </w:pPr>
            <w:r w:rsidRPr="00842ABF">
              <w:rPr>
                <w:sz w:val="14"/>
                <w:szCs w:val="14"/>
                <w:lang w:eastAsia="sl-SI"/>
              </w:rPr>
              <w:t>6.363</w:t>
            </w:r>
          </w:p>
        </w:tc>
        <w:tc>
          <w:tcPr>
            <w:tcW w:w="569" w:type="dxa"/>
            <w:tcBorders>
              <w:top w:val="nil"/>
              <w:left w:val="nil"/>
              <w:bottom w:val="single" w:sz="4" w:space="0" w:color="auto"/>
              <w:right w:val="single" w:sz="4" w:space="0" w:color="auto"/>
            </w:tcBorders>
            <w:shd w:val="clear" w:color="000000" w:fill="FFFFFF"/>
            <w:noWrap/>
            <w:vAlign w:val="center"/>
            <w:hideMark/>
          </w:tcPr>
          <w:p w14:paraId="7373BED0" w14:textId="77777777" w:rsidR="00460106" w:rsidRPr="00842ABF" w:rsidRDefault="00460106" w:rsidP="00460106">
            <w:pPr>
              <w:spacing w:line="240" w:lineRule="auto"/>
              <w:jc w:val="right"/>
              <w:rPr>
                <w:sz w:val="14"/>
                <w:szCs w:val="14"/>
                <w:lang w:eastAsia="sl-SI"/>
              </w:rPr>
            </w:pPr>
            <w:r w:rsidRPr="00842ABF">
              <w:rPr>
                <w:sz w:val="14"/>
                <w:szCs w:val="14"/>
                <w:lang w:eastAsia="sl-SI"/>
              </w:rPr>
              <w:t>4.894</w:t>
            </w:r>
          </w:p>
        </w:tc>
        <w:tc>
          <w:tcPr>
            <w:tcW w:w="569" w:type="dxa"/>
            <w:tcBorders>
              <w:top w:val="nil"/>
              <w:left w:val="nil"/>
              <w:bottom w:val="single" w:sz="4" w:space="0" w:color="auto"/>
              <w:right w:val="single" w:sz="4" w:space="0" w:color="auto"/>
            </w:tcBorders>
            <w:shd w:val="clear" w:color="000000" w:fill="FFFFFF"/>
            <w:noWrap/>
            <w:vAlign w:val="center"/>
            <w:hideMark/>
          </w:tcPr>
          <w:p w14:paraId="3A6C2314" w14:textId="77777777" w:rsidR="00460106" w:rsidRPr="00842ABF" w:rsidRDefault="00460106" w:rsidP="00460106">
            <w:pPr>
              <w:spacing w:line="240" w:lineRule="auto"/>
              <w:jc w:val="right"/>
              <w:rPr>
                <w:sz w:val="14"/>
                <w:szCs w:val="14"/>
                <w:lang w:eastAsia="sl-SI"/>
              </w:rPr>
            </w:pPr>
            <w:r w:rsidRPr="00842ABF">
              <w:rPr>
                <w:sz w:val="14"/>
                <w:szCs w:val="14"/>
                <w:lang w:eastAsia="sl-SI"/>
              </w:rPr>
              <w:t>4.355</w:t>
            </w:r>
          </w:p>
        </w:tc>
        <w:tc>
          <w:tcPr>
            <w:tcW w:w="569" w:type="dxa"/>
            <w:tcBorders>
              <w:top w:val="nil"/>
              <w:left w:val="nil"/>
              <w:bottom w:val="single" w:sz="4" w:space="0" w:color="auto"/>
              <w:right w:val="single" w:sz="4" w:space="0" w:color="auto"/>
            </w:tcBorders>
            <w:shd w:val="clear" w:color="000000" w:fill="FFFFFF"/>
            <w:noWrap/>
            <w:vAlign w:val="center"/>
            <w:hideMark/>
          </w:tcPr>
          <w:p w14:paraId="618A974C" w14:textId="77777777" w:rsidR="00460106" w:rsidRPr="00842ABF" w:rsidRDefault="00460106" w:rsidP="00460106">
            <w:pPr>
              <w:spacing w:line="240" w:lineRule="auto"/>
              <w:jc w:val="right"/>
              <w:rPr>
                <w:sz w:val="14"/>
                <w:szCs w:val="14"/>
                <w:lang w:eastAsia="sl-SI"/>
              </w:rPr>
            </w:pPr>
            <w:r w:rsidRPr="00842ABF">
              <w:rPr>
                <w:sz w:val="14"/>
                <w:szCs w:val="14"/>
                <w:lang w:eastAsia="sl-SI"/>
              </w:rPr>
              <w:t>3.003</w:t>
            </w:r>
          </w:p>
        </w:tc>
        <w:tc>
          <w:tcPr>
            <w:tcW w:w="569" w:type="dxa"/>
            <w:tcBorders>
              <w:top w:val="nil"/>
              <w:left w:val="nil"/>
              <w:bottom w:val="single" w:sz="4" w:space="0" w:color="auto"/>
              <w:right w:val="single" w:sz="4" w:space="0" w:color="auto"/>
            </w:tcBorders>
            <w:shd w:val="clear" w:color="000000" w:fill="FFFFFF"/>
            <w:noWrap/>
            <w:vAlign w:val="center"/>
            <w:hideMark/>
          </w:tcPr>
          <w:p w14:paraId="1CDB2111" w14:textId="77777777" w:rsidR="00460106" w:rsidRPr="00842ABF" w:rsidRDefault="00460106" w:rsidP="00460106">
            <w:pPr>
              <w:spacing w:line="240" w:lineRule="auto"/>
              <w:jc w:val="right"/>
              <w:rPr>
                <w:sz w:val="14"/>
                <w:szCs w:val="14"/>
                <w:lang w:eastAsia="sl-SI"/>
              </w:rPr>
            </w:pPr>
            <w:r w:rsidRPr="00842ABF">
              <w:rPr>
                <w:sz w:val="14"/>
                <w:szCs w:val="14"/>
                <w:lang w:eastAsia="sl-SI"/>
              </w:rPr>
              <w:t>2.911</w:t>
            </w:r>
          </w:p>
        </w:tc>
        <w:tc>
          <w:tcPr>
            <w:tcW w:w="569" w:type="dxa"/>
            <w:tcBorders>
              <w:top w:val="nil"/>
              <w:left w:val="nil"/>
              <w:bottom w:val="single" w:sz="4" w:space="0" w:color="auto"/>
              <w:right w:val="single" w:sz="4" w:space="0" w:color="auto"/>
            </w:tcBorders>
            <w:shd w:val="clear" w:color="000000" w:fill="FFFFFF"/>
            <w:noWrap/>
            <w:vAlign w:val="center"/>
            <w:hideMark/>
          </w:tcPr>
          <w:p w14:paraId="1D905694" w14:textId="77777777" w:rsidR="00460106" w:rsidRPr="00842ABF" w:rsidRDefault="00460106" w:rsidP="00460106">
            <w:pPr>
              <w:spacing w:line="240" w:lineRule="auto"/>
              <w:jc w:val="right"/>
              <w:rPr>
                <w:sz w:val="14"/>
                <w:szCs w:val="14"/>
                <w:lang w:eastAsia="sl-SI"/>
              </w:rPr>
            </w:pPr>
            <w:r w:rsidRPr="00842ABF">
              <w:rPr>
                <w:sz w:val="14"/>
                <w:szCs w:val="14"/>
                <w:lang w:eastAsia="sl-SI"/>
              </w:rPr>
              <w:t>4.652</w:t>
            </w:r>
          </w:p>
        </w:tc>
        <w:tc>
          <w:tcPr>
            <w:tcW w:w="574" w:type="dxa"/>
            <w:tcBorders>
              <w:top w:val="nil"/>
              <w:left w:val="nil"/>
              <w:bottom w:val="single" w:sz="4" w:space="0" w:color="auto"/>
              <w:right w:val="single" w:sz="4" w:space="0" w:color="auto"/>
            </w:tcBorders>
            <w:shd w:val="clear" w:color="000000" w:fill="FFFFFF"/>
            <w:noWrap/>
            <w:vAlign w:val="center"/>
            <w:hideMark/>
          </w:tcPr>
          <w:p w14:paraId="45563798" w14:textId="77777777" w:rsidR="00460106" w:rsidRPr="00842ABF" w:rsidRDefault="00460106" w:rsidP="00460106">
            <w:pPr>
              <w:spacing w:line="240" w:lineRule="auto"/>
              <w:jc w:val="right"/>
              <w:rPr>
                <w:sz w:val="14"/>
                <w:szCs w:val="14"/>
                <w:lang w:eastAsia="sl-SI"/>
              </w:rPr>
            </w:pPr>
            <w:r w:rsidRPr="00842ABF">
              <w:rPr>
                <w:sz w:val="14"/>
                <w:szCs w:val="14"/>
                <w:lang w:eastAsia="sl-SI"/>
              </w:rPr>
              <w:t>5.514</w:t>
            </w:r>
          </w:p>
        </w:tc>
      </w:tr>
      <w:tr w:rsidR="00460106" w:rsidRPr="00842ABF" w14:paraId="6D08DBA9"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02A4904" w14:textId="77777777" w:rsidR="00460106" w:rsidRPr="00842ABF" w:rsidRDefault="00460106" w:rsidP="00460106">
            <w:pPr>
              <w:spacing w:line="240" w:lineRule="auto"/>
              <w:rPr>
                <w:sz w:val="14"/>
                <w:szCs w:val="14"/>
                <w:lang w:eastAsia="sl-SI"/>
              </w:rPr>
            </w:pPr>
            <w:r w:rsidRPr="00842ABF">
              <w:rPr>
                <w:sz w:val="14"/>
                <w:szCs w:val="14"/>
                <w:lang w:eastAsia="sl-SI"/>
              </w:rPr>
              <w:t>Druge kokoši [petelini, jarkice]</w:t>
            </w:r>
          </w:p>
        </w:tc>
        <w:tc>
          <w:tcPr>
            <w:tcW w:w="763" w:type="dxa"/>
            <w:tcBorders>
              <w:top w:val="nil"/>
              <w:left w:val="nil"/>
              <w:bottom w:val="single" w:sz="4" w:space="0" w:color="auto"/>
              <w:right w:val="single" w:sz="4" w:space="0" w:color="auto"/>
            </w:tcBorders>
            <w:shd w:val="clear" w:color="000000" w:fill="FFFFFF"/>
            <w:noWrap/>
            <w:vAlign w:val="center"/>
            <w:hideMark/>
          </w:tcPr>
          <w:p w14:paraId="514019B6" w14:textId="77777777" w:rsidR="00460106" w:rsidRPr="00842ABF" w:rsidRDefault="00460106" w:rsidP="00460106">
            <w:pPr>
              <w:spacing w:line="240" w:lineRule="auto"/>
              <w:jc w:val="right"/>
              <w:rPr>
                <w:sz w:val="14"/>
                <w:szCs w:val="14"/>
                <w:lang w:eastAsia="sl-SI"/>
              </w:rPr>
            </w:pPr>
            <w:r w:rsidRPr="00842ABF">
              <w:rPr>
                <w:sz w:val="14"/>
                <w:szCs w:val="14"/>
                <w:lang w:eastAsia="sl-SI"/>
              </w:rPr>
              <w:t>633.994</w:t>
            </w:r>
          </w:p>
        </w:tc>
        <w:tc>
          <w:tcPr>
            <w:tcW w:w="763" w:type="dxa"/>
            <w:tcBorders>
              <w:top w:val="nil"/>
              <w:left w:val="nil"/>
              <w:bottom w:val="single" w:sz="4" w:space="0" w:color="auto"/>
              <w:right w:val="single" w:sz="4" w:space="0" w:color="auto"/>
            </w:tcBorders>
            <w:shd w:val="clear" w:color="000000" w:fill="FFFFFF"/>
            <w:noWrap/>
            <w:vAlign w:val="center"/>
            <w:hideMark/>
          </w:tcPr>
          <w:p w14:paraId="23272D3E" w14:textId="77777777" w:rsidR="00460106" w:rsidRPr="00842ABF" w:rsidRDefault="00460106" w:rsidP="00460106">
            <w:pPr>
              <w:spacing w:line="240" w:lineRule="auto"/>
              <w:jc w:val="right"/>
              <w:rPr>
                <w:sz w:val="14"/>
                <w:szCs w:val="14"/>
                <w:lang w:eastAsia="sl-SI"/>
              </w:rPr>
            </w:pPr>
            <w:r w:rsidRPr="00842ABF">
              <w:rPr>
                <w:sz w:val="14"/>
                <w:szCs w:val="14"/>
                <w:lang w:eastAsia="sl-SI"/>
              </w:rPr>
              <w:t>770.840</w:t>
            </w:r>
          </w:p>
        </w:tc>
        <w:tc>
          <w:tcPr>
            <w:tcW w:w="763" w:type="dxa"/>
            <w:tcBorders>
              <w:top w:val="nil"/>
              <w:left w:val="nil"/>
              <w:bottom w:val="single" w:sz="4" w:space="0" w:color="auto"/>
              <w:right w:val="single" w:sz="4" w:space="0" w:color="auto"/>
            </w:tcBorders>
            <w:shd w:val="clear" w:color="000000" w:fill="FFFFFF"/>
            <w:noWrap/>
            <w:vAlign w:val="center"/>
            <w:hideMark/>
          </w:tcPr>
          <w:p w14:paraId="30FF59FF" w14:textId="77777777" w:rsidR="00460106" w:rsidRPr="00842ABF" w:rsidRDefault="00460106" w:rsidP="00460106">
            <w:pPr>
              <w:spacing w:line="240" w:lineRule="auto"/>
              <w:jc w:val="right"/>
              <w:rPr>
                <w:sz w:val="14"/>
                <w:szCs w:val="14"/>
                <w:lang w:eastAsia="sl-SI"/>
              </w:rPr>
            </w:pPr>
            <w:r w:rsidRPr="00842ABF">
              <w:rPr>
                <w:sz w:val="14"/>
                <w:szCs w:val="14"/>
                <w:lang w:eastAsia="sl-SI"/>
              </w:rPr>
              <w:t>294.596</w:t>
            </w:r>
          </w:p>
        </w:tc>
        <w:tc>
          <w:tcPr>
            <w:tcW w:w="763" w:type="dxa"/>
            <w:tcBorders>
              <w:top w:val="nil"/>
              <w:left w:val="nil"/>
              <w:bottom w:val="single" w:sz="4" w:space="0" w:color="auto"/>
              <w:right w:val="single" w:sz="4" w:space="0" w:color="auto"/>
            </w:tcBorders>
            <w:shd w:val="clear" w:color="000000" w:fill="FFFFFF"/>
            <w:noWrap/>
            <w:vAlign w:val="center"/>
            <w:hideMark/>
          </w:tcPr>
          <w:p w14:paraId="4F2C6780" w14:textId="77777777" w:rsidR="00460106" w:rsidRPr="00842ABF" w:rsidRDefault="00460106" w:rsidP="00460106">
            <w:pPr>
              <w:spacing w:line="240" w:lineRule="auto"/>
              <w:jc w:val="right"/>
              <w:rPr>
                <w:sz w:val="14"/>
                <w:szCs w:val="14"/>
                <w:lang w:eastAsia="sl-SI"/>
              </w:rPr>
            </w:pPr>
            <w:r w:rsidRPr="00842ABF">
              <w:rPr>
                <w:sz w:val="14"/>
                <w:szCs w:val="14"/>
                <w:lang w:eastAsia="sl-SI"/>
              </w:rPr>
              <w:t>404.532</w:t>
            </w:r>
          </w:p>
        </w:tc>
        <w:tc>
          <w:tcPr>
            <w:tcW w:w="763" w:type="dxa"/>
            <w:tcBorders>
              <w:top w:val="nil"/>
              <w:left w:val="nil"/>
              <w:bottom w:val="single" w:sz="4" w:space="0" w:color="auto"/>
              <w:right w:val="single" w:sz="4" w:space="0" w:color="auto"/>
            </w:tcBorders>
            <w:shd w:val="clear" w:color="000000" w:fill="FFFFFF"/>
            <w:noWrap/>
            <w:vAlign w:val="center"/>
            <w:hideMark/>
          </w:tcPr>
          <w:p w14:paraId="758B677F" w14:textId="77777777" w:rsidR="00460106" w:rsidRPr="00842ABF" w:rsidRDefault="00460106" w:rsidP="00460106">
            <w:pPr>
              <w:spacing w:line="240" w:lineRule="auto"/>
              <w:jc w:val="right"/>
              <w:rPr>
                <w:sz w:val="14"/>
                <w:szCs w:val="14"/>
                <w:lang w:eastAsia="sl-SI"/>
              </w:rPr>
            </w:pPr>
            <w:r w:rsidRPr="00842ABF">
              <w:rPr>
                <w:sz w:val="14"/>
                <w:szCs w:val="14"/>
                <w:lang w:eastAsia="sl-SI"/>
              </w:rPr>
              <w:t>461.213</w:t>
            </w:r>
          </w:p>
        </w:tc>
        <w:tc>
          <w:tcPr>
            <w:tcW w:w="763" w:type="dxa"/>
            <w:tcBorders>
              <w:top w:val="nil"/>
              <w:left w:val="nil"/>
              <w:bottom w:val="single" w:sz="4" w:space="0" w:color="auto"/>
              <w:right w:val="single" w:sz="4" w:space="0" w:color="auto"/>
            </w:tcBorders>
            <w:shd w:val="clear" w:color="000000" w:fill="FFFFFF"/>
            <w:noWrap/>
            <w:vAlign w:val="center"/>
            <w:hideMark/>
          </w:tcPr>
          <w:p w14:paraId="000E76B7" w14:textId="77777777" w:rsidR="00460106" w:rsidRPr="00842ABF" w:rsidRDefault="00460106" w:rsidP="00460106">
            <w:pPr>
              <w:spacing w:line="240" w:lineRule="auto"/>
              <w:jc w:val="right"/>
              <w:rPr>
                <w:sz w:val="14"/>
                <w:szCs w:val="14"/>
                <w:lang w:eastAsia="sl-SI"/>
              </w:rPr>
            </w:pPr>
            <w:r w:rsidRPr="00842ABF">
              <w:rPr>
                <w:sz w:val="14"/>
                <w:szCs w:val="14"/>
                <w:lang w:eastAsia="sl-SI"/>
              </w:rPr>
              <w:t>700.488</w:t>
            </w:r>
          </w:p>
        </w:tc>
        <w:tc>
          <w:tcPr>
            <w:tcW w:w="763" w:type="dxa"/>
            <w:tcBorders>
              <w:top w:val="nil"/>
              <w:left w:val="nil"/>
              <w:bottom w:val="single" w:sz="4" w:space="0" w:color="auto"/>
              <w:right w:val="single" w:sz="4" w:space="0" w:color="auto"/>
            </w:tcBorders>
            <w:shd w:val="clear" w:color="000000" w:fill="FFFFFF"/>
            <w:noWrap/>
            <w:vAlign w:val="center"/>
            <w:hideMark/>
          </w:tcPr>
          <w:p w14:paraId="45ECFC75" w14:textId="77777777" w:rsidR="00460106" w:rsidRPr="00842ABF" w:rsidRDefault="00460106" w:rsidP="00460106">
            <w:pPr>
              <w:spacing w:line="240" w:lineRule="auto"/>
              <w:jc w:val="right"/>
              <w:rPr>
                <w:sz w:val="14"/>
                <w:szCs w:val="14"/>
                <w:lang w:eastAsia="sl-SI"/>
              </w:rPr>
            </w:pPr>
            <w:r w:rsidRPr="00842ABF">
              <w:rPr>
                <w:sz w:val="14"/>
                <w:szCs w:val="14"/>
                <w:lang w:eastAsia="sl-SI"/>
              </w:rPr>
              <w:t>462.314</w:t>
            </w:r>
          </w:p>
        </w:tc>
        <w:tc>
          <w:tcPr>
            <w:tcW w:w="639" w:type="dxa"/>
            <w:tcBorders>
              <w:top w:val="nil"/>
              <w:left w:val="nil"/>
              <w:bottom w:val="single" w:sz="4" w:space="0" w:color="auto"/>
              <w:right w:val="single" w:sz="4" w:space="0" w:color="auto"/>
            </w:tcBorders>
            <w:shd w:val="clear" w:color="000000" w:fill="FFFFFF"/>
            <w:noWrap/>
            <w:vAlign w:val="center"/>
            <w:hideMark/>
          </w:tcPr>
          <w:p w14:paraId="2F9DF444" w14:textId="77777777" w:rsidR="00460106" w:rsidRPr="00842ABF" w:rsidRDefault="00460106" w:rsidP="00460106">
            <w:pPr>
              <w:spacing w:line="240" w:lineRule="auto"/>
              <w:jc w:val="right"/>
              <w:rPr>
                <w:sz w:val="14"/>
                <w:szCs w:val="14"/>
                <w:lang w:eastAsia="sl-SI"/>
              </w:rPr>
            </w:pPr>
            <w:r w:rsidRPr="00842ABF">
              <w:rPr>
                <w:sz w:val="14"/>
                <w:szCs w:val="14"/>
                <w:lang w:eastAsia="sl-SI"/>
              </w:rPr>
              <w:t>23.664</w:t>
            </w:r>
          </w:p>
        </w:tc>
        <w:tc>
          <w:tcPr>
            <w:tcW w:w="569" w:type="dxa"/>
            <w:tcBorders>
              <w:top w:val="nil"/>
              <w:left w:val="nil"/>
              <w:bottom w:val="single" w:sz="4" w:space="0" w:color="auto"/>
              <w:right w:val="single" w:sz="4" w:space="0" w:color="auto"/>
            </w:tcBorders>
            <w:shd w:val="clear" w:color="000000" w:fill="FFFFFF"/>
            <w:noWrap/>
            <w:vAlign w:val="center"/>
            <w:hideMark/>
          </w:tcPr>
          <w:p w14:paraId="59B09B0F" w14:textId="77777777" w:rsidR="00460106" w:rsidRPr="00842ABF" w:rsidRDefault="00460106" w:rsidP="00460106">
            <w:pPr>
              <w:spacing w:line="240" w:lineRule="auto"/>
              <w:jc w:val="right"/>
              <w:rPr>
                <w:sz w:val="14"/>
                <w:szCs w:val="14"/>
                <w:lang w:eastAsia="sl-SI"/>
              </w:rPr>
            </w:pPr>
            <w:r w:rsidRPr="00842ABF">
              <w:rPr>
                <w:sz w:val="14"/>
                <w:szCs w:val="14"/>
                <w:lang w:eastAsia="sl-SI"/>
              </w:rPr>
              <w:t>14.781</w:t>
            </w:r>
          </w:p>
        </w:tc>
        <w:tc>
          <w:tcPr>
            <w:tcW w:w="569" w:type="dxa"/>
            <w:tcBorders>
              <w:top w:val="nil"/>
              <w:left w:val="nil"/>
              <w:bottom w:val="single" w:sz="4" w:space="0" w:color="auto"/>
              <w:right w:val="single" w:sz="4" w:space="0" w:color="auto"/>
            </w:tcBorders>
            <w:shd w:val="clear" w:color="000000" w:fill="FFFFFF"/>
            <w:noWrap/>
            <w:vAlign w:val="center"/>
            <w:hideMark/>
          </w:tcPr>
          <w:p w14:paraId="67397DCA" w14:textId="77777777" w:rsidR="00460106" w:rsidRPr="00842ABF" w:rsidRDefault="00460106" w:rsidP="00460106">
            <w:pPr>
              <w:spacing w:line="240" w:lineRule="auto"/>
              <w:jc w:val="right"/>
              <w:rPr>
                <w:sz w:val="14"/>
                <w:szCs w:val="14"/>
                <w:lang w:eastAsia="sl-SI"/>
              </w:rPr>
            </w:pPr>
            <w:r w:rsidRPr="00842ABF">
              <w:rPr>
                <w:sz w:val="14"/>
                <w:szCs w:val="14"/>
                <w:lang w:eastAsia="sl-SI"/>
              </w:rPr>
              <w:t>18.172</w:t>
            </w:r>
          </w:p>
        </w:tc>
        <w:tc>
          <w:tcPr>
            <w:tcW w:w="569" w:type="dxa"/>
            <w:tcBorders>
              <w:top w:val="nil"/>
              <w:left w:val="nil"/>
              <w:bottom w:val="single" w:sz="4" w:space="0" w:color="auto"/>
              <w:right w:val="single" w:sz="4" w:space="0" w:color="auto"/>
            </w:tcBorders>
            <w:shd w:val="clear" w:color="000000" w:fill="FFFFFF"/>
            <w:noWrap/>
            <w:vAlign w:val="center"/>
            <w:hideMark/>
          </w:tcPr>
          <w:p w14:paraId="239BAB71" w14:textId="77777777" w:rsidR="00460106" w:rsidRPr="00842ABF" w:rsidRDefault="00460106" w:rsidP="00460106">
            <w:pPr>
              <w:spacing w:line="240" w:lineRule="auto"/>
              <w:jc w:val="right"/>
              <w:rPr>
                <w:sz w:val="14"/>
                <w:szCs w:val="14"/>
                <w:lang w:eastAsia="sl-SI"/>
              </w:rPr>
            </w:pPr>
            <w:r w:rsidRPr="00842ABF">
              <w:rPr>
                <w:sz w:val="14"/>
                <w:szCs w:val="14"/>
                <w:lang w:eastAsia="sl-SI"/>
              </w:rPr>
              <w:t>16.021</w:t>
            </w:r>
          </w:p>
        </w:tc>
        <w:tc>
          <w:tcPr>
            <w:tcW w:w="569" w:type="dxa"/>
            <w:tcBorders>
              <w:top w:val="nil"/>
              <w:left w:val="nil"/>
              <w:bottom w:val="single" w:sz="4" w:space="0" w:color="auto"/>
              <w:right w:val="single" w:sz="4" w:space="0" w:color="auto"/>
            </w:tcBorders>
            <w:shd w:val="clear" w:color="000000" w:fill="FFFFFF"/>
            <w:noWrap/>
            <w:vAlign w:val="center"/>
            <w:hideMark/>
          </w:tcPr>
          <w:p w14:paraId="260CC799" w14:textId="77777777" w:rsidR="00460106" w:rsidRPr="00842ABF" w:rsidRDefault="00460106" w:rsidP="00460106">
            <w:pPr>
              <w:spacing w:line="240" w:lineRule="auto"/>
              <w:jc w:val="right"/>
              <w:rPr>
                <w:sz w:val="14"/>
                <w:szCs w:val="14"/>
                <w:lang w:eastAsia="sl-SI"/>
              </w:rPr>
            </w:pPr>
            <w:r w:rsidRPr="00842ABF">
              <w:rPr>
                <w:sz w:val="14"/>
                <w:szCs w:val="14"/>
                <w:lang w:eastAsia="sl-SI"/>
              </w:rPr>
              <w:t>18.179</w:t>
            </w:r>
          </w:p>
        </w:tc>
        <w:tc>
          <w:tcPr>
            <w:tcW w:w="569" w:type="dxa"/>
            <w:tcBorders>
              <w:top w:val="nil"/>
              <w:left w:val="nil"/>
              <w:bottom w:val="single" w:sz="4" w:space="0" w:color="auto"/>
              <w:right w:val="single" w:sz="4" w:space="0" w:color="auto"/>
            </w:tcBorders>
            <w:shd w:val="clear" w:color="000000" w:fill="FFFFFF"/>
            <w:noWrap/>
            <w:vAlign w:val="center"/>
            <w:hideMark/>
          </w:tcPr>
          <w:p w14:paraId="5351FF3D" w14:textId="77777777" w:rsidR="00460106" w:rsidRPr="00842ABF" w:rsidRDefault="00460106" w:rsidP="00460106">
            <w:pPr>
              <w:spacing w:line="240" w:lineRule="auto"/>
              <w:jc w:val="right"/>
              <w:rPr>
                <w:sz w:val="14"/>
                <w:szCs w:val="14"/>
                <w:lang w:eastAsia="sl-SI"/>
              </w:rPr>
            </w:pPr>
            <w:r w:rsidRPr="00842ABF">
              <w:rPr>
                <w:sz w:val="14"/>
                <w:szCs w:val="14"/>
                <w:lang w:eastAsia="sl-SI"/>
              </w:rPr>
              <w:t>19.132</w:t>
            </w:r>
          </w:p>
        </w:tc>
        <w:tc>
          <w:tcPr>
            <w:tcW w:w="574" w:type="dxa"/>
            <w:tcBorders>
              <w:top w:val="nil"/>
              <w:left w:val="nil"/>
              <w:bottom w:val="single" w:sz="4" w:space="0" w:color="auto"/>
              <w:right w:val="single" w:sz="4" w:space="0" w:color="auto"/>
            </w:tcBorders>
            <w:shd w:val="clear" w:color="000000" w:fill="FFFFFF"/>
            <w:noWrap/>
            <w:vAlign w:val="center"/>
            <w:hideMark/>
          </w:tcPr>
          <w:p w14:paraId="0BB9AC04" w14:textId="77777777" w:rsidR="00460106" w:rsidRPr="00842ABF" w:rsidRDefault="00460106" w:rsidP="00460106">
            <w:pPr>
              <w:spacing w:line="240" w:lineRule="auto"/>
              <w:jc w:val="right"/>
              <w:rPr>
                <w:sz w:val="14"/>
                <w:szCs w:val="14"/>
                <w:lang w:eastAsia="sl-SI"/>
              </w:rPr>
            </w:pPr>
            <w:r w:rsidRPr="00842ABF">
              <w:rPr>
                <w:sz w:val="14"/>
                <w:szCs w:val="14"/>
                <w:lang w:eastAsia="sl-SI"/>
              </w:rPr>
              <w:t>19.241</w:t>
            </w:r>
          </w:p>
        </w:tc>
      </w:tr>
      <w:tr w:rsidR="00460106" w:rsidRPr="00842ABF" w14:paraId="67FEC7BC"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07DFC3CE" w14:textId="77777777" w:rsidR="00460106" w:rsidRPr="00842ABF" w:rsidRDefault="00460106" w:rsidP="00460106">
            <w:pPr>
              <w:spacing w:line="240" w:lineRule="auto"/>
              <w:rPr>
                <w:sz w:val="14"/>
                <w:szCs w:val="14"/>
                <w:lang w:eastAsia="sl-SI"/>
              </w:rPr>
            </w:pPr>
            <w:r w:rsidRPr="00842ABF">
              <w:rPr>
                <w:sz w:val="14"/>
                <w:szCs w:val="14"/>
                <w:lang w:eastAsia="sl-SI"/>
              </w:rPr>
              <w:t>Purice in purani</w:t>
            </w:r>
          </w:p>
        </w:tc>
        <w:tc>
          <w:tcPr>
            <w:tcW w:w="763" w:type="dxa"/>
            <w:tcBorders>
              <w:top w:val="nil"/>
              <w:left w:val="nil"/>
              <w:bottom w:val="single" w:sz="4" w:space="0" w:color="auto"/>
              <w:right w:val="single" w:sz="4" w:space="0" w:color="auto"/>
            </w:tcBorders>
            <w:shd w:val="clear" w:color="000000" w:fill="FFFFFF"/>
            <w:noWrap/>
            <w:vAlign w:val="center"/>
            <w:hideMark/>
          </w:tcPr>
          <w:p w14:paraId="2E676E68" w14:textId="77777777" w:rsidR="00460106" w:rsidRPr="00842ABF" w:rsidRDefault="00460106" w:rsidP="00460106">
            <w:pPr>
              <w:spacing w:line="240" w:lineRule="auto"/>
              <w:jc w:val="right"/>
              <w:rPr>
                <w:sz w:val="14"/>
                <w:szCs w:val="14"/>
                <w:lang w:eastAsia="sl-SI"/>
              </w:rPr>
            </w:pPr>
            <w:r w:rsidRPr="00842ABF">
              <w:rPr>
                <w:sz w:val="14"/>
                <w:szCs w:val="14"/>
                <w:lang w:eastAsia="sl-SI"/>
              </w:rPr>
              <w:t>199.518</w:t>
            </w:r>
          </w:p>
        </w:tc>
        <w:tc>
          <w:tcPr>
            <w:tcW w:w="763" w:type="dxa"/>
            <w:tcBorders>
              <w:top w:val="nil"/>
              <w:left w:val="nil"/>
              <w:bottom w:val="single" w:sz="4" w:space="0" w:color="auto"/>
              <w:right w:val="single" w:sz="4" w:space="0" w:color="auto"/>
            </w:tcBorders>
            <w:shd w:val="clear" w:color="000000" w:fill="FFFFFF"/>
            <w:noWrap/>
            <w:vAlign w:val="center"/>
            <w:hideMark/>
          </w:tcPr>
          <w:p w14:paraId="51036AF1" w14:textId="77777777" w:rsidR="00460106" w:rsidRPr="00842ABF" w:rsidRDefault="00460106" w:rsidP="00460106">
            <w:pPr>
              <w:spacing w:line="240" w:lineRule="auto"/>
              <w:jc w:val="right"/>
              <w:rPr>
                <w:sz w:val="14"/>
                <w:szCs w:val="14"/>
                <w:lang w:eastAsia="sl-SI"/>
              </w:rPr>
            </w:pPr>
            <w:r w:rsidRPr="00842ABF">
              <w:rPr>
                <w:sz w:val="14"/>
                <w:szCs w:val="14"/>
                <w:lang w:eastAsia="sl-SI"/>
              </w:rPr>
              <w:t>310.285</w:t>
            </w:r>
          </w:p>
        </w:tc>
        <w:tc>
          <w:tcPr>
            <w:tcW w:w="763" w:type="dxa"/>
            <w:tcBorders>
              <w:top w:val="nil"/>
              <w:left w:val="nil"/>
              <w:bottom w:val="single" w:sz="4" w:space="0" w:color="auto"/>
              <w:right w:val="single" w:sz="4" w:space="0" w:color="auto"/>
            </w:tcBorders>
            <w:shd w:val="clear" w:color="000000" w:fill="FFFFFF"/>
            <w:noWrap/>
            <w:vAlign w:val="center"/>
            <w:hideMark/>
          </w:tcPr>
          <w:p w14:paraId="0B2A6D41" w14:textId="77777777" w:rsidR="00460106" w:rsidRPr="00842ABF" w:rsidRDefault="00460106" w:rsidP="00460106">
            <w:pPr>
              <w:spacing w:line="240" w:lineRule="auto"/>
              <w:jc w:val="right"/>
              <w:rPr>
                <w:sz w:val="14"/>
                <w:szCs w:val="14"/>
                <w:lang w:eastAsia="sl-SI"/>
              </w:rPr>
            </w:pPr>
            <w:r w:rsidRPr="00842ABF">
              <w:rPr>
                <w:sz w:val="14"/>
                <w:szCs w:val="14"/>
                <w:lang w:eastAsia="sl-SI"/>
              </w:rPr>
              <w:t>151.589</w:t>
            </w:r>
          </w:p>
        </w:tc>
        <w:tc>
          <w:tcPr>
            <w:tcW w:w="763" w:type="dxa"/>
            <w:tcBorders>
              <w:top w:val="nil"/>
              <w:left w:val="nil"/>
              <w:bottom w:val="single" w:sz="4" w:space="0" w:color="auto"/>
              <w:right w:val="single" w:sz="4" w:space="0" w:color="auto"/>
            </w:tcBorders>
            <w:shd w:val="clear" w:color="000000" w:fill="FFFFFF"/>
            <w:noWrap/>
            <w:vAlign w:val="center"/>
            <w:hideMark/>
          </w:tcPr>
          <w:p w14:paraId="75AE17F3" w14:textId="77777777" w:rsidR="00460106" w:rsidRPr="00842ABF" w:rsidRDefault="00460106" w:rsidP="00460106">
            <w:pPr>
              <w:spacing w:line="240" w:lineRule="auto"/>
              <w:jc w:val="right"/>
              <w:rPr>
                <w:sz w:val="14"/>
                <w:szCs w:val="14"/>
                <w:lang w:eastAsia="sl-SI"/>
              </w:rPr>
            </w:pPr>
            <w:r w:rsidRPr="00842ABF">
              <w:rPr>
                <w:sz w:val="14"/>
                <w:szCs w:val="14"/>
                <w:lang w:eastAsia="sl-SI"/>
              </w:rPr>
              <w:t>197.245</w:t>
            </w:r>
          </w:p>
        </w:tc>
        <w:tc>
          <w:tcPr>
            <w:tcW w:w="763" w:type="dxa"/>
            <w:tcBorders>
              <w:top w:val="nil"/>
              <w:left w:val="nil"/>
              <w:bottom w:val="single" w:sz="4" w:space="0" w:color="auto"/>
              <w:right w:val="single" w:sz="4" w:space="0" w:color="auto"/>
            </w:tcBorders>
            <w:shd w:val="clear" w:color="000000" w:fill="FFFFFF"/>
            <w:noWrap/>
            <w:vAlign w:val="center"/>
            <w:hideMark/>
          </w:tcPr>
          <w:p w14:paraId="32D9AE1A" w14:textId="77777777" w:rsidR="00460106" w:rsidRPr="00842ABF" w:rsidRDefault="00460106" w:rsidP="00460106">
            <w:pPr>
              <w:spacing w:line="240" w:lineRule="auto"/>
              <w:jc w:val="right"/>
              <w:rPr>
                <w:sz w:val="14"/>
                <w:szCs w:val="14"/>
                <w:lang w:eastAsia="sl-SI"/>
              </w:rPr>
            </w:pPr>
            <w:r w:rsidRPr="00842ABF">
              <w:rPr>
                <w:sz w:val="14"/>
                <w:szCs w:val="14"/>
                <w:lang w:eastAsia="sl-SI"/>
              </w:rPr>
              <w:t>90.309</w:t>
            </w:r>
          </w:p>
        </w:tc>
        <w:tc>
          <w:tcPr>
            <w:tcW w:w="763" w:type="dxa"/>
            <w:tcBorders>
              <w:top w:val="nil"/>
              <w:left w:val="nil"/>
              <w:bottom w:val="single" w:sz="4" w:space="0" w:color="auto"/>
              <w:right w:val="single" w:sz="4" w:space="0" w:color="auto"/>
            </w:tcBorders>
            <w:shd w:val="clear" w:color="000000" w:fill="FFFFFF"/>
            <w:noWrap/>
            <w:vAlign w:val="center"/>
            <w:hideMark/>
          </w:tcPr>
          <w:p w14:paraId="63F8F9C7" w14:textId="77777777" w:rsidR="00460106" w:rsidRPr="00842ABF" w:rsidRDefault="00460106" w:rsidP="00460106">
            <w:pPr>
              <w:spacing w:line="240" w:lineRule="auto"/>
              <w:jc w:val="right"/>
              <w:rPr>
                <w:sz w:val="14"/>
                <w:szCs w:val="14"/>
                <w:lang w:eastAsia="sl-SI"/>
              </w:rPr>
            </w:pPr>
            <w:r w:rsidRPr="00842ABF">
              <w:rPr>
                <w:sz w:val="14"/>
                <w:szCs w:val="14"/>
                <w:lang w:eastAsia="sl-SI"/>
              </w:rPr>
              <w:t>98.652</w:t>
            </w:r>
          </w:p>
        </w:tc>
        <w:tc>
          <w:tcPr>
            <w:tcW w:w="763" w:type="dxa"/>
            <w:tcBorders>
              <w:top w:val="nil"/>
              <w:left w:val="nil"/>
              <w:bottom w:val="single" w:sz="4" w:space="0" w:color="auto"/>
              <w:right w:val="single" w:sz="4" w:space="0" w:color="auto"/>
            </w:tcBorders>
            <w:shd w:val="clear" w:color="000000" w:fill="FFFFFF"/>
            <w:noWrap/>
            <w:vAlign w:val="center"/>
            <w:hideMark/>
          </w:tcPr>
          <w:p w14:paraId="61933B6E" w14:textId="77777777" w:rsidR="00460106" w:rsidRPr="00842ABF" w:rsidRDefault="00460106" w:rsidP="00460106">
            <w:pPr>
              <w:spacing w:line="240" w:lineRule="auto"/>
              <w:jc w:val="right"/>
              <w:rPr>
                <w:sz w:val="14"/>
                <w:szCs w:val="14"/>
                <w:lang w:eastAsia="sl-SI"/>
              </w:rPr>
            </w:pPr>
            <w:r w:rsidRPr="00842ABF">
              <w:rPr>
                <w:sz w:val="14"/>
                <w:szCs w:val="14"/>
                <w:lang w:eastAsia="sl-SI"/>
              </w:rPr>
              <w:t>160.685</w:t>
            </w:r>
          </w:p>
        </w:tc>
        <w:tc>
          <w:tcPr>
            <w:tcW w:w="639" w:type="dxa"/>
            <w:tcBorders>
              <w:top w:val="nil"/>
              <w:left w:val="nil"/>
              <w:bottom w:val="single" w:sz="4" w:space="0" w:color="auto"/>
              <w:right w:val="single" w:sz="4" w:space="0" w:color="auto"/>
            </w:tcBorders>
            <w:shd w:val="clear" w:color="000000" w:fill="FFFFFF"/>
            <w:noWrap/>
            <w:vAlign w:val="center"/>
            <w:hideMark/>
          </w:tcPr>
          <w:p w14:paraId="685BD9A1" w14:textId="77777777" w:rsidR="00460106" w:rsidRPr="00842ABF" w:rsidRDefault="00460106" w:rsidP="00460106">
            <w:pPr>
              <w:spacing w:line="240" w:lineRule="auto"/>
              <w:jc w:val="right"/>
              <w:rPr>
                <w:sz w:val="14"/>
                <w:szCs w:val="14"/>
                <w:lang w:eastAsia="sl-SI"/>
              </w:rPr>
            </w:pPr>
            <w:r w:rsidRPr="00842ABF">
              <w:rPr>
                <w:sz w:val="14"/>
                <w:szCs w:val="14"/>
                <w:lang w:eastAsia="sl-SI"/>
              </w:rPr>
              <w:t>1.361</w:t>
            </w:r>
          </w:p>
        </w:tc>
        <w:tc>
          <w:tcPr>
            <w:tcW w:w="569" w:type="dxa"/>
            <w:tcBorders>
              <w:top w:val="nil"/>
              <w:left w:val="nil"/>
              <w:bottom w:val="single" w:sz="4" w:space="0" w:color="auto"/>
              <w:right w:val="single" w:sz="4" w:space="0" w:color="auto"/>
            </w:tcBorders>
            <w:shd w:val="clear" w:color="000000" w:fill="FFFFFF"/>
            <w:noWrap/>
            <w:vAlign w:val="center"/>
            <w:hideMark/>
          </w:tcPr>
          <w:p w14:paraId="26B8DA32" w14:textId="77777777" w:rsidR="00460106" w:rsidRPr="00842ABF" w:rsidRDefault="00460106" w:rsidP="00460106">
            <w:pPr>
              <w:spacing w:line="240" w:lineRule="auto"/>
              <w:jc w:val="right"/>
              <w:rPr>
                <w:sz w:val="14"/>
                <w:szCs w:val="14"/>
                <w:lang w:eastAsia="sl-SI"/>
              </w:rPr>
            </w:pPr>
            <w:r w:rsidRPr="00842ABF">
              <w:rPr>
                <w:sz w:val="14"/>
                <w:szCs w:val="14"/>
                <w:lang w:eastAsia="sl-SI"/>
              </w:rPr>
              <w:t>1.365</w:t>
            </w:r>
          </w:p>
        </w:tc>
        <w:tc>
          <w:tcPr>
            <w:tcW w:w="569" w:type="dxa"/>
            <w:tcBorders>
              <w:top w:val="nil"/>
              <w:left w:val="nil"/>
              <w:bottom w:val="single" w:sz="4" w:space="0" w:color="auto"/>
              <w:right w:val="single" w:sz="4" w:space="0" w:color="auto"/>
            </w:tcBorders>
            <w:shd w:val="clear" w:color="000000" w:fill="FFFFFF"/>
            <w:noWrap/>
            <w:vAlign w:val="center"/>
            <w:hideMark/>
          </w:tcPr>
          <w:p w14:paraId="1C976870" w14:textId="77777777" w:rsidR="00460106" w:rsidRPr="00842ABF" w:rsidRDefault="00460106" w:rsidP="00460106">
            <w:pPr>
              <w:spacing w:line="240" w:lineRule="auto"/>
              <w:jc w:val="right"/>
              <w:rPr>
                <w:sz w:val="14"/>
                <w:szCs w:val="14"/>
                <w:lang w:eastAsia="sl-SI"/>
              </w:rPr>
            </w:pPr>
            <w:r w:rsidRPr="00842ABF">
              <w:rPr>
                <w:sz w:val="14"/>
                <w:szCs w:val="14"/>
                <w:lang w:eastAsia="sl-SI"/>
              </w:rPr>
              <w:t>1.251</w:t>
            </w:r>
          </w:p>
        </w:tc>
        <w:tc>
          <w:tcPr>
            <w:tcW w:w="569" w:type="dxa"/>
            <w:tcBorders>
              <w:top w:val="nil"/>
              <w:left w:val="nil"/>
              <w:bottom w:val="single" w:sz="4" w:space="0" w:color="auto"/>
              <w:right w:val="single" w:sz="4" w:space="0" w:color="auto"/>
            </w:tcBorders>
            <w:shd w:val="clear" w:color="000000" w:fill="FFFFFF"/>
            <w:noWrap/>
            <w:vAlign w:val="center"/>
            <w:hideMark/>
          </w:tcPr>
          <w:p w14:paraId="778E53F8" w14:textId="77777777" w:rsidR="00460106" w:rsidRPr="00842ABF" w:rsidRDefault="00460106" w:rsidP="00460106">
            <w:pPr>
              <w:spacing w:line="240" w:lineRule="auto"/>
              <w:jc w:val="right"/>
              <w:rPr>
                <w:sz w:val="14"/>
                <w:szCs w:val="14"/>
                <w:lang w:eastAsia="sl-SI"/>
              </w:rPr>
            </w:pPr>
            <w:r w:rsidRPr="00842ABF">
              <w:rPr>
                <w:sz w:val="14"/>
                <w:szCs w:val="14"/>
                <w:lang w:eastAsia="sl-SI"/>
              </w:rPr>
              <w:t>843</w:t>
            </w:r>
          </w:p>
        </w:tc>
        <w:tc>
          <w:tcPr>
            <w:tcW w:w="569" w:type="dxa"/>
            <w:tcBorders>
              <w:top w:val="nil"/>
              <w:left w:val="nil"/>
              <w:bottom w:val="single" w:sz="4" w:space="0" w:color="auto"/>
              <w:right w:val="single" w:sz="4" w:space="0" w:color="auto"/>
            </w:tcBorders>
            <w:shd w:val="clear" w:color="000000" w:fill="FFFFFF"/>
            <w:noWrap/>
            <w:vAlign w:val="center"/>
            <w:hideMark/>
          </w:tcPr>
          <w:p w14:paraId="2A3855A5" w14:textId="77777777" w:rsidR="00460106" w:rsidRPr="00842ABF" w:rsidRDefault="00460106" w:rsidP="00460106">
            <w:pPr>
              <w:spacing w:line="240" w:lineRule="auto"/>
              <w:jc w:val="right"/>
              <w:rPr>
                <w:sz w:val="14"/>
                <w:szCs w:val="14"/>
                <w:lang w:eastAsia="sl-SI"/>
              </w:rPr>
            </w:pPr>
            <w:r w:rsidRPr="00842ABF">
              <w:rPr>
                <w:sz w:val="14"/>
                <w:szCs w:val="14"/>
                <w:lang w:eastAsia="sl-SI"/>
              </w:rPr>
              <w:t>932</w:t>
            </w:r>
          </w:p>
        </w:tc>
        <w:tc>
          <w:tcPr>
            <w:tcW w:w="569" w:type="dxa"/>
            <w:tcBorders>
              <w:top w:val="nil"/>
              <w:left w:val="nil"/>
              <w:bottom w:val="single" w:sz="4" w:space="0" w:color="auto"/>
              <w:right w:val="single" w:sz="4" w:space="0" w:color="auto"/>
            </w:tcBorders>
            <w:shd w:val="clear" w:color="000000" w:fill="FFFFFF"/>
            <w:noWrap/>
            <w:vAlign w:val="center"/>
            <w:hideMark/>
          </w:tcPr>
          <w:p w14:paraId="4E3A5ADB" w14:textId="77777777" w:rsidR="00460106" w:rsidRPr="00842ABF" w:rsidRDefault="00460106" w:rsidP="00460106">
            <w:pPr>
              <w:spacing w:line="240" w:lineRule="auto"/>
              <w:jc w:val="right"/>
              <w:rPr>
                <w:sz w:val="14"/>
                <w:szCs w:val="14"/>
                <w:lang w:eastAsia="sl-SI"/>
              </w:rPr>
            </w:pPr>
            <w:r w:rsidRPr="00842ABF">
              <w:rPr>
                <w:sz w:val="14"/>
                <w:szCs w:val="14"/>
                <w:lang w:eastAsia="sl-SI"/>
              </w:rPr>
              <w:t>1.309</w:t>
            </w:r>
          </w:p>
        </w:tc>
        <w:tc>
          <w:tcPr>
            <w:tcW w:w="574" w:type="dxa"/>
            <w:tcBorders>
              <w:top w:val="nil"/>
              <w:left w:val="nil"/>
              <w:bottom w:val="single" w:sz="4" w:space="0" w:color="auto"/>
              <w:right w:val="single" w:sz="4" w:space="0" w:color="auto"/>
            </w:tcBorders>
            <w:shd w:val="clear" w:color="000000" w:fill="FFFFFF"/>
            <w:noWrap/>
            <w:vAlign w:val="center"/>
            <w:hideMark/>
          </w:tcPr>
          <w:p w14:paraId="2FBC5B13" w14:textId="77777777" w:rsidR="00460106" w:rsidRPr="00842ABF" w:rsidRDefault="00460106" w:rsidP="00460106">
            <w:pPr>
              <w:spacing w:line="240" w:lineRule="auto"/>
              <w:jc w:val="right"/>
              <w:rPr>
                <w:sz w:val="14"/>
                <w:szCs w:val="14"/>
                <w:lang w:eastAsia="sl-SI"/>
              </w:rPr>
            </w:pPr>
            <w:r w:rsidRPr="00842ABF">
              <w:rPr>
                <w:sz w:val="14"/>
                <w:szCs w:val="14"/>
                <w:lang w:eastAsia="sl-SI"/>
              </w:rPr>
              <w:t>1.226</w:t>
            </w:r>
          </w:p>
        </w:tc>
      </w:tr>
      <w:tr w:rsidR="00460106" w:rsidRPr="00842ABF" w14:paraId="0E09BD41"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34415D5A" w14:textId="77777777" w:rsidR="00460106" w:rsidRPr="00842ABF" w:rsidRDefault="00460106" w:rsidP="00460106">
            <w:pPr>
              <w:spacing w:line="240" w:lineRule="auto"/>
              <w:rPr>
                <w:sz w:val="14"/>
                <w:szCs w:val="14"/>
                <w:lang w:eastAsia="sl-SI"/>
              </w:rPr>
            </w:pPr>
            <w:r w:rsidRPr="00842ABF">
              <w:rPr>
                <w:sz w:val="14"/>
                <w:szCs w:val="14"/>
                <w:lang w:eastAsia="sl-SI"/>
              </w:rPr>
              <w:t>Goske in gosaki</w:t>
            </w:r>
          </w:p>
        </w:tc>
        <w:tc>
          <w:tcPr>
            <w:tcW w:w="763" w:type="dxa"/>
            <w:tcBorders>
              <w:top w:val="nil"/>
              <w:left w:val="nil"/>
              <w:bottom w:val="single" w:sz="4" w:space="0" w:color="auto"/>
              <w:right w:val="single" w:sz="4" w:space="0" w:color="auto"/>
            </w:tcBorders>
            <w:shd w:val="clear" w:color="000000" w:fill="FFFFFF"/>
            <w:noWrap/>
            <w:vAlign w:val="center"/>
            <w:hideMark/>
          </w:tcPr>
          <w:p w14:paraId="4AA7084E" w14:textId="77777777" w:rsidR="00460106" w:rsidRPr="00842ABF" w:rsidRDefault="00460106" w:rsidP="00460106">
            <w:pPr>
              <w:spacing w:line="240" w:lineRule="auto"/>
              <w:jc w:val="right"/>
              <w:rPr>
                <w:sz w:val="14"/>
                <w:szCs w:val="14"/>
                <w:lang w:eastAsia="sl-SI"/>
              </w:rPr>
            </w:pPr>
            <w:r w:rsidRPr="00842ABF">
              <w:rPr>
                <w:sz w:val="14"/>
                <w:szCs w:val="14"/>
                <w:lang w:eastAsia="sl-SI"/>
              </w:rPr>
              <w:t>4.343</w:t>
            </w:r>
          </w:p>
        </w:tc>
        <w:tc>
          <w:tcPr>
            <w:tcW w:w="763" w:type="dxa"/>
            <w:tcBorders>
              <w:top w:val="nil"/>
              <w:left w:val="nil"/>
              <w:bottom w:val="single" w:sz="4" w:space="0" w:color="auto"/>
              <w:right w:val="single" w:sz="4" w:space="0" w:color="auto"/>
            </w:tcBorders>
            <w:shd w:val="clear" w:color="000000" w:fill="FFFFFF"/>
            <w:noWrap/>
            <w:vAlign w:val="center"/>
            <w:hideMark/>
          </w:tcPr>
          <w:p w14:paraId="04F68489" w14:textId="77777777" w:rsidR="00460106" w:rsidRPr="00842ABF" w:rsidRDefault="00460106" w:rsidP="00460106">
            <w:pPr>
              <w:spacing w:line="240" w:lineRule="auto"/>
              <w:jc w:val="right"/>
              <w:rPr>
                <w:sz w:val="14"/>
                <w:szCs w:val="14"/>
                <w:lang w:eastAsia="sl-SI"/>
              </w:rPr>
            </w:pPr>
            <w:r w:rsidRPr="00842ABF">
              <w:rPr>
                <w:sz w:val="14"/>
                <w:szCs w:val="14"/>
                <w:lang w:eastAsia="sl-SI"/>
              </w:rPr>
              <w:t>3.862</w:t>
            </w:r>
          </w:p>
        </w:tc>
        <w:tc>
          <w:tcPr>
            <w:tcW w:w="763" w:type="dxa"/>
            <w:tcBorders>
              <w:top w:val="nil"/>
              <w:left w:val="nil"/>
              <w:bottom w:val="single" w:sz="4" w:space="0" w:color="auto"/>
              <w:right w:val="single" w:sz="4" w:space="0" w:color="auto"/>
            </w:tcBorders>
            <w:shd w:val="clear" w:color="000000" w:fill="FFFFFF"/>
            <w:noWrap/>
            <w:vAlign w:val="center"/>
            <w:hideMark/>
          </w:tcPr>
          <w:p w14:paraId="00473A57" w14:textId="77777777" w:rsidR="00460106" w:rsidRPr="00842ABF" w:rsidRDefault="00460106" w:rsidP="00460106">
            <w:pPr>
              <w:spacing w:line="240" w:lineRule="auto"/>
              <w:jc w:val="right"/>
              <w:rPr>
                <w:sz w:val="14"/>
                <w:szCs w:val="14"/>
                <w:lang w:eastAsia="sl-SI"/>
              </w:rPr>
            </w:pPr>
            <w:r w:rsidRPr="00842ABF">
              <w:rPr>
                <w:sz w:val="14"/>
                <w:szCs w:val="14"/>
                <w:lang w:eastAsia="sl-SI"/>
              </w:rPr>
              <w:t>4.184</w:t>
            </w:r>
          </w:p>
        </w:tc>
        <w:tc>
          <w:tcPr>
            <w:tcW w:w="763" w:type="dxa"/>
            <w:tcBorders>
              <w:top w:val="nil"/>
              <w:left w:val="nil"/>
              <w:bottom w:val="single" w:sz="4" w:space="0" w:color="auto"/>
              <w:right w:val="single" w:sz="4" w:space="0" w:color="auto"/>
            </w:tcBorders>
            <w:shd w:val="clear" w:color="000000" w:fill="FFFFFF"/>
            <w:noWrap/>
            <w:vAlign w:val="center"/>
            <w:hideMark/>
          </w:tcPr>
          <w:p w14:paraId="4795C26B" w14:textId="77777777" w:rsidR="00460106" w:rsidRPr="00842ABF" w:rsidRDefault="00460106" w:rsidP="00460106">
            <w:pPr>
              <w:spacing w:line="240" w:lineRule="auto"/>
              <w:jc w:val="right"/>
              <w:rPr>
                <w:sz w:val="14"/>
                <w:szCs w:val="14"/>
                <w:lang w:eastAsia="sl-SI"/>
              </w:rPr>
            </w:pPr>
            <w:r w:rsidRPr="00842ABF">
              <w:rPr>
                <w:sz w:val="14"/>
                <w:szCs w:val="14"/>
                <w:lang w:eastAsia="sl-SI"/>
              </w:rPr>
              <w:t>2.295</w:t>
            </w:r>
          </w:p>
        </w:tc>
        <w:tc>
          <w:tcPr>
            <w:tcW w:w="763" w:type="dxa"/>
            <w:tcBorders>
              <w:top w:val="nil"/>
              <w:left w:val="nil"/>
              <w:bottom w:val="single" w:sz="4" w:space="0" w:color="auto"/>
              <w:right w:val="single" w:sz="4" w:space="0" w:color="auto"/>
            </w:tcBorders>
            <w:shd w:val="clear" w:color="000000" w:fill="FFFFFF"/>
            <w:noWrap/>
            <w:vAlign w:val="center"/>
            <w:hideMark/>
          </w:tcPr>
          <w:p w14:paraId="57506028" w14:textId="77777777" w:rsidR="00460106" w:rsidRPr="00842ABF" w:rsidRDefault="00460106" w:rsidP="00460106">
            <w:pPr>
              <w:spacing w:line="240" w:lineRule="auto"/>
              <w:jc w:val="right"/>
              <w:rPr>
                <w:sz w:val="14"/>
                <w:szCs w:val="14"/>
                <w:lang w:eastAsia="sl-SI"/>
              </w:rPr>
            </w:pPr>
            <w:r w:rsidRPr="00842ABF">
              <w:rPr>
                <w:sz w:val="14"/>
                <w:szCs w:val="14"/>
                <w:lang w:eastAsia="sl-SI"/>
              </w:rPr>
              <w:t>3.281</w:t>
            </w:r>
          </w:p>
        </w:tc>
        <w:tc>
          <w:tcPr>
            <w:tcW w:w="763" w:type="dxa"/>
            <w:tcBorders>
              <w:top w:val="nil"/>
              <w:left w:val="nil"/>
              <w:bottom w:val="single" w:sz="4" w:space="0" w:color="auto"/>
              <w:right w:val="single" w:sz="4" w:space="0" w:color="auto"/>
            </w:tcBorders>
            <w:shd w:val="clear" w:color="000000" w:fill="FFFFFF"/>
            <w:noWrap/>
            <w:vAlign w:val="center"/>
            <w:hideMark/>
          </w:tcPr>
          <w:p w14:paraId="4185CC3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44F8A3EA" w14:textId="77777777" w:rsidR="00460106" w:rsidRPr="00842ABF" w:rsidRDefault="00460106" w:rsidP="00460106">
            <w:pPr>
              <w:spacing w:line="240" w:lineRule="auto"/>
              <w:jc w:val="right"/>
              <w:rPr>
                <w:sz w:val="14"/>
                <w:szCs w:val="14"/>
                <w:lang w:eastAsia="sl-SI"/>
              </w:rPr>
            </w:pPr>
            <w:r w:rsidRPr="00842ABF">
              <w:rPr>
                <w:sz w:val="14"/>
                <w:szCs w:val="14"/>
                <w:lang w:eastAsia="sl-SI"/>
              </w:rPr>
              <w:t>3.962</w:t>
            </w:r>
          </w:p>
        </w:tc>
        <w:tc>
          <w:tcPr>
            <w:tcW w:w="639" w:type="dxa"/>
            <w:tcBorders>
              <w:top w:val="nil"/>
              <w:left w:val="nil"/>
              <w:bottom w:val="single" w:sz="4" w:space="0" w:color="auto"/>
              <w:right w:val="single" w:sz="4" w:space="0" w:color="auto"/>
            </w:tcBorders>
            <w:shd w:val="clear" w:color="000000" w:fill="FFFFFF"/>
            <w:noWrap/>
            <w:vAlign w:val="center"/>
            <w:hideMark/>
          </w:tcPr>
          <w:p w14:paraId="11B50F7E" w14:textId="77777777" w:rsidR="00460106" w:rsidRPr="00842ABF" w:rsidRDefault="00460106" w:rsidP="00460106">
            <w:pPr>
              <w:spacing w:line="240" w:lineRule="auto"/>
              <w:jc w:val="right"/>
              <w:rPr>
                <w:sz w:val="14"/>
                <w:szCs w:val="14"/>
                <w:lang w:eastAsia="sl-SI"/>
              </w:rPr>
            </w:pPr>
            <w:r w:rsidRPr="00842ABF">
              <w:rPr>
                <w:sz w:val="14"/>
                <w:szCs w:val="14"/>
                <w:lang w:eastAsia="sl-SI"/>
              </w:rPr>
              <w:t>908</w:t>
            </w:r>
          </w:p>
        </w:tc>
        <w:tc>
          <w:tcPr>
            <w:tcW w:w="569" w:type="dxa"/>
            <w:tcBorders>
              <w:top w:val="nil"/>
              <w:left w:val="nil"/>
              <w:bottom w:val="single" w:sz="4" w:space="0" w:color="auto"/>
              <w:right w:val="single" w:sz="4" w:space="0" w:color="auto"/>
            </w:tcBorders>
            <w:shd w:val="clear" w:color="000000" w:fill="FFFFFF"/>
            <w:noWrap/>
            <w:vAlign w:val="center"/>
            <w:hideMark/>
          </w:tcPr>
          <w:p w14:paraId="6A201330" w14:textId="77777777" w:rsidR="00460106" w:rsidRPr="00842ABF" w:rsidRDefault="00460106" w:rsidP="00460106">
            <w:pPr>
              <w:spacing w:line="240" w:lineRule="auto"/>
              <w:jc w:val="right"/>
              <w:rPr>
                <w:sz w:val="14"/>
                <w:szCs w:val="14"/>
                <w:lang w:eastAsia="sl-SI"/>
              </w:rPr>
            </w:pPr>
            <w:r w:rsidRPr="00842ABF">
              <w:rPr>
                <w:sz w:val="14"/>
                <w:szCs w:val="14"/>
                <w:lang w:eastAsia="sl-SI"/>
              </w:rPr>
              <w:t>713</w:t>
            </w:r>
          </w:p>
        </w:tc>
        <w:tc>
          <w:tcPr>
            <w:tcW w:w="569" w:type="dxa"/>
            <w:tcBorders>
              <w:top w:val="nil"/>
              <w:left w:val="nil"/>
              <w:bottom w:val="single" w:sz="4" w:space="0" w:color="auto"/>
              <w:right w:val="single" w:sz="4" w:space="0" w:color="auto"/>
            </w:tcBorders>
            <w:shd w:val="clear" w:color="000000" w:fill="FFFFFF"/>
            <w:noWrap/>
            <w:vAlign w:val="center"/>
            <w:hideMark/>
          </w:tcPr>
          <w:p w14:paraId="6B8CFE0A" w14:textId="77777777" w:rsidR="00460106" w:rsidRPr="00842ABF" w:rsidRDefault="00460106" w:rsidP="00460106">
            <w:pPr>
              <w:spacing w:line="240" w:lineRule="auto"/>
              <w:jc w:val="right"/>
              <w:rPr>
                <w:sz w:val="14"/>
                <w:szCs w:val="14"/>
                <w:lang w:eastAsia="sl-SI"/>
              </w:rPr>
            </w:pPr>
            <w:r w:rsidRPr="00842ABF">
              <w:rPr>
                <w:sz w:val="14"/>
                <w:szCs w:val="14"/>
                <w:lang w:eastAsia="sl-SI"/>
              </w:rPr>
              <w:t>868</w:t>
            </w:r>
          </w:p>
        </w:tc>
        <w:tc>
          <w:tcPr>
            <w:tcW w:w="569" w:type="dxa"/>
            <w:tcBorders>
              <w:top w:val="nil"/>
              <w:left w:val="nil"/>
              <w:bottom w:val="single" w:sz="4" w:space="0" w:color="auto"/>
              <w:right w:val="single" w:sz="4" w:space="0" w:color="auto"/>
            </w:tcBorders>
            <w:shd w:val="clear" w:color="000000" w:fill="FFFFFF"/>
            <w:noWrap/>
            <w:vAlign w:val="center"/>
            <w:hideMark/>
          </w:tcPr>
          <w:p w14:paraId="1AFAAB2A" w14:textId="77777777" w:rsidR="00460106" w:rsidRPr="00842ABF" w:rsidRDefault="00460106" w:rsidP="00460106">
            <w:pPr>
              <w:spacing w:line="240" w:lineRule="auto"/>
              <w:jc w:val="right"/>
              <w:rPr>
                <w:sz w:val="14"/>
                <w:szCs w:val="14"/>
                <w:lang w:eastAsia="sl-SI"/>
              </w:rPr>
            </w:pPr>
            <w:r w:rsidRPr="00842ABF">
              <w:rPr>
                <w:sz w:val="14"/>
                <w:szCs w:val="14"/>
                <w:lang w:eastAsia="sl-SI"/>
              </w:rPr>
              <w:t>571</w:t>
            </w:r>
          </w:p>
        </w:tc>
        <w:tc>
          <w:tcPr>
            <w:tcW w:w="569" w:type="dxa"/>
            <w:tcBorders>
              <w:top w:val="nil"/>
              <w:left w:val="nil"/>
              <w:bottom w:val="single" w:sz="4" w:space="0" w:color="auto"/>
              <w:right w:val="single" w:sz="4" w:space="0" w:color="auto"/>
            </w:tcBorders>
            <w:shd w:val="clear" w:color="000000" w:fill="FFFFFF"/>
            <w:noWrap/>
            <w:vAlign w:val="center"/>
            <w:hideMark/>
          </w:tcPr>
          <w:p w14:paraId="1D852288" w14:textId="77777777" w:rsidR="00460106" w:rsidRPr="00842ABF" w:rsidRDefault="00460106" w:rsidP="00460106">
            <w:pPr>
              <w:spacing w:line="240" w:lineRule="auto"/>
              <w:jc w:val="right"/>
              <w:rPr>
                <w:sz w:val="14"/>
                <w:szCs w:val="14"/>
                <w:lang w:eastAsia="sl-SI"/>
              </w:rPr>
            </w:pPr>
            <w:r w:rsidRPr="00842ABF">
              <w:rPr>
                <w:sz w:val="14"/>
                <w:szCs w:val="14"/>
                <w:lang w:eastAsia="sl-SI"/>
              </w:rPr>
              <w:t>757</w:t>
            </w:r>
          </w:p>
        </w:tc>
        <w:tc>
          <w:tcPr>
            <w:tcW w:w="569" w:type="dxa"/>
            <w:tcBorders>
              <w:top w:val="nil"/>
              <w:left w:val="nil"/>
              <w:bottom w:val="single" w:sz="4" w:space="0" w:color="auto"/>
              <w:right w:val="single" w:sz="4" w:space="0" w:color="auto"/>
            </w:tcBorders>
            <w:shd w:val="clear" w:color="000000" w:fill="FFFFFF"/>
            <w:noWrap/>
            <w:vAlign w:val="center"/>
            <w:hideMark/>
          </w:tcPr>
          <w:p w14:paraId="178A7EB2" w14:textId="77777777" w:rsidR="00460106" w:rsidRPr="00842ABF" w:rsidRDefault="00460106" w:rsidP="00460106">
            <w:pPr>
              <w:spacing w:line="240" w:lineRule="auto"/>
              <w:jc w:val="right"/>
              <w:rPr>
                <w:sz w:val="14"/>
                <w:szCs w:val="14"/>
                <w:lang w:eastAsia="sl-SI"/>
              </w:rPr>
            </w:pPr>
            <w:r w:rsidRPr="00842ABF">
              <w:rPr>
                <w:sz w:val="14"/>
                <w:szCs w:val="14"/>
                <w:lang w:eastAsia="sl-SI"/>
              </w:rPr>
              <w:t>840</w:t>
            </w:r>
          </w:p>
        </w:tc>
        <w:tc>
          <w:tcPr>
            <w:tcW w:w="574" w:type="dxa"/>
            <w:tcBorders>
              <w:top w:val="nil"/>
              <w:left w:val="nil"/>
              <w:bottom w:val="single" w:sz="4" w:space="0" w:color="auto"/>
              <w:right w:val="single" w:sz="4" w:space="0" w:color="auto"/>
            </w:tcBorders>
            <w:shd w:val="clear" w:color="000000" w:fill="FFFFFF"/>
            <w:noWrap/>
            <w:vAlign w:val="center"/>
            <w:hideMark/>
          </w:tcPr>
          <w:p w14:paraId="372B2A7D" w14:textId="77777777" w:rsidR="00460106" w:rsidRPr="00842ABF" w:rsidRDefault="00460106" w:rsidP="00460106">
            <w:pPr>
              <w:spacing w:line="240" w:lineRule="auto"/>
              <w:jc w:val="right"/>
              <w:rPr>
                <w:sz w:val="14"/>
                <w:szCs w:val="14"/>
                <w:lang w:eastAsia="sl-SI"/>
              </w:rPr>
            </w:pPr>
            <w:r w:rsidRPr="00842ABF">
              <w:rPr>
                <w:sz w:val="14"/>
                <w:szCs w:val="14"/>
                <w:lang w:eastAsia="sl-SI"/>
              </w:rPr>
              <w:t>930</w:t>
            </w:r>
          </w:p>
        </w:tc>
      </w:tr>
      <w:tr w:rsidR="00460106" w:rsidRPr="00842ABF" w14:paraId="5AE60A08"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26AE10CD" w14:textId="77777777" w:rsidR="00460106" w:rsidRPr="00842ABF" w:rsidRDefault="00460106" w:rsidP="00460106">
            <w:pPr>
              <w:spacing w:line="240" w:lineRule="auto"/>
              <w:rPr>
                <w:sz w:val="14"/>
                <w:szCs w:val="14"/>
                <w:lang w:eastAsia="sl-SI"/>
              </w:rPr>
            </w:pPr>
            <w:r w:rsidRPr="00842ABF">
              <w:rPr>
                <w:sz w:val="14"/>
                <w:szCs w:val="14"/>
                <w:lang w:eastAsia="sl-SI"/>
              </w:rPr>
              <w:t>Race in racmani</w:t>
            </w:r>
          </w:p>
        </w:tc>
        <w:tc>
          <w:tcPr>
            <w:tcW w:w="763" w:type="dxa"/>
            <w:tcBorders>
              <w:top w:val="nil"/>
              <w:left w:val="nil"/>
              <w:bottom w:val="single" w:sz="4" w:space="0" w:color="auto"/>
              <w:right w:val="single" w:sz="4" w:space="0" w:color="auto"/>
            </w:tcBorders>
            <w:shd w:val="clear" w:color="000000" w:fill="FFFFFF"/>
            <w:noWrap/>
            <w:vAlign w:val="center"/>
            <w:hideMark/>
          </w:tcPr>
          <w:p w14:paraId="7EC7460F" w14:textId="77777777" w:rsidR="00460106" w:rsidRPr="00842ABF" w:rsidRDefault="00460106" w:rsidP="00460106">
            <w:pPr>
              <w:spacing w:line="240" w:lineRule="auto"/>
              <w:jc w:val="right"/>
              <w:rPr>
                <w:sz w:val="14"/>
                <w:szCs w:val="14"/>
                <w:lang w:eastAsia="sl-SI"/>
              </w:rPr>
            </w:pPr>
            <w:r w:rsidRPr="00842ABF">
              <w:rPr>
                <w:sz w:val="14"/>
                <w:szCs w:val="14"/>
                <w:lang w:eastAsia="sl-SI"/>
              </w:rPr>
              <w:t>19.534</w:t>
            </w:r>
          </w:p>
        </w:tc>
        <w:tc>
          <w:tcPr>
            <w:tcW w:w="763" w:type="dxa"/>
            <w:tcBorders>
              <w:top w:val="nil"/>
              <w:left w:val="nil"/>
              <w:bottom w:val="single" w:sz="4" w:space="0" w:color="auto"/>
              <w:right w:val="single" w:sz="4" w:space="0" w:color="auto"/>
            </w:tcBorders>
            <w:shd w:val="clear" w:color="000000" w:fill="FFFFFF"/>
            <w:noWrap/>
            <w:vAlign w:val="center"/>
            <w:hideMark/>
          </w:tcPr>
          <w:p w14:paraId="3DD7B97E" w14:textId="77777777" w:rsidR="00460106" w:rsidRPr="00842ABF" w:rsidRDefault="00460106" w:rsidP="00460106">
            <w:pPr>
              <w:spacing w:line="240" w:lineRule="auto"/>
              <w:jc w:val="right"/>
              <w:rPr>
                <w:sz w:val="14"/>
                <w:szCs w:val="14"/>
                <w:lang w:eastAsia="sl-SI"/>
              </w:rPr>
            </w:pPr>
            <w:r w:rsidRPr="00842ABF">
              <w:rPr>
                <w:sz w:val="14"/>
                <w:szCs w:val="14"/>
                <w:lang w:eastAsia="sl-SI"/>
              </w:rPr>
              <w:t>20.304</w:t>
            </w:r>
          </w:p>
        </w:tc>
        <w:tc>
          <w:tcPr>
            <w:tcW w:w="763" w:type="dxa"/>
            <w:tcBorders>
              <w:top w:val="nil"/>
              <w:left w:val="nil"/>
              <w:bottom w:val="single" w:sz="4" w:space="0" w:color="auto"/>
              <w:right w:val="single" w:sz="4" w:space="0" w:color="auto"/>
            </w:tcBorders>
            <w:shd w:val="clear" w:color="000000" w:fill="FFFFFF"/>
            <w:noWrap/>
            <w:vAlign w:val="center"/>
            <w:hideMark/>
          </w:tcPr>
          <w:p w14:paraId="17F3DCFC" w14:textId="77777777" w:rsidR="00460106" w:rsidRPr="00842ABF" w:rsidRDefault="00460106" w:rsidP="00460106">
            <w:pPr>
              <w:spacing w:line="240" w:lineRule="auto"/>
              <w:jc w:val="right"/>
              <w:rPr>
                <w:sz w:val="14"/>
                <w:szCs w:val="14"/>
                <w:lang w:eastAsia="sl-SI"/>
              </w:rPr>
            </w:pPr>
            <w:r w:rsidRPr="00842ABF">
              <w:rPr>
                <w:sz w:val="14"/>
                <w:szCs w:val="14"/>
                <w:lang w:eastAsia="sl-SI"/>
              </w:rPr>
              <w:t>18.498</w:t>
            </w:r>
          </w:p>
        </w:tc>
        <w:tc>
          <w:tcPr>
            <w:tcW w:w="763" w:type="dxa"/>
            <w:tcBorders>
              <w:top w:val="nil"/>
              <w:left w:val="nil"/>
              <w:bottom w:val="single" w:sz="4" w:space="0" w:color="auto"/>
              <w:right w:val="single" w:sz="4" w:space="0" w:color="auto"/>
            </w:tcBorders>
            <w:shd w:val="clear" w:color="000000" w:fill="FFFFFF"/>
            <w:noWrap/>
            <w:vAlign w:val="center"/>
            <w:hideMark/>
          </w:tcPr>
          <w:p w14:paraId="01716A98" w14:textId="77777777" w:rsidR="00460106" w:rsidRPr="00842ABF" w:rsidRDefault="00460106" w:rsidP="00460106">
            <w:pPr>
              <w:spacing w:line="240" w:lineRule="auto"/>
              <w:jc w:val="right"/>
              <w:rPr>
                <w:sz w:val="14"/>
                <w:szCs w:val="14"/>
                <w:lang w:eastAsia="sl-SI"/>
              </w:rPr>
            </w:pPr>
            <w:r w:rsidRPr="00842ABF">
              <w:rPr>
                <w:sz w:val="14"/>
                <w:szCs w:val="14"/>
                <w:lang w:eastAsia="sl-SI"/>
              </w:rPr>
              <w:t>15.058</w:t>
            </w:r>
          </w:p>
        </w:tc>
        <w:tc>
          <w:tcPr>
            <w:tcW w:w="763" w:type="dxa"/>
            <w:tcBorders>
              <w:top w:val="nil"/>
              <w:left w:val="nil"/>
              <w:bottom w:val="single" w:sz="4" w:space="0" w:color="auto"/>
              <w:right w:val="single" w:sz="4" w:space="0" w:color="auto"/>
            </w:tcBorders>
            <w:shd w:val="clear" w:color="000000" w:fill="FFFFFF"/>
            <w:noWrap/>
            <w:vAlign w:val="center"/>
            <w:hideMark/>
          </w:tcPr>
          <w:p w14:paraId="771301C9" w14:textId="77777777" w:rsidR="00460106" w:rsidRPr="00842ABF" w:rsidRDefault="00460106" w:rsidP="00460106">
            <w:pPr>
              <w:spacing w:line="240" w:lineRule="auto"/>
              <w:jc w:val="right"/>
              <w:rPr>
                <w:sz w:val="14"/>
                <w:szCs w:val="14"/>
                <w:lang w:eastAsia="sl-SI"/>
              </w:rPr>
            </w:pPr>
            <w:r w:rsidRPr="00842ABF">
              <w:rPr>
                <w:sz w:val="14"/>
                <w:szCs w:val="14"/>
                <w:lang w:eastAsia="sl-SI"/>
              </w:rPr>
              <w:t>16.280</w:t>
            </w:r>
          </w:p>
        </w:tc>
        <w:tc>
          <w:tcPr>
            <w:tcW w:w="763" w:type="dxa"/>
            <w:tcBorders>
              <w:top w:val="nil"/>
              <w:left w:val="nil"/>
              <w:bottom w:val="single" w:sz="4" w:space="0" w:color="auto"/>
              <w:right w:val="single" w:sz="4" w:space="0" w:color="auto"/>
            </w:tcBorders>
            <w:shd w:val="clear" w:color="000000" w:fill="FFFFFF"/>
            <w:noWrap/>
            <w:vAlign w:val="center"/>
            <w:hideMark/>
          </w:tcPr>
          <w:p w14:paraId="2F38818B" w14:textId="77777777" w:rsidR="00460106" w:rsidRPr="00842ABF" w:rsidRDefault="00460106" w:rsidP="00460106">
            <w:pPr>
              <w:spacing w:line="240" w:lineRule="auto"/>
              <w:jc w:val="right"/>
              <w:rPr>
                <w:sz w:val="14"/>
                <w:szCs w:val="14"/>
                <w:lang w:eastAsia="sl-SI"/>
              </w:rPr>
            </w:pPr>
            <w:r w:rsidRPr="00842ABF">
              <w:rPr>
                <w:sz w:val="14"/>
                <w:szCs w:val="14"/>
                <w:lang w:eastAsia="sl-SI"/>
              </w:rPr>
              <w:t>13.649</w:t>
            </w:r>
          </w:p>
        </w:tc>
        <w:tc>
          <w:tcPr>
            <w:tcW w:w="763" w:type="dxa"/>
            <w:tcBorders>
              <w:top w:val="nil"/>
              <w:left w:val="nil"/>
              <w:bottom w:val="single" w:sz="4" w:space="0" w:color="auto"/>
              <w:right w:val="single" w:sz="4" w:space="0" w:color="auto"/>
            </w:tcBorders>
            <w:shd w:val="clear" w:color="000000" w:fill="FFFFFF"/>
            <w:noWrap/>
            <w:vAlign w:val="center"/>
            <w:hideMark/>
          </w:tcPr>
          <w:p w14:paraId="25CE8ABD" w14:textId="77777777" w:rsidR="00460106" w:rsidRPr="00842ABF" w:rsidRDefault="00460106" w:rsidP="00460106">
            <w:pPr>
              <w:spacing w:line="240" w:lineRule="auto"/>
              <w:jc w:val="right"/>
              <w:rPr>
                <w:sz w:val="14"/>
                <w:szCs w:val="14"/>
                <w:lang w:eastAsia="sl-SI"/>
              </w:rPr>
            </w:pPr>
            <w:r w:rsidRPr="00842ABF">
              <w:rPr>
                <w:sz w:val="14"/>
                <w:szCs w:val="14"/>
                <w:lang w:eastAsia="sl-SI"/>
              </w:rPr>
              <w:t>22.555</w:t>
            </w:r>
          </w:p>
        </w:tc>
        <w:tc>
          <w:tcPr>
            <w:tcW w:w="639" w:type="dxa"/>
            <w:tcBorders>
              <w:top w:val="nil"/>
              <w:left w:val="nil"/>
              <w:bottom w:val="single" w:sz="4" w:space="0" w:color="auto"/>
              <w:right w:val="single" w:sz="4" w:space="0" w:color="auto"/>
            </w:tcBorders>
            <w:shd w:val="clear" w:color="000000" w:fill="FFFFFF"/>
            <w:noWrap/>
            <w:vAlign w:val="center"/>
            <w:hideMark/>
          </w:tcPr>
          <w:p w14:paraId="7FAD34F2" w14:textId="77777777" w:rsidR="00460106" w:rsidRPr="00842ABF" w:rsidRDefault="00460106" w:rsidP="00460106">
            <w:pPr>
              <w:spacing w:line="240" w:lineRule="auto"/>
              <w:jc w:val="right"/>
              <w:rPr>
                <w:sz w:val="14"/>
                <w:szCs w:val="14"/>
                <w:lang w:eastAsia="sl-SI"/>
              </w:rPr>
            </w:pPr>
            <w:r w:rsidRPr="00842ABF">
              <w:rPr>
                <w:sz w:val="14"/>
                <w:szCs w:val="14"/>
                <w:lang w:eastAsia="sl-SI"/>
              </w:rPr>
              <w:t>2.771</w:t>
            </w:r>
          </w:p>
        </w:tc>
        <w:tc>
          <w:tcPr>
            <w:tcW w:w="569" w:type="dxa"/>
            <w:tcBorders>
              <w:top w:val="nil"/>
              <w:left w:val="nil"/>
              <w:bottom w:val="single" w:sz="4" w:space="0" w:color="auto"/>
              <w:right w:val="single" w:sz="4" w:space="0" w:color="auto"/>
            </w:tcBorders>
            <w:shd w:val="clear" w:color="000000" w:fill="FFFFFF"/>
            <w:noWrap/>
            <w:vAlign w:val="center"/>
            <w:hideMark/>
          </w:tcPr>
          <w:p w14:paraId="32D52246" w14:textId="77777777" w:rsidR="00460106" w:rsidRPr="00842ABF" w:rsidRDefault="00460106" w:rsidP="00460106">
            <w:pPr>
              <w:spacing w:line="240" w:lineRule="auto"/>
              <w:jc w:val="right"/>
              <w:rPr>
                <w:sz w:val="14"/>
                <w:szCs w:val="14"/>
                <w:lang w:eastAsia="sl-SI"/>
              </w:rPr>
            </w:pPr>
            <w:r w:rsidRPr="00842ABF">
              <w:rPr>
                <w:sz w:val="14"/>
                <w:szCs w:val="14"/>
                <w:lang w:eastAsia="sl-SI"/>
              </w:rPr>
              <w:t>2.373</w:t>
            </w:r>
          </w:p>
        </w:tc>
        <w:tc>
          <w:tcPr>
            <w:tcW w:w="569" w:type="dxa"/>
            <w:tcBorders>
              <w:top w:val="nil"/>
              <w:left w:val="nil"/>
              <w:bottom w:val="single" w:sz="4" w:space="0" w:color="auto"/>
              <w:right w:val="single" w:sz="4" w:space="0" w:color="auto"/>
            </w:tcBorders>
            <w:shd w:val="clear" w:color="000000" w:fill="FFFFFF"/>
            <w:noWrap/>
            <w:vAlign w:val="center"/>
            <w:hideMark/>
          </w:tcPr>
          <w:p w14:paraId="3590A2BC" w14:textId="77777777" w:rsidR="00460106" w:rsidRPr="00842ABF" w:rsidRDefault="00460106" w:rsidP="00460106">
            <w:pPr>
              <w:spacing w:line="240" w:lineRule="auto"/>
              <w:jc w:val="right"/>
              <w:rPr>
                <w:sz w:val="14"/>
                <w:szCs w:val="14"/>
                <w:lang w:eastAsia="sl-SI"/>
              </w:rPr>
            </w:pPr>
            <w:r w:rsidRPr="00842ABF">
              <w:rPr>
                <w:sz w:val="14"/>
                <w:szCs w:val="14"/>
                <w:lang w:eastAsia="sl-SI"/>
              </w:rPr>
              <w:t>2.582</w:t>
            </w:r>
          </w:p>
        </w:tc>
        <w:tc>
          <w:tcPr>
            <w:tcW w:w="569" w:type="dxa"/>
            <w:tcBorders>
              <w:top w:val="nil"/>
              <w:left w:val="nil"/>
              <w:bottom w:val="single" w:sz="4" w:space="0" w:color="auto"/>
              <w:right w:val="single" w:sz="4" w:space="0" w:color="auto"/>
            </w:tcBorders>
            <w:shd w:val="clear" w:color="000000" w:fill="FFFFFF"/>
            <w:noWrap/>
            <w:vAlign w:val="center"/>
            <w:hideMark/>
          </w:tcPr>
          <w:p w14:paraId="08BFCED5" w14:textId="77777777" w:rsidR="00460106" w:rsidRPr="00842ABF" w:rsidRDefault="00460106" w:rsidP="00460106">
            <w:pPr>
              <w:spacing w:line="240" w:lineRule="auto"/>
              <w:jc w:val="right"/>
              <w:rPr>
                <w:sz w:val="14"/>
                <w:szCs w:val="14"/>
                <w:lang w:eastAsia="sl-SI"/>
              </w:rPr>
            </w:pPr>
            <w:r w:rsidRPr="00842ABF">
              <w:rPr>
                <w:sz w:val="14"/>
                <w:szCs w:val="14"/>
                <w:lang w:eastAsia="sl-SI"/>
              </w:rPr>
              <w:t>2.055</w:t>
            </w:r>
          </w:p>
        </w:tc>
        <w:tc>
          <w:tcPr>
            <w:tcW w:w="569" w:type="dxa"/>
            <w:tcBorders>
              <w:top w:val="nil"/>
              <w:left w:val="nil"/>
              <w:bottom w:val="single" w:sz="4" w:space="0" w:color="auto"/>
              <w:right w:val="single" w:sz="4" w:space="0" w:color="auto"/>
            </w:tcBorders>
            <w:shd w:val="clear" w:color="000000" w:fill="FFFFFF"/>
            <w:noWrap/>
            <w:vAlign w:val="center"/>
            <w:hideMark/>
          </w:tcPr>
          <w:p w14:paraId="416E6E43" w14:textId="77777777" w:rsidR="00460106" w:rsidRPr="00842ABF" w:rsidRDefault="00460106" w:rsidP="00460106">
            <w:pPr>
              <w:spacing w:line="240" w:lineRule="auto"/>
              <w:jc w:val="right"/>
              <w:rPr>
                <w:sz w:val="14"/>
                <w:szCs w:val="14"/>
                <w:lang w:eastAsia="sl-SI"/>
              </w:rPr>
            </w:pPr>
            <w:r w:rsidRPr="00842ABF">
              <w:rPr>
                <w:sz w:val="14"/>
                <w:szCs w:val="14"/>
                <w:lang w:eastAsia="sl-SI"/>
              </w:rPr>
              <w:t>2.382</w:t>
            </w:r>
          </w:p>
        </w:tc>
        <w:tc>
          <w:tcPr>
            <w:tcW w:w="569" w:type="dxa"/>
            <w:tcBorders>
              <w:top w:val="nil"/>
              <w:left w:val="nil"/>
              <w:bottom w:val="single" w:sz="4" w:space="0" w:color="auto"/>
              <w:right w:val="single" w:sz="4" w:space="0" w:color="auto"/>
            </w:tcBorders>
            <w:shd w:val="clear" w:color="000000" w:fill="FFFFFF"/>
            <w:noWrap/>
            <w:vAlign w:val="center"/>
            <w:hideMark/>
          </w:tcPr>
          <w:p w14:paraId="4488D29C" w14:textId="77777777" w:rsidR="00460106" w:rsidRPr="00842ABF" w:rsidRDefault="00460106" w:rsidP="00460106">
            <w:pPr>
              <w:spacing w:line="240" w:lineRule="auto"/>
              <w:jc w:val="right"/>
              <w:rPr>
                <w:sz w:val="14"/>
                <w:szCs w:val="14"/>
                <w:lang w:eastAsia="sl-SI"/>
              </w:rPr>
            </w:pPr>
            <w:r w:rsidRPr="00842ABF">
              <w:rPr>
                <w:sz w:val="14"/>
                <w:szCs w:val="14"/>
                <w:lang w:eastAsia="sl-SI"/>
              </w:rPr>
              <w:t>2.808</w:t>
            </w:r>
          </w:p>
        </w:tc>
        <w:tc>
          <w:tcPr>
            <w:tcW w:w="574" w:type="dxa"/>
            <w:tcBorders>
              <w:top w:val="nil"/>
              <w:left w:val="nil"/>
              <w:bottom w:val="single" w:sz="4" w:space="0" w:color="auto"/>
              <w:right w:val="single" w:sz="4" w:space="0" w:color="auto"/>
            </w:tcBorders>
            <w:shd w:val="clear" w:color="000000" w:fill="FFFFFF"/>
            <w:noWrap/>
            <w:vAlign w:val="center"/>
            <w:hideMark/>
          </w:tcPr>
          <w:p w14:paraId="50049572" w14:textId="77777777" w:rsidR="00460106" w:rsidRPr="00842ABF" w:rsidRDefault="00460106" w:rsidP="00460106">
            <w:pPr>
              <w:spacing w:line="240" w:lineRule="auto"/>
              <w:jc w:val="right"/>
              <w:rPr>
                <w:sz w:val="14"/>
                <w:szCs w:val="14"/>
                <w:lang w:eastAsia="sl-SI"/>
              </w:rPr>
            </w:pPr>
            <w:r w:rsidRPr="00842ABF">
              <w:rPr>
                <w:sz w:val="14"/>
                <w:szCs w:val="14"/>
                <w:lang w:eastAsia="sl-SI"/>
              </w:rPr>
              <w:t>3.736</w:t>
            </w:r>
          </w:p>
        </w:tc>
      </w:tr>
      <w:tr w:rsidR="00460106" w:rsidRPr="00842ABF" w14:paraId="3D7CF9E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461BCA05" w14:textId="77777777" w:rsidR="00460106" w:rsidRPr="00842ABF" w:rsidRDefault="00460106" w:rsidP="00460106">
            <w:pPr>
              <w:spacing w:line="240" w:lineRule="auto"/>
              <w:rPr>
                <w:sz w:val="14"/>
                <w:szCs w:val="14"/>
                <w:lang w:eastAsia="sl-SI"/>
              </w:rPr>
            </w:pPr>
            <w:r w:rsidRPr="00842ABF">
              <w:rPr>
                <w:sz w:val="14"/>
                <w:szCs w:val="14"/>
                <w:lang w:eastAsia="sl-SI"/>
              </w:rPr>
              <w:t>Pegatke</w:t>
            </w:r>
          </w:p>
        </w:tc>
        <w:tc>
          <w:tcPr>
            <w:tcW w:w="763" w:type="dxa"/>
            <w:tcBorders>
              <w:top w:val="nil"/>
              <w:left w:val="nil"/>
              <w:bottom w:val="single" w:sz="4" w:space="0" w:color="auto"/>
              <w:right w:val="single" w:sz="4" w:space="0" w:color="auto"/>
            </w:tcBorders>
            <w:shd w:val="clear" w:color="000000" w:fill="FFFFFF"/>
            <w:noWrap/>
            <w:vAlign w:val="center"/>
            <w:hideMark/>
          </w:tcPr>
          <w:p w14:paraId="3321F7FC" w14:textId="77777777" w:rsidR="00460106" w:rsidRPr="00842ABF" w:rsidRDefault="00460106" w:rsidP="00460106">
            <w:pPr>
              <w:spacing w:line="240" w:lineRule="auto"/>
              <w:jc w:val="right"/>
              <w:rPr>
                <w:sz w:val="14"/>
                <w:szCs w:val="14"/>
                <w:lang w:eastAsia="sl-SI"/>
              </w:rPr>
            </w:pPr>
            <w:r w:rsidRPr="00842ABF">
              <w:rPr>
                <w:sz w:val="14"/>
                <w:szCs w:val="14"/>
                <w:lang w:eastAsia="sl-SI"/>
              </w:rPr>
              <w:t>706</w:t>
            </w:r>
          </w:p>
        </w:tc>
        <w:tc>
          <w:tcPr>
            <w:tcW w:w="763" w:type="dxa"/>
            <w:tcBorders>
              <w:top w:val="nil"/>
              <w:left w:val="nil"/>
              <w:bottom w:val="single" w:sz="4" w:space="0" w:color="auto"/>
              <w:right w:val="single" w:sz="4" w:space="0" w:color="auto"/>
            </w:tcBorders>
            <w:shd w:val="clear" w:color="000000" w:fill="FFFFFF"/>
            <w:noWrap/>
            <w:vAlign w:val="center"/>
            <w:hideMark/>
          </w:tcPr>
          <w:p w14:paraId="3933540A" w14:textId="77777777" w:rsidR="00460106" w:rsidRPr="00842ABF" w:rsidRDefault="00460106" w:rsidP="00460106">
            <w:pPr>
              <w:spacing w:line="240" w:lineRule="auto"/>
              <w:jc w:val="right"/>
              <w:rPr>
                <w:sz w:val="14"/>
                <w:szCs w:val="14"/>
                <w:lang w:eastAsia="sl-SI"/>
              </w:rPr>
            </w:pPr>
            <w:r w:rsidRPr="00842ABF">
              <w:rPr>
                <w:sz w:val="14"/>
                <w:szCs w:val="14"/>
                <w:lang w:eastAsia="sl-SI"/>
              </w:rPr>
              <w:t>1.037</w:t>
            </w:r>
          </w:p>
        </w:tc>
        <w:tc>
          <w:tcPr>
            <w:tcW w:w="763" w:type="dxa"/>
            <w:tcBorders>
              <w:top w:val="nil"/>
              <w:left w:val="nil"/>
              <w:bottom w:val="single" w:sz="4" w:space="0" w:color="auto"/>
              <w:right w:val="single" w:sz="4" w:space="0" w:color="auto"/>
            </w:tcBorders>
            <w:shd w:val="clear" w:color="000000" w:fill="FFFFFF"/>
            <w:noWrap/>
            <w:vAlign w:val="center"/>
            <w:hideMark/>
          </w:tcPr>
          <w:p w14:paraId="012BE724" w14:textId="77777777" w:rsidR="00460106" w:rsidRPr="00842ABF" w:rsidRDefault="00460106" w:rsidP="00460106">
            <w:pPr>
              <w:spacing w:line="240" w:lineRule="auto"/>
              <w:jc w:val="right"/>
              <w:rPr>
                <w:sz w:val="14"/>
                <w:szCs w:val="14"/>
                <w:lang w:eastAsia="sl-SI"/>
              </w:rPr>
            </w:pPr>
            <w:r w:rsidRPr="00842ABF">
              <w:rPr>
                <w:sz w:val="14"/>
                <w:szCs w:val="14"/>
                <w:lang w:eastAsia="sl-SI"/>
              </w:rPr>
              <w:t>686</w:t>
            </w:r>
          </w:p>
        </w:tc>
        <w:tc>
          <w:tcPr>
            <w:tcW w:w="763" w:type="dxa"/>
            <w:tcBorders>
              <w:top w:val="nil"/>
              <w:left w:val="nil"/>
              <w:bottom w:val="single" w:sz="4" w:space="0" w:color="auto"/>
              <w:right w:val="single" w:sz="4" w:space="0" w:color="auto"/>
            </w:tcBorders>
            <w:shd w:val="clear" w:color="000000" w:fill="FFFFFF"/>
            <w:noWrap/>
            <w:vAlign w:val="center"/>
            <w:hideMark/>
          </w:tcPr>
          <w:p w14:paraId="0C4F0BF3" w14:textId="77777777" w:rsidR="00460106" w:rsidRPr="00842ABF" w:rsidRDefault="00460106" w:rsidP="00460106">
            <w:pPr>
              <w:spacing w:line="240" w:lineRule="auto"/>
              <w:jc w:val="right"/>
              <w:rPr>
                <w:sz w:val="14"/>
                <w:szCs w:val="14"/>
                <w:lang w:eastAsia="sl-SI"/>
              </w:rPr>
            </w:pPr>
            <w:r w:rsidRPr="00842ABF">
              <w:rPr>
                <w:sz w:val="14"/>
                <w:szCs w:val="14"/>
                <w:lang w:eastAsia="sl-SI"/>
              </w:rPr>
              <w:t>374</w:t>
            </w:r>
          </w:p>
        </w:tc>
        <w:tc>
          <w:tcPr>
            <w:tcW w:w="763" w:type="dxa"/>
            <w:tcBorders>
              <w:top w:val="nil"/>
              <w:left w:val="nil"/>
              <w:bottom w:val="single" w:sz="4" w:space="0" w:color="auto"/>
              <w:right w:val="single" w:sz="4" w:space="0" w:color="auto"/>
            </w:tcBorders>
            <w:shd w:val="clear" w:color="000000" w:fill="FFFFFF"/>
            <w:noWrap/>
            <w:vAlign w:val="center"/>
            <w:hideMark/>
          </w:tcPr>
          <w:p w14:paraId="4F8A21C6" w14:textId="77777777" w:rsidR="00460106" w:rsidRPr="00842ABF" w:rsidRDefault="00460106" w:rsidP="00460106">
            <w:pPr>
              <w:spacing w:line="240" w:lineRule="auto"/>
              <w:jc w:val="right"/>
              <w:rPr>
                <w:sz w:val="14"/>
                <w:szCs w:val="14"/>
                <w:lang w:eastAsia="sl-SI"/>
              </w:rPr>
            </w:pPr>
            <w:r w:rsidRPr="00842ABF">
              <w:rPr>
                <w:sz w:val="14"/>
                <w:szCs w:val="14"/>
                <w:lang w:eastAsia="sl-SI"/>
              </w:rPr>
              <w:t>574</w:t>
            </w:r>
          </w:p>
        </w:tc>
        <w:tc>
          <w:tcPr>
            <w:tcW w:w="763" w:type="dxa"/>
            <w:tcBorders>
              <w:top w:val="nil"/>
              <w:left w:val="nil"/>
              <w:bottom w:val="single" w:sz="4" w:space="0" w:color="auto"/>
              <w:right w:val="single" w:sz="4" w:space="0" w:color="auto"/>
            </w:tcBorders>
            <w:shd w:val="clear" w:color="000000" w:fill="FFFFFF"/>
            <w:noWrap/>
            <w:vAlign w:val="center"/>
            <w:hideMark/>
          </w:tcPr>
          <w:p w14:paraId="013E8CA0" w14:textId="77777777" w:rsidR="00460106" w:rsidRPr="00842ABF" w:rsidRDefault="00460106" w:rsidP="00460106">
            <w:pPr>
              <w:spacing w:line="240" w:lineRule="auto"/>
              <w:jc w:val="right"/>
              <w:rPr>
                <w:sz w:val="14"/>
                <w:szCs w:val="14"/>
                <w:lang w:eastAsia="sl-SI"/>
              </w:rPr>
            </w:pPr>
            <w:r w:rsidRPr="00842ABF">
              <w:rPr>
                <w:sz w:val="14"/>
                <w:szCs w:val="14"/>
                <w:lang w:eastAsia="sl-SI"/>
              </w:rPr>
              <w:t>723</w:t>
            </w:r>
          </w:p>
        </w:tc>
        <w:tc>
          <w:tcPr>
            <w:tcW w:w="763" w:type="dxa"/>
            <w:tcBorders>
              <w:top w:val="nil"/>
              <w:left w:val="nil"/>
              <w:bottom w:val="single" w:sz="4" w:space="0" w:color="auto"/>
              <w:right w:val="single" w:sz="4" w:space="0" w:color="auto"/>
            </w:tcBorders>
            <w:shd w:val="clear" w:color="000000" w:fill="FFFFFF"/>
            <w:noWrap/>
            <w:vAlign w:val="center"/>
            <w:hideMark/>
          </w:tcPr>
          <w:p w14:paraId="57A59045" w14:textId="77777777" w:rsidR="00460106" w:rsidRPr="00842ABF" w:rsidRDefault="00460106" w:rsidP="00460106">
            <w:pPr>
              <w:spacing w:line="240" w:lineRule="auto"/>
              <w:jc w:val="right"/>
              <w:rPr>
                <w:sz w:val="14"/>
                <w:szCs w:val="14"/>
                <w:lang w:eastAsia="sl-SI"/>
              </w:rPr>
            </w:pPr>
            <w:r w:rsidRPr="00842ABF">
              <w:rPr>
                <w:sz w:val="14"/>
                <w:szCs w:val="14"/>
                <w:lang w:eastAsia="sl-SI"/>
              </w:rPr>
              <w:t>996</w:t>
            </w:r>
          </w:p>
        </w:tc>
        <w:tc>
          <w:tcPr>
            <w:tcW w:w="639" w:type="dxa"/>
            <w:tcBorders>
              <w:top w:val="nil"/>
              <w:left w:val="nil"/>
              <w:bottom w:val="single" w:sz="4" w:space="0" w:color="auto"/>
              <w:right w:val="single" w:sz="4" w:space="0" w:color="auto"/>
            </w:tcBorders>
            <w:shd w:val="clear" w:color="000000" w:fill="FFFFFF"/>
            <w:noWrap/>
            <w:vAlign w:val="center"/>
            <w:hideMark/>
          </w:tcPr>
          <w:p w14:paraId="059C7F1D" w14:textId="77777777" w:rsidR="00460106" w:rsidRPr="00842ABF" w:rsidRDefault="00460106" w:rsidP="00460106">
            <w:pPr>
              <w:spacing w:line="240" w:lineRule="auto"/>
              <w:jc w:val="right"/>
              <w:rPr>
                <w:sz w:val="14"/>
                <w:szCs w:val="14"/>
                <w:lang w:eastAsia="sl-SI"/>
              </w:rPr>
            </w:pPr>
            <w:r w:rsidRPr="00842ABF">
              <w:rPr>
                <w:sz w:val="14"/>
                <w:szCs w:val="14"/>
                <w:lang w:eastAsia="sl-SI"/>
              </w:rPr>
              <w:t>188</w:t>
            </w:r>
          </w:p>
        </w:tc>
        <w:tc>
          <w:tcPr>
            <w:tcW w:w="569" w:type="dxa"/>
            <w:tcBorders>
              <w:top w:val="nil"/>
              <w:left w:val="nil"/>
              <w:bottom w:val="single" w:sz="4" w:space="0" w:color="auto"/>
              <w:right w:val="single" w:sz="4" w:space="0" w:color="auto"/>
            </w:tcBorders>
            <w:shd w:val="clear" w:color="000000" w:fill="FFFFFF"/>
            <w:noWrap/>
            <w:vAlign w:val="center"/>
            <w:hideMark/>
          </w:tcPr>
          <w:p w14:paraId="5FC52485" w14:textId="77777777" w:rsidR="00460106" w:rsidRPr="00842ABF" w:rsidRDefault="00460106" w:rsidP="00460106">
            <w:pPr>
              <w:spacing w:line="240" w:lineRule="auto"/>
              <w:jc w:val="right"/>
              <w:rPr>
                <w:sz w:val="14"/>
                <w:szCs w:val="14"/>
                <w:lang w:eastAsia="sl-SI"/>
              </w:rPr>
            </w:pPr>
            <w:r w:rsidRPr="00842ABF">
              <w:rPr>
                <w:sz w:val="14"/>
                <w:szCs w:val="14"/>
                <w:lang w:eastAsia="sl-SI"/>
              </w:rPr>
              <w:t>241</w:t>
            </w:r>
          </w:p>
        </w:tc>
        <w:tc>
          <w:tcPr>
            <w:tcW w:w="569" w:type="dxa"/>
            <w:tcBorders>
              <w:top w:val="nil"/>
              <w:left w:val="nil"/>
              <w:bottom w:val="single" w:sz="4" w:space="0" w:color="auto"/>
              <w:right w:val="single" w:sz="4" w:space="0" w:color="auto"/>
            </w:tcBorders>
            <w:shd w:val="clear" w:color="000000" w:fill="FFFFFF"/>
            <w:noWrap/>
            <w:vAlign w:val="center"/>
            <w:hideMark/>
          </w:tcPr>
          <w:p w14:paraId="2916E9DE" w14:textId="77777777" w:rsidR="00460106" w:rsidRPr="00842ABF" w:rsidRDefault="00460106" w:rsidP="00460106">
            <w:pPr>
              <w:spacing w:line="240" w:lineRule="auto"/>
              <w:jc w:val="right"/>
              <w:rPr>
                <w:sz w:val="14"/>
                <w:szCs w:val="14"/>
                <w:lang w:eastAsia="sl-SI"/>
              </w:rPr>
            </w:pPr>
            <w:r w:rsidRPr="00842ABF">
              <w:rPr>
                <w:sz w:val="14"/>
                <w:szCs w:val="14"/>
                <w:lang w:eastAsia="sl-SI"/>
              </w:rPr>
              <w:t>166</w:t>
            </w:r>
          </w:p>
        </w:tc>
        <w:tc>
          <w:tcPr>
            <w:tcW w:w="569" w:type="dxa"/>
            <w:tcBorders>
              <w:top w:val="nil"/>
              <w:left w:val="nil"/>
              <w:bottom w:val="single" w:sz="4" w:space="0" w:color="auto"/>
              <w:right w:val="single" w:sz="4" w:space="0" w:color="auto"/>
            </w:tcBorders>
            <w:shd w:val="clear" w:color="000000" w:fill="FFFFFF"/>
            <w:noWrap/>
            <w:vAlign w:val="center"/>
            <w:hideMark/>
          </w:tcPr>
          <w:p w14:paraId="6F16C489" w14:textId="77777777" w:rsidR="00460106" w:rsidRPr="00842ABF" w:rsidRDefault="00460106" w:rsidP="00460106">
            <w:pPr>
              <w:spacing w:line="240" w:lineRule="auto"/>
              <w:jc w:val="right"/>
              <w:rPr>
                <w:sz w:val="14"/>
                <w:szCs w:val="14"/>
                <w:lang w:eastAsia="sl-SI"/>
              </w:rPr>
            </w:pPr>
            <w:r w:rsidRPr="00842ABF">
              <w:rPr>
                <w:sz w:val="14"/>
                <w:szCs w:val="14"/>
                <w:lang w:eastAsia="sl-SI"/>
              </w:rPr>
              <w:t>100</w:t>
            </w:r>
          </w:p>
        </w:tc>
        <w:tc>
          <w:tcPr>
            <w:tcW w:w="569" w:type="dxa"/>
            <w:tcBorders>
              <w:top w:val="nil"/>
              <w:left w:val="nil"/>
              <w:bottom w:val="single" w:sz="4" w:space="0" w:color="auto"/>
              <w:right w:val="single" w:sz="4" w:space="0" w:color="auto"/>
            </w:tcBorders>
            <w:shd w:val="clear" w:color="000000" w:fill="FFFFFF"/>
            <w:noWrap/>
            <w:vAlign w:val="center"/>
            <w:hideMark/>
          </w:tcPr>
          <w:p w14:paraId="577EA245" w14:textId="77777777" w:rsidR="00460106" w:rsidRPr="00842ABF" w:rsidRDefault="00460106" w:rsidP="00460106">
            <w:pPr>
              <w:spacing w:line="240" w:lineRule="auto"/>
              <w:jc w:val="right"/>
              <w:rPr>
                <w:sz w:val="14"/>
                <w:szCs w:val="14"/>
                <w:lang w:eastAsia="sl-SI"/>
              </w:rPr>
            </w:pPr>
            <w:r w:rsidRPr="00842ABF">
              <w:rPr>
                <w:sz w:val="14"/>
                <w:szCs w:val="14"/>
                <w:lang w:eastAsia="sl-SI"/>
              </w:rPr>
              <w:t>130</w:t>
            </w:r>
          </w:p>
        </w:tc>
        <w:tc>
          <w:tcPr>
            <w:tcW w:w="569" w:type="dxa"/>
            <w:tcBorders>
              <w:top w:val="nil"/>
              <w:left w:val="nil"/>
              <w:bottom w:val="single" w:sz="4" w:space="0" w:color="auto"/>
              <w:right w:val="single" w:sz="4" w:space="0" w:color="auto"/>
            </w:tcBorders>
            <w:shd w:val="clear" w:color="000000" w:fill="FFFFFF"/>
            <w:noWrap/>
            <w:vAlign w:val="center"/>
            <w:hideMark/>
          </w:tcPr>
          <w:p w14:paraId="30241D7D" w14:textId="77777777" w:rsidR="00460106" w:rsidRPr="00842ABF" w:rsidRDefault="00460106" w:rsidP="00460106">
            <w:pPr>
              <w:spacing w:line="240" w:lineRule="auto"/>
              <w:jc w:val="right"/>
              <w:rPr>
                <w:sz w:val="14"/>
                <w:szCs w:val="14"/>
                <w:lang w:eastAsia="sl-SI"/>
              </w:rPr>
            </w:pPr>
            <w:r w:rsidRPr="00842ABF">
              <w:rPr>
                <w:sz w:val="14"/>
                <w:szCs w:val="14"/>
                <w:lang w:eastAsia="sl-SI"/>
              </w:rPr>
              <w:t>196</w:t>
            </w:r>
          </w:p>
        </w:tc>
        <w:tc>
          <w:tcPr>
            <w:tcW w:w="574" w:type="dxa"/>
            <w:tcBorders>
              <w:top w:val="nil"/>
              <w:left w:val="nil"/>
              <w:bottom w:val="single" w:sz="4" w:space="0" w:color="auto"/>
              <w:right w:val="single" w:sz="4" w:space="0" w:color="auto"/>
            </w:tcBorders>
            <w:shd w:val="clear" w:color="000000" w:fill="FFFFFF"/>
            <w:noWrap/>
            <w:vAlign w:val="center"/>
            <w:hideMark/>
          </w:tcPr>
          <w:p w14:paraId="748C17E1" w14:textId="77777777" w:rsidR="00460106" w:rsidRPr="00842ABF" w:rsidRDefault="00460106" w:rsidP="00460106">
            <w:pPr>
              <w:spacing w:line="240" w:lineRule="auto"/>
              <w:jc w:val="right"/>
              <w:rPr>
                <w:sz w:val="14"/>
                <w:szCs w:val="14"/>
                <w:lang w:eastAsia="sl-SI"/>
              </w:rPr>
            </w:pPr>
            <w:r w:rsidRPr="00842ABF">
              <w:rPr>
                <w:sz w:val="14"/>
                <w:szCs w:val="14"/>
                <w:lang w:eastAsia="sl-SI"/>
              </w:rPr>
              <w:t>290</w:t>
            </w:r>
          </w:p>
        </w:tc>
      </w:tr>
      <w:tr w:rsidR="00460106" w:rsidRPr="00842ABF" w14:paraId="0D0D972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E8C647D" w14:textId="77777777" w:rsidR="00460106" w:rsidRPr="00842ABF" w:rsidRDefault="00460106" w:rsidP="00460106">
            <w:pPr>
              <w:spacing w:line="240" w:lineRule="auto"/>
              <w:rPr>
                <w:sz w:val="14"/>
                <w:szCs w:val="14"/>
                <w:lang w:eastAsia="sl-SI"/>
              </w:rPr>
            </w:pPr>
            <w:r w:rsidRPr="00842ABF">
              <w:rPr>
                <w:sz w:val="14"/>
                <w:szCs w:val="14"/>
                <w:lang w:eastAsia="sl-SI"/>
              </w:rPr>
              <w:t>Noji</w:t>
            </w:r>
          </w:p>
        </w:tc>
        <w:tc>
          <w:tcPr>
            <w:tcW w:w="763" w:type="dxa"/>
            <w:tcBorders>
              <w:top w:val="nil"/>
              <w:left w:val="nil"/>
              <w:bottom w:val="single" w:sz="4" w:space="0" w:color="auto"/>
              <w:right w:val="single" w:sz="4" w:space="0" w:color="auto"/>
            </w:tcBorders>
            <w:shd w:val="clear" w:color="000000" w:fill="FFFFFF"/>
            <w:noWrap/>
            <w:vAlign w:val="center"/>
            <w:hideMark/>
          </w:tcPr>
          <w:p w14:paraId="6AF8117C" w14:textId="77777777" w:rsidR="00460106" w:rsidRPr="00842ABF" w:rsidRDefault="00460106" w:rsidP="00460106">
            <w:pPr>
              <w:spacing w:line="240" w:lineRule="auto"/>
              <w:jc w:val="right"/>
              <w:rPr>
                <w:sz w:val="14"/>
                <w:szCs w:val="14"/>
                <w:lang w:eastAsia="sl-SI"/>
              </w:rPr>
            </w:pPr>
            <w:r w:rsidRPr="00842ABF">
              <w:rPr>
                <w:sz w:val="14"/>
                <w:szCs w:val="14"/>
                <w:lang w:eastAsia="sl-SI"/>
              </w:rPr>
              <w:t>1.086</w:t>
            </w:r>
          </w:p>
        </w:tc>
        <w:tc>
          <w:tcPr>
            <w:tcW w:w="763" w:type="dxa"/>
            <w:tcBorders>
              <w:top w:val="nil"/>
              <w:left w:val="nil"/>
              <w:bottom w:val="single" w:sz="4" w:space="0" w:color="auto"/>
              <w:right w:val="single" w:sz="4" w:space="0" w:color="auto"/>
            </w:tcBorders>
            <w:shd w:val="clear" w:color="000000" w:fill="FFFFFF"/>
            <w:noWrap/>
            <w:vAlign w:val="center"/>
            <w:hideMark/>
          </w:tcPr>
          <w:p w14:paraId="49C3A879" w14:textId="77777777" w:rsidR="00460106" w:rsidRPr="00842ABF" w:rsidRDefault="00460106" w:rsidP="00460106">
            <w:pPr>
              <w:spacing w:line="240" w:lineRule="auto"/>
              <w:jc w:val="right"/>
              <w:rPr>
                <w:sz w:val="14"/>
                <w:szCs w:val="14"/>
                <w:lang w:eastAsia="sl-SI"/>
              </w:rPr>
            </w:pPr>
            <w:r w:rsidRPr="00842ABF">
              <w:rPr>
                <w:sz w:val="14"/>
                <w:szCs w:val="14"/>
                <w:lang w:eastAsia="sl-SI"/>
              </w:rPr>
              <w:t>320</w:t>
            </w:r>
          </w:p>
        </w:tc>
        <w:tc>
          <w:tcPr>
            <w:tcW w:w="763" w:type="dxa"/>
            <w:tcBorders>
              <w:top w:val="nil"/>
              <w:left w:val="nil"/>
              <w:bottom w:val="single" w:sz="4" w:space="0" w:color="auto"/>
              <w:right w:val="single" w:sz="4" w:space="0" w:color="auto"/>
            </w:tcBorders>
            <w:shd w:val="clear" w:color="000000" w:fill="FFFFFF"/>
            <w:noWrap/>
            <w:vAlign w:val="center"/>
            <w:hideMark/>
          </w:tcPr>
          <w:p w14:paraId="72230F7B" w14:textId="77777777" w:rsidR="00460106" w:rsidRPr="00842ABF" w:rsidRDefault="00460106" w:rsidP="00460106">
            <w:pPr>
              <w:spacing w:line="240" w:lineRule="auto"/>
              <w:jc w:val="right"/>
              <w:rPr>
                <w:sz w:val="14"/>
                <w:szCs w:val="14"/>
                <w:lang w:eastAsia="sl-SI"/>
              </w:rPr>
            </w:pPr>
            <w:r w:rsidRPr="00842ABF">
              <w:rPr>
                <w:sz w:val="14"/>
                <w:szCs w:val="14"/>
                <w:lang w:eastAsia="sl-SI"/>
              </w:rPr>
              <w:t>276</w:t>
            </w:r>
          </w:p>
        </w:tc>
        <w:tc>
          <w:tcPr>
            <w:tcW w:w="763" w:type="dxa"/>
            <w:tcBorders>
              <w:top w:val="nil"/>
              <w:left w:val="nil"/>
              <w:bottom w:val="single" w:sz="4" w:space="0" w:color="auto"/>
              <w:right w:val="single" w:sz="4" w:space="0" w:color="auto"/>
            </w:tcBorders>
            <w:shd w:val="clear" w:color="000000" w:fill="FFFFFF"/>
            <w:noWrap/>
            <w:vAlign w:val="center"/>
            <w:hideMark/>
          </w:tcPr>
          <w:p w14:paraId="4615E69B" w14:textId="77777777" w:rsidR="00460106" w:rsidRPr="00842ABF" w:rsidRDefault="00460106" w:rsidP="00460106">
            <w:pPr>
              <w:spacing w:line="240" w:lineRule="auto"/>
              <w:jc w:val="right"/>
              <w:rPr>
                <w:sz w:val="14"/>
                <w:szCs w:val="14"/>
                <w:lang w:eastAsia="sl-SI"/>
              </w:rPr>
            </w:pPr>
            <w:r w:rsidRPr="00842ABF">
              <w:rPr>
                <w:sz w:val="14"/>
                <w:szCs w:val="14"/>
                <w:lang w:eastAsia="sl-SI"/>
              </w:rPr>
              <w:t>249</w:t>
            </w:r>
          </w:p>
        </w:tc>
        <w:tc>
          <w:tcPr>
            <w:tcW w:w="763" w:type="dxa"/>
            <w:tcBorders>
              <w:top w:val="nil"/>
              <w:left w:val="nil"/>
              <w:bottom w:val="single" w:sz="4" w:space="0" w:color="auto"/>
              <w:right w:val="single" w:sz="4" w:space="0" w:color="auto"/>
            </w:tcBorders>
            <w:shd w:val="clear" w:color="000000" w:fill="FFFFFF"/>
            <w:noWrap/>
            <w:vAlign w:val="center"/>
            <w:hideMark/>
          </w:tcPr>
          <w:p w14:paraId="513CAB23"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763" w:type="dxa"/>
            <w:tcBorders>
              <w:top w:val="nil"/>
              <w:left w:val="nil"/>
              <w:bottom w:val="single" w:sz="4" w:space="0" w:color="auto"/>
              <w:right w:val="single" w:sz="4" w:space="0" w:color="auto"/>
            </w:tcBorders>
            <w:shd w:val="clear" w:color="000000" w:fill="FFFFFF"/>
            <w:noWrap/>
            <w:vAlign w:val="center"/>
            <w:hideMark/>
          </w:tcPr>
          <w:p w14:paraId="1F7E4DF6"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4B818D97"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639" w:type="dxa"/>
            <w:tcBorders>
              <w:top w:val="nil"/>
              <w:left w:val="nil"/>
              <w:bottom w:val="single" w:sz="4" w:space="0" w:color="auto"/>
              <w:right w:val="single" w:sz="4" w:space="0" w:color="auto"/>
            </w:tcBorders>
            <w:shd w:val="clear" w:color="000000" w:fill="FFFFFF"/>
            <w:noWrap/>
            <w:vAlign w:val="center"/>
            <w:hideMark/>
          </w:tcPr>
          <w:p w14:paraId="4421AEAD" w14:textId="77777777" w:rsidR="00460106" w:rsidRPr="00842ABF" w:rsidRDefault="00460106" w:rsidP="00460106">
            <w:pPr>
              <w:spacing w:line="240" w:lineRule="auto"/>
              <w:jc w:val="right"/>
              <w:rPr>
                <w:sz w:val="14"/>
                <w:szCs w:val="14"/>
                <w:lang w:eastAsia="sl-SI"/>
              </w:rPr>
            </w:pPr>
            <w:r w:rsidRPr="00842ABF">
              <w:rPr>
                <w:sz w:val="14"/>
                <w:szCs w:val="14"/>
                <w:lang w:eastAsia="sl-SI"/>
              </w:rPr>
              <w:t>76</w:t>
            </w:r>
          </w:p>
        </w:tc>
        <w:tc>
          <w:tcPr>
            <w:tcW w:w="569" w:type="dxa"/>
            <w:tcBorders>
              <w:top w:val="nil"/>
              <w:left w:val="nil"/>
              <w:bottom w:val="single" w:sz="4" w:space="0" w:color="auto"/>
              <w:right w:val="single" w:sz="4" w:space="0" w:color="auto"/>
            </w:tcBorders>
            <w:shd w:val="clear" w:color="000000" w:fill="FFFFFF"/>
            <w:noWrap/>
            <w:vAlign w:val="center"/>
            <w:hideMark/>
          </w:tcPr>
          <w:p w14:paraId="5B36EE00" w14:textId="77777777" w:rsidR="00460106" w:rsidRPr="00842ABF" w:rsidRDefault="00460106" w:rsidP="00460106">
            <w:pPr>
              <w:spacing w:line="240" w:lineRule="auto"/>
              <w:jc w:val="right"/>
              <w:rPr>
                <w:sz w:val="14"/>
                <w:szCs w:val="14"/>
                <w:lang w:eastAsia="sl-SI"/>
              </w:rPr>
            </w:pPr>
            <w:r w:rsidRPr="00842ABF">
              <w:rPr>
                <w:sz w:val="14"/>
                <w:szCs w:val="14"/>
                <w:lang w:eastAsia="sl-SI"/>
              </w:rPr>
              <w:t>74</w:t>
            </w:r>
          </w:p>
        </w:tc>
        <w:tc>
          <w:tcPr>
            <w:tcW w:w="569" w:type="dxa"/>
            <w:tcBorders>
              <w:top w:val="nil"/>
              <w:left w:val="nil"/>
              <w:bottom w:val="single" w:sz="4" w:space="0" w:color="auto"/>
              <w:right w:val="single" w:sz="4" w:space="0" w:color="auto"/>
            </w:tcBorders>
            <w:shd w:val="clear" w:color="000000" w:fill="FFFFFF"/>
            <w:noWrap/>
            <w:vAlign w:val="center"/>
            <w:hideMark/>
          </w:tcPr>
          <w:p w14:paraId="655556F5" w14:textId="77777777" w:rsidR="00460106" w:rsidRPr="00842ABF" w:rsidRDefault="00460106" w:rsidP="00460106">
            <w:pPr>
              <w:spacing w:line="240" w:lineRule="auto"/>
              <w:jc w:val="right"/>
              <w:rPr>
                <w:sz w:val="14"/>
                <w:szCs w:val="14"/>
                <w:lang w:eastAsia="sl-SI"/>
              </w:rPr>
            </w:pPr>
            <w:r w:rsidRPr="00842ABF">
              <w:rPr>
                <w:sz w:val="14"/>
                <w:szCs w:val="14"/>
                <w:lang w:eastAsia="sl-SI"/>
              </w:rPr>
              <w:t>26</w:t>
            </w:r>
          </w:p>
        </w:tc>
        <w:tc>
          <w:tcPr>
            <w:tcW w:w="569" w:type="dxa"/>
            <w:tcBorders>
              <w:top w:val="nil"/>
              <w:left w:val="nil"/>
              <w:bottom w:val="single" w:sz="4" w:space="0" w:color="auto"/>
              <w:right w:val="single" w:sz="4" w:space="0" w:color="auto"/>
            </w:tcBorders>
            <w:shd w:val="clear" w:color="000000" w:fill="FFFFFF"/>
            <w:noWrap/>
            <w:vAlign w:val="center"/>
            <w:hideMark/>
          </w:tcPr>
          <w:p w14:paraId="15F5D07F" w14:textId="77777777" w:rsidR="00460106" w:rsidRPr="00842ABF" w:rsidRDefault="00460106" w:rsidP="00460106">
            <w:pPr>
              <w:spacing w:line="240" w:lineRule="auto"/>
              <w:jc w:val="right"/>
              <w:rPr>
                <w:sz w:val="14"/>
                <w:szCs w:val="14"/>
                <w:lang w:eastAsia="sl-SI"/>
              </w:rPr>
            </w:pPr>
            <w:r w:rsidRPr="00842ABF">
              <w:rPr>
                <w:sz w:val="14"/>
                <w:szCs w:val="14"/>
                <w:lang w:eastAsia="sl-SI"/>
              </w:rPr>
              <w:t>12</w:t>
            </w:r>
          </w:p>
        </w:tc>
        <w:tc>
          <w:tcPr>
            <w:tcW w:w="569" w:type="dxa"/>
            <w:tcBorders>
              <w:top w:val="nil"/>
              <w:left w:val="nil"/>
              <w:bottom w:val="single" w:sz="4" w:space="0" w:color="auto"/>
              <w:right w:val="single" w:sz="4" w:space="0" w:color="auto"/>
            </w:tcBorders>
            <w:shd w:val="clear" w:color="000000" w:fill="FFFFFF"/>
            <w:noWrap/>
            <w:vAlign w:val="center"/>
            <w:hideMark/>
          </w:tcPr>
          <w:p w14:paraId="124C434C" w14:textId="77777777" w:rsidR="00460106" w:rsidRPr="00842ABF" w:rsidRDefault="00460106" w:rsidP="00460106">
            <w:pPr>
              <w:spacing w:line="240" w:lineRule="auto"/>
              <w:jc w:val="right"/>
              <w:rPr>
                <w:sz w:val="14"/>
                <w:szCs w:val="14"/>
                <w:lang w:eastAsia="sl-SI"/>
              </w:rPr>
            </w:pPr>
            <w:r w:rsidRPr="00842ABF">
              <w:rPr>
                <w:sz w:val="14"/>
                <w:szCs w:val="14"/>
                <w:lang w:eastAsia="sl-SI"/>
              </w:rPr>
              <w:t>23</w:t>
            </w:r>
          </w:p>
        </w:tc>
        <w:tc>
          <w:tcPr>
            <w:tcW w:w="569" w:type="dxa"/>
            <w:tcBorders>
              <w:top w:val="nil"/>
              <w:left w:val="nil"/>
              <w:bottom w:val="single" w:sz="4" w:space="0" w:color="auto"/>
              <w:right w:val="single" w:sz="4" w:space="0" w:color="auto"/>
            </w:tcBorders>
            <w:shd w:val="clear" w:color="000000" w:fill="FFFFFF"/>
            <w:noWrap/>
            <w:vAlign w:val="center"/>
            <w:hideMark/>
          </w:tcPr>
          <w:p w14:paraId="12BE8611"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3229EA48"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r>
      <w:tr w:rsidR="00460106" w:rsidRPr="00842ABF" w14:paraId="54F74D96"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5D6CD2EA" w14:textId="77777777" w:rsidR="00460106" w:rsidRPr="00842ABF" w:rsidRDefault="00460106" w:rsidP="00460106">
            <w:pPr>
              <w:spacing w:line="240" w:lineRule="auto"/>
              <w:rPr>
                <w:sz w:val="14"/>
                <w:szCs w:val="14"/>
                <w:lang w:eastAsia="sl-SI"/>
              </w:rPr>
            </w:pPr>
            <w:r w:rsidRPr="00842ABF">
              <w:rPr>
                <w:sz w:val="14"/>
                <w:szCs w:val="14"/>
                <w:lang w:eastAsia="sl-SI"/>
              </w:rPr>
              <w:t>Prepelice</w:t>
            </w:r>
          </w:p>
        </w:tc>
        <w:tc>
          <w:tcPr>
            <w:tcW w:w="763" w:type="dxa"/>
            <w:tcBorders>
              <w:top w:val="nil"/>
              <w:left w:val="nil"/>
              <w:bottom w:val="single" w:sz="4" w:space="0" w:color="auto"/>
              <w:right w:val="single" w:sz="4" w:space="0" w:color="auto"/>
            </w:tcBorders>
            <w:shd w:val="clear" w:color="000000" w:fill="FFFFFF"/>
            <w:noWrap/>
            <w:vAlign w:val="center"/>
            <w:hideMark/>
          </w:tcPr>
          <w:p w14:paraId="32E43EBD" w14:textId="77777777" w:rsidR="00460106" w:rsidRPr="00842ABF" w:rsidRDefault="00460106" w:rsidP="00460106">
            <w:pPr>
              <w:spacing w:line="240" w:lineRule="auto"/>
              <w:jc w:val="right"/>
              <w:rPr>
                <w:sz w:val="14"/>
                <w:szCs w:val="14"/>
                <w:lang w:eastAsia="sl-SI"/>
              </w:rPr>
            </w:pPr>
            <w:r w:rsidRPr="00842ABF">
              <w:rPr>
                <w:sz w:val="14"/>
                <w:szCs w:val="14"/>
                <w:lang w:eastAsia="sl-SI"/>
              </w:rPr>
              <w:t>1.138</w:t>
            </w:r>
          </w:p>
        </w:tc>
        <w:tc>
          <w:tcPr>
            <w:tcW w:w="763" w:type="dxa"/>
            <w:tcBorders>
              <w:top w:val="nil"/>
              <w:left w:val="nil"/>
              <w:bottom w:val="single" w:sz="4" w:space="0" w:color="auto"/>
              <w:right w:val="single" w:sz="4" w:space="0" w:color="auto"/>
            </w:tcBorders>
            <w:shd w:val="clear" w:color="000000" w:fill="FFFFFF"/>
            <w:noWrap/>
            <w:vAlign w:val="center"/>
            <w:hideMark/>
          </w:tcPr>
          <w:p w14:paraId="7947A96E" w14:textId="77777777" w:rsidR="00460106" w:rsidRPr="00842ABF" w:rsidRDefault="00460106" w:rsidP="00460106">
            <w:pPr>
              <w:spacing w:line="240" w:lineRule="auto"/>
              <w:jc w:val="right"/>
              <w:rPr>
                <w:sz w:val="14"/>
                <w:szCs w:val="14"/>
                <w:lang w:eastAsia="sl-SI"/>
              </w:rPr>
            </w:pPr>
            <w:r w:rsidRPr="00842ABF">
              <w:rPr>
                <w:sz w:val="14"/>
                <w:szCs w:val="14"/>
                <w:lang w:eastAsia="sl-SI"/>
              </w:rPr>
              <w:t>1.272</w:t>
            </w:r>
          </w:p>
        </w:tc>
        <w:tc>
          <w:tcPr>
            <w:tcW w:w="763" w:type="dxa"/>
            <w:tcBorders>
              <w:top w:val="nil"/>
              <w:left w:val="nil"/>
              <w:bottom w:val="single" w:sz="4" w:space="0" w:color="auto"/>
              <w:right w:val="single" w:sz="4" w:space="0" w:color="auto"/>
            </w:tcBorders>
            <w:shd w:val="clear" w:color="000000" w:fill="FFFFFF"/>
            <w:noWrap/>
            <w:vAlign w:val="center"/>
            <w:hideMark/>
          </w:tcPr>
          <w:p w14:paraId="4D3BD9D2" w14:textId="77777777" w:rsidR="00460106" w:rsidRPr="00842ABF" w:rsidRDefault="00460106" w:rsidP="00460106">
            <w:pPr>
              <w:spacing w:line="240" w:lineRule="auto"/>
              <w:jc w:val="right"/>
              <w:rPr>
                <w:sz w:val="14"/>
                <w:szCs w:val="14"/>
                <w:lang w:eastAsia="sl-SI"/>
              </w:rPr>
            </w:pPr>
            <w:r w:rsidRPr="00842ABF">
              <w:rPr>
                <w:sz w:val="14"/>
                <w:szCs w:val="14"/>
                <w:lang w:eastAsia="sl-SI"/>
              </w:rPr>
              <w:t>1.994</w:t>
            </w:r>
          </w:p>
        </w:tc>
        <w:tc>
          <w:tcPr>
            <w:tcW w:w="763" w:type="dxa"/>
            <w:tcBorders>
              <w:top w:val="nil"/>
              <w:left w:val="nil"/>
              <w:bottom w:val="single" w:sz="4" w:space="0" w:color="auto"/>
              <w:right w:val="single" w:sz="4" w:space="0" w:color="auto"/>
            </w:tcBorders>
            <w:shd w:val="clear" w:color="000000" w:fill="FFFFFF"/>
            <w:noWrap/>
            <w:vAlign w:val="center"/>
            <w:hideMark/>
          </w:tcPr>
          <w:p w14:paraId="0C2026AF" w14:textId="77777777" w:rsidR="00460106" w:rsidRPr="00842ABF" w:rsidRDefault="00460106" w:rsidP="00460106">
            <w:pPr>
              <w:spacing w:line="240" w:lineRule="auto"/>
              <w:jc w:val="right"/>
              <w:rPr>
                <w:sz w:val="14"/>
                <w:szCs w:val="14"/>
                <w:lang w:eastAsia="sl-SI"/>
              </w:rPr>
            </w:pPr>
            <w:r w:rsidRPr="00842ABF">
              <w:rPr>
                <w:sz w:val="14"/>
                <w:szCs w:val="14"/>
                <w:lang w:eastAsia="sl-SI"/>
              </w:rPr>
              <w:t>791</w:t>
            </w:r>
          </w:p>
        </w:tc>
        <w:tc>
          <w:tcPr>
            <w:tcW w:w="763" w:type="dxa"/>
            <w:tcBorders>
              <w:top w:val="nil"/>
              <w:left w:val="nil"/>
              <w:bottom w:val="single" w:sz="4" w:space="0" w:color="auto"/>
              <w:right w:val="single" w:sz="4" w:space="0" w:color="auto"/>
            </w:tcBorders>
            <w:shd w:val="clear" w:color="000000" w:fill="FFFFFF"/>
            <w:noWrap/>
            <w:vAlign w:val="center"/>
            <w:hideMark/>
          </w:tcPr>
          <w:p w14:paraId="4878AF70" w14:textId="77777777" w:rsidR="00460106" w:rsidRPr="00842ABF" w:rsidRDefault="00460106" w:rsidP="00460106">
            <w:pPr>
              <w:spacing w:line="240" w:lineRule="auto"/>
              <w:jc w:val="right"/>
              <w:rPr>
                <w:sz w:val="14"/>
                <w:szCs w:val="14"/>
                <w:lang w:eastAsia="sl-SI"/>
              </w:rPr>
            </w:pPr>
            <w:r w:rsidRPr="00842ABF">
              <w:rPr>
                <w:sz w:val="14"/>
                <w:szCs w:val="14"/>
                <w:lang w:eastAsia="sl-SI"/>
              </w:rPr>
              <w:t>3.878</w:t>
            </w:r>
          </w:p>
        </w:tc>
        <w:tc>
          <w:tcPr>
            <w:tcW w:w="763" w:type="dxa"/>
            <w:tcBorders>
              <w:top w:val="nil"/>
              <w:left w:val="nil"/>
              <w:bottom w:val="single" w:sz="4" w:space="0" w:color="auto"/>
              <w:right w:val="single" w:sz="4" w:space="0" w:color="auto"/>
            </w:tcBorders>
            <w:shd w:val="clear" w:color="000000" w:fill="FFFFFF"/>
            <w:noWrap/>
            <w:vAlign w:val="center"/>
            <w:hideMark/>
          </w:tcPr>
          <w:p w14:paraId="58EF2770"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69C8E607"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639" w:type="dxa"/>
            <w:tcBorders>
              <w:top w:val="nil"/>
              <w:left w:val="nil"/>
              <w:bottom w:val="single" w:sz="4" w:space="0" w:color="auto"/>
              <w:right w:val="single" w:sz="4" w:space="0" w:color="auto"/>
            </w:tcBorders>
            <w:shd w:val="clear" w:color="000000" w:fill="FFFFFF"/>
            <w:noWrap/>
            <w:vAlign w:val="center"/>
            <w:hideMark/>
          </w:tcPr>
          <w:p w14:paraId="5B2D7B6D" w14:textId="77777777" w:rsidR="00460106" w:rsidRPr="00842ABF" w:rsidRDefault="00460106" w:rsidP="00460106">
            <w:pPr>
              <w:spacing w:line="240" w:lineRule="auto"/>
              <w:jc w:val="right"/>
              <w:rPr>
                <w:sz w:val="14"/>
                <w:szCs w:val="14"/>
                <w:lang w:eastAsia="sl-SI"/>
              </w:rPr>
            </w:pPr>
            <w:r w:rsidRPr="00842ABF">
              <w:rPr>
                <w:sz w:val="14"/>
                <w:szCs w:val="14"/>
                <w:lang w:eastAsia="sl-SI"/>
              </w:rPr>
              <w:t>48</w:t>
            </w:r>
          </w:p>
        </w:tc>
        <w:tc>
          <w:tcPr>
            <w:tcW w:w="569" w:type="dxa"/>
            <w:tcBorders>
              <w:top w:val="nil"/>
              <w:left w:val="nil"/>
              <w:bottom w:val="single" w:sz="4" w:space="0" w:color="auto"/>
              <w:right w:val="single" w:sz="4" w:space="0" w:color="auto"/>
            </w:tcBorders>
            <w:shd w:val="clear" w:color="000000" w:fill="FFFFFF"/>
            <w:noWrap/>
            <w:vAlign w:val="center"/>
            <w:hideMark/>
          </w:tcPr>
          <w:p w14:paraId="7AE4D91D" w14:textId="77777777" w:rsidR="00460106" w:rsidRPr="00842ABF" w:rsidRDefault="00460106" w:rsidP="00460106">
            <w:pPr>
              <w:spacing w:line="240" w:lineRule="auto"/>
              <w:jc w:val="right"/>
              <w:rPr>
                <w:sz w:val="14"/>
                <w:szCs w:val="14"/>
                <w:lang w:eastAsia="sl-SI"/>
              </w:rPr>
            </w:pPr>
            <w:r w:rsidRPr="00842ABF">
              <w:rPr>
                <w:sz w:val="14"/>
                <w:szCs w:val="14"/>
                <w:lang w:eastAsia="sl-SI"/>
              </w:rPr>
              <w:t>68</w:t>
            </w:r>
          </w:p>
        </w:tc>
        <w:tc>
          <w:tcPr>
            <w:tcW w:w="569" w:type="dxa"/>
            <w:tcBorders>
              <w:top w:val="nil"/>
              <w:left w:val="nil"/>
              <w:bottom w:val="single" w:sz="4" w:space="0" w:color="auto"/>
              <w:right w:val="single" w:sz="4" w:space="0" w:color="auto"/>
            </w:tcBorders>
            <w:shd w:val="clear" w:color="000000" w:fill="FFFFFF"/>
            <w:noWrap/>
            <w:vAlign w:val="center"/>
            <w:hideMark/>
          </w:tcPr>
          <w:p w14:paraId="386A298B" w14:textId="77777777" w:rsidR="00460106" w:rsidRPr="00842ABF" w:rsidRDefault="00460106" w:rsidP="00460106">
            <w:pPr>
              <w:spacing w:line="240" w:lineRule="auto"/>
              <w:jc w:val="right"/>
              <w:rPr>
                <w:sz w:val="14"/>
                <w:szCs w:val="14"/>
                <w:lang w:eastAsia="sl-SI"/>
              </w:rPr>
            </w:pPr>
            <w:r w:rsidRPr="00842ABF">
              <w:rPr>
                <w:sz w:val="14"/>
                <w:szCs w:val="14"/>
                <w:lang w:eastAsia="sl-SI"/>
              </w:rPr>
              <w:t>61</w:t>
            </w:r>
          </w:p>
        </w:tc>
        <w:tc>
          <w:tcPr>
            <w:tcW w:w="569" w:type="dxa"/>
            <w:tcBorders>
              <w:top w:val="nil"/>
              <w:left w:val="nil"/>
              <w:bottom w:val="single" w:sz="4" w:space="0" w:color="auto"/>
              <w:right w:val="single" w:sz="4" w:space="0" w:color="auto"/>
            </w:tcBorders>
            <w:shd w:val="clear" w:color="000000" w:fill="FFFFFF"/>
            <w:noWrap/>
            <w:vAlign w:val="center"/>
            <w:hideMark/>
          </w:tcPr>
          <w:p w14:paraId="5BC884A6" w14:textId="77777777" w:rsidR="00460106" w:rsidRPr="00842ABF" w:rsidRDefault="00460106" w:rsidP="00460106">
            <w:pPr>
              <w:spacing w:line="240" w:lineRule="auto"/>
              <w:jc w:val="right"/>
              <w:rPr>
                <w:sz w:val="14"/>
                <w:szCs w:val="14"/>
                <w:lang w:eastAsia="sl-SI"/>
              </w:rPr>
            </w:pPr>
            <w:r w:rsidRPr="00842ABF">
              <w:rPr>
                <w:sz w:val="14"/>
                <w:szCs w:val="14"/>
                <w:lang w:eastAsia="sl-SI"/>
              </w:rPr>
              <w:t>25</w:t>
            </w:r>
          </w:p>
        </w:tc>
        <w:tc>
          <w:tcPr>
            <w:tcW w:w="569" w:type="dxa"/>
            <w:tcBorders>
              <w:top w:val="nil"/>
              <w:left w:val="nil"/>
              <w:bottom w:val="single" w:sz="4" w:space="0" w:color="auto"/>
              <w:right w:val="single" w:sz="4" w:space="0" w:color="auto"/>
            </w:tcBorders>
            <w:shd w:val="clear" w:color="000000" w:fill="FFFFFF"/>
            <w:noWrap/>
            <w:vAlign w:val="center"/>
            <w:hideMark/>
          </w:tcPr>
          <w:p w14:paraId="3695B543" w14:textId="77777777" w:rsidR="00460106" w:rsidRPr="00842ABF" w:rsidRDefault="00460106" w:rsidP="00460106">
            <w:pPr>
              <w:spacing w:line="240" w:lineRule="auto"/>
              <w:jc w:val="right"/>
              <w:rPr>
                <w:sz w:val="14"/>
                <w:szCs w:val="14"/>
                <w:lang w:eastAsia="sl-SI"/>
              </w:rPr>
            </w:pPr>
            <w:r w:rsidRPr="00842ABF">
              <w:rPr>
                <w:sz w:val="14"/>
                <w:szCs w:val="14"/>
                <w:lang w:eastAsia="sl-SI"/>
              </w:rPr>
              <w:t>51</w:t>
            </w:r>
          </w:p>
        </w:tc>
        <w:tc>
          <w:tcPr>
            <w:tcW w:w="569" w:type="dxa"/>
            <w:tcBorders>
              <w:top w:val="nil"/>
              <w:left w:val="nil"/>
              <w:bottom w:val="single" w:sz="4" w:space="0" w:color="auto"/>
              <w:right w:val="single" w:sz="4" w:space="0" w:color="auto"/>
            </w:tcBorders>
            <w:shd w:val="clear" w:color="000000" w:fill="FFFFFF"/>
            <w:noWrap/>
            <w:vAlign w:val="center"/>
            <w:hideMark/>
          </w:tcPr>
          <w:p w14:paraId="2857A6D4"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45A7E48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r>
      <w:tr w:rsidR="00460106" w:rsidRPr="00842ABF" w14:paraId="73B397C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2E6849F6" w14:textId="77777777" w:rsidR="00460106" w:rsidRPr="00842ABF" w:rsidRDefault="00460106" w:rsidP="00460106">
            <w:pPr>
              <w:spacing w:line="240" w:lineRule="auto"/>
              <w:rPr>
                <w:sz w:val="14"/>
                <w:szCs w:val="14"/>
                <w:lang w:eastAsia="sl-SI"/>
              </w:rPr>
            </w:pPr>
            <w:r w:rsidRPr="00842ABF">
              <w:rPr>
                <w:sz w:val="14"/>
                <w:szCs w:val="14"/>
                <w:lang w:eastAsia="sl-SI"/>
              </w:rPr>
              <w:t>Druga perutnina</w:t>
            </w:r>
          </w:p>
        </w:tc>
        <w:tc>
          <w:tcPr>
            <w:tcW w:w="763" w:type="dxa"/>
            <w:tcBorders>
              <w:top w:val="nil"/>
              <w:left w:val="nil"/>
              <w:bottom w:val="single" w:sz="4" w:space="0" w:color="auto"/>
              <w:right w:val="single" w:sz="4" w:space="0" w:color="auto"/>
            </w:tcBorders>
            <w:shd w:val="clear" w:color="000000" w:fill="FFFFFF"/>
            <w:noWrap/>
            <w:vAlign w:val="center"/>
            <w:hideMark/>
          </w:tcPr>
          <w:p w14:paraId="71EA2D5E" w14:textId="77777777" w:rsidR="00460106" w:rsidRPr="00842ABF" w:rsidRDefault="00460106" w:rsidP="00460106">
            <w:pPr>
              <w:spacing w:line="240" w:lineRule="auto"/>
              <w:jc w:val="right"/>
              <w:rPr>
                <w:sz w:val="14"/>
                <w:szCs w:val="14"/>
                <w:lang w:eastAsia="sl-SI"/>
              </w:rPr>
            </w:pPr>
            <w:r w:rsidRPr="00842ABF">
              <w:rPr>
                <w:sz w:val="14"/>
                <w:szCs w:val="14"/>
                <w:lang w:eastAsia="sl-SI"/>
              </w:rPr>
              <w:t>35.491</w:t>
            </w:r>
          </w:p>
        </w:tc>
        <w:tc>
          <w:tcPr>
            <w:tcW w:w="763" w:type="dxa"/>
            <w:tcBorders>
              <w:top w:val="nil"/>
              <w:left w:val="nil"/>
              <w:bottom w:val="single" w:sz="4" w:space="0" w:color="auto"/>
              <w:right w:val="single" w:sz="4" w:space="0" w:color="auto"/>
            </w:tcBorders>
            <w:shd w:val="clear" w:color="000000" w:fill="FFFFFF"/>
            <w:noWrap/>
            <w:vAlign w:val="center"/>
            <w:hideMark/>
          </w:tcPr>
          <w:p w14:paraId="3FDB6888" w14:textId="77777777" w:rsidR="00460106" w:rsidRPr="00842ABF" w:rsidRDefault="00460106" w:rsidP="00460106">
            <w:pPr>
              <w:spacing w:line="240" w:lineRule="auto"/>
              <w:jc w:val="right"/>
              <w:rPr>
                <w:sz w:val="14"/>
                <w:szCs w:val="14"/>
                <w:lang w:eastAsia="sl-SI"/>
              </w:rPr>
            </w:pPr>
            <w:r w:rsidRPr="00842ABF">
              <w:rPr>
                <w:sz w:val="14"/>
                <w:szCs w:val="14"/>
                <w:lang w:eastAsia="sl-SI"/>
              </w:rPr>
              <w:t>34.226</w:t>
            </w:r>
          </w:p>
        </w:tc>
        <w:tc>
          <w:tcPr>
            <w:tcW w:w="763" w:type="dxa"/>
            <w:tcBorders>
              <w:top w:val="nil"/>
              <w:left w:val="nil"/>
              <w:bottom w:val="single" w:sz="4" w:space="0" w:color="auto"/>
              <w:right w:val="single" w:sz="4" w:space="0" w:color="auto"/>
            </w:tcBorders>
            <w:shd w:val="clear" w:color="000000" w:fill="FFFFFF"/>
            <w:noWrap/>
            <w:vAlign w:val="center"/>
            <w:hideMark/>
          </w:tcPr>
          <w:p w14:paraId="5F460D22" w14:textId="77777777" w:rsidR="00460106" w:rsidRPr="00842ABF" w:rsidRDefault="00460106" w:rsidP="00460106">
            <w:pPr>
              <w:spacing w:line="240" w:lineRule="auto"/>
              <w:jc w:val="right"/>
              <w:rPr>
                <w:sz w:val="14"/>
                <w:szCs w:val="14"/>
                <w:lang w:eastAsia="sl-SI"/>
              </w:rPr>
            </w:pPr>
            <w:r w:rsidRPr="00842ABF">
              <w:rPr>
                <w:sz w:val="14"/>
                <w:szCs w:val="14"/>
                <w:lang w:eastAsia="sl-SI"/>
              </w:rPr>
              <w:t>34.069</w:t>
            </w:r>
          </w:p>
        </w:tc>
        <w:tc>
          <w:tcPr>
            <w:tcW w:w="763" w:type="dxa"/>
            <w:tcBorders>
              <w:top w:val="nil"/>
              <w:left w:val="nil"/>
              <w:bottom w:val="single" w:sz="4" w:space="0" w:color="auto"/>
              <w:right w:val="single" w:sz="4" w:space="0" w:color="auto"/>
            </w:tcBorders>
            <w:shd w:val="clear" w:color="000000" w:fill="FFFFFF"/>
            <w:noWrap/>
            <w:vAlign w:val="center"/>
            <w:hideMark/>
          </w:tcPr>
          <w:p w14:paraId="1D72C87D" w14:textId="77777777" w:rsidR="00460106" w:rsidRPr="00842ABF" w:rsidRDefault="00460106" w:rsidP="00460106">
            <w:pPr>
              <w:spacing w:line="240" w:lineRule="auto"/>
              <w:jc w:val="right"/>
              <w:rPr>
                <w:sz w:val="14"/>
                <w:szCs w:val="14"/>
                <w:lang w:eastAsia="sl-SI"/>
              </w:rPr>
            </w:pPr>
            <w:r w:rsidRPr="00842ABF">
              <w:rPr>
                <w:sz w:val="14"/>
                <w:szCs w:val="14"/>
                <w:lang w:eastAsia="sl-SI"/>
              </w:rPr>
              <w:t>40.399</w:t>
            </w:r>
          </w:p>
        </w:tc>
        <w:tc>
          <w:tcPr>
            <w:tcW w:w="763" w:type="dxa"/>
            <w:tcBorders>
              <w:top w:val="nil"/>
              <w:left w:val="nil"/>
              <w:bottom w:val="single" w:sz="4" w:space="0" w:color="auto"/>
              <w:right w:val="single" w:sz="4" w:space="0" w:color="auto"/>
            </w:tcBorders>
            <w:shd w:val="clear" w:color="000000" w:fill="FFFFFF"/>
            <w:noWrap/>
            <w:vAlign w:val="center"/>
            <w:hideMark/>
          </w:tcPr>
          <w:p w14:paraId="578235E8"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763" w:type="dxa"/>
            <w:tcBorders>
              <w:top w:val="nil"/>
              <w:left w:val="nil"/>
              <w:bottom w:val="single" w:sz="4" w:space="0" w:color="auto"/>
              <w:right w:val="single" w:sz="4" w:space="0" w:color="auto"/>
            </w:tcBorders>
            <w:shd w:val="clear" w:color="000000" w:fill="FFFFFF"/>
            <w:noWrap/>
            <w:vAlign w:val="center"/>
            <w:hideMark/>
          </w:tcPr>
          <w:p w14:paraId="395ADE99"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6E1A5AD6"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639" w:type="dxa"/>
            <w:tcBorders>
              <w:top w:val="nil"/>
              <w:left w:val="nil"/>
              <w:bottom w:val="single" w:sz="4" w:space="0" w:color="auto"/>
              <w:right w:val="single" w:sz="4" w:space="0" w:color="auto"/>
            </w:tcBorders>
            <w:shd w:val="clear" w:color="000000" w:fill="FFFFFF"/>
            <w:noWrap/>
            <w:vAlign w:val="center"/>
            <w:hideMark/>
          </w:tcPr>
          <w:p w14:paraId="041BB9FC" w14:textId="77777777" w:rsidR="00460106" w:rsidRPr="00842ABF" w:rsidRDefault="00460106" w:rsidP="00460106">
            <w:pPr>
              <w:spacing w:line="240" w:lineRule="auto"/>
              <w:jc w:val="right"/>
              <w:rPr>
                <w:sz w:val="14"/>
                <w:szCs w:val="14"/>
                <w:lang w:eastAsia="sl-SI"/>
              </w:rPr>
            </w:pPr>
            <w:r w:rsidRPr="00842ABF">
              <w:rPr>
                <w:sz w:val="14"/>
                <w:szCs w:val="14"/>
                <w:lang w:eastAsia="sl-SI"/>
              </w:rPr>
              <w:t>548</w:t>
            </w:r>
          </w:p>
        </w:tc>
        <w:tc>
          <w:tcPr>
            <w:tcW w:w="569" w:type="dxa"/>
            <w:tcBorders>
              <w:top w:val="nil"/>
              <w:left w:val="nil"/>
              <w:bottom w:val="single" w:sz="4" w:space="0" w:color="auto"/>
              <w:right w:val="single" w:sz="4" w:space="0" w:color="auto"/>
            </w:tcBorders>
            <w:shd w:val="clear" w:color="000000" w:fill="FFFFFF"/>
            <w:noWrap/>
            <w:vAlign w:val="center"/>
            <w:hideMark/>
          </w:tcPr>
          <w:p w14:paraId="36BA9DF0" w14:textId="77777777" w:rsidR="00460106" w:rsidRPr="00842ABF" w:rsidRDefault="00460106" w:rsidP="00460106">
            <w:pPr>
              <w:spacing w:line="240" w:lineRule="auto"/>
              <w:jc w:val="right"/>
              <w:rPr>
                <w:sz w:val="14"/>
                <w:szCs w:val="14"/>
                <w:lang w:eastAsia="sl-SI"/>
              </w:rPr>
            </w:pPr>
            <w:r w:rsidRPr="00842ABF">
              <w:rPr>
                <w:sz w:val="14"/>
                <w:szCs w:val="14"/>
                <w:lang w:eastAsia="sl-SI"/>
              </w:rPr>
              <w:t>26</w:t>
            </w:r>
          </w:p>
        </w:tc>
        <w:tc>
          <w:tcPr>
            <w:tcW w:w="569" w:type="dxa"/>
            <w:tcBorders>
              <w:top w:val="nil"/>
              <w:left w:val="nil"/>
              <w:bottom w:val="single" w:sz="4" w:space="0" w:color="auto"/>
              <w:right w:val="single" w:sz="4" w:space="0" w:color="auto"/>
            </w:tcBorders>
            <w:shd w:val="clear" w:color="000000" w:fill="FFFFFF"/>
            <w:noWrap/>
            <w:vAlign w:val="center"/>
            <w:hideMark/>
          </w:tcPr>
          <w:p w14:paraId="3049CC2B" w14:textId="77777777" w:rsidR="00460106" w:rsidRPr="00842ABF" w:rsidRDefault="00460106" w:rsidP="00460106">
            <w:pPr>
              <w:spacing w:line="240" w:lineRule="auto"/>
              <w:jc w:val="right"/>
              <w:rPr>
                <w:sz w:val="14"/>
                <w:szCs w:val="14"/>
                <w:lang w:eastAsia="sl-SI"/>
              </w:rPr>
            </w:pPr>
            <w:r w:rsidRPr="00842ABF">
              <w:rPr>
                <w:sz w:val="14"/>
                <w:szCs w:val="14"/>
                <w:lang w:eastAsia="sl-SI"/>
              </w:rPr>
              <w:t>21</w:t>
            </w:r>
          </w:p>
        </w:tc>
        <w:tc>
          <w:tcPr>
            <w:tcW w:w="569" w:type="dxa"/>
            <w:tcBorders>
              <w:top w:val="nil"/>
              <w:left w:val="nil"/>
              <w:bottom w:val="single" w:sz="4" w:space="0" w:color="auto"/>
              <w:right w:val="single" w:sz="4" w:space="0" w:color="auto"/>
            </w:tcBorders>
            <w:shd w:val="clear" w:color="000000" w:fill="FFFFFF"/>
            <w:noWrap/>
            <w:vAlign w:val="center"/>
            <w:hideMark/>
          </w:tcPr>
          <w:p w14:paraId="1A2A4825" w14:textId="77777777" w:rsidR="00460106" w:rsidRPr="00842ABF" w:rsidRDefault="00460106" w:rsidP="00460106">
            <w:pPr>
              <w:spacing w:line="240" w:lineRule="auto"/>
              <w:jc w:val="right"/>
              <w:rPr>
                <w:sz w:val="14"/>
                <w:szCs w:val="14"/>
                <w:lang w:eastAsia="sl-SI"/>
              </w:rPr>
            </w:pPr>
            <w:r w:rsidRPr="00842ABF">
              <w:rPr>
                <w:sz w:val="14"/>
                <w:szCs w:val="14"/>
                <w:lang w:eastAsia="sl-SI"/>
              </w:rPr>
              <w:t>287</w:t>
            </w:r>
          </w:p>
        </w:tc>
        <w:tc>
          <w:tcPr>
            <w:tcW w:w="569" w:type="dxa"/>
            <w:tcBorders>
              <w:top w:val="nil"/>
              <w:left w:val="nil"/>
              <w:bottom w:val="single" w:sz="4" w:space="0" w:color="auto"/>
              <w:right w:val="single" w:sz="4" w:space="0" w:color="auto"/>
            </w:tcBorders>
            <w:shd w:val="clear" w:color="000000" w:fill="FFFFFF"/>
            <w:noWrap/>
            <w:vAlign w:val="center"/>
            <w:hideMark/>
          </w:tcPr>
          <w:p w14:paraId="631E6198" w14:textId="77777777" w:rsidR="00460106" w:rsidRPr="00842ABF" w:rsidRDefault="00460106" w:rsidP="00460106">
            <w:pPr>
              <w:spacing w:line="240" w:lineRule="auto"/>
              <w:jc w:val="right"/>
              <w:rPr>
                <w:sz w:val="14"/>
                <w:szCs w:val="14"/>
                <w:lang w:eastAsia="sl-SI"/>
              </w:rPr>
            </w:pPr>
            <w:r w:rsidRPr="00842ABF">
              <w:rPr>
                <w:sz w:val="14"/>
                <w:szCs w:val="14"/>
                <w:lang w:eastAsia="sl-SI"/>
              </w:rPr>
              <w:t>161</w:t>
            </w:r>
          </w:p>
        </w:tc>
        <w:tc>
          <w:tcPr>
            <w:tcW w:w="569" w:type="dxa"/>
            <w:tcBorders>
              <w:top w:val="nil"/>
              <w:left w:val="nil"/>
              <w:bottom w:val="single" w:sz="4" w:space="0" w:color="auto"/>
              <w:right w:val="single" w:sz="4" w:space="0" w:color="auto"/>
            </w:tcBorders>
            <w:shd w:val="clear" w:color="000000" w:fill="FFFFFF"/>
            <w:noWrap/>
            <w:vAlign w:val="center"/>
            <w:hideMark/>
          </w:tcPr>
          <w:p w14:paraId="1F93003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657C7C26"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r>
    </w:tbl>
    <w:p w14:paraId="4BD3265B" w14:textId="77777777" w:rsidR="00460106" w:rsidRPr="00875BB7" w:rsidRDefault="00460106" w:rsidP="00460106">
      <w:pPr>
        <w:spacing w:before="200" w:line="360" w:lineRule="auto"/>
        <w:rPr>
          <w:color w:val="273443"/>
          <w:sz w:val="16"/>
          <w:szCs w:val="16"/>
          <w:lang w:eastAsia="sl-SI"/>
        </w:rPr>
      </w:pPr>
      <w:r w:rsidRPr="00875BB7">
        <w:rPr>
          <w:sz w:val="16"/>
          <w:szCs w:val="16"/>
        </w:rPr>
        <w:t xml:space="preserve">Vir: SURS; </w:t>
      </w:r>
      <w:r w:rsidRPr="00875BB7">
        <w:rPr>
          <w:color w:val="273443"/>
          <w:sz w:val="16"/>
          <w:szCs w:val="16"/>
          <w:lang w:eastAsia="sl-SI"/>
        </w:rPr>
        <w:t>z</w:t>
      </w:r>
      <w:r w:rsidRPr="00E03638">
        <w:rPr>
          <w:color w:val="273443"/>
          <w:sz w:val="16"/>
          <w:szCs w:val="16"/>
          <w:lang w:eastAsia="sl-SI"/>
        </w:rPr>
        <w:t>-</w:t>
      </w:r>
      <w:r w:rsidRPr="00875BB7">
        <w:rPr>
          <w:color w:val="273443"/>
          <w:sz w:val="16"/>
          <w:szCs w:val="16"/>
          <w:lang w:eastAsia="sl-SI"/>
        </w:rPr>
        <w:t>statistično zaupno; M</w:t>
      </w:r>
      <w:r w:rsidRPr="00E03638">
        <w:rPr>
          <w:color w:val="273443"/>
          <w:sz w:val="16"/>
          <w:szCs w:val="16"/>
          <w:lang w:eastAsia="sl-SI"/>
        </w:rPr>
        <w:t>-</w:t>
      </w:r>
      <w:r w:rsidRPr="00875BB7">
        <w:rPr>
          <w:color w:val="273443"/>
          <w:sz w:val="16"/>
          <w:szCs w:val="16"/>
          <w:lang w:eastAsia="sl-SI"/>
        </w:rPr>
        <w:t>manj zanesljiva ocena – previdna uporaba, N</w:t>
      </w:r>
      <w:r w:rsidRPr="00E03638">
        <w:rPr>
          <w:color w:val="273443"/>
          <w:sz w:val="16"/>
          <w:szCs w:val="16"/>
          <w:lang w:eastAsia="sl-SI"/>
        </w:rPr>
        <w:t>-</w:t>
      </w:r>
      <w:r w:rsidRPr="00875BB7">
        <w:rPr>
          <w:color w:val="273443"/>
          <w:sz w:val="16"/>
          <w:szCs w:val="16"/>
          <w:lang w:eastAsia="sl-SI"/>
        </w:rPr>
        <w:t>za objavo premalo zanesljiva ocen</w:t>
      </w:r>
      <w:r>
        <w:rPr>
          <w:color w:val="273443"/>
          <w:sz w:val="16"/>
          <w:szCs w:val="16"/>
          <w:lang w:eastAsia="sl-SI"/>
        </w:rPr>
        <w:t>a</w:t>
      </w:r>
    </w:p>
    <w:p w14:paraId="1C381161" w14:textId="77777777" w:rsidR="00F679A2" w:rsidRPr="005B2A49" w:rsidRDefault="00F679A2" w:rsidP="005B2A49">
      <w:pPr>
        <w:spacing w:after="120" w:line="260" w:lineRule="atLeast"/>
        <w:rPr>
          <w:rFonts w:eastAsia="Calibri"/>
          <w:szCs w:val="20"/>
        </w:rPr>
      </w:pPr>
      <w:r w:rsidRPr="005B2A49">
        <w:rPr>
          <w:rFonts w:eastAsia="Calibri"/>
          <w:szCs w:val="20"/>
        </w:rPr>
        <w:t xml:space="preserve">Skupno število rejene perutnine se je od leta 2006 do 2019 povečalo iz 3,1 milijona na 6,6 milijona živali. Po številu živali prevladuje reja pitovnih piščancev, katerih število je (med vsemi kategorijami perutnine) v tem obdobju tudi najbolj naraslo. </w:t>
      </w:r>
    </w:p>
    <w:p w14:paraId="2DFF6A51" w14:textId="77777777" w:rsidR="00F679A2" w:rsidRPr="005B2A49" w:rsidRDefault="00F679A2" w:rsidP="005B2A49">
      <w:pPr>
        <w:spacing w:after="120" w:line="260" w:lineRule="atLeast"/>
        <w:rPr>
          <w:rFonts w:eastAsia="Calibri"/>
          <w:szCs w:val="20"/>
        </w:rPr>
      </w:pPr>
      <w:r w:rsidRPr="005B2A49">
        <w:rPr>
          <w:rFonts w:eastAsia="Calibri"/>
          <w:szCs w:val="20"/>
        </w:rPr>
        <w:t>Prireja mesa se je v obdobju 2006–2019 gibala med 50 in 71 tisoč tonami, poraba pa med 46 tisoč in 65 tisoč ton. V Sloveniji se je poraba perutninskega mesa od leta 2013 do leta 2018 povečala za dodatnih 6,4 kg/prebivalca in je znašala 31,2 kg na prebivalca, medtem ko je bila v letu 2019 ponovno nekoliko manjša (30,8 kg/prebivalca). V letu 2018 je povprečna poraba perutninskega mesa v EU znašala 24,8 kg/prebivalca, kar kaže na četrtino večjo porabo perutninskega mesa v Sloveniji.</w:t>
      </w:r>
    </w:p>
    <w:p w14:paraId="0B3ED07B" w14:textId="77777777" w:rsidR="0043618D" w:rsidRPr="005B2A49" w:rsidRDefault="0043618D" w:rsidP="005B2A49">
      <w:pPr>
        <w:spacing w:after="120" w:line="260" w:lineRule="atLeast"/>
        <w:rPr>
          <w:rFonts w:eastAsia="Calibri"/>
          <w:szCs w:val="20"/>
        </w:rPr>
      </w:pPr>
      <w:r w:rsidRPr="005B2A49">
        <w:rPr>
          <w:rFonts w:eastAsia="Calibri"/>
          <w:szCs w:val="20"/>
        </w:rPr>
        <w:t>V letu 2016 je piščance redilo 5,5 tisoč kmetijskih gospodarstev, kar je skoraj enkrat več (+89 %) kot leta 2010. Ta kmetijska gospodarstva so skupaj redila skoraj 4 milijone kljunov, kar je za 41 % več kot leta 2010. Velika večina rejcev (93 %) redi do 100 kljunov, kar predstavlja manj kot 3 % celotne jate. Pri tržno usmerjenih rejah se je v obdobju od zadnjega popolnega popisa povečala koncentracija prireje. Število tistih, ki redijo med 5 in 10 tisoč piščancev se je v letu 2016 zmanjšalo za 29 %, medtem ko je bilo rejcev, ki redijo nad 10 tisoč piščancev, za 12 % več kot leta 2010.</w:t>
      </w:r>
    </w:p>
    <w:p w14:paraId="002D7203" w14:textId="77777777" w:rsidR="0043618D" w:rsidRPr="005B2A49" w:rsidRDefault="0043618D" w:rsidP="005B2A49">
      <w:pPr>
        <w:spacing w:after="120" w:line="260" w:lineRule="atLeast"/>
        <w:rPr>
          <w:rFonts w:eastAsia="Calibri"/>
          <w:szCs w:val="20"/>
        </w:rPr>
      </w:pPr>
      <w:r w:rsidRPr="005B2A49">
        <w:rPr>
          <w:rFonts w:eastAsia="Calibri"/>
          <w:szCs w:val="20"/>
        </w:rPr>
        <w:t>V letu 2016 je nekaj manj kot 37 tisoč kmetijskih gospodarstev redilo 1,6 milijona kokoši nesnic. Med letoma 2010 in 2016 se je število kmetijskih gospodarstev z nesnicami povečalo za dobrih 5 %, medtem ko se je velikost jate povečala za 7 %. Še vedno prevladuje samooskrbni način reje, saj je tudi v letu 2016 velika večina rejcev (99 %) redila do 100 kljunov. Ti rejci so redili dobro četrtino (27 %) celotne jate. Pri tržno usmerjenih rejah se je med zadnjima popisoma povečala koncentracija prireje. Število tistih, ki redijo med 3 in 5 tisoč kokoši nesnic, se je v letu 2016 zmanjšalo za 43 %, medtem ko je bilo rejcev, ki redijo nad 5 tisoč kokoši nesnic, za 9 % več kot leta 2010.</w:t>
      </w:r>
    </w:p>
    <w:p w14:paraId="5208610E" w14:textId="77777777" w:rsidR="0043618D" w:rsidRPr="005B2A49" w:rsidRDefault="0043618D" w:rsidP="005B2A49">
      <w:pPr>
        <w:spacing w:after="120" w:line="260" w:lineRule="atLeast"/>
        <w:rPr>
          <w:rFonts w:eastAsia="Calibri"/>
          <w:szCs w:val="20"/>
        </w:rPr>
      </w:pPr>
      <w:r w:rsidRPr="005B2A49">
        <w:rPr>
          <w:rFonts w:eastAsia="Calibri"/>
          <w:szCs w:val="20"/>
        </w:rPr>
        <w:t>V letih 2006-2019 opazen trend povečevanja tako v prireji mesa kot tudi porabi perutninskega mesa. Prireja mesa se je v obdobju 2006–2019 gibala med 50 in 71 tisoč tonami, poraba pa med 46 tisoč in 65 tisoč ton. V Sloveniji se je poraba perutninskega mesa od leta 2013 do leta 2018 povečala za dodatnih 6,4 kg/prebivalca in je znašala 31,2 kg na prebivalca, medtem ko je bila v letu 2019 ponovno nekoliko manjša (30,8 kg/prebivalca). V letu 2018 je povprečna poraba perutninskega mesa v EU znašala 24,8 kg/prebivalca, kar kaže na četrtino večjo porabo perutninskega mesa v Sloveniji.</w:t>
      </w:r>
    </w:p>
    <w:p w14:paraId="3A9E621E" w14:textId="73EDDE6C" w:rsidR="00F679A2" w:rsidRPr="005B2A49" w:rsidRDefault="00F679A2" w:rsidP="005B2A49">
      <w:pPr>
        <w:spacing w:after="120" w:line="260" w:lineRule="atLeast"/>
        <w:rPr>
          <w:rFonts w:eastAsia="Calibri"/>
          <w:szCs w:val="20"/>
        </w:rPr>
      </w:pPr>
      <w:r w:rsidRPr="005B2A49">
        <w:rPr>
          <w:rFonts w:eastAsia="Calibri"/>
          <w:szCs w:val="20"/>
        </w:rPr>
        <w:t xml:space="preserve">Prireja vseh jajc se je v letih 2006 – 2019 gibala med 15,8 tisoč ton (v letu 2006) in 25,2 tisoč ton (v letu 2019). </w:t>
      </w:r>
      <w:r w:rsidR="0043618D">
        <w:t xml:space="preserve">Za </w:t>
      </w:r>
      <w:r w:rsidR="0043618D" w:rsidRPr="009D60D5">
        <w:t>prehran</w:t>
      </w:r>
      <w:r w:rsidR="0043618D">
        <w:t>o ljudi</w:t>
      </w:r>
      <w:r w:rsidR="0043618D" w:rsidRPr="009D60D5">
        <w:t xml:space="preserve"> </w:t>
      </w:r>
      <w:r w:rsidRPr="005B2A49">
        <w:rPr>
          <w:rFonts w:eastAsia="Calibri"/>
          <w:szCs w:val="20"/>
        </w:rPr>
        <w:t>je namenjenih več kot 80</w:t>
      </w:r>
      <w:r w:rsidR="009E7E6E">
        <w:rPr>
          <w:rFonts w:eastAsia="Calibri"/>
          <w:szCs w:val="20"/>
        </w:rPr>
        <w:t> </w:t>
      </w:r>
      <w:r w:rsidRPr="005B2A49">
        <w:rPr>
          <w:rFonts w:eastAsia="Calibri"/>
          <w:szCs w:val="20"/>
        </w:rPr>
        <w:t xml:space="preserve">% celotne prireje jajc v Sloveniji. </w:t>
      </w:r>
      <w:r w:rsidR="0043618D">
        <w:t>V letih 2006-2019 je opazen trend povečevanja</w:t>
      </w:r>
      <w:r w:rsidR="0043618D" w:rsidRPr="005F4C54">
        <w:t xml:space="preserve"> </w:t>
      </w:r>
      <w:r w:rsidR="0043618D">
        <w:t xml:space="preserve">porabe konzumnih </w:t>
      </w:r>
      <w:r w:rsidR="0043618D" w:rsidRPr="009D60D5">
        <w:t>jajc</w:t>
      </w:r>
      <w:r w:rsidR="0043618D">
        <w:t xml:space="preserve"> na prebivalca.</w:t>
      </w:r>
      <w:r w:rsidR="0043618D" w:rsidRPr="009D60D5">
        <w:t xml:space="preserve"> </w:t>
      </w:r>
      <w:r w:rsidRPr="005B2A49">
        <w:rPr>
          <w:rFonts w:eastAsia="Calibri"/>
          <w:szCs w:val="20"/>
        </w:rPr>
        <w:t xml:space="preserve">Poraba </w:t>
      </w:r>
      <w:r w:rsidR="0043618D">
        <w:t xml:space="preserve">konzumnih </w:t>
      </w:r>
      <w:r w:rsidR="0043618D" w:rsidRPr="009D60D5">
        <w:t>jajc</w:t>
      </w:r>
      <w:r w:rsidR="0043618D">
        <w:t xml:space="preserve"> na prebivalca</w:t>
      </w:r>
      <w:r w:rsidR="0043618D" w:rsidRPr="009D60D5">
        <w:t xml:space="preserve"> </w:t>
      </w:r>
      <w:r w:rsidRPr="005B2A49">
        <w:rPr>
          <w:rFonts w:eastAsia="Calibri"/>
          <w:szCs w:val="20"/>
        </w:rPr>
        <w:t>se je od leta 2006 do leta 2019 povečala iz 7 kg/prebivalca na skoraj 12 kg/prebivalca.</w:t>
      </w:r>
    </w:p>
    <w:p w14:paraId="6926F7AE" w14:textId="0BF44EE1" w:rsidR="00F679A2" w:rsidRPr="005B2A49" w:rsidRDefault="00F679A2" w:rsidP="005B2A49">
      <w:pPr>
        <w:spacing w:after="120" w:line="260" w:lineRule="atLeast"/>
        <w:rPr>
          <w:rFonts w:eastAsia="Calibri"/>
          <w:szCs w:val="20"/>
        </w:rPr>
      </w:pPr>
      <w:r w:rsidRPr="005B2A49">
        <w:rPr>
          <w:rFonts w:eastAsia="Calibri"/>
          <w:szCs w:val="20"/>
        </w:rPr>
        <w:t>Prihodki in stroški prireje piščančjega mesa in tudi jajc so se od leta 2014 do 2019 nekoliko znižali, prihodkovno-stroškovno razmerje pa kaže na stabilen položaj.</w:t>
      </w:r>
      <w:r w:rsidR="0043618D" w:rsidRPr="005B2A49">
        <w:rPr>
          <w:rFonts w:eastAsia="Calibri"/>
          <w:szCs w:val="20"/>
        </w:rPr>
        <w:t xml:space="preserve"> Leta 2019 so se po statističnih podatkih odkupne cene perutnine za rejce agregatno zvišale za slabe 3</w:t>
      </w:r>
      <w:r w:rsidR="0043618D">
        <w:rPr>
          <w:rFonts w:eastAsia="Calibri"/>
          <w:szCs w:val="20"/>
        </w:rPr>
        <w:t> </w:t>
      </w:r>
      <w:r w:rsidR="0043618D" w:rsidRPr="005B2A49">
        <w:rPr>
          <w:rFonts w:eastAsia="Calibri"/>
          <w:szCs w:val="20"/>
        </w:rPr>
        <w:t>%, cene enodnevnih piščancev za nesnice (kategorija perutnina za nadaljnjo rejo) pa so se znižale za 4</w:t>
      </w:r>
      <w:r w:rsidR="0043618D">
        <w:rPr>
          <w:rFonts w:eastAsia="Calibri"/>
          <w:szCs w:val="20"/>
        </w:rPr>
        <w:t> </w:t>
      </w:r>
      <w:r w:rsidR="0043618D" w:rsidRPr="005B2A49">
        <w:rPr>
          <w:rFonts w:eastAsia="Calibri"/>
          <w:szCs w:val="20"/>
        </w:rPr>
        <w:t>%. Če se je po statističnih podatkih cena pitovnih piščancev v letu 2019 zvišala za 3</w:t>
      </w:r>
      <w:r w:rsidR="0043618D">
        <w:rPr>
          <w:rFonts w:eastAsia="Calibri"/>
          <w:szCs w:val="20"/>
        </w:rPr>
        <w:t> </w:t>
      </w:r>
      <w:r w:rsidR="0043618D" w:rsidRPr="005B2A49">
        <w:rPr>
          <w:rFonts w:eastAsia="Calibri"/>
          <w:szCs w:val="20"/>
        </w:rPr>
        <w:t>%, se je po podatkih reprezentativnih klavnic tržna cena zaklanih piščancev (tj. 65</w:t>
      </w:r>
      <w:r w:rsidR="0043618D">
        <w:rPr>
          <w:rFonts w:eastAsia="Calibri"/>
          <w:szCs w:val="20"/>
        </w:rPr>
        <w:t> </w:t>
      </w:r>
      <w:r w:rsidR="0043618D" w:rsidRPr="005B2A49">
        <w:rPr>
          <w:rFonts w:eastAsia="Calibri"/>
          <w:szCs w:val="20"/>
        </w:rPr>
        <w:t>% piščancev) znižala za odstotek.</w:t>
      </w:r>
    </w:p>
    <w:p w14:paraId="16F8C5CD" w14:textId="077AC99A" w:rsidR="00F679A2" w:rsidRPr="005B2A49" w:rsidRDefault="00F679A2" w:rsidP="005B2A49">
      <w:pPr>
        <w:spacing w:after="120" w:line="260" w:lineRule="atLeast"/>
        <w:rPr>
          <w:rFonts w:eastAsia="Calibri"/>
          <w:szCs w:val="20"/>
        </w:rPr>
      </w:pPr>
      <w:r w:rsidRPr="005B2A49">
        <w:rPr>
          <w:rFonts w:eastAsia="Calibri"/>
          <w:szCs w:val="20"/>
        </w:rPr>
        <w:t xml:space="preserve">Odkupne cene perutnine so se od leta 2006 do leta 2013 zviševale, po letu 2013 pa so se zniževale (z izjemo leta 2019). </w:t>
      </w:r>
      <w:r w:rsidR="0043618D">
        <w:t>Zaradi višjih odkupnih cen perutnine in višje vrednosti gnoja se je skupna vrednost proizvodnje zvišala za dobre 3 %, kar je dvakrat toliko od zvišanja skupnih stroškov prireje. Prihodkovno-stroškovno razmerje se je izboljšalo in je na ravni povprečja zadnjega petletnega obdobja (2014–2018).</w:t>
      </w:r>
      <w:r w:rsidR="0043618D" w:rsidRPr="009D60D5">
        <w:t xml:space="preserve"> </w:t>
      </w:r>
      <w:r w:rsidRPr="005B2A49">
        <w:rPr>
          <w:rFonts w:eastAsia="Calibri"/>
          <w:szCs w:val="20"/>
        </w:rPr>
        <w:t>Tržna cena zaklanih piščancev (65</w:t>
      </w:r>
      <w:r w:rsidR="0043618D">
        <w:rPr>
          <w:rFonts w:eastAsia="Calibri"/>
          <w:szCs w:val="20"/>
        </w:rPr>
        <w:t> </w:t>
      </w:r>
      <w:r w:rsidRPr="005B2A49">
        <w:rPr>
          <w:rFonts w:eastAsia="Calibri"/>
          <w:szCs w:val="20"/>
        </w:rPr>
        <w:t xml:space="preserve">% piščancev) je v Sloveniji višja od povprečne cene v EU, Slovenija pa se od leta 2014 dalje nahaja v sredini držav članic EU. </w:t>
      </w:r>
    </w:p>
    <w:p w14:paraId="60C8F90D" w14:textId="3B8D05EE" w:rsidR="00F679A2" w:rsidRPr="005B2A49" w:rsidRDefault="00F679A2" w:rsidP="005B2A49">
      <w:pPr>
        <w:spacing w:after="120" w:line="260" w:lineRule="atLeast"/>
        <w:rPr>
          <w:rFonts w:eastAsia="Calibri"/>
          <w:szCs w:val="20"/>
        </w:rPr>
      </w:pPr>
      <w:r w:rsidRPr="005B2A49">
        <w:rPr>
          <w:rFonts w:eastAsia="Calibri"/>
          <w:szCs w:val="20"/>
        </w:rPr>
        <w:t xml:space="preserve">Odkupne cene jajc so se po letu 2013 zniževale, v letih 2018 in 2019 pa je opazna ponovna rast. </w:t>
      </w:r>
      <w:r w:rsidR="0043618D">
        <w:t xml:space="preserve">Prihodkovno-stroškovno razmerje pri proizvodnji jajc je pred letom 2014 precej nihalo, v zadnjih letih pa so razmere med leti precej podobne. Ekonomski rezultati pri proizvodnji jajc leta 2019 so na ravni povprečja zadnjega petletnega obdobja. Tako ocenjujemo, da je kljub spremembam, predvsem v tehnologijah pridelave na slovenskem trgu, stanje v prireji jajc zadnja leta stabilno. </w:t>
      </w:r>
      <w:r w:rsidRPr="005B2A49">
        <w:rPr>
          <w:rFonts w:eastAsia="Calibri"/>
          <w:szCs w:val="20"/>
        </w:rPr>
        <w:t>V letu 2019 so bile cene na slovenskih reprezentativnih trgih (pakirni centri), tako kot v predhodnih letih, višje od povprečnih cen v EU. Slovenija se nahaja v sredini držav članic EU, pri čemer velja omeniti, da so med državami članicami velike razlike v cenah konzumnih jajc.</w:t>
      </w:r>
    </w:p>
    <w:p w14:paraId="19074EAD" w14:textId="02CFD0A5" w:rsidR="00F679A2" w:rsidRPr="00E155C1" w:rsidRDefault="0043618D" w:rsidP="00E155C1">
      <w:pPr>
        <w:spacing w:after="120" w:line="276" w:lineRule="auto"/>
      </w:pPr>
      <w:r>
        <w:t xml:space="preserve">V samooskrbi s perutninskim mesom in jajci so opazna medletna nihanja. </w:t>
      </w:r>
      <w:r w:rsidR="00F679A2" w:rsidRPr="00E155C1">
        <w:t>Slovenija je samooskrbna s perutninskim mesom. V obdobju 2006 – 2019 se je stopnja samooskrbe gibala med 103</w:t>
      </w:r>
      <w:r w:rsidRPr="00E155C1">
        <w:t> </w:t>
      </w:r>
      <w:r w:rsidR="00F679A2" w:rsidRPr="00E155C1">
        <w:t>% in 117</w:t>
      </w:r>
      <w:r w:rsidRPr="00E155C1">
        <w:t> </w:t>
      </w:r>
      <w:r w:rsidR="00F679A2" w:rsidRPr="00E155C1">
        <w:t>%, v letu 2019 je bila 1</w:t>
      </w:r>
      <w:r w:rsidRPr="00E155C1">
        <w:t>11 %</w:t>
      </w:r>
      <w:r w:rsidR="00F679A2" w:rsidRPr="00E155C1">
        <w:t>. Stopnja samooskrbe z jajci (tako valilna kot ostala jajca) je že več let visoka, vendar ne samozadostna. V letu 2019 je bila stopnja samooskrbe z jajci 95-odstotna.</w:t>
      </w:r>
    </w:p>
    <w:p w14:paraId="48620C5A" w14:textId="2904A1B1" w:rsidR="00F679A2" w:rsidRPr="005B2A49" w:rsidRDefault="00F679A2" w:rsidP="005B2A49">
      <w:pPr>
        <w:spacing w:after="120" w:line="260" w:lineRule="atLeast"/>
        <w:rPr>
          <w:rFonts w:eastAsia="Calibri"/>
          <w:szCs w:val="20"/>
        </w:rPr>
      </w:pPr>
      <w:r w:rsidRPr="005B2A49">
        <w:rPr>
          <w:rFonts w:eastAsia="Calibri"/>
          <w:szCs w:val="20"/>
        </w:rPr>
        <w:t>Slovenija je neto izvoznica perutninskega mesa in živih živali. Povečujeta se tako izvoz kot uvoz, pri čemer v zadnjih nekaj letih hitrejša rast izvoza ustvarja še ugodnejšo zunanjetrgovinsko bilanco. Večino izvoza in uvoza predstavlja meso (okoli 75</w:t>
      </w:r>
      <w:r w:rsidR="0043618D">
        <w:rPr>
          <w:rFonts w:eastAsia="Calibri"/>
          <w:szCs w:val="20"/>
        </w:rPr>
        <w:t> </w:t>
      </w:r>
      <w:r w:rsidRPr="005B2A49">
        <w:rPr>
          <w:rFonts w:eastAsia="Calibri"/>
          <w:szCs w:val="20"/>
        </w:rPr>
        <w:t>% oziroma 85</w:t>
      </w:r>
      <w:r w:rsidR="0043618D">
        <w:rPr>
          <w:rFonts w:eastAsia="Calibri"/>
          <w:szCs w:val="20"/>
        </w:rPr>
        <w:t> </w:t>
      </w:r>
      <w:r w:rsidRPr="005B2A49">
        <w:rPr>
          <w:rFonts w:eastAsia="Calibri"/>
          <w:szCs w:val="20"/>
        </w:rPr>
        <w:t xml:space="preserve">%). V obdobju 2006 </w:t>
      </w:r>
      <w:r w:rsidR="00040F4B">
        <w:rPr>
          <w:rFonts w:eastAsia="Calibri"/>
          <w:szCs w:val="20"/>
        </w:rPr>
        <w:t>-</w:t>
      </w:r>
      <w:r w:rsidRPr="005B2A49">
        <w:rPr>
          <w:rFonts w:eastAsia="Calibri"/>
          <w:szCs w:val="20"/>
        </w:rPr>
        <w:t xml:space="preserve"> 2019 sta se povečevala tudi izvoz in uvoz jajc s tem, da je uvoz ves čas večji. </w:t>
      </w:r>
    </w:p>
    <w:p w14:paraId="7480B9CD" w14:textId="77777777" w:rsidR="00F679A2" w:rsidRPr="009D60D5" w:rsidRDefault="00F679A2" w:rsidP="005B2A49">
      <w:pPr>
        <w:spacing w:after="120" w:line="260" w:lineRule="atLeast"/>
        <w:rPr>
          <w:rFonts w:eastAsia="Calibri"/>
          <w:szCs w:val="20"/>
        </w:rPr>
      </w:pPr>
      <w:r w:rsidRPr="005B2A49">
        <w:rPr>
          <w:rFonts w:eastAsia="Calibri"/>
          <w:szCs w:val="20"/>
        </w:rPr>
        <w:t>V obdobju od leta 2010 do 2019 se je število ekološko rejene perutnine povečevalo od 28.000 živali do nekaj manj kot 97.000 živali v 2019, ko je opaziti rahlo zmanjšanje števila ekološko rejene perutnine glede na trend povečevanja iz predhodnih let. Prireja ekološkega perutninskega mesa se je od 2012 do 2019 povečala iz približno 17 ton na 27 ton. V omenjenem obdobju se je povečevala tudi prireja ekoloških konzumnih jajc, saj je bilo v letu 2019 prirejenih nekaj manj kot 12 milijonov ekoloških konzumnih jajc (okrog 3 % vseh konzumnih jajc).</w:t>
      </w:r>
    </w:p>
    <w:p w14:paraId="0964D6E7" w14:textId="5EDBED4B" w:rsidR="00F679A2" w:rsidRPr="005B2A49" w:rsidRDefault="00040F4B" w:rsidP="005B2A49">
      <w:pPr>
        <w:spacing w:after="120" w:line="260" w:lineRule="atLeast"/>
        <w:rPr>
          <w:rFonts w:eastAsia="Calibri"/>
          <w:szCs w:val="20"/>
        </w:rPr>
      </w:pPr>
      <w:r w:rsidRPr="00875BB7">
        <w:t xml:space="preserve">Perutninarstvo prispeva 2 % izpustov toplogrednih plinov na področju živinoreje, 1,5 % k izpustom toplogrednih plinov na področju kmetijstva oziroma 0,15 % k vsem izpustom toplogrednih plinov v Sloveniji. Perutninarstvo prispeva 6,2 % izpustov amonijaka na področju kmetijstva. Izpuste amonijaka bi bilo mogoče zmanjšati </w:t>
      </w:r>
      <w:r>
        <w:t>z obroki, ki so prilagojeni potrebam posameznih kategorij perutnine</w:t>
      </w:r>
      <w:r w:rsidRPr="00875BB7">
        <w:t>, izboljšanju načinov reje,</w:t>
      </w:r>
      <w:r>
        <w:t xml:space="preserve"> zračenjem hlevov</w:t>
      </w:r>
      <w:r w:rsidRPr="00875BB7">
        <w:t xml:space="preserve"> skladiščenja živinskih gnojil in uvajanju gnojenja z majhnimi izpusti</w:t>
      </w:r>
      <w:r>
        <w:t xml:space="preserve">. </w:t>
      </w:r>
    </w:p>
    <w:p w14:paraId="7B0403D0" w14:textId="276C7D90" w:rsidR="00F679A2" w:rsidRPr="005B2A49" w:rsidRDefault="00F679A2" w:rsidP="005B2A49">
      <w:pPr>
        <w:spacing w:after="120" w:line="260" w:lineRule="atLeast"/>
        <w:rPr>
          <w:rFonts w:eastAsia="Calibri"/>
          <w:szCs w:val="20"/>
        </w:rPr>
      </w:pPr>
      <w:r w:rsidRPr="005B2A49">
        <w:rPr>
          <w:rFonts w:eastAsia="Calibri"/>
          <w:szCs w:val="20"/>
        </w:rPr>
        <w:t xml:space="preserve">V okviru Programa varstva biotske raznovrstnosti v živinoreji za obdobje 2017-2023 se varuje/ohranja edina avtohtona pasma, štajerska kokoš, ki ima drugo stopnjo ogroženosti. Poleg štajerske kokoši se skrbi tudi za ohranitev štirih tradicionalnih pasem kokoši, katere pa imajo najvišjo stopnjo ogroženosti t.j. kritična in sicer zaradi zelo slabe geografske razširjenosti. V letu 2019 se je Register pasem z zootehniško oceno vodil za pet pasem kokoši: štajerska kokoš, slovenska grahasta kokoš, slovenska srebrna kokoš, slovenska rjava kokoš, slovenska pozno operjena kokoš. </w:t>
      </w:r>
    </w:p>
    <w:p w14:paraId="10AE21A2" w14:textId="7D7DF8F3" w:rsidR="00F679A2" w:rsidRPr="005B2A49" w:rsidRDefault="00F679A2" w:rsidP="005B2A49">
      <w:pPr>
        <w:spacing w:after="120" w:line="260" w:lineRule="atLeast"/>
        <w:rPr>
          <w:rFonts w:eastAsia="Calibri"/>
          <w:szCs w:val="20"/>
        </w:rPr>
      </w:pPr>
      <w:r w:rsidRPr="005B2A49">
        <w:rPr>
          <w:rFonts w:eastAsia="Calibri"/>
          <w:szCs w:val="20"/>
        </w:rPr>
        <w:t xml:space="preserve">Splošna javnost želi, da se dobrobit živali okrepi na vseh področjih, vključno s perutninarstvom. </w:t>
      </w:r>
      <w:r w:rsidR="00040F4B" w:rsidRPr="00875BB7">
        <w:t>V letu</w:t>
      </w:r>
      <w:r w:rsidR="00040F4B">
        <w:t xml:space="preserve"> 2020 se je 66,0 % vseh nesnic redilo v baterijski (23,0 %) ali hlevski reji (43,0 %).</w:t>
      </w:r>
    </w:p>
    <w:p w14:paraId="034CEC64" w14:textId="4D6607DA" w:rsidR="00F679A2" w:rsidRDefault="00F679A2" w:rsidP="005B2A49">
      <w:pPr>
        <w:spacing w:after="120" w:line="260" w:lineRule="atLeast"/>
        <w:rPr>
          <w:rFonts w:eastAsia="Calibri"/>
          <w:szCs w:val="20"/>
        </w:rPr>
      </w:pPr>
      <w:r w:rsidRPr="005B2A49">
        <w:rPr>
          <w:rFonts w:eastAsia="Calibri"/>
          <w:szCs w:val="20"/>
        </w:rPr>
        <w:t>Dosedanje podpore SKP 2014 – 2020 za sektor perutninarstva izhajajo iz splošnih ukrepov, ki so vezani na površine in različnih ukrepov PRP 2014-2020 (M4, M6 itd.). Do dne 31. 8. 2019 je bilo v okviru podukrepa M04.1 Podpora za naložbe v kmetijska gospodarstva izplačano približno 1,5 mio EUR, v okviru podukrepa 4.2 Podpora za naložbe v predelavo/trženje in/ali razvoj kmetijskih proizvodov nekaj čez 0,5 mio EUR, v okviru podukrepa 6.1 Pomoč za zagon dejavnosti za mlade kmete približno 0,4 mio EUR in v okviru podukrepa 6.3 Pomoč za zagon dejavnosti, namenjene razvoju majhnih kmetij je bilo izplačano 10.500 EUR.</w:t>
      </w:r>
    </w:p>
    <w:p w14:paraId="5E48192D" w14:textId="77777777" w:rsidR="00C25531" w:rsidRPr="005B2A49" w:rsidRDefault="00C25531" w:rsidP="005B2A49">
      <w:pPr>
        <w:spacing w:after="120" w:line="260" w:lineRule="atLeast"/>
        <w:rPr>
          <w:rFonts w:eastAsia="Calibri"/>
          <w:szCs w:val="20"/>
        </w:rPr>
      </w:pPr>
    </w:p>
    <w:p w14:paraId="39157612" w14:textId="77777777" w:rsidR="00F679A2" w:rsidRPr="0022702B" w:rsidRDefault="00F679A2" w:rsidP="00F679A2">
      <w:pPr>
        <w:pStyle w:val="Naslov3"/>
        <w:rPr>
          <w:rFonts w:eastAsia="Calibri"/>
        </w:rPr>
      </w:pPr>
      <w:bookmarkStart w:id="3158" w:name="_Toc90462255"/>
      <w:r w:rsidRPr="0022702B">
        <w:rPr>
          <w:rFonts w:eastAsia="Calibri"/>
        </w:rPr>
        <w:t>Ključne ugotovitve</w:t>
      </w:r>
      <w:bookmarkEnd w:id="3158"/>
    </w:p>
    <w:p w14:paraId="3236AC6C" w14:textId="49A1531B" w:rsidR="00040F4B"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V Sloveniji je perutninarstvo stabilna panoga, ki je zaradi urejene kooperacijske reje in vzpostavljenih poslovnih povezav, izpostavljena manjšim tveganjem.</w:t>
      </w:r>
    </w:p>
    <w:p w14:paraId="79E4AAB2" w14:textId="79453220" w:rsidR="00F679A2" w:rsidRPr="005B2A49"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Za izboljšanje pogojev reje oziroma dobrobiti živali, zmanjšanje izpusta toplogrednih plinov in amonijaka, tehnološke dovršenosti proizvodnje ter izboljšanje biovarnosti je potrebna posodobitev opreme in objektov</w:t>
      </w:r>
      <w:r w:rsidR="00F679A2" w:rsidRPr="005B2A49">
        <w:rPr>
          <w:rFonts w:ascii="Arial" w:eastAsia="Calibri" w:hAnsi="Arial"/>
          <w:sz w:val="22"/>
        </w:rPr>
        <w:t>.</w:t>
      </w:r>
    </w:p>
    <w:p w14:paraId="389E0739" w14:textId="27E48331" w:rsidR="00F679A2"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Potrebno je izvajanje ukrepa dobrobiti živali, še posebej zaradi učinkovitejšega prilagajanja rejcev zahtevam potrošnikov.</w:t>
      </w:r>
    </w:p>
    <w:p w14:paraId="2CC31FD8" w14:textId="0F150EC7" w:rsidR="00C25531" w:rsidRPr="005B2A49" w:rsidRDefault="00C25531" w:rsidP="005B2A49">
      <w:pPr>
        <w:pStyle w:val="Odstavekseznama"/>
        <w:spacing w:after="120" w:line="260" w:lineRule="atLeast"/>
        <w:ind w:left="357"/>
        <w:rPr>
          <w:rFonts w:ascii="Arial" w:eastAsia="Calibri" w:hAnsi="Arial"/>
          <w:sz w:val="22"/>
        </w:rPr>
      </w:pPr>
    </w:p>
    <w:p w14:paraId="2187EAAE" w14:textId="77777777" w:rsidR="00F679A2" w:rsidRPr="0022702B" w:rsidRDefault="00F679A2" w:rsidP="00F679A2">
      <w:pPr>
        <w:pStyle w:val="Naslov2"/>
      </w:pPr>
      <w:bookmarkStart w:id="3159" w:name="_Toc90462256"/>
      <w:r w:rsidRPr="0022702B">
        <w:t>Drobnica</w:t>
      </w:r>
      <w:bookmarkEnd w:id="3159"/>
    </w:p>
    <w:p w14:paraId="7642C7EF" w14:textId="77777777" w:rsidR="00F679A2" w:rsidRPr="005B2A49" w:rsidRDefault="00F679A2" w:rsidP="005B2A49">
      <w:pPr>
        <w:spacing w:after="120" w:line="260" w:lineRule="atLeast"/>
        <w:rPr>
          <w:rFonts w:eastAsia="Calibri"/>
          <w:szCs w:val="20"/>
        </w:rPr>
      </w:pPr>
      <w:r w:rsidRPr="005B2A49">
        <w:rPr>
          <w:rFonts w:eastAsia="Calibri"/>
          <w:szCs w:val="20"/>
        </w:rPr>
        <w:t xml:space="preserve">Reja drobnice je v Sloveniji tradicionalna kmetijska dejavnost in je ena do okolja najbolj prijaznih oblik živinoreje. Večina rej se nahaja v območjih z omejenimi možnostmi za kmetijsko dejavnost in imajo pomembno vlogo v okviru prizadevanj za preprečevanje hitrega zaraščanja kmetijskih površin. Zaradi načina prehranjevalnih vzorcev je drobnica pomembna za ohranjanje biotske raznovrstnosti rastlinskih ekosistemov, avtohtone in tradicionalne pasme pa za živalske ekosisteme, kar varuje okolje in ohranja kulturno krajino. Prevladuje konvencionalna ekstenzivna reja z zmernimi prirasti, razen pri rejcih, ki so usmerjeni v proizvodnjo mleka. Vedno več rej se odloča za ekološki način kmetovanja.  </w:t>
      </w:r>
    </w:p>
    <w:p w14:paraId="7AFD1AE6" w14:textId="77777777" w:rsidR="00F679A2" w:rsidRPr="005B2A49" w:rsidRDefault="00F679A2" w:rsidP="005B2A49">
      <w:pPr>
        <w:spacing w:after="120" w:line="260" w:lineRule="atLeast"/>
        <w:rPr>
          <w:rFonts w:eastAsia="Calibri"/>
          <w:szCs w:val="20"/>
        </w:rPr>
      </w:pPr>
    </w:p>
    <w:p w14:paraId="5AFDEC27" w14:textId="77777777" w:rsidR="00F679A2" w:rsidRDefault="00F679A2" w:rsidP="00F679A2">
      <w:pPr>
        <w:pStyle w:val="Naslov3"/>
        <w:rPr>
          <w:rFonts w:eastAsia="Calibri"/>
        </w:rPr>
      </w:pPr>
      <w:bookmarkStart w:id="3160" w:name="_Toc90462257"/>
      <w:r w:rsidRPr="0022702B">
        <w:rPr>
          <w:rFonts w:eastAsia="Calibri"/>
        </w:rPr>
        <w:t>Stanje v sektorju in osnovni ekonomski kazalniki</w:t>
      </w:r>
      <w:bookmarkEnd w:id="3160"/>
    </w:p>
    <w:p w14:paraId="5A598515" w14:textId="77777777" w:rsidR="00F679A2" w:rsidRPr="0022702B" w:rsidRDefault="00F679A2" w:rsidP="00F679A2">
      <w:pPr>
        <w:rPr>
          <w:rFonts w:eastAsia="Calibri"/>
        </w:rPr>
      </w:pPr>
    </w:p>
    <w:p w14:paraId="37536C91" w14:textId="77777777" w:rsidR="00F679A2" w:rsidRPr="005B2A49" w:rsidRDefault="00F679A2" w:rsidP="005B2A49">
      <w:pPr>
        <w:spacing w:after="120" w:line="260" w:lineRule="atLeast"/>
        <w:rPr>
          <w:rFonts w:eastAsia="Calibri"/>
          <w:szCs w:val="20"/>
        </w:rPr>
      </w:pPr>
      <w:r w:rsidRPr="005B2A49">
        <w:rPr>
          <w:rFonts w:eastAsia="Calibri"/>
          <w:szCs w:val="20"/>
        </w:rPr>
        <w:t>Prireja mesa drobnice k skupni slovenski kmetijski proizvodnji prispeva malo manj kot odstotek vrednosti (leta 2019 0,7%), k vrednosti živinorejske proizvodnje pa dober odstotek (leta 2019 1,5 %). Statistični podatki kažejo, da se je po hitri rasti obsega reje do leta 2009, ko je število drobnice znašalo 168.004 glav, trend obrnil navzdol. Tako je stalež leta 2013 znašal 130.019 živali in se je v letih 2014 do 2019 ustalil (110 tisoč ovac in dobrih 24 tisoč koz v letu 2019).</w:t>
      </w:r>
    </w:p>
    <w:p w14:paraId="1678CCC5" w14:textId="77777777" w:rsidR="00F679A2" w:rsidRPr="005B2A49" w:rsidRDefault="00F679A2" w:rsidP="005B2A49">
      <w:pPr>
        <w:spacing w:after="120" w:line="260" w:lineRule="atLeast"/>
        <w:rPr>
          <w:rFonts w:eastAsia="Calibri"/>
          <w:szCs w:val="20"/>
        </w:rPr>
      </w:pPr>
      <w:r w:rsidRPr="005B2A49">
        <w:rPr>
          <w:rFonts w:eastAsia="Calibri"/>
          <w:szCs w:val="20"/>
        </w:rPr>
        <w:t>V Sloveniji drobnico redijo na preko 7.100 kmetijskih gospodarstvih. Po podatkih raziskovanja strukture kmetijskih gospodarstev 2016 se je število gospodarstev z drobnico v primerjavi z letom 2013 povečalo na račun porasta števila kmetijskih gospodarstev s kozami (+14 %). Pri ovcah se je povprečno število živali na kmetijsko gospodarstvo v obdobju med 2013 in 2016 povečalo z 20,9 na 21,9 živali, pri kozah pa nekoliko zmanjšalo, z 8,6 na 8,4 živali na KMG. 70 % od vseh gospodarstev z drobnico ima manj od 2 GVŽ drobnice. V Sloveniji je več kot 30 % črede drobnice vključene v ekološko kmetovanje.</w:t>
      </w:r>
    </w:p>
    <w:p w14:paraId="33547018" w14:textId="6EA0F108" w:rsidR="00F679A2" w:rsidRDefault="00F679A2" w:rsidP="00F679A2">
      <w:pPr>
        <w:pStyle w:val="SCSlika0"/>
      </w:pPr>
      <w:bookmarkStart w:id="3161" w:name="_Toc89851106"/>
      <w:r>
        <w:t xml:space="preserve">Slika </w:t>
      </w:r>
      <w:r>
        <w:rPr>
          <w:noProof/>
        </w:rPr>
        <w:fldChar w:fldCharType="begin"/>
      </w:r>
      <w:r>
        <w:rPr>
          <w:noProof/>
        </w:rPr>
        <w:instrText xml:space="preserve"> SEQ Slika \* ARABIC </w:instrText>
      </w:r>
      <w:r>
        <w:rPr>
          <w:noProof/>
        </w:rPr>
        <w:fldChar w:fldCharType="separate"/>
      </w:r>
      <w:r w:rsidR="00F25435">
        <w:rPr>
          <w:noProof/>
        </w:rPr>
        <w:t>64</w:t>
      </w:r>
      <w:r>
        <w:rPr>
          <w:noProof/>
        </w:rPr>
        <w:fldChar w:fldCharType="end"/>
      </w:r>
      <w:r>
        <w:t xml:space="preserve">: </w:t>
      </w:r>
      <w:r w:rsidRPr="009D60D5">
        <w:t>Število drobnice in prirast (2007–2019)</w:t>
      </w:r>
      <w:bookmarkEnd w:id="3161"/>
    </w:p>
    <w:p w14:paraId="495D09FB" w14:textId="77777777" w:rsidR="00F679A2" w:rsidRPr="00915839" w:rsidRDefault="00F679A2" w:rsidP="00F679A2">
      <w:pPr>
        <w:spacing w:line="360" w:lineRule="auto"/>
        <w:jc w:val="center"/>
      </w:pPr>
      <w:r w:rsidRPr="00915839">
        <w:rPr>
          <w:noProof/>
          <w:lang w:eastAsia="sl-SI"/>
        </w:rPr>
        <w:drawing>
          <wp:inline distT="0" distB="0" distL="0" distR="0" wp14:anchorId="0BC7F7DC" wp14:editId="117C649A">
            <wp:extent cx="5705475" cy="2219325"/>
            <wp:effectExtent l="0" t="0" r="9525" b="9525"/>
            <wp:docPr id="24169627" name="Slika 2416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1154C40B" w14:textId="77777777" w:rsidR="00F679A2" w:rsidRPr="00690008" w:rsidRDefault="00F679A2" w:rsidP="00F679A2">
      <w:pPr>
        <w:widowControl w:val="0"/>
        <w:spacing w:line="360" w:lineRule="auto"/>
        <w:ind w:left="170" w:hanging="170"/>
        <w:rPr>
          <w:sz w:val="16"/>
          <w:szCs w:val="16"/>
        </w:rPr>
      </w:pPr>
      <w:r w:rsidRPr="00690008">
        <w:rPr>
          <w:sz w:val="16"/>
          <w:szCs w:val="16"/>
        </w:rPr>
        <w:t>Vir: SURS</w:t>
      </w:r>
      <w:r>
        <w:rPr>
          <w:sz w:val="16"/>
          <w:szCs w:val="16"/>
        </w:rPr>
        <w:t xml:space="preserve"> (ZP-2019)</w:t>
      </w:r>
    </w:p>
    <w:p w14:paraId="7BF19603" w14:textId="77777777" w:rsidR="00F679A2" w:rsidRPr="005B2A49" w:rsidRDefault="00F679A2" w:rsidP="005B2A49">
      <w:pPr>
        <w:spacing w:after="120" w:line="260" w:lineRule="atLeast"/>
        <w:rPr>
          <w:rFonts w:eastAsia="Calibri"/>
          <w:szCs w:val="20"/>
        </w:rPr>
      </w:pPr>
      <w:r w:rsidRPr="005B2A49">
        <w:rPr>
          <w:rFonts w:eastAsia="Calibri"/>
          <w:szCs w:val="20"/>
        </w:rPr>
        <w:t>Prirast drobnice v živi masi znaša okoli 3,4 tisoč ton, pri čemer ovce prispevajo okoli 80 %, domača prireja mesa pa v zadnjih nekaj letih niha med 1,6 in 1,8 tisoč ton. Od leta 2013 dalje se zakol v klavnicah povečuje, a se še vedno največ mesa drobnice pridobi iz zakola zunaj klavnic (povprečje zadnjih pet let je okoli 91 %). Domača poraba mesa drobnice je v letu 2019 znašala 1,83 tisoč ton. Po letu 2016, ko je domača poraba z dobrimi 2 tisoč tonami mesa pomenila porabo 1 kg mesa drobnice na prebivalca, je bila v letu 2019 0,88 kg, kar je med najnižjimi vrednostmi porabe. Poraba je za približno polovico manjša od povprečne porabe v EU.</w:t>
      </w:r>
    </w:p>
    <w:p w14:paraId="7E14DDE2" w14:textId="77777777" w:rsidR="00F679A2" w:rsidRPr="005B2A49" w:rsidRDefault="00F679A2" w:rsidP="005B2A49">
      <w:pPr>
        <w:spacing w:after="120" w:line="260" w:lineRule="atLeast"/>
        <w:rPr>
          <w:rFonts w:eastAsia="Calibri"/>
          <w:szCs w:val="20"/>
        </w:rPr>
      </w:pPr>
      <w:r w:rsidRPr="005B2A49">
        <w:rPr>
          <w:rFonts w:eastAsia="Calibri"/>
          <w:szCs w:val="20"/>
        </w:rPr>
        <w:t>Po zaustavitvi večletnega zniževanja stopnje samooskrbe z mesom drobnice v letu 2016, ko je znašala 82 %, se je stopnja samooskrbe višala in v letu 2019 znašala dobrih 93 %.</w:t>
      </w:r>
    </w:p>
    <w:p w14:paraId="01911D6B" w14:textId="77777777" w:rsidR="00F679A2" w:rsidRPr="005B2A49" w:rsidRDefault="00F679A2" w:rsidP="005B2A49">
      <w:pPr>
        <w:spacing w:after="120" w:line="260" w:lineRule="atLeast"/>
        <w:rPr>
          <w:rFonts w:eastAsia="Calibri"/>
          <w:szCs w:val="20"/>
        </w:rPr>
      </w:pPr>
      <w:r w:rsidRPr="005B2A49">
        <w:rPr>
          <w:rFonts w:eastAsia="Calibri"/>
          <w:szCs w:val="20"/>
        </w:rPr>
        <w:t xml:space="preserve">Obseg zunanje trgovine z drobnico (večinoma gre za uvoz mesa) je v primerjavi z drugimi živalskimi proizvodi skromen. V letih 2011-2016 se je povečeval (na skoraj 441 ton), nato pa ponovno upadal ter v letu 2019 znašal le še 150 ton. </w:t>
      </w:r>
    </w:p>
    <w:p w14:paraId="37223E28" w14:textId="77777777" w:rsidR="00F679A2" w:rsidRPr="005B2A49" w:rsidRDefault="00F679A2" w:rsidP="005B2A49">
      <w:pPr>
        <w:spacing w:after="120" w:line="260" w:lineRule="atLeast"/>
        <w:rPr>
          <w:rFonts w:eastAsia="Calibri"/>
          <w:szCs w:val="20"/>
        </w:rPr>
      </w:pPr>
      <w:r w:rsidRPr="005B2A49">
        <w:rPr>
          <w:rFonts w:eastAsia="Calibri"/>
          <w:szCs w:val="20"/>
        </w:rPr>
        <w:t xml:space="preserve">Cene drobnice se v Sloveniji oblikujejo precej lokalno in na njihovo gibanje razmere na evropskem trgu nimajo pomembnega vpliva. Cene na domačem trgu so se daljše obdobje v primerjavi z evropskimi gibale različno intenzivno in tudi v različnih smereh, v zadnjih petih letih pa so dokaj stabilne. V zadnjih letih se cena lahkih jagnjet v Sloveniji giblje med zgornjo tretjino in sredino držav članic EU. </w:t>
      </w:r>
    </w:p>
    <w:p w14:paraId="37B7456C" w14:textId="77777777" w:rsidR="00F679A2" w:rsidRPr="005B2A49" w:rsidRDefault="00F679A2" w:rsidP="005B2A49">
      <w:pPr>
        <w:spacing w:after="120" w:line="260" w:lineRule="atLeast"/>
        <w:rPr>
          <w:rFonts w:eastAsia="Calibri"/>
          <w:szCs w:val="20"/>
        </w:rPr>
      </w:pPr>
      <w:r w:rsidRPr="005B2A49">
        <w:rPr>
          <w:rFonts w:eastAsia="Calibri"/>
          <w:szCs w:val="20"/>
        </w:rPr>
        <w:t>Po letu 2015 (leti 2015 in 2016 sta bili sicer nadpovprečni leti) se razmere za rejo drobnice slabšajo. Koeficient ekonomičnosti reje jagnjet, ki upošteva tudi vrednosti neposrednih plačil, je že vse obdobje od leta 2009 pod 1 (od 0,785 do 0,626 v obdobju 2009-2013), v obdobju 2014-2019 pa v povprečju 0,694, in je najnižji med vsemi živinorejskimi panogami.</w:t>
      </w:r>
    </w:p>
    <w:p w14:paraId="0CEF0AB7" w14:textId="44096CB4" w:rsidR="00F679A2" w:rsidRDefault="00F679A2" w:rsidP="00F679A2">
      <w:pPr>
        <w:pStyle w:val="SCSlika0"/>
      </w:pPr>
      <w:bookmarkStart w:id="3162" w:name="_Toc89851107"/>
      <w:r>
        <w:t xml:space="preserve">Slika </w:t>
      </w:r>
      <w:r>
        <w:rPr>
          <w:noProof/>
        </w:rPr>
        <w:fldChar w:fldCharType="begin"/>
      </w:r>
      <w:r>
        <w:rPr>
          <w:noProof/>
        </w:rPr>
        <w:instrText xml:space="preserve"> SEQ Slika \* ARABIC </w:instrText>
      </w:r>
      <w:r>
        <w:rPr>
          <w:noProof/>
        </w:rPr>
        <w:fldChar w:fldCharType="separate"/>
      </w:r>
      <w:r w:rsidR="00F25435">
        <w:rPr>
          <w:noProof/>
        </w:rPr>
        <w:t>65</w:t>
      </w:r>
      <w:r>
        <w:rPr>
          <w:noProof/>
        </w:rPr>
        <w:fldChar w:fldCharType="end"/>
      </w:r>
      <w:r>
        <w:t xml:space="preserve">: </w:t>
      </w:r>
      <w:r w:rsidRPr="009D60D5">
        <w:t>Osnovni ekonomski kazalniki pri reji jagnjet (indeks; povprečje 2014–2018 = 100)</w:t>
      </w:r>
      <w:bookmarkEnd w:id="3162"/>
    </w:p>
    <w:p w14:paraId="497AD716" w14:textId="77777777" w:rsidR="00F679A2" w:rsidRPr="00A316D7" w:rsidRDefault="00F679A2" w:rsidP="00F679A2">
      <w:pPr>
        <w:spacing w:line="360" w:lineRule="auto"/>
        <w:jc w:val="center"/>
        <w:rPr>
          <w:szCs w:val="20"/>
        </w:rPr>
      </w:pPr>
      <w:r w:rsidRPr="00A316D7">
        <w:rPr>
          <w:noProof/>
          <w:szCs w:val="20"/>
          <w:lang w:eastAsia="sl-SI"/>
        </w:rPr>
        <w:drawing>
          <wp:inline distT="0" distB="0" distL="0" distR="0" wp14:anchorId="6C2C2BD4" wp14:editId="759A5395">
            <wp:extent cx="5709285" cy="2146935"/>
            <wp:effectExtent l="0" t="0" r="5715" b="5715"/>
            <wp:docPr id="24169628" name="Slika 2416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09285" cy="2146935"/>
                    </a:xfrm>
                    <a:prstGeom prst="rect">
                      <a:avLst/>
                    </a:prstGeom>
                    <a:noFill/>
                    <a:ln>
                      <a:noFill/>
                    </a:ln>
                  </pic:spPr>
                </pic:pic>
              </a:graphicData>
            </a:graphic>
          </wp:inline>
        </w:drawing>
      </w:r>
    </w:p>
    <w:p w14:paraId="089A4136" w14:textId="77777777" w:rsidR="00F679A2" w:rsidRPr="00A316D7" w:rsidRDefault="00F679A2" w:rsidP="00F679A2">
      <w:pPr>
        <w:widowControl w:val="0"/>
        <w:spacing w:line="360" w:lineRule="auto"/>
        <w:ind w:left="170" w:hanging="170"/>
        <w:rPr>
          <w:szCs w:val="20"/>
        </w:rPr>
      </w:pPr>
      <w:r w:rsidRPr="005718B1">
        <w:rPr>
          <w:sz w:val="16"/>
          <w:szCs w:val="16"/>
        </w:rPr>
        <w:t>Vir: Modelne kalkulacije KIS</w:t>
      </w:r>
      <w:r>
        <w:rPr>
          <w:sz w:val="16"/>
          <w:szCs w:val="16"/>
        </w:rPr>
        <w:t xml:space="preserve"> (ZP-2019)</w:t>
      </w:r>
    </w:p>
    <w:p w14:paraId="20C45C68" w14:textId="77777777" w:rsidR="00F679A2" w:rsidRPr="005B2A49" w:rsidRDefault="00F679A2" w:rsidP="005B2A49">
      <w:pPr>
        <w:spacing w:after="120" w:line="260" w:lineRule="atLeast"/>
        <w:rPr>
          <w:rFonts w:eastAsia="Calibri"/>
          <w:szCs w:val="20"/>
        </w:rPr>
      </w:pPr>
      <w:r w:rsidRPr="005B2A49">
        <w:rPr>
          <w:rFonts w:eastAsia="Calibri"/>
          <w:szCs w:val="20"/>
        </w:rPr>
        <w:t xml:space="preserve">Reja drobnice je ena do okolja najbolj prijaznih oblik živinoreje. Večina rej se nahaja v območjih z omejenimi možnostmi za kmetijsko dejavnost in pomembno delujejo proti zaraščanju kmetijskih površin tudi zaradi nadomeščanja govedoreje, kjer se v teh območjih opušča. Zaradi načina prehranjevalnih vzorcev drobnica pomaga ohranjati biotsko raznovrstnost rastlinskih ekosistemov, vzreja avtohtonih in tradicionalnih pasem pa živalske ekosisteme, kar varuje okolje in ohranja kulturno krajino. </w:t>
      </w:r>
    </w:p>
    <w:p w14:paraId="2819C691" w14:textId="77777777" w:rsidR="00F679A2" w:rsidRPr="005B2A49" w:rsidRDefault="00F679A2" w:rsidP="005B2A49">
      <w:pPr>
        <w:spacing w:after="120" w:line="260" w:lineRule="atLeast"/>
        <w:rPr>
          <w:rFonts w:eastAsia="Calibri"/>
          <w:szCs w:val="20"/>
        </w:rPr>
      </w:pPr>
      <w:r w:rsidRPr="005B2A49">
        <w:rPr>
          <w:rFonts w:eastAsia="Calibri"/>
          <w:szCs w:val="20"/>
        </w:rPr>
        <w:t>V okviru neposrednih plačil SKP 2014-2020, so rejci drobnice, preko kmetijskih zemljišč, upravičeni do: osnovne sheme (plačilnih pravic), zelene komponente, sheme za mlade kmete in plačila za območja z naravnimi omejitvami (PONO).</w:t>
      </w:r>
    </w:p>
    <w:p w14:paraId="7FE378C5" w14:textId="77777777" w:rsidR="00F679A2" w:rsidRPr="005B2A49" w:rsidRDefault="00F679A2" w:rsidP="005B2A49">
      <w:pPr>
        <w:spacing w:after="120" w:line="260" w:lineRule="atLeast"/>
        <w:rPr>
          <w:rFonts w:eastAsia="Calibri"/>
          <w:szCs w:val="20"/>
        </w:rPr>
      </w:pPr>
      <w:r w:rsidRPr="005B2A49">
        <w:rPr>
          <w:rFonts w:eastAsia="Calibri"/>
          <w:szCs w:val="20"/>
        </w:rPr>
        <w:t>V letu 2019 so KMG-ji z drobnico prejeli 13 milijonov evrov od 134 milijonov evrov neposrednih plačil. Povprečna vrednost plačilnih pravic za KMG-je z drobnico je v letu 2019 znašala 140 evrov, kar je pod povprečjem, ki znaša 160 evrov. 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549D2470" w14:textId="77777777" w:rsidR="00F679A2" w:rsidRPr="005B2A49" w:rsidRDefault="00F679A2" w:rsidP="005B2A49">
      <w:pPr>
        <w:spacing w:after="120" w:line="260" w:lineRule="atLeast"/>
        <w:rPr>
          <w:rFonts w:eastAsia="Calibri"/>
          <w:szCs w:val="20"/>
        </w:rPr>
      </w:pPr>
      <w:r w:rsidRPr="005B2A49">
        <w:rPr>
          <w:rFonts w:eastAsia="Calibri"/>
          <w:szCs w:val="20"/>
        </w:rPr>
        <w:t>Na področju dobrobiti drobnice se stanje izboljšuje, ukrep dobrobit živali za drobnico se izvaja od leta 2017, do zdaj je bilo vključenih 722 KMG. V letu 2019 je bilo v ukrepu 27 % vseh GVŽ drobnice. Izvajanje ukrepa dobrobiti živali je potrebno ohraniti in krepiti še naprej, težave so pri pridobivanju dodatnih zemljišč za povečanje proizvodnje, potrebna so velika vlaganja v posodobitev in novogradnje objektov in opreme, sektor zaostaja v digitalizaciji, pri promociji, razvoju nišnih in novih proizvodov, starostna struktura rejcev je slaba.</w:t>
      </w:r>
    </w:p>
    <w:p w14:paraId="2B8BB4B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Sloveniji delujeta na področju reje drobnice javna služba strokovnih nalog v živinoreji in javna služba nalog genske banke v živinoreji. V javno službo strokovnih nalog na področju reje drobnice so vključene naslednje pasme ovc in koz: jezersko solčavska pasma, belokranjska pramenka, istrska pramenka, oplemenjena jezersko solčavska pasma, bovška ovca, drežniška koza, burska pasma koz, slovenska srnasta pasma koz in slovenska sanska pasma koz. Javna služba skrbi za izboljševanje proizvodnih in neproizvodnih lastnosti čistopasemskih plemenskih živali, izboljševanje oziroma ohranjanje genetskega napredka, zagotavljanje zadostnega števila plemenskega materiala, povečevanje števila plemenskih živali, ki so vpisane v rodovniške knjige in registre ter doseganje boljše kakovosti proizvodov pri reji ovc in koz. </w:t>
      </w:r>
      <w:r w:rsidRPr="00F679A2">
        <w:rPr>
          <w:rFonts w:eastAsia="Calibri"/>
          <w:szCs w:val="20"/>
        </w:rPr>
        <w:t>V letu 2019 je bilo v kontrolo mlečnosti vključenih 4.990 ovc v 35 tropih in 2.399 koz v 39 tropih.</w:t>
      </w:r>
      <w:r w:rsidRPr="005B2A49">
        <w:rPr>
          <w:rFonts w:eastAsia="Calibri"/>
          <w:szCs w:val="20"/>
        </w:rPr>
        <w:t xml:space="preserve"> V kontrolo porekla in proizvodnje je bilo leta 2019 vključenih 10.281 ovc mesnih pasem v 195 tropih in 1.685 koz mesnih pasem v 76 tropih.</w:t>
      </w:r>
    </w:p>
    <w:p w14:paraId="29A12DD2"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varujejo/ohranjajo štiri avtohtone pasme ovc in ena avtohtona pasma koz ter dve tradicionalni pasmi ovc in dve tradicionalni pasmi koz. V letu 2019 se je Register pasem z zootehniško oceno vodil za šest pasem ovc: jezersko solčavska, bovška, belokranjska pramenka, istrska pramenka, oplemenjena jezersko solčavska in oplemenjena bovška ter štiri pasme koz: drežniška, slovenska sanska, slovenska srnasta ter burska pasma. Javna služba opravlja naloge na področjih spremljanja stanja in karakterizacije pasem, mehanizmih trajnostne rabe in razvoja, oblik ohranjanja živalskih genskih virov ter politik upravljanja živalskih genskih virov.</w:t>
      </w:r>
    </w:p>
    <w:p w14:paraId="27679A7F" w14:textId="77777777" w:rsidR="00F679A2" w:rsidRPr="005B2A49" w:rsidRDefault="00F679A2" w:rsidP="005B2A49">
      <w:pPr>
        <w:spacing w:after="120" w:line="260" w:lineRule="atLeast"/>
        <w:rPr>
          <w:rFonts w:eastAsia="Calibri"/>
          <w:szCs w:val="20"/>
        </w:rPr>
      </w:pPr>
      <w:r w:rsidRPr="005B2A49">
        <w:rPr>
          <w:rFonts w:eastAsia="Calibri"/>
          <w:szCs w:val="20"/>
        </w:rPr>
        <w:t>Rejcem drobnice je svetovanje zagotovljeno preko javne službe kmetijskega svetovanja, ki na primer svetuje na področju tehnologije reje in paše, dobrobiti živali, sestave krmnega obroka, rabe in skladiščenja gnojil, pri gradnji objektov, aktivnosti povezane z reševanjem problematike zveri in drugih tehnoloških vprašanjih.</w:t>
      </w:r>
    </w:p>
    <w:p w14:paraId="4C9EBF5F" w14:textId="3534518E" w:rsidR="00F679A2" w:rsidRDefault="00F679A2" w:rsidP="005B2A49">
      <w:pPr>
        <w:spacing w:after="120" w:line="260" w:lineRule="atLeast"/>
        <w:rPr>
          <w:rFonts w:eastAsia="Calibri"/>
          <w:szCs w:val="20"/>
        </w:rPr>
      </w:pPr>
      <w:r w:rsidRPr="005B2A49">
        <w:rPr>
          <w:rFonts w:eastAsia="Calibri"/>
          <w:szCs w:val="20"/>
        </w:rPr>
        <w:t>V obdobju od leta 2014 sta se na področju reje drobnice izvajala ciljni raziskovalni program, ki je bil usmerjen v ekološko in konvencionalno rejo koz za proizvodnjo mleka ter EIP projekt o reji različnih pasem drobnice za meso in izdelke vrhunske kakovosti.</w:t>
      </w:r>
    </w:p>
    <w:p w14:paraId="33297D44" w14:textId="77777777" w:rsidR="00A1286B" w:rsidRPr="005B2A49" w:rsidRDefault="00A1286B" w:rsidP="005B2A49">
      <w:pPr>
        <w:spacing w:after="120" w:line="260" w:lineRule="atLeast"/>
        <w:rPr>
          <w:rFonts w:eastAsia="Calibri"/>
          <w:szCs w:val="20"/>
        </w:rPr>
      </w:pPr>
    </w:p>
    <w:p w14:paraId="01207310" w14:textId="77777777" w:rsidR="00F679A2" w:rsidRDefault="00F679A2" w:rsidP="00F679A2">
      <w:pPr>
        <w:pStyle w:val="Naslov3"/>
        <w:rPr>
          <w:rFonts w:eastAsia="Calibri"/>
        </w:rPr>
      </w:pPr>
      <w:bookmarkStart w:id="3163" w:name="_Toc90462258"/>
      <w:r w:rsidRPr="0022702B">
        <w:rPr>
          <w:rFonts w:eastAsia="Calibri"/>
        </w:rPr>
        <w:t>Ključne ugotovitve</w:t>
      </w:r>
      <w:bookmarkEnd w:id="3163"/>
    </w:p>
    <w:p w14:paraId="54EACE3B" w14:textId="77777777" w:rsidR="00F679A2" w:rsidRPr="0022702B" w:rsidRDefault="00F679A2" w:rsidP="00F679A2">
      <w:pPr>
        <w:rPr>
          <w:rFonts w:eastAsia="Calibri"/>
        </w:rPr>
      </w:pPr>
    </w:p>
    <w:p w14:paraId="4EF687B9" w14:textId="77777777" w:rsidR="00F679A2" w:rsidRDefault="00F679A2" w:rsidP="005B2A49">
      <w:pPr>
        <w:numPr>
          <w:ilvl w:val="0"/>
          <w:numId w:val="185"/>
        </w:numPr>
        <w:spacing w:after="120" w:line="260" w:lineRule="atLeast"/>
        <w:ind w:left="357" w:hanging="357"/>
        <w:rPr>
          <w:szCs w:val="20"/>
        </w:rPr>
      </w:pPr>
      <w:r w:rsidRPr="00585BC8">
        <w:rPr>
          <w:szCs w:val="20"/>
        </w:rPr>
        <w:t xml:space="preserve">Število </w:t>
      </w:r>
      <w:r>
        <w:rPr>
          <w:szCs w:val="20"/>
        </w:rPr>
        <w:t xml:space="preserve">drobnice </w:t>
      </w:r>
      <w:r w:rsidRPr="00585BC8">
        <w:rPr>
          <w:szCs w:val="20"/>
        </w:rPr>
        <w:t xml:space="preserve">v Sloveniji </w:t>
      </w:r>
      <w:r>
        <w:rPr>
          <w:szCs w:val="20"/>
        </w:rPr>
        <w:t>je med letoma 2009 in 2013 upadalo, v letih 2018-2019 pa se je ustalilo na okoli 135 tisoč. Glede na razpoložljive podatke se je tudi p</w:t>
      </w:r>
      <w:r w:rsidRPr="00585BC8">
        <w:rPr>
          <w:szCs w:val="20"/>
        </w:rPr>
        <w:t xml:space="preserve">rirast </w:t>
      </w:r>
      <w:r>
        <w:rPr>
          <w:szCs w:val="20"/>
        </w:rPr>
        <w:t>v</w:t>
      </w:r>
      <w:r w:rsidRPr="00585BC8">
        <w:rPr>
          <w:szCs w:val="20"/>
        </w:rPr>
        <w:t xml:space="preserve"> zadnjih šestih letih ustalil in znaša okoli 3</w:t>
      </w:r>
      <w:r>
        <w:rPr>
          <w:szCs w:val="20"/>
        </w:rPr>
        <w:t>,4</w:t>
      </w:r>
      <w:r w:rsidRPr="00585BC8">
        <w:rPr>
          <w:szCs w:val="20"/>
        </w:rPr>
        <w:t xml:space="preserve"> tisoč ton.</w:t>
      </w:r>
      <w:r>
        <w:rPr>
          <w:szCs w:val="20"/>
        </w:rPr>
        <w:t xml:space="preserve"> Za kmetijska gospodarstva je značilna </w:t>
      </w:r>
      <w:r w:rsidRPr="00B5388F">
        <w:rPr>
          <w:szCs w:val="20"/>
        </w:rPr>
        <w:t>nizka obtežba kmetijskih gospodarstev z drobnico, majhne črede na kmetijskih gospodarstvih</w:t>
      </w:r>
      <w:r>
        <w:rPr>
          <w:szCs w:val="20"/>
        </w:rPr>
        <w:t xml:space="preserve"> (70 % gospodarstev z drobnico redi manj kot 2 GVŽ drobnice)</w:t>
      </w:r>
      <w:r w:rsidRPr="00B5388F">
        <w:rPr>
          <w:szCs w:val="20"/>
        </w:rPr>
        <w:t xml:space="preserve">, </w:t>
      </w:r>
      <w:r>
        <w:rPr>
          <w:szCs w:val="20"/>
        </w:rPr>
        <w:t xml:space="preserve">reje so </w:t>
      </w:r>
      <w:r w:rsidRPr="00B5388F">
        <w:rPr>
          <w:szCs w:val="20"/>
        </w:rPr>
        <w:t>večinoma tradicionaln</w:t>
      </w:r>
      <w:r>
        <w:rPr>
          <w:szCs w:val="20"/>
        </w:rPr>
        <w:t xml:space="preserve">e, večina avtohtonih pasem ima stopnjo kritične ogroženosti.  </w:t>
      </w:r>
    </w:p>
    <w:p w14:paraId="62C1A4CA" w14:textId="77777777" w:rsidR="00F679A2" w:rsidRPr="00585BC8" w:rsidRDefault="00F679A2" w:rsidP="005B2A49">
      <w:pPr>
        <w:numPr>
          <w:ilvl w:val="0"/>
          <w:numId w:val="185"/>
        </w:numPr>
        <w:spacing w:after="120" w:line="260" w:lineRule="atLeast"/>
        <w:ind w:left="357" w:hanging="357"/>
        <w:rPr>
          <w:szCs w:val="20"/>
        </w:rPr>
      </w:pPr>
      <w:r w:rsidRPr="002B53FE">
        <w:rPr>
          <w:szCs w:val="20"/>
        </w:rPr>
        <w:t>Prireja</w:t>
      </w:r>
      <w:r w:rsidRPr="00585BC8">
        <w:rPr>
          <w:szCs w:val="20"/>
        </w:rPr>
        <w:t xml:space="preserve"> </w:t>
      </w:r>
      <w:r>
        <w:rPr>
          <w:szCs w:val="20"/>
        </w:rPr>
        <w:t xml:space="preserve">mesa drobnice </w:t>
      </w:r>
      <w:r w:rsidRPr="00585BC8">
        <w:rPr>
          <w:szCs w:val="20"/>
        </w:rPr>
        <w:t>je n</w:t>
      </w:r>
      <w:r>
        <w:rPr>
          <w:szCs w:val="20"/>
        </w:rPr>
        <w:t>izkoek</w:t>
      </w:r>
      <w:r w:rsidRPr="00585BC8">
        <w:rPr>
          <w:szCs w:val="20"/>
        </w:rPr>
        <w:t>o</w:t>
      </w:r>
      <w:r>
        <w:rPr>
          <w:szCs w:val="20"/>
        </w:rPr>
        <w:t>no</w:t>
      </w:r>
      <w:r w:rsidRPr="00585BC8">
        <w:rPr>
          <w:szCs w:val="20"/>
        </w:rPr>
        <w:t xml:space="preserve">mična, </w:t>
      </w:r>
      <w:r>
        <w:rPr>
          <w:szCs w:val="20"/>
        </w:rPr>
        <w:t>zato ne privablja mladih kmetov, starostna struktura rejcev j</w:t>
      </w:r>
      <w:r w:rsidRPr="002B53FE">
        <w:rPr>
          <w:szCs w:val="20"/>
        </w:rPr>
        <w:t>e</w:t>
      </w:r>
      <w:r>
        <w:rPr>
          <w:szCs w:val="20"/>
        </w:rPr>
        <w:t xml:space="preserve"> slaba. </w:t>
      </w:r>
    </w:p>
    <w:p w14:paraId="39DBB865" w14:textId="77777777" w:rsidR="00F679A2" w:rsidRDefault="00F679A2" w:rsidP="005B2A49">
      <w:pPr>
        <w:numPr>
          <w:ilvl w:val="0"/>
          <w:numId w:val="185"/>
        </w:numPr>
        <w:spacing w:after="120" w:line="260" w:lineRule="atLeast"/>
        <w:ind w:left="357" w:hanging="357"/>
        <w:rPr>
          <w:szCs w:val="20"/>
        </w:rPr>
      </w:pPr>
      <w:r w:rsidRPr="00B5388F">
        <w:rPr>
          <w:szCs w:val="20"/>
        </w:rPr>
        <w:t xml:space="preserve">Panoga ima v Sloveniji </w:t>
      </w:r>
      <w:r>
        <w:rPr>
          <w:szCs w:val="20"/>
        </w:rPr>
        <w:t>velik tržni potencial</w:t>
      </w:r>
      <w:r w:rsidRPr="00B5388F">
        <w:rPr>
          <w:szCs w:val="20"/>
        </w:rPr>
        <w:t xml:space="preserve">, saj je poraba mesa na prebivalca le 0,88 kg in polovico manjša od povprečja v EU. </w:t>
      </w:r>
    </w:p>
    <w:p w14:paraId="3D3DBA75" w14:textId="77777777" w:rsidR="00F679A2" w:rsidRPr="00B5388F" w:rsidRDefault="00F679A2" w:rsidP="005B2A49">
      <w:pPr>
        <w:numPr>
          <w:ilvl w:val="0"/>
          <w:numId w:val="185"/>
        </w:numPr>
        <w:spacing w:after="120" w:line="260" w:lineRule="atLeast"/>
        <w:ind w:left="357" w:hanging="357"/>
        <w:rPr>
          <w:szCs w:val="20"/>
        </w:rPr>
      </w:pPr>
      <w:r>
        <w:rPr>
          <w:szCs w:val="20"/>
        </w:rPr>
        <w:t>Reja drobnice omogoča dohodek na kmetijah v OMD, kjer se lahko pase tudi na za druge vrste domačih živali nedostopnih površinah ter preprečuje zaraščanje površin, pozitivno deluje na biotsko raznovrstnost rastlin in živali ter ohranja kulturno krajino.</w:t>
      </w:r>
    </w:p>
    <w:p w14:paraId="0426E416" w14:textId="740E734C" w:rsidR="00F679A2" w:rsidRDefault="00F679A2" w:rsidP="005B2A49">
      <w:pPr>
        <w:numPr>
          <w:ilvl w:val="0"/>
          <w:numId w:val="185"/>
        </w:numPr>
        <w:spacing w:after="120" w:line="260" w:lineRule="atLeast"/>
        <w:ind w:left="357" w:hanging="357"/>
        <w:rPr>
          <w:szCs w:val="20"/>
        </w:rPr>
      </w:pPr>
      <w:r>
        <w:rPr>
          <w:szCs w:val="20"/>
        </w:rPr>
        <w:t>Del r</w:t>
      </w:r>
      <w:r w:rsidRPr="00585BC8">
        <w:rPr>
          <w:szCs w:val="20"/>
        </w:rPr>
        <w:t>ejc</w:t>
      </w:r>
      <w:r>
        <w:rPr>
          <w:szCs w:val="20"/>
        </w:rPr>
        <w:t>ev je v zadnjih letih organiziran v skupini proizvajalcev za prirejo mesa, večina pa ni organizirana.</w:t>
      </w:r>
    </w:p>
    <w:p w14:paraId="696A1934" w14:textId="77777777" w:rsidR="00C25531" w:rsidRPr="002D4B01" w:rsidRDefault="00C25531" w:rsidP="005B2A49">
      <w:pPr>
        <w:spacing w:after="120" w:line="260" w:lineRule="atLeast"/>
        <w:ind w:left="357"/>
        <w:rPr>
          <w:szCs w:val="20"/>
        </w:rPr>
      </w:pPr>
    </w:p>
    <w:p w14:paraId="6308E1B4" w14:textId="77777777" w:rsidR="00F679A2" w:rsidRPr="0022702B" w:rsidRDefault="00F679A2" w:rsidP="00F679A2">
      <w:pPr>
        <w:pStyle w:val="Naslov2"/>
      </w:pPr>
      <w:bookmarkStart w:id="3164" w:name="_Toc90462259"/>
      <w:r w:rsidRPr="0022702B">
        <w:t>Čebelarstvo</w:t>
      </w:r>
      <w:bookmarkEnd w:id="3164"/>
    </w:p>
    <w:p w14:paraId="66C79BB1" w14:textId="77777777" w:rsidR="00F679A2" w:rsidRPr="005B2A49" w:rsidRDefault="00F679A2" w:rsidP="005B2A49">
      <w:pPr>
        <w:spacing w:after="120" w:line="260" w:lineRule="atLeast"/>
        <w:rPr>
          <w:rFonts w:eastAsia="Calibri"/>
          <w:szCs w:val="20"/>
        </w:rPr>
      </w:pPr>
      <w:r w:rsidRPr="005B2A49">
        <w:rPr>
          <w:rFonts w:eastAsia="Calibri"/>
          <w:szCs w:val="20"/>
        </w:rPr>
        <w:t>Čebelarstvo je tako v Sloveniji kot v tujini izjemno pomembno zaradi opraševanja</w:t>
      </w:r>
      <w:r w:rsidRPr="005B2A49" w:rsidDel="36B3072D">
        <w:rPr>
          <w:rFonts w:eastAsia="Calibri"/>
          <w:szCs w:val="20"/>
        </w:rPr>
        <w:t xml:space="preserve"> </w:t>
      </w:r>
      <w:r w:rsidRPr="005B2A49">
        <w:rPr>
          <w:rFonts w:eastAsia="Calibri"/>
          <w:szCs w:val="20"/>
        </w:rPr>
        <w:t xml:space="preserve">kmetijskih rastlin in vloge čebel v naravnih ekosistemih, v Sloveniji pa še zaradi posebnosti, kot so kranjska čebela, tradicionalni AŽ (Albert Žnideršič) panji, edinstvene panjske končnice ter kakovostni čebelji proizvodi. </w:t>
      </w:r>
    </w:p>
    <w:p w14:paraId="12ACC552" w14:textId="11C1CF40" w:rsidR="00F679A2" w:rsidRDefault="00F679A2" w:rsidP="005B2A49">
      <w:pPr>
        <w:spacing w:after="120" w:line="260" w:lineRule="atLeast"/>
        <w:rPr>
          <w:rFonts w:eastAsia="Calibri"/>
          <w:szCs w:val="20"/>
        </w:rPr>
      </w:pPr>
      <w:r w:rsidRPr="005B2A49">
        <w:rPr>
          <w:rFonts w:eastAsia="Calibri"/>
          <w:szCs w:val="20"/>
        </w:rPr>
        <w:t>V Sloveniji ima kranjska čebela poseben status zaščitene vrste, zato so ukrepi kmetijske politike prvenstveno namenjeni predvsem k ohranitvi pasemske čistosti kranjske čebele ter enakomerni in zadostni poseljenosti čebeljih družin po Sloveniji.</w:t>
      </w:r>
    </w:p>
    <w:p w14:paraId="53389614" w14:textId="77777777" w:rsidR="00C25531" w:rsidRPr="005B2A49" w:rsidRDefault="00C25531" w:rsidP="005B2A49">
      <w:pPr>
        <w:spacing w:after="120" w:line="260" w:lineRule="atLeast"/>
        <w:rPr>
          <w:rFonts w:eastAsia="Calibri"/>
          <w:szCs w:val="20"/>
        </w:rPr>
      </w:pPr>
    </w:p>
    <w:p w14:paraId="091AA379" w14:textId="77777777" w:rsidR="00F679A2" w:rsidRDefault="00F679A2" w:rsidP="00F679A2">
      <w:pPr>
        <w:pStyle w:val="Naslov3"/>
        <w:rPr>
          <w:rFonts w:eastAsia="Calibri"/>
        </w:rPr>
      </w:pPr>
      <w:bookmarkStart w:id="3165" w:name="_Toc90462260"/>
      <w:r w:rsidRPr="00271FF1">
        <w:rPr>
          <w:rFonts w:eastAsia="Calibri"/>
        </w:rPr>
        <w:t>Stanje in osnovni ekonomski kazalniki</w:t>
      </w:r>
      <w:bookmarkEnd w:id="3165"/>
    </w:p>
    <w:p w14:paraId="77498352" w14:textId="77777777" w:rsidR="00F679A2" w:rsidRPr="005B2A49" w:rsidRDefault="00F679A2" w:rsidP="005B2A49">
      <w:pPr>
        <w:spacing w:after="120" w:line="260" w:lineRule="atLeast"/>
        <w:rPr>
          <w:rFonts w:eastAsia="Calibri"/>
          <w:szCs w:val="20"/>
        </w:rPr>
      </w:pPr>
      <w:r w:rsidRPr="005B2A49">
        <w:rPr>
          <w:rFonts w:eastAsia="Calibri"/>
          <w:szCs w:val="20"/>
        </w:rPr>
        <w:t>Po podatkih centralnega registra čebelnjakov je bilo oktobra 2019 v Sloveniji 11.066 čebelarjev, ki so čebelarili z 208.260 čebeljimi družinami. Število čebeljih družin v Sloveniji raste od leta 2014 v povprečju za 7 % letno, v zadnjih desetih letih se je povečalo za 46 %. Na nekaterih območjih Slovenije je zelo velika gostota čebeljih družin, saj smo z gostoto 6,9 čebelje družine/km² v evropskem vrhu. Velika gostota čebeljih družin na določenih območjih lahko vodi predvsem do povečanega pojava bolezni in pomanjkanja pašnih virov.</w:t>
      </w:r>
    </w:p>
    <w:p w14:paraId="5A3FCC4F" w14:textId="4821602E" w:rsidR="00F679A2" w:rsidRPr="005B2A49" w:rsidRDefault="00F679A2" w:rsidP="005B2A49">
      <w:pPr>
        <w:spacing w:after="120" w:line="260" w:lineRule="atLeast"/>
        <w:rPr>
          <w:rFonts w:eastAsia="Calibri"/>
          <w:szCs w:val="20"/>
        </w:rPr>
      </w:pPr>
      <w:r w:rsidRPr="005B2A49">
        <w:rPr>
          <w:rFonts w:eastAsia="Calibri"/>
          <w:szCs w:val="20"/>
        </w:rPr>
        <w:t xml:space="preserve">Prevladujoči so manjši čebelarji, ki se s čebelarstvom ukvarjajo ljubiteljsko in svoje čebelje pridelke prodajo neposredno na domu, kjer dosegajo višje cene. V letu 2019 so imeli čebelarji v povprečju 18,8 čebeljih družin. Prevladujoči način čebelarjenja je v AŽ-panjih, kjer je naseljenih </w:t>
      </w:r>
      <w:r w:rsidR="00B56C8D">
        <w:rPr>
          <w:rFonts w:eastAsia="Calibri"/>
          <w:szCs w:val="20"/>
        </w:rPr>
        <w:t>približno</w:t>
      </w:r>
      <w:r w:rsidRPr="005B2A49">
        <w:rPr>
          <w:rFonts w:eastAsia="Calibri"/>
          <w:szCs w:val="20"/>
        </w:rPr>
        <w:t xml:space="preserve"> 9</w:t>
      </w:r>
      <w:r w:rsidR="00B56C8D">
        <w:rPr>
          <w:rFonts w:eastAsia="Calibri"/>
          <w:szCs w:val="20"/>
        </w:rPr>
        <w:t>0</w:t>
      </w:r>
      <w:r w:rsidRPr="005B2A49">
        <w:rPr>
          <w:rFonts w:eastAsia="Calibri"/>
          <w:szCs w:val="20"/>
        </w:rPr>
        <w:t xml:space="preserve"> % čebeljih družin. </w:t>
      </w:r>
    </w:p>
    <w:p w14:paraId="5C8DE5B6"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podatkih Statističnega urada je bil leta 2019 pridelek medu v Sloveniji le 653 ton. Pridelek niha med leti zaradi vremenskih razmer, leta 2001 je bil rekordnih 2.550 ton, leta 2014, pa ga je bilo le 471 ton. </w:t>
      </w:r>
    </w:p>
    <w:p w14:paraId="4AB2705A"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Največja grožnja čebeljim družinam je še zmeraj varoja, ki prenaša še druge povzročitelje, in sicer viruse. Pri zdravstvenem varstvu čebel ugotavljamo, da v Sloveniji ni dovolj učinkovitih zdravil za zdravljenje varoze. </w:t>
      </w:r>
    </w:p>
    <w:p w14:paraId="3A8D027D" w14:textId="77777777" w:rsidR="00F679A2" w:rsidRPr="005B2A49" w:rsidRDefault="00F679A2" w:rsidP="005B2A49">
      <w:pPr>
        <w:spacing w:after="120" w:line="260" w:lineRule="atLeast"/>
        <w:rPr>
          <w:rFonts w:eastAsia="Calibri"/>
          <w:szCs w:val="20"/>
        </w:rPr>
      </w:pPr>
      <w:r w:rsidRPr="005B2A49">
        <w:rPr>
          <w:rFonts w:eastAsia="Calibri"/>
          <w:szCs w:val="20"/>
        </w:rPr>
        <w:t>Razvija se ekološko čebelarstvo, v letu 2018 je 65 čebelarjev pridelalo 44 ton ekološkega medu, v letu 2019 pa 42 ton. V letih od 2011 do 2019 je bilo v Sloveniji v ekološko čebelarstvo vključenih med 1.400 in 3.245 čebeljih družin.</w:t>
      </w:r>
    </w:p>
    <w:p w14:paraId="4EA54E6D" w14:textId="163DDAEE" w:rsidR="00F679A2" w:rsidRDefault="00F679A2" w:rsidP="00F679A2">
      <w:pPr>
        <w:pStyle w:val="SCPreglednica"/>
      </w:pPr>
      <w:bookmarkStart w:id="3166" w:name="_Toc89861014"/>
      <w:r>
        <w:t xml:space="preserve">Tabela </w:t>
      </w:r>
      <w:r>
        <w:rPr>
          <w:noProof/>
        </w:rPr>
        <w:fldChar w:fldCharType="begin"/>
      </w:r>
      <w:r>
        <w:rPr>
          <w:noProof/>
        </w:rPr>
        <w:instrText xml:space="preserve"> SEQ Tabela \* ARABIC </w:instrText>
      </w:r>
      <w:r>
        <w:rPr>
          <w:noProof/>
        </w:rPr>
        <w:fldChar w:fldCharType="separate"/>
      </w:r>
      <w:r w:rsidR="002E0D2A">
        <w:rPr>
          <w:noProof/>
        </w:rPr>
        <w:t>22</w:t>
      </w:r>
      <w:r>
        <w:rPr>
          <w:noProof/>
        </w:rPr>
        <w:fldChar w:fldCharType="end"/>
      </w:r>
      <w:r>
        <w:t xml:space="preserve">: </w:t>
      </w:r>
      <w:r w:rsidRPr="00C4167C">
        <w:t>Število čebelarjev, čebelnjakov in čebeljih družin ter količina pridelanega medu</w:t>
      </w:r>
      <w:bookmarkEnd w:id="3166"/>
    </w:p>
    <w:tbl>
      <w:tblPr>
        <w:tblW w:w="4959" w:type="pct"/>
        <w:tblLayout w:type="fixed"/>
        <w:tblCellMar>
          <w:left w:w="70" w:type="dxa"/>
          <w:right w:w="70" w:type="dxa"/>
        </w:tblCellMar>
        <w:tblLook w:val="04A0" w:firstRow="1" w:lastRow="0" w:firstColumn="1" w:lastColumn="0" w:noHBand="0" w:noVBand="1"/>
      </w:tblPr>
      <w:tblGrid>
        <w:gridCol w:w="1089"/>
        <w:gridCol w:w="659"/>
        <w:gridCol w:w="659"/>
        <w:gridCol w:w="658"/>
        <w:gridCol w:w="658"/>
        <w:gridCol w:w="658"/>
        <w:gridCol w:w="658"/>
        <w:gridCol w:w="658"/>
        <w:gridCol w:w="658"/>
        <w:gridCol w:w="658"/>
        <w:gridCol w:w="658"/>
        <w:gridCol w:w="658"/>
        <w:gridCol w:w="659"/>
      </w:tblGrid>
      <w:tr w:rsidR="00F679A2" w:rsidRPr="00673630" w14:paraId="437055E0" w14:textId="77777777" w:rsidTr="00B97309">
        <w:trPr>
          <w:trHeight w:val="332"/>
        </w:trPr>
        <w:tc>
          <w:tcPr>
            <w:tcW w:w="108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36BE7D58" w14:textId="77777777" w:rsidR="00F679A2" w:rsidRPr="00D64438" w:rsidRDefault="00F679A2" w:rsidP="00B97309">
            <w:pPr>
              <w:spacing w:line="360" w:lineRule="auto"/>
              <w:rPr>
                <w:b/>
                <w:bCs/>
                <w:sz w:val="16"/>
                <w:szCs w:val="16"/>
              </w:rPr>
            </w:pPr>
            <w:r w:rsidRPr="00D64438">
              <w:rPr>
                <w:b/>
                <w:bCs/>
                <w:sz w:val="16"/>
                <w:szCs w:val="16"/>
              </w:rPr>
              <w:t>Leto</w:t>
            </w:r>
          </w:p>
        </w:tc>
        <w:tc>
          <w:tcPr>
            <w:tcW w:w="659" w:type="dxa"/>
            <w:tcBorders>
              <w:top w:val="single" w:sz="12" w:space="0" w:color="76923C"/>
              <w:left w:val="single" w:sz="4" w:space="0" w:color="auto"/>
              <w:bottom w:val="single" w:sz="4" w:space="0" w:color="auto"/>
              <w:right w:val="single" w:sz="4" w:space="0" w:color="auto"/>
            </w:tcBorders>
            <w:vAlign w:val="center"/>
          </w:tcPr>
          <w:p w14:paraId="44DB7954" w14:textId="77777777" w:rsidR="00F679A2" w:rsidRPr="00D64438" w:rsidRDefault="00F679A2" w:rsidP="00B97309">
            <w:pPr>
              <w:spacing w:line="360" w:lineRule="auto"/>
              <w:rPr>
                <w:b/>
                <w:bCs/>
                <w:sz w:val="16"/>
                <w:szCs w:val="16"/>
              </w:rPr>
            </w:pPr>
            <w:r w:rsidRPr="00D64438">
              <w:rPr>
                <w:b/>
                <w:bCs/>
                <w:sz w:val="16"/>
                <w:szCs w:val="16"/>
              </w:rPr>
              <w:t>2008</w:t>
            </w:r>
          </w:p>
        </w:tc>
        <w:tc>
          <w:tcPr>
            <w:tcW w:w="65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32CA559F" w14:textId="77777777" w:rsidR="00F679A2" w:rsidRPr="00D64438" w:rsidRDefault="00F679A2" w:rsidP="00B97309">
            <w:pPr>
              <w:spacing w:line="360" w:lineRule="auto"/>
              <w:rPr>
                <w:b/>
                <w:bCs/>
                <w:sz w:val="16"/>
                <w:szCs w:val="16"/>
              </w:rPr>
            </w:pPr>
            <w:r w:rsidRPr="00D64438">
              <w:rPr>
                <w:b/>
                <w:bCs/>
                <w:sz w:val="16"/>
                <w:szCs w:val="16"/>
              </w:rPr>
              <w:t>2009</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74380E4" w14:textId="77777777" w:rsidR="00F679A2" w:rsidRPr="00D64438" w:rsidRDefault="00F679A2" w:rsidP="00B97309">
            <w:pPr>
              <w:spacing w:line="360" w:lineRule="auto"/>
              <w:rPr>
                <w:b/>
                <w:bCs/>
                <w:sz w:val="16"/>
                <w:szCs w:val="16"/>
              </w:rPr>
            </w:pPr>
            <w:r w:rsidRPr="00D64438">
              <w:rPr>
                <w:b/>
                <w:bCs/>
                <w:sz w:val="16"/>
                <w:szCs w:val="16"/>
              </w:rPr>
              <w:t>2010</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3B47349" w14:textId="77777777" w:rsidR="00F679A2" w:rsidRPr="00D64438" w:rsidRDefault="00F679A2" w:rsidP="00B97309">
            <w:pPr>
              <w:spacing w:line="360" w:lineRule="auto"/>
              <w:rPr>
                <w:b/>
                <w:bCs/>
                <w:sz w:val="16"/>
                <w:szCs w:val="16"/>
              </w:rPr>
            </w:pPr>
            <w:r w:rsidRPr="00D64438">
              <w:rPr>
                <w:b/>
                <w:bCs/>
                <w:sz w:val="16"/>
                <w:szCs w:val="16"/>
              </w:rPr>
              <w:t>2011</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0CB783CD" w14:textId="77777777" w:rsidR="00F679A2" w:rsidRPr="00D64438" w:rsidRDefault="00F679A2" w:rsidP="00B97309">
            <w:pPr>
              <w:spacing w:line="360" w:lineRule="auto"/>
              <w:rPr>
                <w:b/>
                <w:bCs/>
                <w:sz w:val="16"/>
                <w:szCs w:val="16"/>
              </w:rPr>
            </w:pPr>
            <w:r w:rsidRPr="00D64438">
              <w:rPr>
                <w:b/>
                <w:bCs/>
                <w:sz w:val="16"/>
                <w:szCs w:val="16"/>
              </w:rPr>
              <w:t>2012</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7747FF80" w14:textId="77777777" w:rsidR="00F679A2" w:rsidRPr="00D64438" w:rsidRDefault="00F679A2" w:rsidP="00B97309">
            <w:pPr>
              <w:spacing w:line="360" w:lineRule="auto"/>
              <w:rPr>
                <w:b/>
                <w:bCs/>
                <w:sz w:val="16"/>
                <w:szCs w:val="16"/>
              </w:rPr>
            </w:pPr>
            <w:r w:rsidRPr="00D64438">
              <w:rPr>
                <w:b/>
                <w:bCs/>
                <w:sz w:val="16"/>
                <w:szCs w:val="16"/>
              </w:rPr>
              <w:t>2013</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2021BBE7" w14:textId="77777777" w:rsidR="00F679A2" w:rsidRPr="00D64438" w:rsidRDefault="00F679A2" w:rsidP="00B97309">
            <w:pPr>
              <w:spacing w:line="360" w:lineRule="auto"/>
              <w:rPr>
                <w:b/>
                <w:bCs/>
                <w:sz w:val="16"/>
                <w:szCs w:val="16"/>
              </w:rPr>
            </w:pPr>
            <w:r w:rsidRPr="00D64438">
              <w:rPr>
                <w:b/>
                <w:bCs/>
                <w:sz w:val="16"/>
                <w:szCs w:val="16"/>
              </w:rPr>
              <w:t>2014</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49323DB2" w14:textId="77777777" w:rsidR="00F679A2" w:rsidRPr="00D64438" w:rsidRDefault="00F679A2" w:rsidP="00B97309">
            <w:pPr>
              <w:spacing w:line="360" w:lineRule="auto"/>
              <w:rPr>
                <w:b/>
                <w:bCs/>
                <w:sz w:val="16"/>
                <w:szCs w:val="16"/>
              </w:rPr>
            </w:pPr>
            <w:r w:rsidRPr="00D64438">
              <w:rPr>
                <w:b/>
                <w:bCs/>
                <w:sz w:val="16"/>
                <w:szCs w:val="16"/>
              </w:rPr>
              <w:t>2015</w:t>
            </w:r>
          </w:p>
        </w:tc>
        <w:tc>
          <w:tcPr>
            <w:tcW w:w="658" w:type="dxa"/>
            <w:tcBorders>
              <w:top w:val="single" w:sz="12" w:space="0" w:color="76923C"/>
              <w:left w:val="single" w:sz="4" w:space="0" w:color="auto"/>
              <w:bottom w:val="single" w:sz="4" w:space="0" w:color="auto"/>
              <w:right w:val="single" w:sz="4" w:space="0" w:color="auto"/>
            </w:tcBorders>
            <w:vAlign w:val="center"/>
          </w:tcPr>
          <w:p w14:paraId="2775B905" w14:textId="77777777" w:rsidR="00F679A2" w:rsidRPr="00D64438" w:rsidRDefault="00F679A2" w:rsidP="00B97309">
            <w:pPr>
              <w:spacing w:line="360" w:lineRule="auto"/>
              <w:rPr>
                <w:b/>
                <w:bCs/>
                <w:sz w:val="16"/>
                <w:szCs w:val="16"/>
              </w:rPr>
            </w:pPr>
            <w:r w:rsidRPr="00D64438">
              <w:rPr>
                <w:b/>
                <w:bCs/>
                <w:sz w:val="16"/>
                <w:szCs w:val="16"/>
              </w:rPr>
              <w:t>2016</w:t>
            </w:r>
          </w:p>
        </w:tc>
        <w:tc>
          <w:tcPr>
            <w:tcW w:w="658" w:type="dxa"/>
            <w:tcBorders>
              <w:top w:val="single" w:sz="12" w:space="0" w:color="76923C"/>
              <w:left w:val="single" w:sz="4" w:space="0" w:color="auto"/>
              <w:bottom w:val="single" w:sz="4" w:space="0" w:color="auto"/>
              <w:right w:val="single" w:sz="4" w:space="0" w:color="auto"/>
            </w:tcBorders>
            <w:vAlign w:val="center"/>
          </w:tcPr>
          <w:p w14:paraId="6A47C91C" w14:textId="77777777" w:rsidR="00F679A2" w:rsidRPr="00D64438" w:rsidRDefault="00F679A2" w:rsidP="00B97309">
            <w:pPr>
              <w:spacing w:line="360" w:lineRule="auto"/>
              <w:rPr>
                <w:b/>
                <w:bCs/>
                <w:sz w:val="16"/>
                <w:szCs w:val="16"/>
              </w:rPr>
            </w:pPr>
            <w:r w:rsidRPr="00D64438">
              <w:rPr>
                <w:b/>
                <w:bCs/>
                <w:sz w:val="16"/>
                <w:szCs w:val="16"/>
              </w:rPr>
              <w:t>2017</w:t>
            </w:r>
          </w:p>
        </w:tc>
        <w:tc>
          <w:tcPr>
            <w:tcW w:w="658" w:type="dxa"/>
            <w:tcBorders>
              <w:top w:val="single" w:sz="12" w:space="0" w:color="76923C"/>
              <w:left w:val="single" w:sz="4" w:space="0" w:color="auto"/>
              <w:bottom w:val="single" w:sz="4" w:space="0" w:color="auto"/>
              <w:right w:val="single" w:sz="4" w:space="0" w:color="auto"/>
            </w:tcBorders>
            <w:vAlign w:val="center"/>
          </w:tcPr>
          <w:p w14:paraId="5EFB1E46" w14:textId="77777777" w:rsidR="00F679A2" w:rsidRPr="00D64438" w:rsidRDefault="00F679A2" w:rsidP="00B97309">
            <w:pPr>
              <w:spacing w:line="360" w:lineRule="auto"/>
              <w:rPr>
                <w:b/>
                <w:bCs/>
                <w:sz w:val="16"/>
                <w:szCs w:val="16"/>
              </w:rPr>
            </w:pPr>
            <w:r w:rsidRPr="00D64438">
              <w:rPr>
                <w:b/>
                <w:bCs/>
                <w:sz w:val="16"/>
                <w:szCs w:val="16"/>
              </w:rPr>
              <w:t>2018</w:t>
            </w:r>
          </w:p>
        </w:tc>
        <w:tc>
          <w:tcPr>
            <w:tcW w:w="659" w:type="dxa"/>
            <w:tcBorders>
              <w:top w:val="single" w:sz="12" w:space="0" w:color="76923C"/>
              <w:left w:val="single" w:sz="4" w:space="0" w:color="auto"/>
              <w:bottom w:val="single" w:sz="4" w:space="0" w:color="auto"/>
              <w:right w:val="single" w:sz="4" w:space="0" w:color="auto"/>
            </w:tcBorders>
            <w:vAlign w:val="center"/>
          </w:tcPr>
          <w:p w14:paraId="62C53ADF" w14:textId="77777777" w:rsidR="00F679A2" w:rsidRDefault="00F679A2" w:rsidP="00B97309">
            <w:pPr>
              <w:spacing w:line="360" w:lineRule="auto"/>
              <w:rPr>
                <w:b/>
                <w:bCs/>
                <w:sz w:val="16"/>
                <w:szCs w:val="16"/>
              </w:rPr>
            </w:pPr>
            <w:r>
              <w:rPr>
                <w:b/>
                <w:bCs/>
                <w:sz w:val="16"/>
                <w:szCs w:val="16"/>
              </w:rPr>
              <w:t>2019</w:t>
            </w:r>
          </w:p>
        </w:tc>
      </w:tr>
      <w:tr w:rsidR="00F679A2" w:rsidRPr="00673630" w14:paraId="468D2C79"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479B5C8C" w14:textId="77777777" w:rsidR="00F679A2" w:rsidRPr="00D64438" w:rsidRDefault="00F679A2" w:rsidP="00B97309">
            <w:pPr>
              <w:spacing w:line="360" w:lineRule="auto"/>
              <w:rPr>
                <w:sz w:val="16"/>
                <w:szCs w:val="16"/>
              </w:rPr>
            </w:pPr>
            <w:r w:rsidRPr="00D64438">
              <w:rPr>
                <w:sz w:val="16"/>
                <w:szCs w:val="16"/>
              </w:rPr>
              <w:t>Število čebelarjev</w:t>
            </w:r>
          </w:p>
        </w:tc>
        <w:tc>
          <w:tcPr>
            <w:tcW w:w="659" w:type="dxa"/>
            <w:tcBorders>
              <w:top w:val="single" w:sz="4" w:space="0" w:color="auto"/>
              <w:left w:val="single" w:sz="4" w:space="0" w:color="auto"/>
              <w:bottom w:val="single" w:sz="4" w:space="0" w:color="auto"/>
              <w:right w:val="single" w:sz="4" w:space="0" w:color="auto"/>
            </w:tcBorders>
            <w:vAlign w:val="center"/>
          </w:tcPr>
          <w:p w14:paraId="2E3A4F76" w14:textId="77777777" w:rsidR="00F679A2" w:rsidRPr="00D64438" w:rsidRDefault="00F679A2" w:rsidP="00B97309">
            <w:pPr>
              <w:spacing w:line="360" w:lineRule="auto"/>
              <w:rPr>
                <w:bCs/>
                <w:sz w:val="16"/>
                <w:szCs w:val="16"/>
              </w:rPr>
            </w:pPr>
            <w:r w:rsidRPr="00D64438">
              <w:rPr>
                <w:bCs/>
                <w:sz w:val="16"/>
                <w:szCs w:val="16"/>
              </w:rPr>
              <w:t>7.475</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72B3A" w14:textId="77777777" w:rsidR="00F679A2" w:rsidRPr="00D64438" w:rsidRDefault="00F679A2" w:rsidP="00B97309">
            <w:pPr>
              <w:spacing w:line="360" w:lineRule="auto"/>
              <w:rPr>
                <w:bCs/>
                <w:sz w:val="16"/>
                <w:szCs w:val="16"/>
              </w:rPr>
            </w:pPr>
            <w:r w:rsidRPr="00D64438">
              <w:rPr>
                <w:sz w:val="16"/>
                <w:szCs w:val="16"/>
              </w:rPr>
              <w:t>8.838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1FCE1" w14:textId="77777777" w:rsidR="00F679A2" w:rsidRPr="00D64438" w:rsidRDefault="00F679A2" w:rsidP="00B97309">
            <w:pPr>
              <w:spacing w:line="360" w:lineRule="auto"/>
              <w:rPr>
                <w:bCs/>
                <w:sz w:val="16"/>
                <w:szCs w:val="16"/>
              </w:rPr>
            </w:pPr>
            <w:r w:rsidRPr="00D64438">
              <w:rPr>
                <w:sz w:val="16"/>
                <w:szCs w:val="16"/>
              </w:rPr>
              <w:t>9.019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F0F0C" w14:textId="77777777" w:rsidR="00F679A2" w:rsidRPr="00D64438" w:rsidRDefault="00F679A2" w:rsidP="00B97309">
            <w:pPr>
              <w:spacing w:line="360" w:lineRule="auto"/>
              <w:rPr>
                <w:bCs/>
                <w:sz w:val="16"/>
                <w:szCs w:val="16"/>
              </w:rPr>
            </w:pPr>
            <w:r w:rsidRPr="00D64438">
              <w:rPr>
                <w:sz w:val="16"/>
                <w:szCs w:val="16"/>
              </w:rPr>
              <w:t>9.532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0E187" w14:textId="77777777" w:rsidR="00F679A2" w:rsidRPr="00D64438" w:rsidRDefault="00F679A2" w:rsidP="00B97309">
            <w:pPr>
              <w:spacing w:line="360" w:lineRule="auto"/>
              <w:rPr>
                <w:bCs/>
                <w:sz w:val="16"/>
                <w:szCs w:val="16"/>
              </w:rPr>
            </w:pPr>
            <w:r w:rsidRPr="00D64438">
              <w:rPr>
                <w:sz w:val="16"/>
                <w:szCs w:val="16"/>
              </w:rPr>
              <w:t>9.638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8CB4B" w14:textId="77777777" w:rsidR="00F679A2" w:rsidRPr="00D64438" w:rsidRDefault="00F679A2" w:rsidP="00B97309">
            <w:pPr>
              <w:spacing w:line="360" w:lineRule="auto"/>
              <w:rPr>
                <w:bCs/>
                <w:sz w:val="16"/>
                <w:szCs w:val="16"/>
              </w:rPr>
            </w:pPr>
            <w:r w:rsidRPr="00D64438">
              <w:rPr>
                <w:bCs/>
                <w:sz w:val="16"/>
                <w:szCs w:val="16"/>
              </w:rPr>
              <w:t>9.885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B3A7" w14:textId="77777777" w:rsidR="00F679A2" w:rsidRPr="00D64438" w:rsidRDefault="00F679A2" w:rsidP="00B97309">
            <w:pPr>
              <w:spacing w:line="360" w:lineRule="auto"/>
              <w:rPr>
                <w:bCs/>
                <w:sz w:val="16"/>
                <w:szCs w:val="16"/>
              </w:rPr>
            </w:pPr>
            <w:r w:rsidRPr="00D64438">
              <w:rPr>
                <w:bCs/>
                <w:sz w:val="16"/>
                <w:szCs w:val="16"/>
              </w:rPr>
              <w:t>10.145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80716" w14:textId="77777777" w:rsidR="00F679A2" w:rsidRPr="00D64438" w:rsidRDefault="00F679A2" w:rsidP="00B97309">
            <w:pPr>
              <w:spacing w:line="360" w:lineRule="auto"/>
              <w:rPr>
                <w:bCs/>
                <w:sz w:val="16"/>
                <w:szCs w:val="16"/>
              </w:rPr>
            </w:pPr>
            <w:r w:rsidRPr="00D64438">
              <w:rPr>
                <w:bCs/>
                <w:sz w:val="16"/>
                <w:szCs w:val="16"/>
              </w:rPr>
              <w:t>10.369</w:t>
            </w:r>
          </w:p>
        </w:tc>
        <w:tc>
          <w:tcPr>
            <w:tcW w:w="658" w:type="dxa"/>
            <w:tcBorders>
              <w:top w:val="single" w:sz="4" w:space="0" w:color="auto"/>
              <w:left w:val="single" w:sz="4" w:space="0" w:color="auto"/>
              <w:bottom w:val="single" w:sz="4" w:space="0" w:color="auto"/>
              <w:right w:val="single" w:sz="4" w:space="0" w:color="auto"/>
            </w:tcBorders>
            <w:vAlign w:val="center"/>
          </w:tcPr>
          <w:p w14:paraId="3134D180" w14:textId="77777777" w:rsidR="00F679A2" w:rsidRPr="00D64438" w:rsidRDefault="00F679A2" w:rsidP="00B97309">
            <w:pPr>
              <w:spacing w:line="360" w:lineRule="auto"/>
              <w:rPr>
                <w:bCs/>
                <w:sz w:val="16"/>
                <w:szCs w:val="16"/>
              </w:rPr>
            </w:pPr>
            <w:r w:rsidRPr="00D64438">
              <w:rPr>
                <w:bCs/>
                <w:sz w:val="16"/>
                <w:szCs w:val="16"/>
              </w:rPr>
              <w:t>10.667</w:t>
            </w:r>
          </w:p>
        </w:tc>
        <w:tc>
          <w:tcPr>
            <w:tcW w:w="658" w:type="dxa"/>
            <w:tcBorders>
              <w:top w:val="single" w:sz="4" w:space="0" w:color="auto"/>
              <w:left w:val="single" w:sz="4" w:space="0" w:color="auto"/>
              <w:bottom w:val="single" w:sz="4" w:space="0" w:color="auto"/>
              <w:right w:val="single" w:sz="4" w:space="0" w:color="auto"/>
            </w:tcBorders>
            <w:vAlign w:val="center"/>
          </w:tcPr>
          <w:p w14:paraId="5255F4AA" w14:textId="77777777" w:rsidR="00F679A2" w:rsidRPr="00D64438" w:rsidRDefault="00F679A2" w:rsidP="00B97309">
            <w:pPr>
              <w:spacing w:line="360" w:lineRule="auto"/>
              <w:rPr>
                <w:bCs/>
                <w:sz w:val="16"/>
                <w:szCs w:val="16"/>
              </w:rPr>
            </w:pPr>
            <w:r w:rsidRPr="00D64438">
              <w:rPr>
                <w:bCs/>
                <w:sz w:val="16"/>
                <w:szCs w:val="16"/>
              </w:rPr>
              <w:t>10.579</w:t>
            </w:r>
          </w:p>
        </w:tc>
        <w:tc>
          <w:tcPr>
            <w:tcW w:w="658" w:type="dxa"/>
            <w:tcBorders>
              <w:top w:val="single" w:sz="4" w:space="0" w:color="auto"/>
              <w:left w:val="single" w:sz="4" w:space="0" w:color="auto"/>
              <w:bottom w:val="single" w:sz="4" w:space="0" w:color="auto"/>
              <w:right w:val="single" w:sz="4" w:space="0" w:color="auto"/>
            </w:tcBorders>
            <w:vAlign w:val="center"/>
          </w:tcPr>
          <w:p w14:paraId="4697FD71" w14:textId="77777777" w:rsidR="00F679A2" w:rsidRPr="00D64438" w:rsidRDefault="00F679A2" w:rsidP="00B97309">
            <w:pPr>
              <w:spacing w:line="360" w:lineRule="auto"/>
              <w:rPr>
                <w:bCs/>
                <w:sz w:val="16"/>
                <w:szCs w:val="16"/>
              </w:rPr>
            </w:pPr>
            <w:r w:rsidRPr="00D64438">
              <w:rPr>
                <w:bCs/>
                <w:sz w:val="16"/>
                <w:szCs w:val="16"/>
              </w:rPr>
              <w:t>10.933</w:t>
            </w:r>
          </w:p>
        </w:tc>
        <w:tc>
          <w:tcPr>
            <w:tcW w:w="659" w:type="dxa"/>
            <w:tcBorders>
              <w:top w:val="single" w:sz="4" w:space="0" w:color="auto"/>
              <w:left w:val="single" w:sz="4" w:space="0" w:color="auto"/>
              <w:bottom w:val="single" w:sz="4" w:space="0" w:color="auto"/>
              <w:right w:val="single" w:sz="4" w:space="0" w:color="auto"/>
            </w:tcBorders>
            <w:vAlign w:val="center"/>
          </w:tcPr>
          <w:p w14:paraId="4FE2B02A" w14:textId="77777777" w:rsidR="00F679A2" w:rsidRDefault="00F679A2" w:rsidP="00B97309">
            <w:pPr>
              <w:spacing w:line="360" w:lineRule="auto"/>
              <w:rPr>
                <w:bCs/>
                <w:sz w:val="16"/>
                <w:szCs w:val="16"/>
              </w:rPr>
            </w:pPr>
            <w:r>
              <w:rPr>
                <w:bCs/>
                <w:sz w:val="16"/>
                <w:szCs w:val="16"/>
              </w:rPr>
              <w:t>11.066</w:t>
            </w:r>
          </w:p>
        </w:tc>
      </w:tr>
      <w:tr w:rsidR="00F679A2" w:rsidRPr="00673630" w14:paraId="6FE38C00"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30F00968" w14:textId="77777777" w:rsidR="00F679A2" w:rsidRPr="00D64438" w:rsidRDefault="00F679A2" w:rsidP="00B97309">
            <w:pPr>
              <w:spacing w:line="360" w:lineRule="auto"/>
              <w:rPr>
                <w:sz w:val="16"/>
                <w:szCs w:val="16"/>
              </w:rPr>
            </w:pPr>
            <w:r w:rsidRPr="00D64438">
              <w:rPr>
                <w:sz w:val="16"/>
                <w:szCs w:val="16"/>
              </w:rPr>
              <w:t>Število čebelnjakov</w:t>
            </w:r>
          </w:p>
        </w:tc>
        <w:tc>
          <w:tcPr>
            <w:tcW w:w="659" w:type="dxa"/>
            <w:tcBorders>
              <w:top w:val="single" w:sz="4" w:space="0" w:color="auto"/>
              <w:left w:val="single" w:sz="4" w:space="0" w:color="auto"/>
              <w:bottom w:val="single" w:sz="4" w:space="0" w:color="auto"/>
              <w:right w:val="single" w:sz="4" w:space="0" w:color="auto"/>
            </w:tcBorders>
            <w:vAlign w:val="center"/>
          </w:tcPr>
          <w:p w14:paraId="03A5A065" w14:textId="77777777" w:rsidR="00F679A2" w:rsidRPr="00D64438" w:rsidRDefault="00F679A2" w:rsidP="00B97309">
            <w:pPr>
              <w:spacing w:line="360" w:lineRule="auto"/>
              <w:rPr>
                <w:bCs/>
                <w:sz w:val="16"/>
                <w:szCs w:val="16"/>
              </w:rPr>
            </w:pPr>
            <w:r w:rsidRPr="00D64438">
              <w:rPr>
                <w:sz w:val="16"/>
                <w:szCs w:val="16"/>
              </w:rPr>
              <w:t>10.414</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6EC5B" w14:textId="77777777" w:rsidR="00F679A2" w:rsidRPr="00D64438" w:rsidRDefault="00F679A2" w:rsidP="00B97309">
            <w:pPr>
              <w:spacing w:line="360" w:lineRule="auto"/>
              <w:rPr>
                <w:bCs/>
                <w:sz w:val="16"/>
                <w:szCs w:val="16"/>
              </w:rPr>
            </w:pPr>
            <w:r w:rsidRPr="00D64438">
              <w:rPr>
                <w:sz w:val="16"/>
                <w:szCs w:val="16"/>
              </w:rPr>
              <w:t>11.253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6123D" w14:textId="77777777" w:rsidR="00F679A2" w:rsidRPr="00D64438" w:rsidRDefault="00F679A2" w:rsidP="00B97309">
            <w:pPr>
              <w:spacing w:line="360" w:lineRule="auto"/>
              <w:rPr>
                <w:bCs/>
                <w:sz w:val="16"/>
                <w:szCs w:val="16"/>
              </w:rPr>
            </w:pPr>
            <w:r w:rsidRPr="00D64438">
              <w:rPr>
                <w:sz w:val="16"/>
                <w:szCs w:val="16"/>
              </w:rPr>
              <w:t>11.504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63F6" w14:textId="77777777" w:rsidR="00F679A2" w:rsidRPr="00D64438" w:rsidRDefault="00F679A2" w:rsidP="00B97309">
            <w:pPr>
              <w:spacing w:line="360" w:lineRule="auto"/>
              <w:rPr>
                <w:bCs/>
                <w:sz w:val="16"/>
                <w:szCs w:val="16"/>
              </w:rPr>
            </w:pPr>
            <w:r w:rsidRPr="00D64438">
              <w:rPr>
                <w:sz w:val="16"/>
                <w:szCs w:val="16"/>
              </w:rPr>
              <w:t>12.206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597E1" w14:textId="77777777" w:rsidR="00F679A2" w:rsidRPr="00D64438" w:rsidRDefault="00F679A2" w:rsidP="00B97309">
            <w:pPr>
              <w:spacing w:line="360" w:lineRule="auto"/>
              <w:rPr>
                <w:bCs/>
                <w:sz w:val="16"/>
                <w:szCs w:val="16"/>
              </w:rPr>
            </w:pPr>
            <w:r w:rsidRPr="00D64438">
              <w:rPr>
                <w:sz w:val="16"/>
                <w:szCs w:val="16"/>
              </w:rPr>
              <w:t>12.469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05F77" w14:textId="77777777" w:rsidR="00F679A2" w:rsidRPr="00D64438" w:rsidRDefault="00F679A2" w:rsidP="00B97309">
            <w:pPr>
              <w:spacing w:line="360" w:lineRule="auto"/>
              <w:rPr>
                <w:bCs/>
                <w:sz w:val="16"/>
                <w:szCs w:val="16"/>
              </w:rPr>
            </w:pPr>
            <w:r w:rsidRPr="00D64438">
              <w:rPr>
                <w:bCs/>
                <w:sz w:val="16"/>
                <w:szCs w:val="16"/>
              </w:rPr>
              <w:t>12.545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B3211" w14:textId="77777777" w:rsidR="00F679A2" w:rsidRPr="00D64438" w:rsidRDefault="00F679A2" w:rsidP="00B97309">
            <w:pPr>
              <w:spacing w:line="360" w:lineRule="auto"/>
              <w:rPr>
                <w:bCs/>
                <w:sz w:val="16"/>
                <w:szCs w:val="16"/>
              </w:rPr>
            </w:pPr>
            <w:r w:rsidRPr="00D64438">
              <w:rPr>
                <w:bCs/>
                <w:sz w:val="16"/>
                <w:szCs w:val="16"/>
              </w:rPr>
              <w:t>13.164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CAE35" w14:textId="77777777" w:rsidR="00F679A2" w:rsidRPr="00D64438" w:rsidRDefault="00F679A2" w:rsidP="00B97309">
            <w:pPr>
              <w:spacing w:line="360" w:lineRule="auto"/>
              <w:rPr>
                <w:bCs/>
                <w:sz w:val="16"/>
                <w:szCs w:val="16"/>
              </w:rPr>
            </w:pPr>
            <w:r w:rsidRPr="00D64438">
              <w:rPr>
                <w:bCs/>
                <w:sz w:val="16"/>
                <w:szCs w:val="16"/>
              </w:rPr>
              <w:t>13.165</w:t>
            </w:r>
          </w:p>
        </w:tc>
        <w:tc>
          <w:tcPr>
            <w:tcW w:w="658" w:type="dxa"/>
            <w:tcBorders>
              <w:top w:val="single" w:sz="4" w:space="0" w:color="auto"/>
              <w:left w:val="single" w:sz="4" w:space="0" w:color="auto"/>
              <w:bottom w:val="single" w:sz="4" w:space="0" w:color="auto"/>
              <w:right w:val="single" w:sz="4" w:space="0" w:color="auto"/>
            </w:tcBorders>
            <w:vAlign w:val="center"/>
          </w:tcPr>
          <w:p w14:paraId="63F42701" w14:textId="77777777" w:rsidR="00F679A2" w:rsidRPr="00D64438" w:rsidRDefault="00F679A2" w:rsidP="00B97309">
            <w:pPr>
              <w:spacing w:line="360" w:lineRule="auto"/>
              <w:rPr>
                <w:bCs/>
                <w:sz w:val="16"/>
                <w:szCs w:val="16"/>
              </w:rPr>
            </w:pPr>
            <w:r w:rsidRPr="00D64438">
              <w:rPr>
                <w:bCs/>
                <w:sz w:val="16"/>
                <w:szCs w:val="16"/>
              </w:rPr>
              <w:t>13.939</w:t>
            </w:r>
          </w:p>
        </w:tc>
        <w:tc>
          <w:tcPr>
            <w:tcW w:w="658" w:type="dxa"/>
            <w:tcBorders>
              <w:top w:val="single" w:sz="4" w:space="0" w:color="auto"/>
              <w:left w:val="single" w:sz="4" w:space="0" w:color="auto"/>
              <w:bottom w:val="single" w:sz="4" w:space="0" w:color="auto"/>
              <w:right w:val="single" w:sz="4" w:space="0" w:color="auto"/>
            </w:tcBorders>
            <w:vAlign w:val="center"/>
          </w:tcPr>
          <w:p w14:paraId="288945F4" w14:textId="77777777" w:rsidR="00F679A2" w:rsidRPr="00D64438" w:rsidRDefault="00F679A2" w:rsidP="00B97309">
            <w:pPr>
              <w:spacing w:line="360" w:lineRule="auto"/>
              <w:rPr>
                <w:bCs/>
                <w:sz w:val="16"/>
                <w:szCs w:val="16"/>
              </w:rPr>
            </w:pPr>
            <w:r w:rsidRPr="00D64438">
              <w:rPr>
                <w:bCs/>
                <w:sz w:val="16"/>
                <w:szCs w:val="16"/>
              </w:rPr>
              <w:t>13.975</w:t>
            </w:r>
          </w:p>
        </w:tc>
        <w:tc>
          <w:tcPr>
            <w:tcW w:w="658" w:type="dxa"/>
            <w:tcBorders>
              <w:top w:val="single" w:sz="4" w:space="0" w:color="auto"/>
              <w:left w:val="single" w:sz="4" w:space="0" w:color="auto"/>
              <w:bottom w:val="single" w:sz="4" w:space="0" w:color="auto"/>
              <w:right w:val="single" w:sz="4" w:space="0" w:color="auto"/>
            </w:tcBorders>
            <w:vAlign w:val="center"/>
          </w:tcPr>
          <w:p w14:paraId="354D6D65" w14:textId="77777777" w:rsidR="00F679A2" w:rsidRPr="00D64438" w:rsidRDefault="00F679A2" w:rsidP="00B97309">
            <w:pPr>
              <w:spacing w:line="360" w:lineRule="auto"/>
              <w:rPr>
                <w:bCs/>
                <w:sz w:val="16"/>
                <w:szCs w:val="16"/>
              </w:rPr>
            </w:pPr>
            <w:r w:rsidRPr="00D64438">
              <w:rPr>
                <w:bCs/>
                <w:sz w:val="16"/>
                <w:szCs w:val="16"/>
              </w:rPr>
              <w:t>13.982</w:t>
            </w:r>
          </w:p>
        </w:tc>
        <w:tc>
          <w:tcPr>
            <w:tcW w:w="659" w:type="dxa"/>
            <w:tcBorders>
              <w:top w:val="single" w:sz="4" w:space="0" w:color="auto"/>
              <w:left w:val="single" w:sz="4" w:space="0" w:color="auto"/>
              <w:bottom w:val="single" w:sz="4" w:space="0" w:color="auto"/>
              <w:right w:val="single" w:sz="4" w:space="0" w:color="auto"/>
            </w:tcBorders>
            <w:vAlign w:val="center"/>
          </w:tcPr>
          <w:p w14:paraId="766A87AA" w14:textId="77777777" w:rsidR="00F679A2" w:rsidRDefault="00F679A2" w:rsidP="00B97309">
            <w:pPr>
              <w:spacing w:line="360" w:lineRule="auto"/>
              <w:rPr>
                <w:bCs/>
                <w:sz w:val="16"/>
                <w:szCs w:val="16"/>
              </w:rPr>
            </w:pPr>
            <w:r>
              <w:rPr>
                <w:bCs/>
                <w:sz w:val="16"/>
                <w:szCs w:val="16"/>
              </w:rPr>
              <w:t>15.036</w:t>
            </w:r>
          </w:p>
        </w:tc>
      </w:tr>
      <w:tr w:rsidR="00F679A2" w:rsidRPr="00673630" w14:paraId="781FFE62"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77ED6F6" w14:textId="77777777" w:rsidR="00F679A2" w:rsidRPr="00D64438" w:rsidRDefault="00F679A2" w:rsidP="00B97309">
            <w:pPr>
              <w:spacing w:line="360" w:lineRule="auto"/>
              <w:rPr>
                <w:sz w:val="16"/>
                <w:szCs w:val="16"/>
              </w:rPr>
            </w:pPr>
            <w:r w:rsidRPr="00D64438">
              <w:rPr>
                <w:sz w:val="16"/>
                <w:szCs w:val="16"/>
              </w:rPr>
              <w:t>Število čebeljih družin</w:t>
            </w:r>
          </w:p>
        </w:tc>
        <w:tc>
          <w:tcPr>
            <w:tcW w:w="659" w:type="dxa"/>
            <w:tcBorders>
              <w:top w:val="single" w:sz="4" w:space="0" w:color="auto"/>
              <w:left w:val="single" w:sz="4" w:space="0" w:color="auto"/>
              <w:bottom w:val="single" w:sz="4" w:space="0" w:color="auto"/>
              <w:right w:val="single" w:sz="4" w:space="0" w:color="auto"/>
            </w:tcBorders>
            <w:vAlign w:val="center"/>
          </w:tcPr>
          <w:p w14:paraId="280951B1" w14:textId="77777777" w:rsidR="00F679A2" w:rsidRPr="005718B1" w:rsidRDefault="00F679A2" w:rsidP="00B97309">
            <w:pPr>
              <w:spacing w:line="360" w:lineRule="auto"/>
              <w:rPr>
                <w:bCs/>
                <w:sz w:val="14"/>
                <w:szCs w:val="14"/>
              </w:rPr>
            </w:pPr>
            <w:r w:rsidRPr="005718B1">
              <w:rPr>
                <w:sz w:val="14"/>
                <w:szCs w:val="14"/>
              </w:rPr>
              <w:t>137.211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FC13B" w14:textId="77777777" w:rsidR="00F679A2" w:rsidRPr="005718B1" w:rsidRDefault="00F679A2" w:rsidP="00B97309">
            <w:pPr>
              <w:spacing w:line="360" w:lineRule="auto"/>
              <w:rPr>
                <w:bCs/>
                <w:sz w:val="14"/>
                <w:szCs w:val="14"/>
              </w:rPr>
            </w:pPr>
            <w:r w:rsidRPr="005718B1">
              <w:rPr>
                <w:sz w:val="14"/>
                <w:szCs w:val="14"/>
              </w:rPr>
              <w:t>142.751</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4A451" w14:textId="77777777" w:rsidR="00F679A2" w:rsidRPr="005718B1" w:rsidRDefault="00F679A2" w:rsidP="00B97309">
            <w:pPr>
              <w:snapToGrid w:val="0"/>
              <w:spacing w:line="360" w:lineRule="auto"/>
              <w:rPr>
                <w:sz w:val="14"/>
                <w:szCs w:val="14"/>
              </w:rPr>
            </w:pPr>
            <w:r w:rsidRPr="005718B1">
              <w:rPr>
                <w:sz w:val="14"/>
                <w:szCs w:val="14"/>
              </w:rPr>
              <w:t>150.000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06D85" w14:textId="77777777" w:rsidR="00F679A2" w:rsidRPr="005718B1" w:rsidRDefault="00F679A2" w:rsidP="00B97309">
            <w:pPr>
              <w:spacing w:line="360" w:lineRule="auto"/>
              <w:rPr>
                <w:bCs/>
                <w:sz w:val="14"/>
                <w:szCs w:val="14"/>
              </w:rPr>
            </w:pPr>
            <w:r w:rsidRPr="005718B1">
              <w:rPr>
                <w:sz w:val="14"/>
                <w:szCs w:val="14"/>
              </w:rPr>
              <w:t>167.750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68D11" w14:textId="77777777" w:rsidR="00F679A2" w:rsidRPr="005718B1" w:rsidRDefault="00F679A2" w:rsidP="00B97309">
            <w:pPr>
              <w:spacing w:line="360" w:lineRule="auto"/>
              <w:rPr>
                <w:bCs/>
                <w:sz w:val="14"/>
                <w:szCs w:val="14"/>
              </w:rPr>
            </w:pPr>
            <w:r w:rsidRPr="005718B1">
              <w:rPr>
                <w:sz w:val="14"/>
                <w:szCs w:val="14"/>
              </w:rPr>
              <w:t>167.000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E817E" w14:textId="77777777" w:rsidR="00F679A2" w:rsidRPr="005718B1" w:rsidRDefault="00F679A2" w:rsidP="00B97309">
            <w:pPr>
              <w:spacing w:line="360" w:lineRule="auto"/>
              <w:rPr>
                <w:bCs/>
                <w:sz w:val="14"/>
                <w:szCs w:val="14"/>
              </w:rPr>
            </w:pPr>
            <w:r w:rsidRPr="005718B1">
              <w:rPr>
                <w:sz w:val="14"/>
                <w:szCs w:val="14"/>
              </w:rPr>
              <w:t>147.882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AA115" w14:textId="77777777" w:rsidR="00F679A2" w:rsidRPr="005718B1" w:rsidRDefault="00F679A2" w:rsidP="00B97309">
            <w:pPr>
              <w:spacing w:line="360" w:lineRule="auto"/>
              <w:rPr>
                <w:bCs/>
                <w:sz w:val="14"/>
                <w:szCs w:val="14"/>
              </w:rPr>
            </w:pPr>
            <w:r w:rsidRPr="005718B1">
              <w:rPr>
                <w:sz w:val="14"/>
                <w:szCs w:val="14"/>
              </w:rPr>
              <w:t>176.436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26219" w14:textId="77777777" w:rsidR="00F679A2" w:rsidRPr="005718B1" w:rsidRDefault="00F679A2" w:rsidP="00B97309">
            <w:pPr>
              <w:spacing w:line="360" w:lineRule="auto"/>
              <w:rPr>
                <w:bCs/>
                <w:sz w:val="14"/>
                <w:szCs w:val="14"/>
              </w:rPr>
            </w:pPr>
            <w:r w:rsidRPr="005718B1">
              <w:rPr>
                <w:sz w:val="14"/>
                <w:szCs w:val="14"/>
              </w:rPr>
              <w:t>168.869</w:t>
            </w:r>
          </w:p>
        </w:tc>
        <w:tc>
          <w:tcPr>
            <w:tcW w:w="658" w:type="dxa"/>
            <w:tcBorders>
              <w:top w:val="single" w:sz="4" w:space="0" w:color="auto"/>
              <w:left w:val="single" w:sz="4" w:space="0" w:color="auto"/>
              <w:bottom w:val="single" w:sz="4" w:space="0" w:color="auto"/>
              <w:right w:val="single" w:sz="4" w:space="0" w:color="auto"/>
            </w:tcBorders>
            <w:vAlign w:val="center"/>
          </w:tcPr>
          <w:p w14:paraId="289A06CB" w14:textId="77777777" w:rsidR="00F679A2" w:rsidRPr="005718B1" w:rsidRDefault="00F679A2" w:rsidP="00B97309">
            <w:pPr>
              <w:spacing w:line="360" w:lineRule="auto"/>
              <w:rPr>
                <w:bCs/>
                <w:sz w:val="14"/>
                <w:szCs w:val="14"/>
              </w:rPr>
            </w:pPr>
            <w:r w:rsidRPr="005718B1">
              <w:rPr>
                <w:bCs/>
                <w:sz w:val="14"/>
                <w:szCs w:val="14"/>
              </w:rPr>
              <w:t>181.480</w:t>
            </w:r>
          </w:p>
        </w:tc>
        <w:tc>
          <w:tcPr>
            <w:tcW w:w="658" w:type="dxa"/>
            <w:tcBorders>
              <w:top w:val="single" w:sz="4" w:space="0" w:color="auto"/>
              <w:left w:val="single" w:sz="4" w:space="0" w:color="auto"/>
              <w:bottom w:val="single" w:sz="4" w:space="0" w:color="auto"/>
              <w:right w:val="single" w:sz="4" w:space="0" w:color="auto"/>
            </w:tcBorders>
            <w:vAlign w:val="center"/>
          </w:tcPr>
          <w:p w14:paraId="380353F3" w14:textId="77777777" w:rsidR="00F679A2" w:rsidRPr="005718B1" w:rsidRDefault="00F679A2" w:rsidP="00B97309">
            <w:pPr>
              <w:spacing w:line="360" w:lineRule="auto"/>
              <w:rPr>
                <w:bCs/>
                <w:sz w:val="14"/>
                <w:szCs w:val="14"/>
              </w:rPr>
            </w:pPr>
            <w:r w:rsidRPr="005718B1">
              <w:rPr>
                <w:bCs/>
                <w:sz w:val="14"/>
                <w:szCs w:val="14"/>
              </w:rPr>
              <w:t>195.259</w:t>
            </w:r>
          </w:p>
        </w:tc>
        <w:tc>
          <w:tcPr>
            <w:tcW w:w="658" w:type="dxa"/>
            <w:tcBorders>
              <w:top w:val="single" w:sz="4" w:space="0" w:color="auto"/>
              <w:left w:val="single" w:sz="4" w:space="0" w:color="auto"/>
              <w:bottom w:val="single" w:sz="4" w:space="0" w:color="auto"/>
              <w:right w:val="single" w:sz="4" w:space="0" w:color="auto"/>
            </w:tcBorders>
            <w:vAlign w:val="center"/>
          </w:tcPr>
          <w:p w14:paraId="72B851CA" w14:textId="77777777" w:rsidR="00F679A2" w:rsidRPr="005718B1" w:rsidRDefault="00F679A2" w:rsidP="00B97309">
            <w:pPr>
              <w:spacing w:line="360" w:lineRule="auto"/>
              <w:rPr>
                <w:bCs/>
                <w:sz w:val="14"/>
                <w:szCs w:val="14"/>
              </w:rPr>
            </w:pPr>
            <w:r w:rsidRPr="005718B1">
              <w:rPr>
                <w:bCs/>
                <w:sz w:val="14"/>
                <w:szCs w:val="14"/>
              </w:rPr>
              <w:t>204.736</w:t>
            </w:r>
          </w:p>
        </w:tc>
        <w:tc>
          <w:tcPr>
            <w:tcW w:w="659" w:type="dxa"/>
            <w:tcBorders>
              <w:top w:val="single" w:sz="4" w:space="0" w:color="auto"/>
              <w:left w:val="single" w:sz="4" w:space="0" w:color="auto"/>
              <w:bottom w:val="single" w:sz="4" w:space="0" w:color="auto"/>
              <w:right w:val="single" w:sz="4" w:space="0" w:color="auto"/>
            </w:tcBorders>
            <w:vAlign w:val="center"/>
          </w:tcPr>
          <w:p w14:paraId="24269B49" w14:textId="77777777" w:rsidR="00F679A2" w:rsidRPr="005718B1" w:rsidRDefault="00F679A2" w:rsidP="00B97309">
            <w:pPr>
              <w:spacing w:line="360" w:lineRule="auto"/>
              <w:rPr>
                <w:bCs/>
                <w:sz w:val="14"/>
                <w:szCs w:val="14"/>
              </w:rPr>
            </w:pPr>
            <w:r w:rsidRPr="005718B1">
              <w:rPr>
                <w:bCs/>
                <w:sz w:val="14"/>
                <w:szCs w:val="14"/>
              </w:rPr>
              <w:t>208.260</w:t>
            </w:r>
          </w:p>
        </w:tc>
      </w:tr>
      <w:tr w:rsidR="00F679A2" w:rsidRPr="00673630" w14:paraId="5073C903" w14:textId="77777777" w:rsidTr="00B97309">
        <w:trPr>
          <w:trHeight w:val="407"/>
        </w:trPr>
        <w:tc>
          <w:tcPr>
            <w:tcW w:w="1089" w:type="dxa"/>
            <w:tcBorders>
              <w:top w:val="single" w:sz="4" w:space="0" w:color="auto"/>
              <w:left w:val="single" w:sz="4" w:space="0" w:color="auto"/>
              <w:bottom w:val="single" w:sz="12" w:space="0" w:color="76923C"/>
              <w:right w:val="single" w:sz="4" w:space="0" w:color="auto"/>
            </w:tcBorders>
            <w:shd w:val="clear" w:color="auto" w:fill="auto"/>
            <w:vAlign w:val="center"/>
          </w:tcPr>
          <w:p w14:paraId="7E6EDEA6" w14:textId="77777777" w:rsidR="00F679A2" w:rsidRPr="00D64438" w:rsidRDefault="00F679A2" w:rsidP="00B97309">
            <w:pPr>
              <w:spacing w:line="360" w:lineRule="auto"/>
              <w:rPr>
                <w:sz w:val="16"/>
                <w:szCs w:val="16"/>
              </w:rPr>
            </w:pPr>
            <w:r>
              <w:rPr>
                <w:sz w:val="16"/>
                <w:szCs w:val="16"/>
              </w:rPr>
              <w:t>Pridelek</w:t>
            </w:r>
            <w:r w:rsidRPr="00D64438">
              <w:rPr>
                <w:sz w:val="16"/>
                <w:szCs w:val="16"/>
              </w:rPr>
              <w:t xml:space="preserve"> v 1000 kg</w:t>
            </w:r>
          </w:p>
        </w:tc>
        <w:tc>
          <w:tcPr>
            <w:tcW w:w="659" w:type="dxa"/>
            <w:tcBorders>
              <w:top w:val="single" w:sz="4" w:space="0" w:color="auto"/>
              <w:left w:val="single" w:sz="4" w:space="0" w:color="auto"/>
              <w:bottom w:val="single" w:sz="12" w:space="0" w:color="76923C"/>
              <w:right w:val="single" w:sz="4" w:space="0" w:color="auto"/>
            </w:tcBorders>
            <w:vAlign w:val="center"/>
          </w:tcPr>
          <w:p w14:paraId="7E60799E" w14:textId="77777777" w:rsidR="00F679A2" w:rsidRPr="00D64438" w:rsidRDefault="00F679A2" w:rsidP="00B97309">
            <w:pPr>
              <w:spacing w:line="360" w:lineRule="auto"/>
              <w:rPr>
                <w:bCs/>
                <w:sz w:val="16"/>
                <w:szCs w:val="16"/>
              </w:rPr>
            </w:pPr>
            <w:r w:rsidRPr="00D64438">
              <w:rPr>
                <w:bCs/>
                <w:sz w:val="16"/>
                <w:szCs w:val="16"/>
              </w:rPr>
              <w:t>1.580</w:t>
            </w:r>
          </w:p>
        </w:tc>
        <w:tc>
          <w:tcPr>
            <w:tcW w:w="659"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56269137" w14:textId="77777777" w:rsidR="00F679A2" w:rsidRPr="00D64438" w:rsidRDefault="00F679A2" w:rsidP="00B97309">
            <w:pPr>
              <w:spacing w:line="360" w:lineRule="auto"/>
              <w:rPr>
                <w:bCs/>
                <w:sz w:val="16"/>
                <w:szCs w:val="16"/>
              </w:rPr>
            </w:pPr>
            <w:r w:rsidRPr="00D64438">
              <w:rPr>
                <w:bCs/>
                <w:sz w:val="16"/>
                <w:szCs w:val="16"/>
              </w:rPr>
              <w:t>1.910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209DDDB3" w14:textId="77777777" w:rsidR="00F679A2" w:rsidRPr="00D64438" w:rsidRDefault="00F679A2" w:rsidP="00B97309">
            <w:pPr>
              <w:spacing w:line="360" w:lineRule="auto"/>
              <w:rPr>
                <w:bCs/>
                <w:sz w:val="16"/>
                <w:szCs w:val="16"/>
              </w:rPr>
            </w:pPr>
            <w:r w:rsidRPr="00D64438">
              <w:rPr>
                <w:bCs/>
                <w:sz w:val="16"/>
                <w:szCs w:val="16"/>
              </w:rPr>
              <w:t>1.673</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34ED306" w14:textId="77777777" w:rsidR="00F679A2" w:rsidRPr="00D64438" w:rsidRDefault="00F679A2" w:rsidP="00B97309">
            <w:pPr>
              <w:spacing w:line="360" w:lineRule="auto"/>
              <w:rPr>
                <w:bCs/>
                <w:sz w:val="16"/>
                <w:szCs w:val="16"/>
              </w:rPr>
            </w:pPr>
            <w:r w:rsidRPr="00D64438">
              <w:rPr>
                <w:bCs/>
                <w:sz w:val="16"/>
                <w:szCs w:val="16"/>
              </w:rPr>
              <w:t>2.472</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2027374" w14:textId="77777777" w:rsidR="00F679A2" w:rsidRPr="00D64438" w:rsidRDefault="00F679A2" w:rsidP="00B97309">
            <w:pPr>
              <w:spacing w:line="360" w:lineRule="auto"/>
              <w:rPr>
                <w:bCs/>
                <w:sz w:val="16"/>
                <w:szCs w:val="16"/>
              </w:rPr>
            </w:pPr>
            <w:r w:rsidRPr="00D64438">
              <w:rPr>
                <w:bCs/>
                <w:sz w:val="16"/>
                <w:szCs w:val="16"/>
              </w:rPr>
              <w:t>1.031</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13142706" w14:textId="77777777" w:rsidR="00F679A2" w:rsidRPr="00D64438" w:rsidRDefault="00F679A2" w:rsidP="00B97309">
            <w:pPr>
              <w:spacing w:line="360" w:lineRule="auto"/>
              <w:rPr>
                <w:bCs/>
                <w:sz w:val="16"/>
                <w:szCs w:val="16"/>
              </w:rPr>
            </w:pPr>
            <w:r w:rsidRPr="00D64438">
              <w:rPr>
                <w:bCs/>
                <w:sz w:val="16"/>
                <w:szCs w:val="16"/>
              </w:rPr>
              <w:t>2.400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0729CAA7" w14:textId="4373958F" w:rsidR="00F679A2" w:rsidRPr="00D64438" w:rsidRDefault="00F679A2" w:rsidP="00B97309">
            <w:pPr>
              <w:spacing w:line="360" w:lineRule="auto"/>
              <w:rPr>
                <w:bCs/>
                <w:sz w:val="16"/>
                <w:szCs w:val="16"/>
              </w:rPr>
            </w:pPr>
            <w:r w:rsidRPr="00D64438">
              <w:rPr>
                <w:bCs/>
                <w:sz w:val="16"/>
                <w:szCs w:val="16"/>
              </w:rPr>
              <w:t>47</w:t>
            </w:r>
            <w:r w:rsidR="00B56C8D">
              <w:rPr>
                <w:bCs/>
                <w:sz w:val="16"/>
                <w:szCs w:val="16"/>
              </w:rPr>
              <w:t>1</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950285B" w14:textId="77777777" w:rsidR="00F679A2" w:rsidRPr="00D64438" w:rsidRDefault="00F679A2" w:rsidP="00B97309">
            <w:pPr>
              <w:spacing w:line="360" w:lineRule="auto"/>
              <w:rPr>
                <w:bCs/>
                <w:sz w:val="16"/>
                <w:szCs w:val="16"/>
              </w:rPr>
            </w:pPr>
            <w:r w:rsidRPr="00D64438">
              <w:rPr>
                <w:bCs/>
                <w:sz w:val="16"/>
                <w:szCs w:val="16"/>
              </w:rPr>
              <w:t>2.047</w:t>
            </w:r>
          </w:p>
        </w:tc>
        <w:tc>
          <w:tcPr>
            <w:tcW w:w="658" w:type="dxa"/>
            <w:tcBorders>
              <w:top w:val="single" w:sz="4" w:space="0" w:color="auto"/>
              <w:left w:val="single" w:sz="4" w:space="0" w:color="auto"/>
              <w:bottom w:val="single" w:sz="12" w:space="0" w:color="76923C"/>
              <w:right w:val="single" w:sz="4" w:space="0" w:color="auto"/>
            </w:tcBorders>
            <w:vAlign w:val="center"/>
          </w:tcPr>
          <w:p w14:paraId="43291409" w14:textId="77777777" w:rsidR="00F679A2" w:rsidRPr="00D64438" w:rsidRDefault="00F679A2" w:rsidP="00B97309">
            <w:pPr>
              <w:spacing w:line="360" w:lineRule="auto"/>
              <w:rPr>
                <w:bCs/>
                <w:sz w:val="16"/>
                <w:szCs w:val="16"/>
              </w:rPr>
            </w:pPr>
            <w:r w:rsidRPr="00D64438">
              <w:rPr>
                <w:bCs/>
                <w:sz w:val="16"/>
                <w:szCs w:val="16"/>
              </w:rPr>
              <w:t>1.298</w:t>
            </w:r>
          </w:p>
        </w:tc>
        <w:tc>
          <w:tcPr>
            <w:tcW w:w="658" w:type="dxa"/>
            <w:tcBorders>
              <w:top w:val="single" w:sz="4" w:space="0" w:color="auto"/>
              <w:left w:val="single" w:sz="4" w:space="0" w:color="auto"/>
              <w:bottom w:val="single" w:sz="12" w:space="0" w:color="76923C"/>
              <w:right w:val="single" w:sz="4" w:space="0" w:color="auto"/>
            </w:tcBorders>
            <w:vAlign w:val="center"/>
          </w:tcPr>
          <w:p w14:paraId="19F2631B" w14:textId="77777777" w:rsidR="00F679A2" w:rsidRPr="00D64438" w:rsidRDefault="00F679A2" w:rsidP="00B97309">
            <w:pPr>
              <w:spacing w:line="360" w:lineRule="auto"/>
              <w:rPr>
                <w:bCs/>
                <w:sz w:val="16"/>
                <w:szCs w:val="16"/>
              </w:rPr>
            </w:pPr>
            <w:r w:rsidRPr="00D64438">
              <w:rPr>
                <w:bCs/>
                <w:sz w:val="16"/>
                <w:szCs w:val="16"/>
              </w:rPr>
              <w:t>804</w:t>
            </w:r>
          </w:p>
        </w:tc>
        <w:tc>
          <w:tcPr>
            <w:tcW w:w="658" w:type="dxa"/>
            <w:tcBorders>
              <w:top w:val="single" w:sz="4" w:space="0" w:color="auto"/>
              <w:left w:val="single" w:sz="4" w:space="0" w:color="auto"/>
              <w:bottom w:val="single" w:sz="12" w:space="0" w:color="76923C"/>
              <w:right w:val="single" w:sz="4" w:space="0" w:color="auto"/>
            </w:tcBorders>
            <w:vAlign w:val="center"/>
          </w:tcPr>
          <w:p w14:paraId="02D0C161" w14:textId="77777777" w:rsidR="00F679A2" w:rsidRPr="00D64438" w:rsidRDefault="00F679A2" w:rsidP="00B97309">
            <w:pPr>
              <w:spacing w:line="360" w:lineRule="auto"/>
              <w:rPr>
                <w:bCs/>
                <w:sz w:val="16"/>
                <w:szCs w:val="16"/>
              </w:rPr>
            </w:pPr>
            <w:r w:rsidRPr="00D64438">
              <w:rPr>
                <w:bCs/>
                <w:sz w:val="16"/>
                <w:szCs w:val="16"/>
              </w:rPr>
              <w:t>1.746</w:t>
            </w:r>
          </w:p>
        </w:tc>
        <w:tc>
          <w:tcPr>
            <w:tcW w:w="659" w:type="dxa"/>
            <w:tcBorders>
              <w:top w:val="single" w:sz="4" w:space="0" w:color="auto"/>
              <w:left w:val="single" w:sz="4" w:space="0" w:color="auto"/>
              <w:bottom w:val="single" w:sz="12" w:space="0" w:color="76923C"/>
              <w:right w:val="single" w:sz="4" w:space="0" w:color="auto"/>
            </w:tcBorders>
            <w:vAlign w:val="center"/>
          </w:tcPr>
          <w:p w14:paraId="1D974D0E" w14:textId="77777777" w:rsidR="00F679A2" w:rsidRDefault="00F679A2" w:rsidP="00B97309">
            <w:pPr>
              <w:spacing w:line="360" w:lineRule="auto"/>
              <w:rPr>
                <w:bCs/>
                <w:sz w:val="16"/>
                <w:szCs w:val="16"/>
              </w:rPr>
            </w:pPr>
            <w:r>
              <w:rPr>
                <w:bCs/>
                <w:sz w:val="16"/>
                <w:szCs w:val="16"/>
              </w:rPr>
              <w:t>653</w:t>
            </w:r>
          </w:p>
        </w:tc>
      </w:tr>
    </w:tbl>
    <w:p w14:paraId="04F3480B" w14:textId="443D686A" w:rsidR="00F679A2" w:rsidRPr="005718B1" w:rsidRDefault="00F679A2" w:rsidP="00F679A2">
      <w:pPr>
        <w:widowControl w:val="0"/>
        <w:spacing w:line="360" w:lineRule="auto"/>
        <w:ind w:left="170" w:hanging="170"/>
        <w:rPr>
          <w:sz w:val="16"/>
          <w:szCs w:val="16"/>
        </w:rPr>
      </w:pPr>
      <w:r w:rsidRPr="005718B1">
        <w:rPr>
          <w:sz w:val="16"/>
          <w:szCs w:val="16"/>
        </w:rPr>
        <w:t>VIR: UVHVVR</w:t>
      </w:r>
      <w:r w:rsidR="00B56C8D">
        <w:rPr>
          <w:sz w:val="16"/>
          <w:szCs w:val="16"/>
        </w:rPr>
        <w:t xml:space="preserve"> in </w:t>
      </w:r>
      <w:r w:rsidR="00B56C8D" w:rsidRPr="00B56C8D">
        <w:rPr>
          <w:sz w:val="16"/>
          <w:szCs w:val="16"/>
        </w:rPr>
        <w:t>Poročilo o stanju kmetijstva, živilstva, gozdarstva in ribištva 20</w:t>
      </w:r>
      <w:r w:rsidR="00B56C8D">
        <w:rPr>
          <w:sz w:val="16"/>
          <w:szCs w:val="16"/>
        </w:rPr>
        <w:t>19</w:t>
      </w:r>
    </w:p>
    <w:p w14:paraId="041F7A35" w14:textId="6B3E8688" w:rsidR="00F679A2" w:rsidRPr="005B2A49" w:rsidRDefault="00F679A2" w:rsidP="005B2A49">
      <w:pPr>
        <w:spacing w:after="120" w:line="260" w:lineRule="atLeast"/>
        <w:rPr>
          <w:rFonts w:eastAsia="Calibri"/>
          <w:szCs w:val="20"/>
        </w:rPr>
      </w:pPr>
      <w:r w:rsidRPr="005B2A49">
        <w:rPr>
          <w:rFonts w:eastAsia="Calibri"/>
          <w:szCs w:val="20"/>
        </w:rPr>
        <w:t>Poraba medu na prebivalca se je v Sloveniji gibala okoli 1 kilograma, največja poraba medu z 1,4 kilograma je bila v letih 2011, 2013 in 2015. Od leta 2015 poraba medu pada in leta 2019 je z 0,</w:t>
      </w:r>
      <w:r w:rsidR="00A93904">
        <w:rPr>
          <w:rFonts w:eastAsia="Calibri"/>
          <w:szCs w:val="20"/>
        </w:rPr>
        <w:t>7</w:t>
      </w:r>
      <w:r w:rsidRPr="005B2A49">
        <w:rPr>
          <w:rFonts w:eastAsia="Calibri"/>
          <w:szCs w:val="20"/>
        </w:rPr>
        <w:t xml:space="preserve"> kilograma znašala najmanj v zadnjih desetih letih. Stopnja samooskrbe niha, </w:t>
      </w:r>
      <w:r w:rsidR="00A93904">
        <w:rPr>
          <w:rFonts w:eastAsia="Calibri"/>
          <w:szCs w:val="20"/>
        </w:rPr>
        <w:t xml:space="preserve">v zadnjih desetih letih se </w:t>
      </w:r>
      <w:r w:rsidRPr="005B2A49">
        <w:rPr>
          <w:rFonts w:eastAsia="Calibri"/>
          <w:szCs w:val="20"/>
        </w:rPr>
        <w:t xml:space="preserve">giblje med 44 in </w:t>
      </w:r>
      <w:r w:rsidR="00A93904">
        <w:rPr>
          <w:rFonts w:eastAsia="Calibri"/>
          <w:szCs w:val="20"/>
        </w:rPr>
        <w:t>85</w:t>
      </w:r>
      <w:r w:rsidRPr="005B2A49">
        <w:rPr>
          <w:rFonts w:eastAsia="Calibri"/>
          <w:szCs w:val="20"/>
        </w:rPr>
        <w:t> %. Slovenski čebelarji prodajo neposredno na domu več kot 80 % pridelanega medu. V letu 2010 se je na tržnicah prodalo 137 ton medu, v letu 2019 pa le 56 ton medu. Odkupne cene vseh vrst medu v Sloveniji so v zadnjih letih narasle. V letih med 2010 in 2019 so cene narasle iz 3,2 do 5,1 EUR/kg.</w:t>
      </w:r>
    </w:p>
    <w:p w14:paraId="469FFD2C" w14:textId="77777777" w:rsidR="00F679A2" w:rsidRPr="005B2A49" w:rsidRDefault="00F679A2" w:rsidP="005B2A49">
      <w:pPr>
        <w:spacing w:after="120" w:line="260" w:lineRule="atLeast"/>
        <w:rPr>
          <w:rFonts w:eastAsia="Calibri"/>
          <w:szCs w:val="20"/>
        </w:rPr>
      </w:pPr>
      <w:r w:rsidRPr="005B2A49">
        <w:rPr>
          <w:rFonts w:eastAsia="Calibri"/>
          <w:szCs w:val="20"/>
        </w:rPr>
        <w:t>Precej višjo ceno čebelarji dosegajo pri prodaji na tržnicah. Odkupna cena medu na tržnicah se je od leta 2010 do leta 2019 povečala za 76 % na 9,99 EUR/kg medu. Lastna cena končnega proizvoda je visoka zaradi visokih stroškov, na to pa vplivajo številni dejavniki (podnebne spremembe, zimske izgube čebeljih družin, izgube zaradi bolezni čebel, zastrupitev, požar, veter, poplave ter oblika čebelarjenja, ki je lahko stacionarna ali prevozna, usmerjena v proizvodnjo medu ali matic oziroma čebeljih družin, čebelarjenje v tradicionalnih AŽ panjih).</w:t>
      </w:r>
    </w:p>
    <w:p w14:paraId="02C06A7D" w14:textId="58BC03C5" w:rsidR="00F679A2" w:rsidRPr="005B2A49" w:rsidRDefault="00F679A2" w:rsidP="005B2A49">
      <w:pPr>
        <w:spacing w:after="120" w:line="260" w:lineRule="atLeast"/>
        <w:rPr>
          <w:rFonts w:eastAsia="Calibri"/>
          <w:szCs w:val="20"/>
        </w:rPr>
      </w:pPr>
      <w:r w:rsidRPr="005B2A49">
        <w:rPr>
          <w:rFonts w:eastAsia="Calibri"/>
          <w:szCs w:val="20"/>
        </w:rPr>
        <w:t xml:space="preserve">Izvoz medu se je v obdobju 2011-2018 povečeval (od 32 t na 378 t), v letu 2019 pa z 332 tonami nekoliko zmanjšal. Na drugi strani pa se je uvoz medu povečeval do leta 2014 (1.425 t) ter zmanjševal v letih 2015-2016. Po ponovni rasti v letu 2017 se uvoz medu zmanjšuje; v letu 2019 je bilo uvoženo </w:t>
      </w:r>
      <w:r w:rsidR="00D573B3">
        <w:rPr>
          <w:rFonts w:eastAsia="Calibri"/>
          <w:szCs w:val="20"/>
        </w:rPr>
        <w:t>857</w:t>
      </w:r>
      <w:r w:rsidRPr="005B2A49">
        <w:rPr>
          <w:rFonts w:eastAsia="Calibri"/>
          <w:szCs w:val="20"/>
        </w:rPr>
        <w:t xml:space="preserve"> t medu.</w:t>
      </w:r>
    </w:p>
    <w:p w14:paraId="2AC1E74C" w14:textId="09AC350A" w:rsidR="00F679A2" w:rsidRPr="005B2A49" w:rsidRDefault="00F679A2" w:rsidP="005B2A49">
      <w:pPr>
        <w:spacing w:after="120" w:line="260" w:lineRule="atLeast"/>
        <w:rPr>
          <w:rFonts w:eastAsia="Calibri"/>
          <w:szCs w:val="20"/>
        </w:rPr>
      </w:pPr>
      <w:r w:rsidRPr="005B2A49">
        <w:rPr>
          <w:rFonts w:eastAsia="Calibri"/>
          <w:szCs w:val="20"/>
        </w:rPr>
        <w:t xml:space="preserve">Zelo pomembno nalogo pri ohranjanju kranjske čebele imajo tudi vzrejevalci čebeljih matic.. </w:t>
      </w:r>
      <w:r w:rsidR="00C5697C">
        <w:rPr>
          <w:rFonts w:eastAsia="Calibri"/>
          <w:szCs w:val="20"/>
        </w:rPr>
        <w:t>O</w:t>
      </w:r>
      <w:r w:rsidRPr="005B2A49">
        <w:rPr>
          <w:rFonts w:eastAsia="Calibri"/>
          <w:szCs w:val="20"/>
        </w:rPr>
        <w:t xml:space="preserve">krog 35 odobrenih vzrejališč čebeljih matic letno vzredi okrog 40.000 </w:t>
      </w:r>
      <w:r w:rsidR="00C5697C">
        <w:rPr>
          <w:rFonts w:eastAsia="Calibri"/>
          <w:szCs w:val="20"/>
        </w:rPr>
        <w:t>čebeljih</w:t>
      </w:r>
      <w:r w:rsidR="00C5697C" w:rsidRPr="005B2A49">
        <w:rPr>
          <w:rFonts w:eastAsia="Calibri"/>
          <w:szCs w:val="20"/>
        </w:rPr>
        <w:t xml:space="preserve"> </w:t>
      </w:r>
      <w:r w:rsidRPr="005B2A49">
        <w:rPr>
          <w:rFonts w:eastAsia="Calibri"/>
          <w:szCs w:val="20"/>
        </w:rPr>
        <w:t>matic</w:t>
      </w:r>
      <w:r w:rsidR="00C5697C">
        <w:rPr>
          <w:rFonts w:eastAsia="Calibri"/>
          <w:szCs w:val="20"/>
        </w:rPr>
        <w:t>, ki so v večji meri gospodarske matice, v manjšem obsegu pa se vzreja tudi rodovniške matice</w:t>
      </w:r>
      <w:r w:rsidRPr="005B2A49">
        <w:rPr>
          <w:rFonts w:eastAsia="Calibri"/>
          <w:szCs w:val="20"/>
        </w:rPr>
        <w:t>. Povpraševanje po maticah kranjske čebele se vsako leto povečuje in vpliva na večjo vzrejo matic.</w:t>
      </w:r>
    </w:p>
    <w:p w14:paraId="6BD316B1" w14:textId="77777777" w:rsidR="00F679A2" w:rsidRPr="005B2A49" w:rsidRDefault="00F679A2" w:rsidP="005B2A49">
      <w:pPr>
        <w:spacing w:after="120" w:line="260" w:lineRule="atLeast"/>
        <w:rPr>
          <w:rFonts w:eastAsia="Calibri"/>
          <w:szCs w:val="20"/>
        </w:rPr>
      </w:pPr>
      <w:r w:rsidRPr="005B2A49">
        <w:rPr>
          <w:rFonts w:eastAsia="Calibri"/>
          <w:szCs w:val="20"/>
        </w:rPr>
        <w:t>Čebele in divji opraševalci imajo pozitivne učinke na celoten ekosistem in na ohranjanje biotske raznovrstnosti. Od opraševanja je odvisnih več kot 80 % glavnih poljščinah, ki se gojijo za prehrano ljudi v Evropi oziroma več kot 70 % na svetovni ravni. V sadjarstvu so čebele ključnega pomena, saj spomladi, v obdobju največjega cvetenja, preostali možni opraševalci (npr. čmrlji, metulji) po navadi le malo prispevajo k uspešnosti opraševanja. Za ohranitev medonosnih čebel in ostalih opraševalcev je potrebno zagotoviti ustrezne prehranske vire čez celo leto s setvijo medonosnih rastlin, večanjem obsega cvetočih travnikov in območij, ki so primerna za ekološko čebelarjenje. Čebelarje je potrebno vključevati v promocijo biotske raznovrstnosti ter ozaveščati širšo javnost o pomenu opraševalcev. Poleg tega je potrebno javnost ozaveščati o uporabi fitofarmacevtskih sredstev, uvajanju integriranega varstva rastlin.</w:t>
      </w:r>
    </w:p>
    <w:p w14:paraId="1C1A6B1B" w14:textId="77777777" w:rsidR="00F679A2" w:rsidRPr="005B2A49" w:rsidRDefault="00F679A2" w:rsidP="005B2A49">
      <w:pPr>
        <w:spacing w:after="120" w:line="260" w:lineRule="atLeast"/>
        <w:rPr>
          <w:rFonts w:eastAsia="Calibri"/>
          <w:szCs w:val="20"/>
        </w:rPr>
      </w:pPr>
      <w:r w:rsidRPr="00F679A2">
        <w:rPr>
          <w:rFonts w:eastAsia="Calibri"/>
          <w:szCs w:val="20"/>
        </w:rPr>
        <w:t>V primerjavi z zahodnimi državami je v Sloveniji pestrost opraševalcev zaradi naravnih danosti še zelo velika. V zadnjih desetletjih so se močno poslabšale razmere s čebeljo pašo, težavna je preskrba čebe</w:t>
      </w:r>
      <w:r w:rsidRPr="00C25531">
        <w:rPr>
          <w:rFonts w:eastAsia="Calibri"/>
          <w:szCs w:val="20"/>
        </w:rPr>
        <w:t xml:space="preserve">lje družine v poletnem in poznopoletnem obdobju. Zaradi tega bo potrebno posebno pozornost posvetiti predvsem gozdni paši in mokriščem ter tujerodnim invazivnim rastlinam (orjaška in kanadska zlata rozga, japonski dresnik, žlezasta nedotika), ki so lahko zelo medonosne, a predstavljajo grožnjo avtohtonemu rastlinju. Še bolj kot medonosne čebele, so zaradi teh dejavnikov ogroženi divji opraševalci. </w:t>
      </w:r>
    </w:p>
    <w:p w14:paraId="547A9A39" w14:textId="77777777" w:rsidR="00F679A2" w:rsidRPr="005B2A49" w:rsidRDefault="00F679A2" w:rsidP="005B2A49">
      <w:pPr>
        <w:spacing w:after="120" w:line="260" w:lineRule="atLeast"/>
        <w:rPr>
          <w:rFonts w:eastAsia="Calibri"/>
          <w:szCs w:val="20"/>
        </w:rPr>
      </w:pPr>
      <w:r w:rsidRPr="005B2A49">
        <w:rPr>
          <w:rFonts w:eastAsia="Calibri"/>
          <w:szCs w:val="20"/>
        </w:rPr>
        <w:t>Zaradi majhnosti naše države nismo konkurenčni po količini pridelanega medu, vendar si zato čebelarji še toliko skrbneje prizadevajo za višjo kakovost in prepoznavnost medu, pridelanega v Sloveniji. Za lažje nastopanje na trgu slovenski čebelarji vstopajo v različne sheme kakovosti, ki proizvajalcem daje prepoznavnost in omogoča boljšo konkurenčnost.</w:t>
      </w:r>
    </w:p>
    <w:p w14:paraId="7E7B6561" w14:textId="77777777" w:rsidR="00F679A2" w:rsidRPr="005B2A49" w:rsidRDefault="00F679A2" w:rsidP="005B2A49">
      <w:pPr>
        <w:spacing w:after="120" w:line="260" w:lineRule="atLeast"/>
        <w:rPr>
          <w:rFonts w:eastAsia="Calibri"/>
          <w:szCs w:val="20"/>
        </w:rPr>
      </w:pPr>
      <w:r w:rsidRPr="005B2A49">
        <w:rPr>
          <w:rFonts w:eastAsia="Calibri"/>
          <w:szCs w:val="20"/>
        </w:rPr>
        <w:t>Največji izziv predstavlja obvladovanje različnih bolezni čebel, predvsem varoze in zagotavljanje zadostne in raznolike prehranjenosti čebeljih družin. Precejšnje težave predstavljajo pogoste neugodne vremenske razmere.</w:t>
      </w:r>
    </w:p>
    <w:p w14:paraId="5EED30EC" w14:textId="77777777" w:rsidR="00F679A2" w:rsidRPr="005B2A49" w:rsidRDefault="00F679A2" w:rsidP="005B2A49">
      <w:pPr>
        <w:spacing w:after="120" w:line="260" w:lineRule="atLeast"/>
        <w:rPr>
          <w:rFonts w:eastAsia="Calibri"/>
          <w:szCs w:val="20"/>
        </w:rPr>
      </w:pPr>
      <w:r w:rsidRPr="005B2A49">
        <w:rPr>
          <w:rFonts w:eastAsia="Calibri"/>
          <w:szCs w:val="20"/>
        </w:rPr>
        <w:t>Čebelarstvo omogoča nova zelena delovna mesta in nove priložnosti, ki se nudijo čebelarskim družinam oziroma kmetijam, na primer razvoj čebelarskega turizma, razvoj izdelkov z dodano vrednostjo. Dopolnilne dejavnosti povezane s predelavo čebeljih proizvodov in čebelarskim turizmom so se pričele razvijati šele v zadnjih letih, kakor tudi uvedba prilagojenih čebelnjakov v čebelarstvo za vključitev invalidov na invalidskih vozičkih.</w:t>
      </w:r>
    </w:p>
    <w:p w14:paraId="4C7AC326" w14:textId="77777777" w:rsidR="00F679A2" w:rsidRPr="005B2A49" w:rsidRDefault="00F679A2" w:rsidP="005B2A49">
      <w:pPr>
        <w:spacing w:after="120" w:line="260" w:lineRule="atLeast"/>
        <w:rPr>
          <w:rFonts w:eastAsia="Calibri"/>
          <w:szCs w:val="20"/>
        </w:rPr>
      </w:pPr>
      <w:r w:rsidRPr="005B2A49">
        <w:rPr>
          <w:rFonts w:eastAsia="Calibri"/>
          <w:szCs w:val="20"/>
        </w:rPr>
        <w:t>Čebelarstvo je del bogate zgodovinske in kulturne dediščine Slovenije. Čebele imajo velik pomen za narodno zavest, kranjska čebela je eden od nacionalnih simbolov. Posebnost slovenskega čebelarjenja in edinstven element slovenske kulturne krajine so čebelnjaki z vanje zloženimi Albert-Žnidaršičevimi panji (AŽ-panji). Čebelnjaki se po pokrajinah sicer razlikujejo, vendar pa ima t. i. slovenski čebelnjak že nekaj stoletij svojo značilno obliko.</w:t>
      </w:r>
    </w:p>
    <w:p w14:paraId="1C9D547C" w14:textId="6234C967" w:rsidR="00F679A2" w:rsidRPr="005B2A49" w:rsidRDefault="00F679A2" w:rsidP="005B2A49">
      <w:pPr>
        <w:spacing w:after="120" w:line="260" w:lineRule="atLeast"/>
        <w:rPr>
          <w:rFonts w:eastAsia="Calibri"/>
          <w:szCs w:val="20"/>
        </w:rPr>
      </w:pPr>
      <w:r w:rsidRPr="005B2A49">
        <w:rPr>
          <w:rFonts w:eastAsia="Calibri"/>
          <w:szCs w:val="20"/>
        </w:rPr>
        <w:t xml:space="preserve">Skupna tržna ureditev v okviru SKP daje tudi čebelarjem možnost uveljavljanja različnih ukrepov. Vsaka država članica lahko pripravi nacionalni program na področju čebelarstva, ki ga v 50 odstotnem deležu sofinancira Evropska unija. V okviru </w:t>
      </w:r>
      <w:r w:rsidR="00C5697C">
        <w:rPr>
          <w:rFonts w:eastAsia="Calibri"/>
          <w:szCs w:val="20"/>
        </w:rPr>
        <w:t>Programa ukrepov na področju čebelarstva</w:t>
      </w:r>
      <w:r w:rsidRPr="005B2A49">
        <w:rPr>
          <w:rFonts w:eastAsia="Calibri"/>
          <w:szCs w:val="20"/>
        </w:rPr>
        <w:t xml:space="preserve">je čebelarjem preko </w:t>
      </w:r>
      <w:r w:rsidR="00C5697C">
        <w:rPr>
          <w:rFonts w:eastAsia="Calibri"/>
          <w:szCs w:val="20"/>
        </w:rPr>
        <w:t>različnih</w:t>
      </w:r>
      <w:r w:rsidRPr="005B2A49">
        <w:rPr>
          <w:rFonts w:eastAsia="Calibri"/>
          <w:szCs w:val="20"/>
        </w:rPr>
        <w:t xml:space="preserve"> posebnih ukrepov omogočeno posodabljanje čebelarske opreme, izobraževanje in usposabljanje na področju čebelarstva, brezplačne analize medu in ostalih čebeljih pridelkov, ohranjanje čebeljega fonda</w:t>
      </w:r>
      <w:r w:rsidR="00C5697C">
        <w:rPr>
          <w:rFonts w:eastAsia="Calibri"/>
          <w:szCs w:val="20"/>
        </w:rPr>
        <w:t>,</w:t>
      </w:r>
      <w:r w:rsidRPr="005B2A49">
        <w:rPr>
          <w:rFonts w:eastAsia="Calibri"/>
          <w:szCs w:val="20"/>
        </w:rPr>
        <w:t xml:space="preserve"> izvajanje aplikativnih raziskav</w:t>
      </w:r>
      <w:r w:rsidR="00C5697C">
        <w:rPr>
          <w:rFonts w:eastAsia="Calibri"/>
          <w:szCs w:val="20"/>
        </w:rPr>
        <w:t xml:space="preserve"> itd</w:t>
      </w:r>
      <w:r w:rsidRPr="005B2A49">
        <w:rPr>
          <w:rFonts w:eastAsia="Calibri"/>
          <w:szCs w:val="20"/>
        </w:rPr>
        <w:t xml:space="preserve">. V Sloveniji izvajamo že šesti triletni program ukrepov na področju čebelarstva, za kar </w:t>
      </w:r>
      <w:r w:rsidR="00C5697C">
        <w:rPr>
          <w:rFonts w:eastAsia="Calibri"/>
          <w:szCs w:val="20"/>
        </w:rPr>
        <w:t xml:space="preserve">smo do leta 2020, </w:t>
      </w:r>
      <w:r w:rsidRPr="005B2A49">
        <w:rPr>
          <w:rFonts w:eastAsia="Calibri"/>
          <w:szCs w:val="20"/>
        </w:rPr>
        <w:t>letno nameni</w:t>
      </w:r>
      <w:r w:rsidR="00C5697C">
        <w:rPr>
          <w:rFonts w:eastAsia="Calibri"/>
          <w:szCs w:val="20"/>
        </w:rPr>
        <w:t>li</w:t>
      </w:r>
      <w:r w:rsidRPr="005B2A49">
        <w:rPr>
          <w:rFonts w:eastAsia="Calibri"/>
          <w:szCs w:val="20"/>
        </w:rPr>
        <w:t xml:space="preserve"> okvirno 760.000 EUR. </w:t>
      </w:r>
      <w:r w:rsidR="00C5697C">
        <w:rPr>
          <w:rFonts w:eastAsia="Calibri"/>
          <w:szCs w:val="20"/>
        </w:rPr>
        <w:t xml:space="preserve">V programskih letih 2021, 2022 pa so se sredstva </w:t>
      </w:r>
      <w:r w:rsidR="00796A6C">
        <w:rPr>
          <w:rFonts w:eastAsia="Calibri"/>
          <w:szCs w:val="20"/>
        </w:rPr>
        <w:t>na letni ravni z</w:t>
      </w:r>
      <w:r w:rsidR="00C5697C">
        <w:rPr>
          <w:rFonts w:eastAsia="Calibri"/>
          <w:szCs w:val="20"/>
        </w:rPr>
        <w:t xml:space="preserve">višala na približno 1,3 milijona EUR. </w:t>
      </w:r>
      <w:r w:rsidRPr="005B2A49">
        <w:rPr>
          <w:rFonts w:eastAsia="Calibri"/>
          <w:szCs w:val="20"/>
        </w:rPr>
        <w:t xml:space="preserve">V okviru </w:t>
      </w:r>
      <w:r w:rsidR="00796A6C">
        <w:rPr>
          <w:rFonts w:eastAsia="Calibri"/>
          <w:szCs w:val="20"/>
        </w:rPr>
        <w:t>P</w:t>
      </w:r>
      <w:r w:rsidRPr="005B2A49">
        <w:rPr>
          <w:rFonts w:eastAsia="Calibri"/>
          <w:szCs w:val="20"/>
        </w:rPr>
        <w:t>rograma</w:t>
      </w:r>
      <w:r w:rsidR="00796A6C">
        <w:rPr>
          <w:rFonts w:eastAsia="Calibri"/>
          <w:szCs w:val="20"/>
        </w:rPr>
        <w:t xml:space="preserve"> ukrepov na področju čebelarstva</w:t>
      </w:r>
      <w:r w:rsidRPr="005B2A49">
        <w:rPr>
          <w:rFonts w:eastAsia="Calibri"/>
          <w:szCs w:val="20"/>
        </w:rPr>
        <w:t xml:space="preserve"> smo v programskem obdobju 2017</w:t>
      </w:r>
      <w:r w:rsidR="00796A6C">
        <w:rPr>
          <w:rFonts w:eastAsia="Calibri"/>
          <w:szCs w:val="20"/>
        </w:rPr>
        <w:t>-</w:t>
      </w:r>
      <w:r w:rsidRPr="005B2A49">
        <w:rPr>
          <w:rFonts w:eastAsia="Calibri"/>
          <w:szCs w:val="20"/>
        </w:rPr>
        <w:t xml:space="preserve">2019 izvajali ukrepe Tehnična pomoč čebelarjem in organizacijam čebelarjev, Zatiranje škodljivcev in bolezni čebel, zlasti varoze, Podpora laboratorijem za analizo čebelarskih pridelkov, Racionalizacija sezonske selitve panjev, Podpora pri obnovi čebeljega fonda ter aplikativne raziskave na področju čebelarstva. </w:t>
      </w:r>
      <w:r w:rsidR="00796A6C">
        <w:rPr>
          <w:rFonts w:eastAsia="Calibri"/>
          <w:szCs w:val="20"/>
        </w:rPr>
        <w:t>V programskem obdobju 2020-2022 se poleg omenjenih ukrepov izvajajo tudi številni drugi ukrepi s katerimi izboljšujemo splošne pogoje za proizvodnjo in trženje čebelarskih proizvodov</w:t>
      </w:r>
      <w:r w:rsidRPr="005B2A49">
        <w:rPr>
          <w:rFonts w:eastAsia="Calibri"/>
          <w:szCs w:val="20"/>
        </w:rPr>
        <w:t>.</w:t>
      </w:r>
    </w:p>
    <w:p w14:paraId="5ABEDE0E" w14:textId="77777777" w:rsidR="00F679A2" w:rsidRPr="005B2A49" w:rsidRDefault="00F679A2" w:rsidP="005B2A49">
      <w:pPr>
        <w:spacing w:after="120" w:line="260" w:lineRule="atLeast"/>
        <w:rPr>
          <w:rFonts w:eastAsia="Calibri"/>
          <w:szCs w:val="20"/>
        </w:rPr>
      </w:pPr>
      <w:r w:rsidRPr="005B2A49">
        <w:rPr>
          <w:rFonts w:eastAsia="Calibri"/>
          <w:szCs w:val="20"/>
        </w:rPr>
        <w:t>V okviru Programa razvoja podeželja 2014-2020 se izvajajo različni ukrepi za spodbujanje čebelarstva in ohranjanje števila opraševalcev. V okviru ukrepa M04.2 Podpora za naložbe v predelavo/trženje in/ali razvoj kmetijskih proizvodov se čebelarjem omogoča posodobitev čebelarske opreme. V okviru KOPOP se izvajajo ukrepi, ki so namenjeni varovanju travnikov. Opraševalci se podpirajo tudi preko Neprezimnih medonosnih posevkov v okviru operacij Poljedelstvo in zelenjadarstvo ter Vodni viri, preko katerih se spodbuja setev medonosnih rastlin in podaljšuje pašna sezona za čebele v pozno jesen. K ohranjanju opraševalcev posredno prispevajo tudi druge operacije in zahteve ukrepa KOPOP, ki omejujejo ali prepovedujejo uporabo gnojil in fitofarmacevtskih sredstev. Tudi v večini LAS projektov se izvajajo teme iz področja čebel in opraševalcev (čebelarske učne poti, učne delavnice za otroke, priprava zloženk, vrtovi medonosnih rastlin,…). Z ukrepom Ekološko kmetovanje MKGP podpira ekološko čebelarjenje s podporami na čebeljo družino. Ta ukrep posredno prispeva k ohranjanju opraševalcev, ker omejuje ali prepoveduje uporabo gnojil in fitofarmacevtskih sredstev.</w:t>
      </w:r>
    </w:p>
    <w:p w14:paraId="6759A416" w14:textId="344EB187" w:rsidR="00F679A2" w:rsidRPr="005B2A49" w:rsidRDefault="00F679A2" w:rsidP="005B2A49">
      <w:pPr>
        <w:spacing w:after="120" w:line="260" w:lineRule="atLeast"/>
        <w:rPr>
          <w:rFonts w:eastAsia="Calibri"/>
          <w:szCs w:val="20"/>
        </w:rPr>
      </w:pPr>
      <w:r w:rsidRPr="005B2A49">
        <w:rPr>
          <w:rFonts w:eastAsia="Calibri"/>
          <w:szCs w:val="20"/>
        </w:rPr>
        <w:t xml:space="preserve">V Sloveniji tudi na področju čebelarstva deluje javna služba strokovnih nalog v živinoreji. Namen izvajanja te javne službe je izboljševanje proizvodnih in neproizvodnih lastnosti kranjske čebele, izboljševanje oziroma ohranjanje njenega genetskega napredka, zagotavljanje plemenskega materiala, povečevanje števila plemenskih živali, ki so vpisane v rodovniške knjige. Strokovno delo v čebelarstvu izvajajo </w:t>
      </w:r>
      <w:r w:rsidR="005C13DE">
        <w:rPr>
          <w:rFonts w:eastAsia="Calibri"/>
          <w:szCs w:val="20"/>
        </w:rPr>
        <w:t>zaposleni</w:t>
      </w:r>
      <w:r w:rsidRPr="005B2A49">
        <w:rPr>
          <w:rFonts w:eastAsia="Calibri"/>
          <w:szCs w:val="20"/>
        </w:rPr>
        <w:t xml:space="preserve"> </w:t>
      </w:r>
      <w:r w:rsidR="005C13DE">
        <w:rPr>
          <w:rFonts w:eastAsia="Calibri"/>
          <w:szCs w:val="20"/>
        </w:rPr>
        <w:t xml:space="preserve">iz </w:t>
      </w:r>
      <w:r w:rsidRPr="005B2A49">
        <w:rPr>
          <w:rFonts w:eastAsia="Calibri"/>
          <w:szCs w:val="20"/>
        </w:rPr>
        <w:t>Čebelarske zveze Slovenije in Kmetijskega inštituta Slovenije.</w:t>
      </w:r>
    </w:p>
    <w:p w14:paraId="74F8DA7F" w14:textId="77777777" w:rsidR="00F679A2" w:rsidRPr="005B2A49" w:rsidRDefault="00F679A2" w:rsidP="005B2A49">
      <w:pPr>
        <w:spacing w:after="120" w:line="260" w:lineRule="atLeast"/>
        <w:rPr>
          <w:rFonts w:eastAsia="Calibri"/>
          <w:szCs w:val="20"/>
        </w:rPr>
      </w:pPr>
      <w:r w:rsidRPr="005B2A49">
        <w:rPr>
          <w:rFonts w:eastAsia="Calibri"/>
          <w:szCs w:val="20"/>
        </w:rPr>
        <w:t>Čebelarjem je svetovanje zagotovljeno preko javne svetovalne službe v čebelarstvu, ki jo na podlagi večletne koncesije izvaja ČZS in financira proračun RS. Služba pokriva območje celotne Slovenije, čebelarjem je na voljo brezplačen specialistični nasvet oziroma nasvet terenskih svetovalcev glede tehnologije čebelarjenja. Za povečevanje števila mlajših čebelarjev delujejo na osnovnih in srednjih šolah čebelarski krožki, ki jih vodijo čebelarji in učitelji. Za čebelarje je organiziranih mnogo usposabljanj, ki se nanašajo na posamezne teme iz tehnologije in ekonomike čebelarjenja ter varne hrane. Služba skrbi za ozaveščanje in obveščanje splošne javnosti in potrošnikov o pomenu in vlogi čebelarstva in čebel, zato vsako leto izdaja izobraževalna in promocijska gradiva, organizira različne medene dneve in izobraževalne akcije, objavlja članke, sodeluje v radijskih in televizijskih oddajah ter opravlja še druge dejavnosti.</w:t>
      </w:r>
    </w:p>
    <w:p w14:paraId="09E339AB" w14:textId="77777777" w:rsidR="00F679A2" w:rsidRPr="005B2A49" w:rsidRDefault="00F679A2" w:rsidP="005B2A49">
      <w:pPr>
        <w:spacing w:after="120" w:line="260" w:lineRule="atLeast"/>
        <w:rPr>
          <w:rFonts w:eastAsia="Calibri"/>
          <w:szCs w:val="20"/>
        </w:rPr>
      </w:pPr>
      <w:r w:rsidRPr="005B2A49">
        <w:rPr>
          <w:rFonts w:eastAsia="Calibri"/>
          <w:szCs w:val="20"/>
        </w:rPr>
        <w:t>Javna specialistična veterinarska služba za zdravstveno varstvo čebel deluje v Sloveniji že več kot 30 let, od leta 2002 je organizirana na Nacionalnem veterinarskem inštitutu Veterinarske fakultete Univerze v Ljubljani. V strokovno in raziskovalno delo se stalno vključujejo tudi raziskovalci in učitelji drugih raziskovalnih in izobraževalnih ustanov v Sloveniji. Ta služba, deluje tudi na področju izobraževanja čebelarjev.</w:t>
      </w:r>
    </w:p>
    <w:p w14:paraId="6D280E97"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področje prenosa znanja v prakso v domačem in mednarodnem okolju, je bila ustanovljena Slovenska čebelarska akademija, ki deluje kot notranja organizacijska enota Kmetijskega inštituta Slovenije. Akademija deluje na trgu in predvsem tujim interesentom ponuja izobraževalne storitve v panogi. </w:t>
      </w:r>
    </w:p>
    <w:p w14:paraId="34C49CE9" w14:textId="77777777" w:rsidR="00F679A2" w:rsidRPr="005B2A49" w:rsidRDefault="00F679A2" w:rsidP="005B2A49">
      <w:pPr>
        <w:spacing w:after="120" w:line="260" w:lineRule="atLeast"/>
        <w:rPr>
          <w:rFonts w:eastAsia="Calibri"/>
          <w:szCs w:val="20"/>
        </w:rPr>
      </w:pPr>
      <w:r w:rsidRPr="005B2A49">
        <w:rPr>
          <w:rFonts w:eastAsia="Calibri"/>
          <w:szCs w:val="20"/>
        </w:rPr>
        <w:t>V letih od 2010 do 2018 je bilo izbranih deset CRP projektov iz področja čebelarstva za izboljšanje tehnologije čebelarjenja in kakovosti čebeljih pridelkov. Da bi se poleg čebel lahko tudi učinkovito spoprijeli z izboljšanjem in ohranitvijo habitatov divjih opraševalcev, je MKGP skupaj z MOP financiralo CRP projekte za proučevanje stanja divjih opraševalcev v Sloveniji, izboljšanje tehnologije čebelarjenja in proučevanje vpliva podnebnih sprememb na opraševalce. V okviru projektov ERA NET SusAn je leta 2016 potekal projekt BPRACTICES izboljšanje zdravstvenega stanja čebel v obdobju malega panjskega hrošča (Aethina tumida) v Evropi), v okviru Aplikativnih projektov ARRS je potekal projekt za vzpostavitev čebeljih celičnih linij in standardiziranih in vitro testov za oceno škodljivih učinkov strupov in okužb na čebele.</w:t>
      </w:r>
    </w:p>
    <w:p w14:paraId="75C45967" w14:textId="77777777" w:rsidR="00F679A2" w:rsidRPr="005B2A49" w:rsidRDefault="00F679A2" w:rsidP="005B2A49">
      <w:pPr>
        <w:spacing w:after="120" w:line="260" w:lineRule="atLeast"/>
        <w:rPr>
          <w:rFonts w:eastAsia="Calibri"/>
          <w:szCs w:val="20"/>
        </w:rPr>
      </w:pPr>
      <w:r w:rsidRPr="005B2A49">
        <w:rPr>
          <w:rFonts w:eastAsia="Calibri"/>
          <w:szCs w:val="20"/>
        </w:rPr>
        <w:t>V okviru prvega javnega razpisa ukrepa Sodelovanje v okviru PRP 2014-2020, so bili odobreni trije projekti s področja čebelarstva, in sicer projekt EIP z naslovom Sadjarji za opraševalce in opraševalci za sadjarje, v okviru ukrepa Diverzifikacije kmetijskih dejavnosti pa projekta z naslovom Diverzifikacija dejavnosti pri čebelarstvu Lovrić in Diverzifikacija dejavnosti pri čebelarstvu Gramc.</w:t>
      </w:r>
    </w:p>
    <w:p w14:paraId="08A6BE8E" w14:textId="77777777" w:rsidR="00F679A2" w:rsidRPr="005B2A49" w:rsidRDefault="00F679A2" w:rsidP="005B2A49">
      <w:pPr>
        <w:spacing w:after="120" w:line="260" w:lineRule="atLeast"/>
        <w:rPr>
          <w:rFonts w:eastAsia="Calibri"/>
          <w:szCs w:val="20"/>
        </w:rPr>
      </w:pPr>
      <w:r w:rsidRPr="005B2A49">
        <w:rPr>
          <w:rFonts w:eastAsia="Calibri"/>
          <w:szCs w:val="20"/>
        </w:rPr>
        <w:t>Na področju izmenjave znanja in inovacij so bile na področju čebelarstva zaznane naslednje potrebe:</w:t>
      </w:r>
    </w:p>
    <w:p w14:paraId="7FE9040E" w14:textId="5E8637B9" w:rsidR="00F679A2" w:rsidRDefault="00F679A2" w:rsidP="005B2A49">
      <w:pPr>
        <w:spacing w:after="120" w:line="260" w:lineRule="atLeast"/>
        <w:rPr>
          <w:rFonts w:eastAsia="Calibri"/>
          <w:szCs w:val="20"/>
        </w:rPr>
      </w:pPr>
      <w:r w:rsidRPr="005B2A49">
        <w:rPr>
          <w:rFonts w:eastAsia="Calibri"/>
          <w:szCs w:val="20"/>
        </w:rPr>
        <w:t>okrepitev raziskav na področju novejših tehnologij in omogočanje pretoka znanja do končnega uporabnika, okrepitev izobraževanja za čebelarje na področju specialnega znanja, povečanje raziskav na področju tehnologije pridelave in predelave medu, izboljšanje pretoka strokovno - znanstvenega znanja do končnega uporabnika, uvedba predmeta čebelarstvo v izobraževalni program kmetijskih šol, okrepitev izobraževanja o zdravstvenem varstvu čebel, krepitev prenosa znanja med vsemi deležniki v pridelovalni verigi.</w:t>
      </w:r>
    </w:p>
    <w:p w14:paraId="5E149829" w14:textId="77777777" w:rsidR="00C25531" w:rsidRPr="005B2A49" w:rsidRDefault="00C25531" w:rsidP="005B2A49">
      <w:pPr>
        <w:spacing w:after="120" w:line="260" w:lineRule="atLeast"/>
        <w:rPr>
          <w:rFonts w:eastAsia="Calibri"/>
          <w:szCs w:val="20"/>
        </w:rPr>
      </w:pPr>
    </w:p>
    <w:p w14:paraId="294D8F50" w14:textId="77777777" w:rsidR="00F679A2" w:rsidRDefault="00F679A2" w:rsidP="00F679A2">
      <w:pPr>
        <w:pStyle w:val="Naslov3"/>
      </w:pPr>
      <w:bookmarkStart w:id="3167" w:name="_Toc90462261"/>
      <w:r w:rsidRPr="00271FF1">
        <w:t>Ključne ugotovitve</w:t>
      </w:r>
      <w:bookmarkEnd w:id="3167"/>
    </w:p>
    <w:p w14:paraId="02B108C5" w14:textId="77777777" w:rsidR="00F679A2" w:rsidRPr="007A1880" w:rsidRDefault="00F679A2" w:rsidP="005B2A49">
      <w:pPr>
        <w:numPr>
          <w:ilvl w:val="0"/>
          <w:numId w:val="186"/>
        </w:numPr>
        <w:spacing w:after="120" w:line="260" w:lineRule="atLeast"/>
        <w:ind w:left="357" w:hanging="357"/>
      </w:pPr>
      <w:r w:rsidRPr="00ED3A15">
        <w:rPr>
          <w:rFonts w:eastAsia="Arial"/>
        </w:rPr>
        <w:t xml:space="preserve">V zadnjih desetih letih v Sloveniji narašča število čebelarjev in število čebeljih družin. </w:t>
      </w:r>
      <w:r>
        <w:rPr>
          <w:rFonts w:eastAsia="Arial"/>
        </w:rPr>
        <w:t>Zaradi pre</w:t>
      </w:r>
      <w:r w:rsidRPr="00ED3A15">
        <w:rPr>
          <w:rFonts w:eastAsia="Arial"/>
        </w:rPr>
        <w:t>velike gostote čebeljih družin</w:t>
      </w:r>
      <w:r>
        <w:rPr>
          <w:rFonts w:eastAsia="Arial"/>
        </w:rPr>
        <w:t xml:space="preserve"> na določenih območjih </w:t>
      </w:r>
      <w:r w:rsidRPr="00ED3A15">
        <w:rPr>
          <w:rFonts w:eastAsia="Arial"/>
        </w:rPr>
        <w:t>je</w:t>
      </w:r>
      <w:r>
        <w:rPr>
          <w:rFonts w:eastAsia="Arial"/>
        </w:rPr>
        <w:t xml:space="preserve"> </w:t>
      </w:r>
      <w:r w:rsidRPr="00ED3A15">
        <w:rPr>
          <w:rFonts w:eastAsia="Arial"/>
        </w:rPr>
        <w:t xml:space="preserve">potrebno </w:t>
      </w:r>
      <w:r>
        <w:rPr>
          <w:rFonts w:eastAsia="Arial"/>
        </w:rPr>
        <w:t xml:space="preserve">predvsem </w:t>
      </w:r>
      <w:r w:rsidRPr="00ED3A15">
        <w:rPr>
          <w:rFonts w:eastAsia="Arial"/>
        </w:rPr>
        <w:t>omogočiti kar največje izkoriščanje čebeljih paš</w:t>
      </w:r>
      <w:r>
        <w:rPr>
          <w:rFonts w:eastAsia="Arial"/>
        </w:rPr>
        <w:t xml:space="preserve"> in</w:t>
      </w:r>
      <w:r w:rsidRPr="00ED3A15">
        <w:rPr>
          <w:rFonts w:eastAsia="Arial"/>
        </w:rPr>
        <w:t xml:space="preserve"> zmanjšati izgube čebeljih družin zaradi bolezni</w:t>
      </w:r>
      <w:r>
        <w:rPr>
          <w:rFonts w:eastAsia="Arial"/>
        </w:rPr>
        <w:t>.</w:t>
      </w:r>
    </w:p>
    <w:p w14:paraId="5CAA174D" w14:textId="77777777" w:rsidR="00F679A2" w:rsidRPr="00DF3BFA" w:rsidRDefault="00F679A2" w:rsidP="005B2A49">
      <w:pPr>
        <w:numPr>
          <w:ilvl w:val="0"/>
          <w:numId w:val="186"/>
        </w:numPr>
        <w:spacing w:after="120" w:line="260" w:lineRule="atLeast"/>
        <w:ind w:left="357" w:hanging="357"/>
        <w:rPr>
          <w:szCs w:val="20"/>
        </w:rPr>
      </w:pPr>
      <w:r w:rsidRPr="007A1880">
        <w:t>Le manjšemu številu čebelarjev je čebelarstvo glavna panoga, večinoma se s čebelarjenjem ukvarjajo osebe v prostem času.</w:t>
      </w:r>
      <w:r w:rsidRPr="007A1880">
        <w:rPr>
          <w:szCs w:val="20"/>
        </w:rPr>
        <w:t xml:space="preserve"> </w:t>
      </w:r>
      <w:r>
        <w:t>E</w:t>
      </w:r>
      <w:r w:rsidRPr="007A1880">
        <w:t xml:space="preserve">konomska uspešnost in dohodkovna učinkovitost čebelarjenja še ni zadovoljiva. </w:t>
      </w:r>
      <w:r w:rsidRPr="00DF3BFA">
        <w:rPr>
          <w:szCs w:val="20"/>
        </w:rPr>
        <w:t>Za povečanje donosa medu je potrebno okrepiti naložbe v sodobnejše tehnologije in spodbujati povezovanje čebelarjev.</w:t>
      </w:r>
    </w:p>
    <w:p w14:paraId="044CC57D" w14:textId="77777777" w:rsidR="00F679A2" w:rsidRPr="007A1880" w:rsidRDefault="00F679A2" w:rsidP="005B2A49">
      <w:pPr>
        <w:numPr>
          <w:ilvl w:val="0"/>
          <w:numId w:val="186"/>
        </w:numPr>
        <w:spacing w:after="120" w:line="260" w:lineRule="atLeast"/>
        <w:ind w:left="357" w:hanging="357"/>
      </w:pPr>
      <w:r w:rsidRPr="00ED3A15">
        <w:rPr>
          <w:rFonts w:eastAsia="Arial"/>
        </w:rPr>
        <w:t>Za zmanjšanje dohodkovnega in proizvodnega tveganja bi bilo potrebno uvesti sofinanciranje zavarovanja oziroma vzpostaviti posebni sklad za tveganja.</w:t>
      </w:r>
    </w:p>
    <w:p w14:paraId="1040EEBB" w14:textId="77777777" w:rsidR="00F679A2" w:rsidRPr="0025226F" w:rsidRDefault="00F679A2" w:rsidP="005B2A49">
      <w:pPr>
        <w:numPr>
          <w:ilvl w:val="0"/>
          <w:numId w:val="186"/>
        </w:numPr>
        <w:spacing w:after="120" w:line="260" w:lineRule="atLeast"/>
        <w:ind w:left="357" w:hanging="357"/>
      </w:pPr>
      <w:r w:rsidRPr="00ED3A15">
        <w:rPr>
          <w:rFonts w:eastAsia="Arial"/>
        </w:rPr>
        <w:t xml:space="preserve">V zadnjih letih se je položaj čebelarstva izboljšal, vključno z večjim zanimanjem mladih za čebelarjenje in dobro ozaveščenostjo javnosti o pomenu čebel in vlogi čebelarstva. </w:t>
      </w:r>
    </w:p>
    <w:p w14:paraId="261336C1" w14:textId="77777777" w:rsidR="00F679A2" w:rsidRPr="00DF67C0" w:rsidRDefault="00F679A2" w:rsidP="005B2A49">
      <w:pPr>
        <w:numPr>
          <w:ilvl w:val="0"/>
          <w:numId w:val="186"/>
        </w:numPr>
        <w:spacing w:after="120" w:line="260" w:lineRule="atLeast"/>
        <w:ind w:left="357" w:hanging="357"/>
        <w:rPr>
          <w:i/>
          <w:szCs w:val="20"/>
        </w:rPr>
      </w:pPr>
      <w:r w:rsidRPr="00ED3A15">
        <w:rPr>
          <w:rFonts w:eastAsia="Arial"/>
        </w:rPr>
        <w:t>Čebelarstvo omogoča nova zelena delovna mesta in nove priložnosti za sektor, kot je na primer razvoj čebelarskega turizma ter razvoj čebelarskih izdelkov z dodano vrednostjo, zato je potrebno še naprej spodbujati investicije in povezovanje, predvsem pa nadaljevati s promocijskimi aktivnostmi.</w:t>
      </w:r>
    </w:p>
    <w:p w14:paraId="4A285424" w14:textId="77777777" w:rsidR="00F679A2" w:rsidRPr="00C4167C" w:rsidRDefault="00F679A2" w:rsidP="00F679A2"/>
    <w:p w14:paraId="0830D49B" w14:textId="77777777" w:rsidR="00F679A2" w:rsidRPr="00271FF1" w:rsidRDefault="00FB6BEC" w:rsidP="00F679A2">
      <w:pPr>
        <w:pStyle w:val="Naslov2"/>
      </w:pPr>
      <w:hyperlink r:id="rId95" w:history="1">
        <w:bookmarkStart w:id="3168" w:name="_Toc90462262"/>
        <w:r w:rsidR="00F679A2" w:rsidRPr="00271FF1">
          <w:t>Konjereja</w:t>
        </w:r>
        <w:bookmarkEnd w:id="3168"/>
      </w:hyperlink>
    </w:p>
    <w:p w14:paraId="2EF4A429" w14:textId="77777777" w:rsidR="00A27141" w:rsidRDefault="00A27141" w:rsidP="005B2A49">
      <w:pPr>
        <w:spacing w:after="120" w:line="260" w:lineRule="atLeast"/>
        <w:rPr>
          <w:rFonts w:eastAsia="Calibri"/>
          <w:szCs w:val="20"/>
        </w:rPr>
      </w:pPr>
    </w:p>
    <w:p w14:paraId="3B1CA8EF" w14:textId="77777777" w:rsidR="00A27141" w:rsidRDefault="00A27141" w:rsidP="00A27141">
      <w:pPr>
        <w:pStyle w:val="Naslov3"/>
        <w:rPr>
          <w:rFonts w:eastAsia="Calibri"/>
        </w:rPr>
      </w:pPr>
      <w:bookmarkStart w:id="3169" w:name="_Toc90462263"/>
      <w:r w:rsidRPr="00271FF1">
        <w:rPr>
          <w:rFonts w:eastAsia="Calibri"/>
        </w:rPr>
        <w:t>Stanje in osnovni ekonomski kazalniki</w:t>
      </w:r>
      <w:bookmarkEnd w:id="3169"/>
    </w:p>
    <w:p w14:paraId="2C18FC52" w14:textId="30DC6FFC" w:rsidR="006B6A1F" w:rsidRDefault="00B737D7" w:rsidP="005B2A49">
      <w:pPr>
        <w:spacing w:after="120" w:line="260" w:lineRule="atLeast"/>
        <w:rPr>
          <w:szCs w:val="20"/>
        </w:rPr>
      </w:pPr>
      <w:r w:rsidRPr="00C73213">
        <w:rPr>
          <w:szCs w:val="20"/>
        </w:rPr>
        <w:t xml:space="preserve">Po statističnih podatkih se število konj v Sloveniji od leta 2005 do 2016 ni bistveno spremenilo in znaša nekoliko manj kot 19.500 konj. </w:t>
      </w:r>
      <w:r w:rsidR="006B6A1F" w:rsidRPr="00C73213">
        <w:rPr>
          <w:szCs w:val="20"/>
        </w:rPr>
        <w:t xml:space="preserve">Vrednost konjereje kot delež </w:t>
      </w:r>
      <w:r w:rsidR="006B6A1F">
        <w:rPr>
          <w:szCs w:val="20"/>
        </w:rPr>
        <w:t xml:space="preserve">od </w:t>
      </w:r>
      <w:r w:rsidR="006B6A1F" w:rsidRPr="00C73213">
        <w:rPr>
          <w:szCs w:val="20"/>
        </w:rPr>
        <w:t xml:space="preserve">celotne kmetijske </w:t>
      </w:r>
      <w:r w:rsidR="006B6A1F" w:rsidRPr="00E0237D">
        <w:rPr>
          <w:szCs w:val="20"/>
        </w:rPr>
        <w:t>proizvodnje v Sloveniji v povprečju zadnjega desetletja znaša</w:t>
      </w:r>
      <w:r w:rsidR="006B6A1F">
        <w:rPr>
          <w:szCs w:val="20"/>
        </w:rPr>
        <w:t xml:space="preserve"> le</w:t>
      </w:r>
      <w:r w:rsidR="006B6A1F" w:rsidRPr="00E0237D">
        <w:rPr>
          <w:szCs w:val="20"/>
        </w:rPr>
        <w:t xml:space="preserve"> </w:t>
      </w:r>
      <w:r w:rsidR="006B6A1F" w:rsidRPr="00180FEF">
        <w:rPr>
          <w:szCs w:val="20"/>
        </w:rPr>
        <w:t>okoli 0,3</w:t>
      </w:r>
      <w:r w:rsidR="009E7E6E">
        <w:rPr>
          <w:szCs w:val="20"/>
        </w:rPr>
        <w:t> </w:t>
      </w:r>
      <w:r w:rsidR="006B6A1F" w:rsidRPr="00180FEF">
        <w:rPr>
          <w:szCs w:val="20"/>
        </w:rPr>
        <w:t>%</w:t>
      </w:r>
      <w:r w:rsidR="006B6A1F">
        <w:rPr>
          <w:szCs w:val="20"/>
        </w:rPr>
        <w:t>. K vrednosti živinoreje konjereja prispeva</w:t>
      </w:r>
      <w:r w:rsidR="006B6A1F" w:rsidRPr="00793735">
        <w:rPr>
          <w:szCs w:val="20"/>
        </w:rPr>
        <w:t xml:space="preserve"> okoli</w:t>
      </w:r>
      <w:r w:rsidR="006B6A1F" w:rsidRPr="00180FEF">
        <w:rPr>
          <w:szCs w:val="20"/>
        </w:rPr>
        <w:t xml:space="preserve"> 0,6</w:t>
      </w:r>
      <w:r w:rsidR="006B6A1F">
        <w:rPr>
          <w:szCs w:val="20"/>
        </w:rPr>
        <w:t> </w:t>
      </w:r>
      <w:r w:rsidR="006B6A1F" w:rsidRPr="00180FEF">
        <w:rPr>
          <w:szCs w:val="20"/>
        </w:rPr>
        <w:t>%</w:t>
      </w:r>
      <w:r w:rsidR="00F679A2" w:rsidRPr="005B2A49">
        <w:rPr>
          <w:rFonts w:eastAsia="Calibri"/>
          <w:szCs w:val="20"/>
        </w:rPr>
        <w:t xml:space="preserve">. </w:t>
      </w:r>
      <w:r w:rsidR="006B6A1F" w:rsidRPr="00E0237D">
        <w:rPr>
          <w:rFonts w:eastAsia="TimesNewRoman"/>
          <w:szCs w:val="20"/>
        </w:rPr>
        <w:t>Število</w:t>
      </w:r>
      <w:r w:rsidR="006B6A1F" w:rsidRPr="00C73213">
        <w:rPr>
          <w:rFonts w:eastAsia="TimesNewRoman"/>
          <w:szCs w:val="20"/>
        </w:rPr>
        <w:t xml:space="preserve"> kmetijskih gospodarstev, ki se ukvarjajo z rejo konj, se je v letih 2000 - 2016 povečalo iz dobrih 4.600 na nekaj manj kot 5.800 kmetijskih gospodarstev. V povprečju so kmetijska gospodarstva v letu 2000 redila 3,1 konja, v letu 2016 pa 3,4 konja. V letu 2016 je 62,6 % kmetijskih gospodarstev redilo do dva</w:t>
      </w:r>
      <w:r w:rsidR="006B6A1F" w:rsidRPr="00C73213">
        <w:rPr>
          <w:szCs w:val="20"/>
        </w:rPr>
        <w:t xml:space="preserve"> konja. 94,3 % kmetijskih gospodarstev redi 68,4 % konj v velikostnih razredih do 9 konj.</w:t>
      </w:r>
    </w:p>
    <w:p w14:paraId="1F1EC2FA" w14:textId="709385B6" w:rsidR="00726070" w:rsidRDefault="00726070" w:rsidP="005B2A49">
      <w:pPr>
        <w:pStyle w:val="SCPreglednica"/>
      </w:pPr>
      <w:bookmarkStart w:id="3170" w:name="_Toc89861015"/>
      <w:r>
        <w:t xml:space="preserve">Tabela </w:t>
      </w:r>
      <w:r>
        <w:rPr>
          <w:noProof/>
        </w:rPr>
        <w:fldChar w:fldCharType="begin"/>
      </w:r>
      <w:r>
        <w:rPr>
          <w:noProof/>
        </w:rPr>
        <w:instrText xml:space="preserve"> SEQ Tabela \* ARABIC </w:instrText>
      </w:r>
      <w:r>
        <w:rPr>
          <w:noProof/>
        </w:rPr>
        <w:fldChar w:fldCharType="separate"/>
      </w:r>
      <w:r w:rsidR="002E0D2A">
        <w:rPr>
          <w:noProof/>
        </w:rPr>
        <w:t>23</w:t>
      </w:r>
      <w:r>
        <w:rPr>
          <w:noProof/>
        </w:rPr>
        <w:fldChar w:fldCharType="end"/>
      </w:r>
      <w:r>
        <w:t xml:space="preserve">: </w:t>
      </w:r>
      <w:r w:rsidRPr="00726070">
        <w:t>Število konj in število kmetijskih gospodarstev v letih 2000-2016</w:t>
      </w:r>
      <w:bookmarkEnd w:id="3170"/>
    </w:p>
    <w:tbl>
      <w:tblPr>
        <w:tblW w:w="9633" w:type="dxa"/>
        <w:tblInd w:w="-10" w:type="dxa"/>
        <w:tblLayout w:type="fixed"/>
        <w:tblCellMar>
          <w:left w:w="70" w:type="dxa"/>
          <w:right w:w="70" w:type="dxa"/>
        </w:tblCellMar>
        <w:tblLook w:val="04A0" w:firstRow="1" w:lastRow="0" w:firstColumn="1" w:lastColumn="0" w:noHBand="0" w:noVBand="1"/>
        <w:tblDescription w:val="Kmetijska gospodarstva po: VELIKOSTNI RAZREDI GLEDE NA ŠTEVILO KONJ, MERITVE ,  LETO"/>
      </w:tblPr>
      <w:tblGrid>
        <w:gridCol w:w="899"/>
        <w:gridCol w:w="575"/>
        <w:gridCol w:w="596"/>
        <w:gridCol w:w="624"/>
        <w:gridCol w:w="678"/>
        <w:gridCol w:w="597"/>
        <w:gridCol w:w="709"/>
        <w:gridCol w:w="612"/>
        <w:gridCol w:w="799"/>
        <w:gridCol w:w="567"/>
        <w:gridCol w:w="567"/>
        <w:gridCol w:w="504"/>
        <w:gridCol w:w="630"/>
        <w:gridCol w:w="567"/>
        <w:gridCol w:w="709"/>
      </w:tblGrid>
      <w:tr w:rsidR="006B6A1F" w:rsidRPr="00910707" w14:paraId="306D692F" w14:textId="77777777" w:rsidTr="006B6A1F">
        <w:trPr>
          <w:trHeight w:val="567"/>
        </w:trPr>
        <w:tc>
          <w:tcPr>
            <w:tcW w:w="899" w:type="dxa"/>
            <w:tcBorders>
              <w:top w:val="single" w:sz="8" w:space="0" w:color="A9A9A9"/>
              <w:left w:val="single" w:sz="8" w:space="0" w:color="A9A9A9"/>
              <w:bottom w:val="nil"/>
              <w:right w:val="single" w:sz="8" w:space="0" w:color="A9A9A9"/>
            </w:tcBorders>
            <w:shd w:val="clear" w:color="auto" w:fill="auto"/>
            <w:vAlign w:val="center"/>
            <w:hideMark/>
          </w:tcPr>
          <w:p w14:paraId="1548A4F6" w14:textId="77777777" w:rsidR="006B6A1F" w:rsidRPr="00396A4C" w:rsidRDefault="006B6A1F" w:rsidP="006B6A1F">
            <w:pPr>
              <w:spacing w:line="240" w:lineRule="auto"/>
              <w:ind w:right="-3"/>
              <w:jc w:val="center"/>
              <w:rPr>
                <w:bCs/>
                <w:color w:val="000000"/>
                <w:sz w:val="14"/>
                <w:szCs w:val="14"/>
                <w:lang w:eastAsia="sl-SI"/>
              </w:rPr>
            </w:pPr>
          </w:p>
        </w:tc>
        <w:tc>
          <w:tcPr>
            <w:tcW w:w="4391" w:type="dxa"/>
            <w:gridSpan w:val="7"/>
            <w:tcBorders>
              <w:top w:val="single" w:sz="8" w:space="0" w:color="949494"/>
              <w:left w:val="nil"/>
              <w:bottom w:val="single" w:sz="8" w:space="0" w:color="949494"/>
              <w:right w:val="single" w:sz="8" w:space="0" w:color="949494"/>
            </w:tcBorders>
            <w:shd w:val="clear" w:color="auto" w:fill="auto"/>
            <w:vAlign w:val="center"/>
            <w:hideMark/>
          </w:tcPr>
          <w:p w14:paraId="1EED1D81" w14:textId="77777777" w:rsidR="006B6A1F" w:rsidRPr="00396A4C" w:rsidRDefault="006B6A1F" w:rsidP="006B6A1F">
            <w:pPr>
              <w:spacing w:line="240" w:lineRule="auto"/>
              <w:jc w:val="center"/>
              <w:rPr>
                <w:bCs/>
                <w:color w:val="000000"/>
                <w:sz w:val="14"/>
                <w:szCs w:val="14"/>
                <w:lang w:eastAsia="sl-SI"/>
              </w:rPr>
            </w:pPr>
            <w:r w:rsidRPr="00396A4C">
              <w:rPr>
                <w:bCs/>
                <w:color w:val="000000"/>
                <w:sz w:val="14"/>
                <w:szCs w:val="14"/>
                <w:lang w:eastAsia="sl-SI"/>
              </w:rPr>
              <w:t>Število konj </w:t>
            </w:r>
          </w:p>
        </w:tc>
        <w:tc>
          <w:tcPr>
            <w:tcW w:w="4343" w:type="dxa"/>
            <w:gridSpan w:val="7"/>
            <w:tcBorders>
              <w:top w:val="single" w:sz="8" w:space="0" w:color="949494"/>
              <w:left w:val="nil"/>
              <w:bottom w:val="single" w:sz="8" w:space="0" w:color="949494"/>
              <w:right w:val="single" w:sz="8" w:space="0" w:color="949494"/>
            </w:tcBorders>
            <w:shd w:val="clear" w:color="auto" w:fill="auto"/>
            <w:vAlign w:val="center"/>
            <w:hideMark/>
          </w:tcPr>
          <w:p w14:paraId="099190D1" w14:textId="77777777" w:rsidR="006B6A1F" w:rsidRPr="00396A4C" w:rsidRDefault="006B6A1F" w:rsidP="006B6A1F">
            <w:pPr>
              <w:spacing w:line="240" w:lineRule="auto"/>
              <w:ind w:right="126"/>
              <w:jc w:val="center"/>
              <w:rPr>
                <w:bCs/>
                <w:color w:val="000000"/>
                <w:sz w:val="14"/>
                <w:szCs w:val="14"/>
                <w:lang w:eastAsia="sl-SI"/>
              </w:rPr>
            </w:pPr>
            <w:r w:rsidRPr="00396A4C">
              <w:rPr>
                <w:bCs/>
                <w:color w:val="000000"/>
                <w:sz w:val="14"/>
                <w:szCs w:val="14"/>
                <w:lang w:eastAsia="sl-SI"/>
              </w:rPr>
              <w:t>Število kmetijskih gospodarstev </w:t>
            </w:r>
          </w:p>
        </w:tc>
      </w:tr>
      <w:tr w:rsidR="006B6A1F" w:rsidRPr="00910707" w14:paraId="4CD24B6D" w14:textId="77777777" w:rsidTr="006B6A1F">
        <w:trPr>
          <w:trHeight w:val="315"/>
        </w:trPr>
        <w:tc>
          <w:tcPr>
            <w:tcW w:w="899" w:type="dxa"/>
            <w:tcBorders>
              <w:top w:val="nil"/>
              <w:left w:val="single" w:sz="8" w:space="0" w:color="A9A9A9"/>
              <w:bottom w:val="single" w:sz="8" w:space="0" w:color="A9A9A9"/>
              <w:right w:val="single" w:sz="8" w:space="0" w:color="A9A9A9"/>
            </w:tcBorders>
            <w:shd w:val="clear" w:color="auto" w:fill="auto"/>
            <w:vAlign w:val="center"/>
            <w:hideMark/>
          </w:tcPr>
          <w:p w14:paraId="7068FFF2" w14:textId="77777777" w:rsidR="006B6A1F" w:rsidRPr="00396A4C" w:rsidRDefault="006B6A1F" w:rsidP="006B6A1F">
            <w:pPr>
              <w:spacing w:line="240" w:lineRule="auto"/>
              <w:ind w:right="-3"/>
              <w:jc w:val="center"/>
              <w:rPr>
                <w:bCs/>
                <w:color w:val="000000"/>
                <w:sz w:val="14"/>
                <w:szCs w:val="14"/>
                <w:lang w:eastAsia="sl-SI"/>
              </w:rPr>
            </w:pPr>
            <w:r w:rsidRPr="00396A4C">
              <w:rPr>
                <w:bCs/>
                <w:color w:val="000000"/>
                <w:sz w:val="14"/>
                <w:szCs w:val="14"/>
                <w:lang w:eastAsia="sl-SI"/>
              </w:rPr>
              <w:t> Velikostni razred št. konj</w:t>
            </w:r>
          </w:p>
        </w:tc>
        <w:tc>
          <w:tcPr>
            <w:tcW w:w="575" w:type="dxa"/>
            <w:tcBorders>
              <w:top w:val="nil"/>
              <w:left w:val="nil"/>
              <w:bottom w:val="single" w:sz="8" w:space="0" w:color="949494"/>
              <w:right w:val="single" w:sz="8" w:space="0" w:color="949494"/>
            </w:tcBorders>
            <w:shd w:val="clear" w:color="auto" w:fill="auto"/>
            <w:vAlign w:val="center"/>
            <w:hideMark/>
          </w:tcPr>
          <w:p w14:paraId="072FD8E2"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2000</w:t>
            </w:r>
          </w:p>
        </w:tc>
        <w:tc>
          <w:tcPr>
            <w:tcW w:w="596" w:type="dxa"/>
            <w:tcBorders>
              <w:top w:val="nil"/>
              <w:left w:val="nil"/>
              <w:bottom w:val="single" w:sz="8" w:space="0" w:color="949494"/>
              <w:right w:val="single" w:sz="8" w:space="0" w:color="949494"/>
            </w:tcBorders>
            <w:shd w:val="clear" w:color="auto" w:fill="auto"/>
            <w:vAlign w:val="center"/>
            <w:hideMark/>
          </w:tcPr>
          <w:p w14:paraId="51A01437"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2003</w:t>
            </w:r>
          </w:p>
        </w:tc>
        <w:tc>
          <w:tcPr>
            <w:tcW w:w="624" w:type="dxa"/>
            <w:tcBorders>
              <w:top w:val="nil"/>
              <w:left w:val="nil"/>
              <w:bottom w:val="single" w:sz="8" w:space="0" w:color="949494"/>
              <w:right w:val="single" w:sz="8" w:space="0" w:color="949494"/>
            </w:tcBorders>
            <w:shd w:val="clear" w:color="auto" w:fill="auto"/>
            <w:vAlign w:val="center"/>
            <w:hideMark/>
          </w:tcPr>
          <w:p w14:paraId="05347214"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2005</w:t>
            </w:r>
          </w:p>
        </w:tc>
        <w:tc>
          <w:tcPr>
            <w:tcW w:w="678" w:type="dxa"/>
            <w:tcBorders>
              <w:top w:val="nil"/>
              <w:left w:val="nil"/>
              <w:bottom w:val="single" w:sz="8" w:space="0" w:color="949494"/>
              <w:right w:val="single" w:sz="8" w:space="0" w:color="949494"/>
            </w:tcBorders>
            <w:shd w:val="clear" w:color="auto" w:fill="auto"/>
            <w:vAlign w:val="center"/>
            <w:hideMark/>
          </w:tcPr>
          <w:p w14:paraId="4809128D"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2007</w:t>
            </w:r>
          </w:p>
        </w:tc>
        <w:tc>
          <w:tcPr>
            <w:tcW w:w="597" w:type="dxa"/>
            <w:tcBorders>
              <w:top w:val="nil"/>
              <w:left w:val="nil"/>
              <w:bottom w:val="single" w:sz="8" w:space="0" w:color="949494"/>
              <w:right w:val="single" w:sz="8" w:space="0" w:color="949494"/>
            </w:tcBorders>
            <w:shd w:val="clear" w:color="auto" w:fill="auto"/>
            <w:vAlign w:val="center"/>
            <w:hideMark/>
          </w:tcPr>
          <w:p w14:paraId="1F198849"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2010</w:t>
            </w:r>
          </w:p>
        </w:tc>
        <w:tc>
          <w:tcPr>
            <w:tcW w:w="709" w:type="dxa"/>
            <w:tcBorders>
              <w:top w:val="nil"/>
              <w:left w:val="nil"/>
              <w:bottom w:val="single" w:sz="8" w:space="0" w:color="949494"/>
              <w:right w:val="single" w:sz="8" w:space="0" w:color="949494"/>
            </w:tcBorders>
            <w:shd w:val="clear" w:color="auto" w:fill="auto"/>
            <w:vAlign w:val="center"/>
            <w:hideMark/>
          </w:tcPr>
          <w:p w14:paraId="318E22ED"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2013</w:t>
            </w:r>
          </w:p>
        </w:tc>
        <w:tc>
          <w:tcPr>
            <w:tcW w:w="612" w:type="dxa"/>
            <w:tcBorders>
              <w:top w:val="nil"/>
              <w:left w:val="nil"/>
              <w:bottom w:val="single" w:sz="8" w:space="0" w:color="949494"/>
              <w:right w:val="single" w:sz="8" w:space="0" w:color="949494"/>
            </w:tcBorders>
            <w:shd w:val="clear" w:color="auto" w:fill="auto"/>
            <w:vAlign w:val="center"/>
            <w:hideMark/>
          </w:tcPr>
          <w:p w14:paraId="34DE9FBC"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2016</w:t>
            </w:r>
          </w:p>
        </w:tc>
        <w:tc>
          <w:tcPr>
            <w:tcW w:w="799" w:type="dxa"/>
            <w:tcBorders>
              <w:top w:val="nil"/>
              <w:left w:val="nil"/>
              <w:bottom w:val="single" w:sz="8" w:space="0" w:color="949494"/>
              <w:right w:val="single" w:sz="8" w:space="0" w:color="949494"/>
            </w:tcBorders>
            <w:shd w:val="clear" w:color="auto" w:fill="auto"/>
            <w:vAlign w:val="center"/>
            <w:hideMark/>
          </w:tcPr>
          <w:p w14:paraId="5BA2CDA1" w14:textId="77777777" w:rsidR="006B6A1F" w:rsidRPr="00396A4C" w:rsidRDefault="006B6A1F" w:rsidP="006B6A1F">
            <w:pPr>
              <w:spacing w:line="240" w:lineRule="auto"/>
              <w:ind w:right="126"/>
              <w:jc w:val="right"/>
              <w:rPr>
                <w:bCs/>
                <w:color w:val="000000"/>
                <w:sz w:val="14"/>
                <w:szCs w:val="14"/>
                <w:lang w:eastAsia="sl-SI"/>
              </w:rPr>
            </w:pPr>
            <w:r w:rsidRPr="00396A4C">
              <w:rPr>
                <w:bCs/>
                <w:color w:val="000000"/>
                <w:sz w:val="14"/>
                <w:szCs w:val="14"/>
                <w:lang w:eastAsia="sl-SI"/>
              </w:rPr>
              <w:t>2000</w:t>
            </w:r>
          </w:p>
        </w:tc>
        <w:tc>
          <w:tcPr>
            <w:tcW w:w="567" w:type="dxa"/>
            <w:tcBorders>
              <w:top w:val="nil"/>
              <w:left w:val="nil"/>
              <w:bottom w:val="single" w:sz="8" w:space="0" w:color="949494"/>
              <w:right w:val="single" w:sz="8" w:space="0" w:color="949494"/>
            </w:tcBorders>
            <w:shd w:val="clear" w:color="auto" w:fill="auto"/>
            <w:vAlign w:val="center"/>
            <w:hideMark/>
          </w:tcPr>
          <w:p w14:paraId="0FB78DA1"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2003</w:t>
            </w:r>
          </w:p>
        </w:tc>
        <w:tc>
          <w:tcPr>
            <w:tcW w:w="567" w:type="dxa"/>
            <w:tcBorders>
              <w:top w:val="nil"/>
              <w:left w:val="nil"/>
              <w:bottom w:val="single" w:sz="8" w:space="0" w:color="949494"/>
              <w:right w:val="single" w:sz="8" w:space="0" w:color="949494"/>
            </w:tcBorders>
            <w:shd w:val="clear" w:color="auto" w:fill="auto"/>
            <w:vAlign w:val="center"/>
            <w:hideMark/>
          </w:tcPr>
          <w:p w14:paraId="0FC121CC"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2005</w:t>
            </w:r>
          </w:p>
        </w:tc>
        <w:tc>
          <w:tcPr>
            <w:tcW w:w="504" w:type="dxa"/>
            <w:tcBorders>
              <w:top w:val="nil"/>
              <w:left w:val="nil"/>
              <w:bottom w:val="single" w:sz="8" w:space="0" w:color="949494"/>
              <w:right w:val="single" w:sz="8" w:space="0" w:color="949494"/>
            </w:tcBorders>
            <w:shd w:val="clear" w:color="auto" w:fill="auto"/>
            <w:vAlign w:val="center"/>
            <w:hideMark/>
          </w:tcPr>
          <w:p w14:paraId="7F3A4D72"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2007</w:t>
            </w:r>
          </w:p>
        </w:tc>
        <w:tc>
          <w:tcPr>
            <w:tcW w:w="630" w:type="dxa"/>
            <w:tcBorders>
              <w:top w:val="nil"/>
              <w:left w:val="nil"/>
              <w:bottom w:val="single" w:sz="8" w:space="0" w:color="949494"/>
              <w:right w:val="single" w:sz="8" w:space="0" w:color="949494"/>
            </w:tcBorders>
            <w:shd w:val="clear" w:color="auto" w:fill="auto"/>
            <w:vAlign w:val="center"/>
            <w:hideMark/>
          </w:tcPr>
          <w:p w14:paraId="7ABA1369"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2010</w:t>
            </w:r>
          </w:p>
        </w:tc>
        <w:tc>
          <w:tcPr>
            <w:tcW w:w="567" w:type="dxa"/>
            <w:tcBorders>
              <w:top w:val="nil"/>
              <w:left w:val="nil"/>
              <w:bottom w:val="single" w:sz="8" w:space="0" w:color="949494"/>
              <w:right w:val="single" w:sz="8" w:space="0" w:color="949494"/>
            </w:tcBorders>
            <w:shd w:val="clear" w:color="auto" w:fill="auto"/>
            <w:vAlign w:val="center"/>
            <w:hideMark/>
          </w:tcPr>
          <w:p w14:paraId="4F878CDE"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2013</w:t>
            </w:r>
          </w:p>
        </w:tc>
        <w:tc>
          <w:tcPr>
            <w:tcW w:w="709" w:type="dxa"/>
            <w:tcBorders>
              <w:top w:val="nil"/>
              <w:left w:val="nil"/>
              <w:bottom w:val="single" w:sz="8" w:space="0" w:color="949494"/>
              <w:right w:val="single" w:sz="8" w:space="0" w:color="949494"/>
            </w:tcBorders>
            <w:shd w:val="clear" w:color="auto" w:fill="auto"/>
            <w:vAlign w:val="center"/>
            <w:hideMark/>
          </w:tcPr>
          <w:p w14:paraId="1E3405E1"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2016</w:t>
            </w:r>
          </w:p>
        </w:tc>
      </w:tr>
      <w:tr w:rsidR="006B6A1F" w:rsidRPr="00910707" w14:paraId="422810B6"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3AA46166"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SKUPAJ</w:t>
            </w:r>
          </w:p>
        </w:tc>
        <w:tc>
          <w:tcPr>
            <w:tcW w:w="575" w:type="dxa"/>
            <w:tcBorders>
              <w:top w:val="nil"/>
              <w:left w:val="nil"/>
              <w:bottom w:val="single" w:sz="8" w:space="0" w:color="A9A9A9"/>
              <w:right w:val="single" w:sz="8" w:space="0" w:color="A9A9A9"/>
            </w:tcBorders>
            <w:shd w:val="clear" w:color="000000" w:fill="FFFFFF"/>
            <w:noWrap/>
            <w:vAlign w:val="center"/>
            <w:hideMark/>
          </w:tcPr>
          <w:p w14:paraId="4F3966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14.407</w:t>
            </w:r>
          </w:p>
        </w:tc>
        <w:tc>
          <w:tcPr>
            <w:tcW w:w="596" w:type="dxa"/>
            <w:tcBorders>
              <w:top w:val="nil"/>
              <w:left w:val="nil"/>
              <w:bottom w:val="single" w:sz="8" w:space="0" w:color="A9A9A9"/>
              <w:right w:val="single" w:sz="8" w:space="0" w:color="A9A9A9"/>
            </w:tcBorders>
            <w:shd w:val="clear" w:color="000000" w:fill="FFFFFF"/>
            <w:noWrap/>
            <w:vAlign w:val="center"/>
            <w:hideMark/>
          </w:tcPr>
          <w:p w14:paraId="682BF9D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16.879</w:t>
            </w:r>
          </w:p>
        </w:tc>
        <w:tc>
          <w:tcPr>
            <w:tcW w:w="624" w:type="dxa"/>
            <w:tcBorders>
              <w:top w:val="nil"/>
              <w:left w:val="nil"/>
              <w:bottom w:val="single" w:sz="8" w:space="0" w:color="A9A9A9"/>
              <w:right w:val="single" w:sz="8" w:space="0" w:color="A9A9A9"/>
            </w:tcBorders>
            <w:shd w:val="clear" w:color="000000" w:fill="FFFFFF"/>
            <w:noWrap/>
            <w:vAlign w:val="center"/>
            <w:hideMark/>
          </w:tcPr>
          <w:p w14:paraId="7A1C608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19.249</w:t>
            </w:r>
          </w:p>
        </w:tc>
        <w:tc>
          <w:tcPr>
            <w:tcW w:w="678" w:type="dxa"/>
            <w:tcBorders>
              <w:top w:val="nil"/>
              <w:left w:val="nil"/>
              <w:bottom w:val="single" w:sz="8" w:space="0" w:color="A9A9A9"/>
              <w:right w:val="single" w:sz="8" w:space="0" w:color="A9A9A9"/>
            </w:tcBorders>
            <w:shd w:val="clear" w:color="000000" w:fill="FFFFFF"/>
            <w:noWrap/>
            <w:vAlign w:val="center"/>
            <w:hideMark/>
          </w:tcPr>
          <w:p w14:paraId="2DAF25E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19.623</w:t>
            </w:r>
          </w:p>
        </w:tc>
        <w:tc>
          <w:tcPr>
            <w:tcW w:w="597" w:type="dxa"/>
            <w:tcBorders>
              <w:top w:val="nil"/>
              <w:left w:val="nil"/>
              <w:bottom w:val="single" w:sz="8" w:space="0" w:color="A9A9A9"/>
              <w:right w:val="single" w:sz="8" w:space="0" w:color="A9A9A9"/>
            </w:tcBorders>
            <w:shd w:val="clear" w:color="000000" w:fill="FFFFFF"/>
            <w:noWrap/>
            <w:vAlign w:val="center"/>
            <w:hideMark/>
          </w:tcPr>
          <w:p w14:paraId="334EF90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22.673</w:t>
            </w:r>
          </w:p>
        </w:tc>
        <w:tc>
          <w:tcPr>
            <w:tcW w:w="709" w:type="dxa"/>
            <w:tcBorders>
              <w:top w:val="nil"/>
              <w:left w:val="nil"/>
              <w:bottom w:val="single" w:sz="8" w:space="0" w:color="A9A9A9"/>
              <w:right w:val="single" w:sz="8" w:space="0" w:color="A9A9A9"/>
            </w:tcBorders>
            <w:shd w:val="clear" w:color="000000" w:fill="FFFFFF"/>
            <w:noWrap/>
            <w:vAlign w:val="center"/>
            <w:hideMark/>
          </w:tcPr>
          <w:p w14:paraId="77B5162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21.832</w:t>
            </w:r>
          </w:p>
        </w:tc>
        <w:tc>
          <w:tcPr>
            <w:tcW w:w="612" w:type="dxa"/>
            <w:tcBorders>
              <w:top w:val="nil"/>
              <w:left w:val="nil"/>
              <w:bottom w:val="single" w:sz="8" w:space="0" w:color="A9A9A9"/>
              <w:right w:val="single" w:sz="8" w:space="0" w:color="A9A9A9"/>
            </w:tcBorders>
            <w:shd w:val="clear" w:color="000000" w:fill="FFFFFF"/>
            <w:noWrap/>
            <w:vAlign w:val="center"/>
            <w:hideMark/>
          </w:tcPr>
          <w:p w14:paraId="7920AD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19.453</w:t>
            </w:r>
          </w:p>
        </w:tc>
        <w:tc>
          <w:tcPr>
            <w:tcW w:w="799" w:type="dxa"/>
            <w:tcBorders>
              <w:top w:val="nil"/>
              <w:left w:val="nil"/>
              <w:bottom w:val="single" w:sz="8" w:space="0" w:color="A9A9A9"/>
              <w:right w:val="single" w:sz="8" w:space="0" w:color="A9A9A9"/>
            </w:tcBorders>
            <w:shd w:val="clear" w:color="000000" w:fill="FFFFFF"/>
            <w:noWrap/>
            <w:vAlign w:val="center"/>
            <w:hideMark/>
          </w:tcPr>
          <w:p w14:paraId="75BAD850"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4.634</w:t>
            </w:r>
          </w:p>
        </w:tc>
        <w:tc>
          <w:tcPr>
            <w:tcW w:w="567" w:type="dxa"/>
            <w:tcBorders>
              <w:top w:val="nil"/>
              <w:left w:val="nil"/>
              <w:bottom w:val="single" w:sz="8" w:space="0" w:color="A9A9A9"/>
              <w:right w:val="single" w:sz="8" w:space="0" w:color="A9A9A9"/>
            </w:tcBorders>
            <w:shd w:val="clear" w:color="000000" w:fill="FFFFFF"/>
            <w:noWrap/>
            <w:vAlign w:val="center"/>
            <w:hideMark/>
          </w:tcPr>
          <w:p w14:paraId="1C097DF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4.728</w:t>
            </w:r>
          </w:p>
        </w:tc>
        <w:tc>
          <w:tcPr>
            <w:tcW w:w="567" w:type="dxa"/>
            <w:tcBorders>
              <w:top w:val="nil"/>
              <w:left w:val="nil"/>
              <w:bottom w:val="single" w:sz="8" w:space="0" w:color="A9A9A9"/>
              <w:right w:val="single" w:sz="8" w:space="0" w:color="A9A9A9"/>
            </w:tcBorders>
            <w:shd w:val="clear" w:color="000000" w:fill="FFFFFF"/>
            <w:noWrap/>
            <w:vAlign w:val="center"/>
            <w:hideMark/>
          </w:tcPr>
          <w:p w14:paraId="3331F47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5.128</w:t>
            </w:r>
          </w:p>
        </w:tc>
        <w:tc>
          <w:tcPr>
            <w:tcW w:w="504" w:type="dxa"/>
            <w:tcBorders>
              <w:top w:val="nil"/>
              <w:left w:val="nil"/>
              <w:bottom w:val="single" w:sz="8" w:space="0" w:color="A9A9A9"/>
              <w:right w:val="single" w:sz="8" w:space="0" w:color="A9A9A9"/>
            </w:tcBorders>
            <w:shd w:val="clear" w:color="000000" w:fill="FFFFFF"/>
            <w:noWrap/>
            <w:vAlign w:val="center"/>
            <w:hideMark/>
          </w:tcPr>
          <w:p w14:paraId="1E7BAE7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5.081</w:t>
            </w:r>
          </w:p>
        </w:tc>
        <w:tc>
          <w:tcPr>
            <w:tcW w:w="630" w:type="dxa"/>
            <w:tcBorders>
              <w:top w:val="nil"/>
              <w:left w:val="nil"/>
              <w:bottom w:val="single" w:sz="8" w:space="0" w:color="A9A9A9"/>
              <w:right w:val="single" w:sz="8" w:space="0" w:color="A9A9A9"/>
            </w:tcBorders>
            <w:shd w:val="clear" w:color="000000" w:fill="FFFFFF"/>
            <w:noWrap/>
            <w:vAlign w:val="center"/>
            <w:hideMark/>
          </w:tcPr>
          <w:p w14:paraId="09E0675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5.948</w:t>
            </w:r>
          </w:p>
        </w:tc>
        <w:tc>
          <w:tcPr>
            <w:tcW w:w="567" w:type="dxa"/>
            <w:tcBorders>
              <w:top w:val="nil"/>
              <w:left w:val="nil"/>
              <w:bottom w:val="single" w:sz="8" w:space="0" w:color="A9A9A9"/>
              <w:right w:val="single" w:sz="8" w:space="0" w:color="A9A9A9"/>
            </w:tcBorders>
            <w:shd w:val="clear" w:color="000000" w:fill="FFFFFF"/>
            <w:noWrap/>
            <w:vAlign w:val="center"/>
            <w:hideMark/>
          </w:tcPr>
          <w:p w14:paraId="00E94E3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6.029</w:t>
            </w:r>
          </w:p>
        </w:tc>
        <w:tc>
          <w:tcPr>
            <w:tcW w:w="709" w:type="dxa"/>
            <w:tcBorders>
              <w:top w:val="nil"/>
              <w:left w:val="nil"/>
              <w:bottom w:val="single" w:sz="8" w:space="0" w:color="A9A9A9"/>
              <w:right w:val="single" w:sz="8" w:space="0" w:color="A9A9A9"/>
            </w:tcBorders>
            <w:shd w:val="clear" w:color="000000" w:fill="FFFFFF"/>
            <w:noWrap/>
            <w:vAlign w:val="center"/>
            <w:hideMark/>
          </w:tcPr>
          <w:p w14:paraId="116A9D7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5.766</w:t>
            </w:r>
          </w:p>
        </w:tc>
      </w:tr>
      <w:tr w:rsidR="006B6A1F" w:rsidRPr="00910707" w14:paraId="6D85479D"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1615EEB9"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1 do 2</w:t>
            </w:r>
          </w:p>
        </w:tc>
        <w:tc>
          <w:tcPr>
            <w:tcW w:w="575" w:type="dxa"/>
            <w:tcBorders>
              <w:top w:val="nil"/>
              <w:left w:val="nil"/>
              <w:bottom w:val="single" w:sz="8" w:space="0" w:color="A9A9A9"/>
              <w:right w:val="single" w:sz="8" w:space="0" w:color="A9A9A9"/>
            </w:tcBorders>
            <w:shd w:val="clear" w:color="000000" w:fill="FFFFFF"/>
            <w:noWrap/>
            <w:vAlign w:val="center"/>
            <w:hideMark/>
          </w:tcPr>
          <w:p w14:paraId="6273EDD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4.156</w:t>
            </w:r>
          </w:p>
        </w:tc>
        <w:tc>
          <w:tcPr>
            <w:tcW w:w="596" w:type="dxa"/>
            <w:tcBorders>
              <w:top w:val="nil"/>
              <w:left w:val="nil"/>
              <w:bottom w:val="single" w:sz="8" w:space="0" w:color="A9A9A9"/>
              <w:right w:val="single" w:sz="8" w:space="0" w:color="A9A9A9"/>
            </w:tcBorders>
            <w:shd w:val="clear" w:color="000000" w:fill="FFFFFF"/>
            <w:noWrap/>
            <w:vAlign w:val="center"/>
            <w:hideMark/>
          </w:tcPr>
          <w:p w14:paraId="147871F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3.627</w:t>
            </w:r>
          </w:p>
        </w:tc>
        <w:tc>
          <w:tcPr>
            <w:tcW w:w="624" w:type="dxa"/>
            <w:tcBorders>
              <w:top w:val="nil"/>
              <w:left w:val="nil"/>
              <w:bottom w:val="single" w:sz="8" w:space="0" w:color="A9A9A9"/>
              <w:right w:val="single" w:sz="8" w:space="0" w:color="A9A9A9"/>
            </w:tcBorders>
            <w:shd w:val="clear" w:color="000000" w:fill="FFFFFF"/>
            <w:noWrap/>
            <w:vAlign w:val="center"/>
            <w:hideMark/>
          </w:tcPr>
          <w:p w14:paraId="6BB95CF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4.135</w:t>
            </w:r>
          </w:p>
        </w:tc>
        <w:tc>
          <w:tcPr>
            <w:tcW w:w="678" w:type="dxa"/>
            <w:tcBorders>
              <w:top w:val="nil"/>
              <w:left w:val="nil"/>
              <w:bottom w:val="single" w:sz="8" w:space="0" w:color="A9A9A9"/>
              <w:right w:val="single" w:sz="8" w:space="0" w:color="A9A9A9"/>
            </w:tcBorders>
            <w:shd w:val="clear" w:color="000000" w:fill="FFFFFF"/>
            <w:noWrap/>
            <w:vAlign w:val="center"/>
            <w:hideMark/>
          </w:tcPr>
          <w:p w14:paraId="41310F3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3.899</w:t>
            </w:r>
          </w:p>
        </w:tc>
        <w:tc>
          <w:tcPr>
            <w:tcW w:w="597" w:type="dxa"/>
            <w:tcBorders>
              <w:top w:val="nil"/>
              <w:left w:val="nil"/>
              <w:bottom w:val="single" w:sz="8" w:space="0" w:color="A9A9A9"/>
              <w:right w:val="single" w:sz="8" w:space="0" w:color="A9A9A9"/>
            </w:tcBorders>
            <w:shd w:val="clear" w:color="000000" w:fill="FFFFFF"/>
            <w:noWrap/>
            <w:vAlign w:val="center"/>
            <w:hideMark/>
          </w:tcPr>
          <w:p w14:paraId="122222A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4.717</w:t>
            </w:r>
          </w:p>
        </w:tc>
        <w:tc>
          <w:tcPr>
            <w:tcW w:w="709" w:type="dxa"/>
            <w:tcBorders>
              <w:top w:val="nil"/>
              <w:left w:val="nil"/>
              <w:bottom w:val="single" w:sz="8" w:space="0" w:color="A9A9A9"/>
              <w:right w:val="single" w:sz="8" w:space="0" w:color="A9A9A9"/>
            </w:tcBorders>
            <w:shd w:val="clear" w:color="000000" w:fill="FFFFFF"/>
            <w:noWrap/>
            <w:vAlign w:val="center"/>
            <w:hideMark/>
          </w:tcPr>
          <w:p w14:paraId="429725F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5.214</w:t>
            </w:r>
          </w:p>
        </w:tc>
        <w:tc>
          <w:tcPr>
            <w:tcW w:w="612" w:type="dxa"/>
            <w:tcBorders>
              <w:top w:val="nil"/>
              <w:left w:val="nil"/>
              <w:bottom w:val="single" w:sz="8" w:space="0" w:color="A9A9A9"/>
              <w:right w:val="single" w:sz="8" w:space="0" w:color="A9A9A9"/>
            </w:tcBorders>
            <w:shd w:val="clear" w:color="000000" w:fill="FFFFFF"/>
            <w:noWrap/>
            <w:vAlign w:val="center"/>
            <w:hideMark/>
          </w:tcPr>
          <w:p w14:paraId="3B979C3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5.427</w:t>
            </w:r>
          </w:p>
        </w:tc>
        <w:tc>
          <w:tcPr>
            <w:tcW w:w="799" w:type="dxa"/>
            <w:tcBorders>
              <w:top w:val="nil"/>
              <w:left w:val="nil"/>
              <w:bottom w:val="single" w:sz="8" w:space="0" w:color="A9A9A9"/>
              <w:right w:val="single" w:sz="8" w:space="0" w:color="A9A9A9"/>
            </w:tcBorders>
            <w:shd w:val="clear" w:color="000000" w:fill="FFFFFF"/>
            <w:noWrap/>
            <w:vAlign w:val="center"/>
            <w:hideMark/>
          </w:tcPr>
          <w:p w14:paraId="4251BC82"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2.935</w:t>
            </w:r>
          </w:p>
        </w:tc>
        <w:tc>
          <w:tcPr>
            <w:tcW w:w="567" w:type="dxa"/>
            <w:tcBorders>
              <w:top w:val="nil"/>
              <w:left w:val="nil"/>
              <w:bottom w:val="single" w:sz="8" w:space="0" w:color="A9A9A9"/>
              <w:right w:val="single" w:sz="8" w:space="0" w:color="A9A9A9"/>
            </w:tcBorders>
            <w:shd w:val="clear" w:color="000000" w:fill="FFFFFF"/>
            <w:noWrap/>
            <w:vAlign w:val="center"/>
            <w:hideMark/>
          </w:tcPr>
          <w:p w14:paraId="54B993B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2.506</w:t>
            </w:r>
          </w:p>
        </w:tc>
        <w:tc>
          <w:tcPr>
            <w:tcW w:w="567" w:type="dxa"/>
            <w:tcBorders>
              <w:top w:val="nil"/>
              <w:left w:val="nil"/>
              <w:bottom w:val="single" w:sz="8" w:space="0" w:color="A9A9A9"/>
              <w:right w:val="single" w:sz="8" w:space="0" w:color="A9A9A9"/>
            </w:tcBorders>
            <w:shd w:val="clear" w:color="000000" w:fill="FFFFFF"/>
            <w:noWrap/>
            <w:vAlign w:val="center"/>
            <w:hideMark/>
          </w:tcPr>
          <w:p w14:paraId="6E6531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2.792</w:t>
            </w:r>
          </w:p>
        </w:tc>
        <w:tc>
          <w:tcPr>
            <w:tcW w:w="504" w:type="dxa"/>
            <w:tcBorders>
              <w:top w:val="nil"/>
              <w:left w:val="nil"/>
              <w:bottom w:val="single" w:sz="8" w:space="0" w:color="A9A9A9"/>
              <w:right w:val="single" w:sz="8" w:space="0" w:color="A9A9A9"/>
            </w:tcBorders>
            <w:shd w:val="clear" w:color="000000" w:fill="FFFFFF"/>
            <w:noWrap/>
            <w:vAlign w:val="center"/>
            <w:hideMark/>
          </w:tcPr>
          <w:p w14:paraId="3B36EFA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2.653</w:t>
            </w:r>
          </w:p>
        </w:tc>
        <w:tc>
          <w:tcPr>
            <w:tcW w:w="630" w:type="dxa"/>
            <w:tcBorders>
              <w:top w:val="nil"/>
              <w:left w:val="nil"/>
              <w:bottom w:val="single" w:sz="8" w:space="0" w:color="A9A9A9"/>
              <w:right w:val="single" w:sz="8" w:space="0" w:color="A9A9A9"/>
            </w:tcBorders>
            <w:shd w:val="clear" w:color="000000" w:fill="FFFFFF"/>
            <w:noWrap/>
            <w:vAlign w:val="center"/>
            <w:hideMark/>
          </w:tcPr>
          <w:p w14:paraId="4595E4E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3.145</w:t>
            </w:r>
          </w:p>
        </w:tc>
        <w:tc>
          <w:tcPr>
            <w:tcW w:w="567" w:type="dxa"/>
            <w:tcBorders>
              <w:top w:val="nil"/>
              <w:left w:val="nil"/>
              <w:bottom w:val="single" w:sz="8" w:space="0" w:color="A9A9A9"/>
              <w:right w:val="single" w:sz="8" w:space="0" w:color="A9A9A9"/>
            </w:tcBorders>
            <w:shd w:val="clear" w:color="000000" w:fill="FFFFFF"/>
            <w:noWrap/>
            <w:vAlign w:val="center"/>
            <w:hideMark/>
          </w:tcPr>
          <w:p w14:paraId="227BC4C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3.487</w:t>
            </w:r>
          </w:p>
        </w:tc>
        <w:tc>
          <w:tcPr>
            <w:tcW w:w="709" w:type="dxa"/>
            <w:tcBorders>
              <w:top w:val="nil"/>
              <w:left w:val="nil"/>
              <w:bottom w:val="single" w:sz="8" w:space="0" w:color="A9A9A9"/>
              <w:right w:val="single" w:sz="8" w:space="0" w:color="A9A9A9"/>
            </w:tcBorders>
            <w:shd w:val="clear" w:color="000000" w:fill="FFFFFF"/>
            <w:noWrap/>
            <w:vAlign w:val="center"/>
            <w:hideMark/>
          </w:tcPr>
          <w:p w14:paraId="0138724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3.610</w:t>
            </w:r>
          </w:p>
        </w:tc>
      </w:tr>
      <w:tr w:rsidR="006B6A1F" w:rsidRPr="00910707" w14:paraId="2B27C646"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D193DDC"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3 do 4</w:t>
            </w:r>
          </w:p>
        </w:tc>
        <w:tc>
          <w:tcPr>
            <w:tcW w:w="575" w:type="dxa"/>
            <w:tcBorders>
              <w:top w:val="nil"/>
              <w:left w:val="nil"/>
              <w:bottom w:val="single" w:sz="8" w:space="0" w:color="A9A9A9"/>
              <w:right w:val="single" w:sz="8" w:space="0" w:color="A9A9A9"/>
            </w:tcBorders>
            <w:shd w:val="clear" w:color="000000" w:fill="FFFFFF"/>
            <w:noWrap/>
            <w:vAlign w:val="center"/>
            <w:hideMark/>
          </w:tcPr>
          <w:p w14:paraId="3C66EEA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3.197</w:t>
            </w:r>
          </w:p>
        </w:tc>
        <w:tc>
          <w:tcPr>
            <w:tcW w:w="596" w:type="dxa"/>
            <w:tcBorders>
              <w:top w:val="nil"/>
              <w:left w:val="nil"/>
              <w:bottom w:val="single" w:sz="8" w:space="0" w:color="A9A9A9"/>
              <w:right w:val="single" w:sz="8" w:space="0" w:color="A9A9A9"/>
            </w:tcBorders>
            <w:shd w:val="clear" w:color="000000" w:fill="FFFFFF"/>
            <w:noWrap/>
            <w:vAlign w:val="center"/>
            <w:hideMark/>
          </w:tcPr>
          <w:p w14:paraId="53DD317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3.924</w:t>
            </w:r>
          </w:p>
        </w:tc>
        <w:tc>
          <w:tcPr>
            <w:tcW w:w="624" w:type="dxa"/>
            <w:tcBorders>
              <w:top w:val="nil"/>
              <w:left w:val="nil"/>
              <w:bottom w:val="single" w:sz="8" w:space="0" w:color="A9A9A9"/>
              <w:right w:val="single" w:sz="8" w:space="0" w:color="A9A9A9"/>
            </w:tcBorders>
            <w:shd w:val="clear" w:color="000000" w:fill="FFFFFF"/>
            <w:noWrap/>
            <w:vAlign w:val="center"/>
            <w:hideMark/>
          </w:tcPr>
          <w:p w14:paraId="67BF64B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4.106</w:t>
            </w:r>
          </w:p>
        </w:tc>
        <w:tc>
          <w:tcPr>
            <w:tcW w:w="678" w:type="dxa"/>
            <w:tcBorders>
              <w:top w:val="nil"/>
              <w:left w:val="nil"/>
              <w:bottom w:val="single" w:sz="8" w:space="0" w:color="A9A9A9"/>
              <w:right w:val="single" w:sz="8" w:space="0" w:color="A9A9A9"/>
            </w:tcBorders>
            <w:shd w:val="clear" w:color="000000" w:fill="FFFFFF"/>
            <w:noWrap/>
            <w:vAlign w:val="center"/>
            <w:hideMark/>
          </w:tcPr>
          <w:p w14:paraId="3486B89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4.549</w:t>
            </w:r>
          </w:p>
        </w:tc>
        <w:tc>
          <w:tcPr>
            <w:tcW w:w="597" w:type="dxa"/>
            <w:tcBorders>
              <w:top w:val="nil"/>
              <w:left w:val="nil"/>
              <w:bottom w:val="single" w:sz="8" w:space="0" w:color="A9A9A9"/>
              <w:right w:val="single" w:sz="8" w:space="0" w:color="A9A9A9"/>
            </w:tcBorders>
            <w:shd w:val="clear" w:color="000000" w:fill="FFFFFF"/>
            <w:noWrap/>
            <w:vAlign w:val="center"/>
            <w:hideMark/>
          </w:tcPr>
          <w:p w14:paraId="2F63331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5.167</w:t>
            </w:r>
          </w:p>
        </w:tc>
        <w:tc>
          <w:tcPr>
            <w:tcW w:w="709" w:type="dxa"/>
            <w:tcBorders>
              <w:top w:val="nil"/>
              <w:left w:val="nil"/>
              <w:bottom w:val="single" w:sz="8" w:space="0" w:color="A9A9A9"/>
              <w:right w:val="single" w:sz="8" w:space="0" w:color="A9A9A9"/>
            </w:tcBorders>
            <w:shd w:val="clear" w:color="auto" w:fill="auto"/>
            <w:noWrap/>
            <w:vAlign w:val="center"/>
            <w:hideMark/>
          </w:tcPr>
          <w:p w14:paraId="0BACF8B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4.288</w:t>
            </w:r>
          </w:p>
        </w:tc>
        <w:tc>
          <w:tcPr>
            <w:tcW w:w="612" w:type="dxa"/>
            <w:tcBorders>
              <w:top w:val="nil"/>
              <w:left w:val="nil"/>
              <w:bottom w:val="single" w:sz="8" w:space="0" w:color="A9A9A9"/>
              <w:right w:val="single" w:sz="8" w:space="0" w:color="A9A9A9"/>
            </w:tcBorders>
            <w:shd w:val="clear" w:color="auto" w:fill="auto"/>
            <w:noWrap/>
            <w:vAlign w:val="center"/>
            <w:hideMark/>
          </w:tcPr>
          <w:p w14:paraId="05CD5C4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4.135 M</w:t>
            </w:r>
          </w:p>
        </w:tc>
        <w:tc>
          <w:tcPr>
            <w:tcW w:w="799" w:type="dxa"/>
            <w:tcBorders>
              <w:top w:val="nil"/>
              <w:left w:val="nil"/>
              <w:bottom w:val="single" w:sz="8" w:space="0" w:color="A9A9A9"/>
              <w:right w:val="single" w:sz="8" w:space="0" w:color="A9A9A9"/>
            </w:tcBorders>
            <w:shd w:val="clear" w:color="auto" w:fill="auto"/>
            <w:noWrap/>
            <w:vAlign w:val="center"/>
            <w:hideMark/>
          </w:tcPr>
          <w:p w14:paraId="32597EDC"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937</w:t>
            </w:r>
          </w:p>
        </w:tc>
        <w:tc>
          <w:tcPr>
            <w:tcW w:w="567" w:type="dxa"/>
            <w:tcBorders>
              <w:top w:val="nil"/>
              <w:left w:val="nil"/>
              <w:bottom w:val="single" w:sz="8" w:space="0" w:color="A9A9A9"/>
              <w:right w:val="single" w:sz="8" w:space="0" w:color="A9A9A9"/>
            </w:tcBorders>
            <w:shd w:val="clear" w:color="auto" w:fill="auto"/>
            <w:noWrap/>
            <w:vAlign w:val="center"/>
            <w:hideMark/>
          </w:tcPr>
          <w:p w14:paraId="2E6495D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1.170</w:t>
            </w:r>
          </w:p>
        </w:tc>
        <w:tc>
          <w:tcPr>
            <w:tcW w:w="567" w:type="dxa"/>
            <w:tcBorders>
              <w:top w:val="nil"/>
              <w:left w:val="nil"/>
              <w:bottom w:val="single" w:sz="8" w:space="0" w:color="A9A9A9"/>
              <w:right w:val="single" w:sz="8" w:space="0" w:color="A9A9A9"/>
            </w:tcBorders>
            <w:shd w:val="clear" w:color="auto" w:fill="auto"/>
            <w:noWrap/>
            <w:vAlign w:val="center"/>
            <w:hideMark/>
          </w:tcPr>
          <w:p w14:paraId="63D428D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1.206</w:t>
            </w:r>
          </w:p>
        </w:tc>
        <w:tc>
          <w:tcPr>
            <w:tcW w:w="504" w:type="dxa"/>
            <w:tcBorders>
              <w:top w:val="nil"/>
              <w:left w:val="nil"/>
              <w:bottom w:val="single" w:sz="8" w:space="0" w:color="A9A9A9"/>
              <w:right w:val="single" w:sz="8" w:space="0" w:color="A9A9A9"/>
            </w:tcBorders>
            <w:shd w:val="clear" w:color="auto" w:fill="auto"/>
            <w:noWrap/>
            <w:vAlign w:val="center"/>
            <w:hideMark/>
          </w:tcPr>
          <w:p w14:paraId="5D30EAD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1.327</w:t>
            </w:r>
          </w:p>
        </w:tc>
        <w:tc>
          <w:tcPr>
            <w:tcW w:w="630" w:type="dxa"/>
            <w:tcBorders>
              <w:top w:val="nil"/>
              <w:left w:val="nil"/>
              <w:bottom w:val="single" w:sz="8" w:space="0" w:color="A9A9A9"/>
              <w:right w:val="single" w:sz="8" w:space="0" w:color="A9A9A9"/>
            </w:tcBorders>
            <w:shd w:val="clear" w:color="auto" w:fill="auto"/>
            <w:noWrap/>
            <w:vAlign w:val="center"/>
            <w:hideMark/>
          </w:tcPr>
          <w:p w14:paraId="38AD652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1.521</w:t>
            </w:r>
          </w:p>
        </w:tc>
        <w:tc>
          <w:tcPr>
            <w:tcW w:w="567" w:type="dxa"/>
            <w:tcBorders>
              <w:top w:val="nil"/>
              <w:left w:val="nil"/>
              <w:bottom w:val="single" w:sz="8" w:space="0" w:color="A9A9A9"/>
              <w:right w:val="single" w:sz="8" w:space="0" w:color="A9A9A9"/>
            </w:tcBorders>
            <w:shd w:val="clear" w:color="auto" w:fill="auto"/>
            <w:noWrap/>
            <w:vAlign w:val="center"/>
            <w:hideMark/>
          </w:tcPr>
          <w:p w14:paraId="6F0DCA4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1.269</w:t>
            </w:r>
          </w:p>
        </w:tc>
        <w:tc>
          <w:tcPr>
            <w:tcW w:w="709" w:type="dxa"/>
            <w:tcBorders>
              <w:top w:val="nil"/>
              <w:left w:val="nil"/>
              <w:bottom w:val="single" w:sz="8" w:space="0" w:color="A9A9A9"/>
              <w:right w:val="single" w:sz="8" w:space="0" w:color="A9A9A9"/>
            </w:tcBorders>
            <w:shd w:val="clear" w:color="auto" w:fill="auto"/>
            <w:noWrap/>
            <w:vAlign w:val="center"/>
            <w:hideMark/>
          </w:tcPr>
          <w:p w14:paraId="7F16DCF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1.225 M</w:t>
            </w:r>
          </w:p>
        </w:tc>
      </w:tr>
      <w:tr w:rsidR="006B6A1F" w:rsidRPr="00910707" w14:paraId="156D988D"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FEE3D7A"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5 do 9</w:t>
            </w:r>
          </w:p>
        </w:tc>
        <w:tc>
          <w:tcPr>
            <w:tcW w:w="575" w:type="dxa"/>
            <w:tcBorders>
              <w:top w:val="nil"/>
              <w:left w:val="nil"/>
              <w:bottom w:val="single" w:sz="8" w:space="0" w:color="A9A9A9"/>
              <w:right w:val="single" w:sz="8" w:space="0" w:color="A9A9A9"/>
            </w:tcBorders>
            <w:shd w:val="clear" w:color="000000" w:fill="FFFFFF"/>
            <w:noWrap/>
            <w:vAlign w:val="center"/>
            <w:hideMark/>
          </w:tcPr>
          <w:p w14:paraId="61B9473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3.612</w:t>
            </w:r>
          </w:p>
        </w:tc>
        <w:tc>
          <w:tcPr>
            <w:tcW w:w="596" w:type="dxa"/>
            <w:tcBorders>
              <w:top w:val="nil"/>
              <w:left w:val="nil"/>
              <w:bottom w:val="single" w:sz="8" w:space="0" w:color="A9A9A9"/>
              <w:right w:val="single" w:sz="8" w:space="0" w:color="A9A9A9"/>
            </w:tcBorders>
            <w:shd w:val="clear" w:color="000000" w:fill="FFFFFF"/>
            <w:noWrap/>
            <w:vAlign w:val="center"/>
            <w:hideMark/>
          </w:tcPr>
          <w:p w14:paraId="1BECDC6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4.923</w:t>
            </w:r>
          </w:p>
        </w:tc>
        <w:tc>
          <w:tcPr>
            <w:tcW w:w="624" w:type="dxa"/>
            <w:tcBorders>
              <w:top w:val="nil"/>
              <w:left w:val="nil"/>
              <w:bottom w:val="single" w:sz="8" w:space="0" w:color="A9A9A9"/>
              <w:right w:val="single" w:sz="8" w:space="0" w:color="A9A9A9"/>
            </w:tcBorders>
            <w:shd w:val="clear" w:color="000000" w:fill="FFFFFF"/>
            <w:noWrap/>
            <w:vAlign w:val="center"/>
            <w:hideMark/>
          </w:tcPr>
          <w:p w14:paraId="68D0E8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4.772</w:t>
            </w:r>
          </w:p>
        </w:tc>
        <w:tc>
          <w:tcPr>
            <w:tcW w:w="678" w:type="dxa"/>
            <w:tcBorders>
              <w:top w:val="nil"/>
              <w:left w:val="nil"/>
              <w:bottom w:val="single" w:sz="8" w:space="0" w:color="A9A9A9"/>
              <w:right w:val="single" w:sz="8" w:space="0" w:color="A9A9A9"/>
            </w:tcBorders>
            <w:shd w:val="clear" w:color="000000" w:fill="FFFFFF"/>
            <w:noWrap/>
            <w:vAlign w:val="center"/>
            <w:hideMark/>
          </w:tcPr>
          <w:p w14:paraId="318220A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5.246</w:t>
            </w:r>
          </w:p>
        </w:tc>
        <w:tc>
          <w:tcPr>
            <w:tcW w:w="597" w:type="dxa"/>
            <w:tcBorders>
              <w:top w:val="nil"/>
              <w:left w:val="nil"/>
              <w:bottom w:val="single" w:sz="8" w:space="0" w:color="A9A9A9"/>
              <w:right w:val="single" w:sz="8" w:space="0" w:color="A9A9A9"/>
            </w:tcBorders>
            <w:shd w:val="clear" w:color="000000" w:fill="FFFFFF"/>
            <w:noWrap/>
            <w:vAlign w:val="center"/>
            <w:hideMark/>
          </w:tcPr>
          <w:p w14:paraId="682B939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5.606</w:t>
            </w:r>
          </w:p>
        </w:tc>
        <w:tc>
          <w:tcPr>
            <w:tcW w:w="709" w:type="dxa"/>
            <w:tcBorders>
              <w:top w:val="nil"/>
              <w:left w:val="nil"/>
              <w:bottom w:val="single" w:sz="8" w:space="0" w:color="A9A9A9"/>
              <w:right w:val="single" w:sz="8" w:space="0" w:color="A9A9A9"/>
            </w:tcBorders>
            <w:shd w:val="clear" w:color="auto" w:fill="auto"/>
            <w:noWrap/>
            <w:vAlign w:val="center"/>
            <w:hideMark/>
          </w:tcPr>
          <w:p w14:paraId="6ACACBE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6.170 M</w:t>
            </w:r>
          </w:p>
        </w:tc>
        <w:tc>
          <w:tcPr>
            <w:tcW w:w="612" w:type="dxa"/>
            <w:tcBorders>
              <w:top w:val="nil"/>
              <w:left w:val="nil"/>
              <w:bottom w:val="single" w:sz="8" w:space="0" w:color="A9A9A9"/>
              <w:right w:val="single" w:sz="8" w:space="0" w:color="A9A9A9"/>
            </w:tcBorders>
            <w:shd w:val="clear" w:color="auto" w:fill="auto"/>
            <w:noWrap/>
            <w:vAlign w:val="center"/>
            <w:hideMark/>
          </w:tcPr>
          <w:p w14:paraId="00FDE71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3.735 M</w:t>
            </w:r>
          </w:p>
        </w:tc>
        <w:tc>
          <w:tcPr>
            <w:tcW w:w="799" w:type="dxa"/>
            <w:tcBorders>
              <w:top w:val="nil"/>
              <w:left w:val="nil"/>
              <w:bottom w:val="single" w:sz="8" w:space="0" w:color="A9A9A9"/>
              <w:right w:val="single" w:sz="8" w:space="0" w:color="A9A9A9"/>
            </w:tcBorders>
            <w:shd w:val="clear" w:color="auto" w:fill="auto"/>
            <w:noWrap/>
            <w:vAlign w:val="center"/>
            <w:hideMark/>
          </w:tcPr>
          <w:p w14:paraId="279631D9"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569</w:t>
            </w:r>
          </w:p>
        </w:tc>
        <w:tc>
          <w:tcPr>
            <w:tcW w:w="567" w:type="dxa"/>
            <w:tcBorders>
              <w:top w:val="nil"/>
              <w:left w:val="nil"/>
              <w:bottom w:val="single" w:sz="8" w:space="0" w:color="A9A9A9"/>
              <w:right w:val="single" w:sz="8" w:space="0" w:color="A9A9A9"/>
            </w:tcBorders>
            <w:shd w:val="clear" w:color="auto" w:fill="auto"/>
            <w:noWrap/>
            <w:vAlign w:val="center"/>
            <w:hideMark/>
          </w:tcPr>
          <w:p w14:paraId="48030DE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794</w:t>
            </w:r>
          </w:p>
        </w:tc>
        <w:tc>
          <w:tcPr>
            <w:tcW w:w="567" w:type="dxa"/>
            <w:tcBorders>
              <w:top w:val="nil"/>
              <w:left w:val="nil"/>
              <w:bottom w:val="single" w:sz="8" w:space="0" w:color="A9A9A9"/>
              <w:right w:val="single" w:sz="8" w:space="0" w:color="A9A9A9"/>
            </w:tcBorders>
            <w:shd w:val="clear" w:color="auto" w:fill="auto"/>
            <w:noWrap/>
            <w:vAlign w:val="center"/>
            <w:hideMark/>
          </w:tcPr>
          <w:p w14:paraId="383A160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764</w:t>
            </w:r>
          </w:p>
        </w:tc>
        <w:tc>
          <w:tcPr>
            <w:tcW w:w="504" w:type="dxa"/>
            <w:tcBorders>
              <w:top w:val="nil"/>
              <w:left w:val="nil"/>
              <w:bottom w:val="single" w:sz="8" w:space="0" w:color="A9A9A9"/>
              <w:right w:val="single" w:sz="8" w:space="0" w:color="A9A9A9"/>
            </w:tcBorders>
            <w:shd w:val="clear" w:color="auto" w:fill="auto"/>
            <w:noWrap/>
            <w:vAlign w:val="center"/>
            <w:hideMark/>
          </w:tcPr>
          <w:p w14:paraId="276AD88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785</w:t>
            </w:r>
          </w:p>
        </w:tc>
        <w:tc>
          <w:tcPr>
            <w:tcW w:w="630" w:type="dxa"/>
            <w:tcBorders>
              <w:top w:val="nil"/>
              <w:left w:val="nil"/>
              <w:bottom w:val="single" w:sz="8" w:space="0" w:color="A9A9A9"/>
              <w:right w:val="single" w:sz="8" w:space="0" w:color="A9A9A9"/>
            </w:tcBorders>
            <w:shd w:val="clear" w:color="auto" w:fill="auto"/>
            <w:noWrap/>
            <w:vAlign w:val="center"/>
            <w:hideMark/>
          </w:tcPr>
          <w:p w14:paraId="4901039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885</w:t>
            </w:r>
          </w:p>
        </w:tc>
        <w:tc>
          <w:tcPr>
            <w:tcW w:w="567" w:type="dxa"/>
            <w:tcBorders>
              <w:top w:val="nil"/>
              <w:left w:val="nil"/>
              <w:bottom w:val="single" w:sz="8" w:space="0" w:color="A9A9A9"/>
              <w:right w:val="single" w:sz="8" w:space="0" w:color="A9A9A9"/>
            </w:tcBorders>
            <w:shd w:val="clear" w:color="auto" w:fill="auto"/>
            <w:noWrap/>
            <w:vAlign w:val="center"/>
            <w:hideMark/>
          </w:tcPr>
          <w:p w14:paraId="46F478B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935 M</w:t>
            </w:r>
          </w:p>
        </w:tc>
        <w:tc>
          <w:tcPr>
            <w:tcW w:w="709" w:type="dxa"/>
            <w:tcBorders>
              <w:top w:val="nil"/>
              <w:left w:val="nil"/>
              <w:bottom w:val="single" w:sz="8" w:space="0" w:color="A9A9A9"/>
              <w:right w:val="single" w:sz="8" w:space="0" w:color="A9A9A9"/>
            </w:tcBorders>
            <w:shd w:val="clear" w:color="auto" w:fill="auto"/>
            <w:noWrap/>
            <w:vAlign w:val="center"/>
            <w:hideMark/>
          </w:tcPr>
          <w:p w14:paraId="2BC73CA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605 M</w:t>
            </w:r>
          </w:p>
        </w:tc>
      </w:tr>
      <w:tr w:rsidR="006B6A1F" w:rsidRPr="00910707" w14:paraId="6E9AB158"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8820535"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10 do 19</w:t>
            </w:r>
          </w:p>
        </w:tc>
        <w:tc>
          <w:tcPr>
            <w:tcW w:w="575" w:type="dxa"/>
            <w:tcBorders>
              <w:top w:val="nil"/>
              <w:left w:val="nil"/>
              <w:bottom w:val="single" w:sz="8" w:space="0" w:color="A9A9A9"/>
              <w:right w:val="single" w:sz="8" w:space="0" w:color="A9A9A9"/>
            </w:tcBorders>
            <w:shd w:val="clear" w:color="000000" w:fill="FFFFFF"/>
            <w:noWrap/>
            <w:vAlign w:val="center"/>
            <w:hideMark/>
          </w:tcPr>
          <w:p w14:paraId="1F0E8DA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1.930</w:t>
            </w:r>
          </w:p>
        </w:tc>
        <w:tc>
          <w:tcPr>
            <w:tcW w:w="596" w:type="dxa"/>
            <w:tcBorders>
              <w:top w:val="nil"/>
              <w:left w:val="nil"/>
              <w:bottom w:val="single" w:sz="8" w:space="0" w:color="A9A9A9"/>
              <w:right w:val="single" w:sz="8" w:space="0" w:color="A9A9A9"/>
            </w:tcBorders>
            <w:shd w:val="clear" w:color="000000" w:fill="FFFFFF"/>
            <w:noWrap/>
            <w:vAlign w:val="center"/>
            <w:hideMark/>
          </w:tcPr>
          <w:p w14:paraId="0C5C4F5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2.420</w:t>
            </w:r>
          </w:p>
        </w:tc>
        <w:tc>
          <w:tcPr>
            <w:tcW w:w="624" w:type="dxa"/>
            <w:tcBorders>
              <w:top w:val="nil"/>
              <w:left w:val="nil"/>
              <w:bottom w:val="single" w:sz="8" w:space="0" w:color="A9A9A9"/>
              <w:right w:val="single" w:sz="8" w:space="0" w:color="A9A9A9"/>
            </w:tcBorders>
            <w:shd w:val="clear" w:color="000000" w:fill="FFFFFF"/>
            <w:noWrap/>
            <w:vAlign w:val="center"/>
            <w:hideMark/>
          </w:tcPr>
          <w:p w14:paraId="4C5CFED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3.908</w:t>
            </w:r>
          </w:p>
        </w:tc>
        <w:tc>
          <w:tcPr>
            <w:tcW w:w="678" w:type="dxa"/>
            <w:tcBorders>
              <w:top w:val="nil"/>
              <w:left w:val="nil"/>
              <w:bottom w:val="single" w:sz="8" w:space="0" w:color="A9A9A9"/>
              <w:right w:val="single" w:sz="8" w:space="0" w:color="A9A9A9"/>
            </w:tcBorders>
            <w:shd w:val="clear" w:color="000000" w:fill="FFFFFF"/>
            <w:noWrap/>
            <w:vAlign w:val="center"/>
            <w:hideMark/>
          </w:tcPr>
          <w:p w14:paraId="26A890F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2.984</w:t>
            </w:r>
          </w:p>
        </w:tc>
        <w:tc>
          <w:tcPr>
            <w:tcW w:w="597" w:type="dxa"/>
            <w:tcBorders>
              <w:top w:val="nil"/>
              <w:left w:val="nil"/>
              <w:bottom w:val="single" w:sz="8" w:space="0" w:color="A9A9A9"/>
              <w:right w:val="single" w:sz="8" w:space="0" w:color="A9A9A9"/>
            </w:tcBorders>
            <w:shd w:val="clear" w:color="000000" w:fill="FFFFFF"/>
            <w:noWrap/>
            <w:vAlign w:val="center"/>
            <w:hideMark/>
          </w:tcPr>
          <w:p w14:paraId="2BCD081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3.882</w:t>
            </w:r>
          </w:p>
        </w:tc>
        <w:tc>
          <w:tcPr>
            <w:tcW w:w="709" w:type="dxa"/>
            <w:tcBorders>
              <w:top w:val="nil"/>
              <w:left w:val="nil"/>
              <w:bottom w:val="single" w:sz="8" w:space="0" w:color="A9A9A9"/>
              <w:right w:val="single" w:sz="8" w:space="0" w:color="A9A9A9"/>
            </w:tcBorders>
            <w:shd w:val="clear" w:color="auto" w:fill="auto"/>
            <w:noWrap/>
            <w:vAlign w:val="center"/>
            <w:hideMark/>
          </w:tcPr>
          <w:p w14:paraId="73BBA647"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3.130 M</w:t>
            </w:r>
          </w:p>
        </w:tc>
        <w:tc>
          <w:tcPr>
            <w:tcW w:w="612" w:type="dxa"/>
            <w:tcBorders>
              <w:top w:val="nil"/>
              <w:left w:val="nil"/>
              <w:bottom w:val="single" w:sz="8" w:space="0" w:color="A9A9A9"/>
              <w:right w:val="single" w:sz="8" w:space="0" w:color="A9A9A9"/>
            </w:tcBorders>
            <w:shd w:val="clear" w:color="auto" w:fill="auto"/>
            <w:noWrap/>
            <w:vAlign w:val="center"/>
            <w:hideMark/>
          </w:tcPr>
          <w:p w14:paraId="00E6E8C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2.916 M</w:t>
            </w:r>
          </w:p>
        </w:tc>
        <w:tc>
          <w:tcPr>
            <w:tcW w:w="799" w:type="dxa"/>
            <w:tcBorders>
              <w:top w:val="nil"/>
              <w:left w:val="nil"/>
              <w:bottom w:val="single" w:sz="8" w:space="0" w:color="A9A9A9"/>
              <w:right w:val="single" w:sz="8" w:space="0" w:color="A9A9A9"/>
            </w:tcBorders>
            <w:shd w:val="clear" w:color="auto" w:fill="auto"/>
            <w:noWrap/>
            <w:vAlign w:val="center"/>
            <w:hideMark/>
          </w:tcPr>
          <w:p w14:paraId="357D0537"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149</w:t>
            </w:r>
          </w:p>
        </w:tc>
        <w:tc>
          <w:tcPr>
            <w:tcW w:w="567" w:type="dxa"/>
            <w:tcBorders>
              <w:top w:val="nil"/>
              <w:left w:val="nil"/>
              <w:bottom w:val="single" w:sz="8" w:space="0" w:color="A9A9A9"/>
              <w:right w:val="single" w:sz="8" w:space="0" w:color="A9A9A9"/>
            </w:tcBorders>
            <w:shd w:val="clear" w:color="auto" w:fill="auto"/>
            <w:noWrap/>
            <w:vAlign w:val="center"/>
            <w:hideMark/>
          </w:tcPr>
          <w:p w14:paraId="183DF08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200</w:t>
            </w:r>
          </w:p>
        </w:tc>
        <w:tc>
          <w:tcPr>
            <w:tcW w:w="567" w:type="dxa"/>
            <w:tcBorders>
              <w:top w:val="nil"/>
              <w:left w:val="nil"/>
              <w:bottom w:val="single" w:sz="8" w:space="0" w:color="A9A9A9"/>
              <w:right w:val="single" w:sz="8" w:space="0" w:color="A9A9A9"/>
            </w:tcBorders>
            <w:shd w:val="clear" w:color="auto" w:fill="auto"/>
            <w:noWrap/>
            <w:vAlign w:val="center"/>
            <w:hideMark/>
          </w:tcPr>
          <w:p w14:paraId="1B41B01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320</w:t>
            </w:r>
          </w:p>
        </w:tc>
        <w:tc>
          <w:tcPr>
            <w:tcW w:w="504" w:type="dxa"/>
            <w:tcBorders>
              <w:top w:val="nil"/>
              <w:left w:val="nil"/>
              <w:bottom w:val="single" w:sz="8" w:space="0" w:color="A9A9A9"/>
              <w:right w:val="single" w:sz="8" w:space="0" w:color="A9A9A9"/>
            </w:tcBorders>
            <w:shd w:val="clear" w:color="auto" w:fill="auto"/>
            <w:noWrap/>
            <w:vAlign w:val="center"/>
            <w:hideMark/>
          </w:tcPr>
          <w:p w14:paraId="420DCAB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233</w:t>
            </w:r>
          </w:p>
        </w:tc>
        <w:tc>
          <w:tcPr>
            <w:tcW w:w="630" w:type="dxa"/>
            <w:tcBorders>
              <w:top w:val="nil"/>
              <w:left w:val="nil"/>
              <w:bottom w:val="single" w:sz="8" w:space="0" w:color="A9A9A9"/>
              <w:right w:val="single" w:sz="8" w:space="0" w:color="A9A9A9"/>
            </w:tcBorders>
            <w:shd w:val="clear" w:color="auto" w:fill="auto"/>
            <w:noWrap/>
            <w:vAlign w:val="center"/>
            <w:hideMark/>
          </w:tcPr>
          <w:p w14:paraId="262665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308</w:t>
            </w:r>
          </w:p>
        </w:tc>
        <w:tc>
          <w:tcPr>
            <w:tcW w:w="567" w:type="dxa"/>
            <w:tcBorders>
              <w:top w:val="nil"/>
              <w:left w:val="nil"/>
              <w:bottom w:val="single" w:sz="8" w:space="0" w:color="A9A9A9"/>
              <w:right w:val="single" w:sz="8" w:space="0" w:color="A9A9A9"/>
            </w:tcBorders>
            <w:shd w:val="clear" w:color="auto" w:fill="auto"/>
            <w:noWrap/>
            <w:vAlign w:val="center"/>
            <w:hideMark/>
          </w:tcPr>
          <w:p w14:paraId="2A1E762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248 M</w:t>
            </w:r>
          </w:p>
        </w:tc>
        <w:tc>
          <w:tcPr>
            <w:tcW w:w="709" w:type="dxa"/>
            <w:tcBorders>
              <w:top w:val="nil"/>
              <w:left w:val="nil"/>
              <w:bottom w:val="single" w:sz="8" w:space="0" w:color="A9A9A9"/>
              <w:right w:val="single" w:sz="8" w:space="0" w:color="A9A9A9"/>
            </w:tcBorders>
            <w:shd w:val="clear" w:color="auto" w:fill="auto"/>
            <w:noWrap/>
            <w:vAlign w:val="center"/>
            <w:hideMark/>
          </w:tcPr>
          <w:p w14:paraId="6DA85A3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233 M</w:t>
            </w:r>
          </w:p>
        </w:tc>
      </w:tr>
      <w:tr w:rsidR="006B6A1F" w:rsidRPr="00910707" w14:paraId="6046DCFE"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3F927F6B" w14:textId="77777777" w:rsidR="006B6A1F" w:rsidRPr="00396A4C" w:rsidRDefault="006B6A1F" w:rsidP="006B6A1F">
            <w:pPr>
              <w:spacing w:line="240" w:lineRule="auto"/>
              <w:ind w:right="-3" w:firstLineChars="47" w:firstLine="66"/>
              <w:rPr>
                <w:bCs/>
                <w:color w:val="FFFFFF"/>
                <w:sz w:val="14"/>
                <w:szCs w:val="14"/>
                <w:lang w:eastAsia="sl-SI"/>
              </w:rPr>
            </w:pPr>
            <w:r w:rsidRPr="00396A4C">
              <w:rPr>
                <w:bCs/>
                <w:sz w:val="14"/>
                <w:szCs w:val="14"/>
                <w:lang w:eastAsia="sl-SI"/>
              </w:rPr>
              <w:t>od 20 ali več</w:t>
            </w:r>
          </w:p>
        </w:tc>
        <w:tc>
          <w:tcPr>
            <w:tcW w:w="575" w:type="dxa"/>
            <w:tcBorders>
              <w:top w:val="nil"/>
              <w:left w:val="nil"/>
              <w:bottom w:val="single" w:sz="8" w:space="0" w:color="A9A9A9"/>
              <w:right w:val="single" w:sz="8" w:space="0" w:color="A9A9A9"/>
            </w:tcBorders>
            <w:shd w:val="clear" w:color="000000" w:fill="FFFFFF"/>
            <w:noWrap/>
            <w:vAlign w:val="center"/>
            <w:hideMark/>
          </w:tcPr>
          <w:p w14:paraId="722F0ED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1.512</w:t>
            </w:r>
          </w:p>
        </w:tc>
        <w:tc>
          <w:tcPr>
            <w:tcW w:w="596" w:type="dxa"/>
            <w:tcBorders>
              <w:top w:val="nil"/>
              <w:left w:val="nil"/>
              <w:bottom w:val="single" w:sz="8" w:space="0" w:color="A9A9A9"/>
              <w:right w:val="single" w:sz="8" w:space="0" w:color="A9A9A9"/>
            </w:tcBorders>
            <w:shd w:val="clear" w:color="000000" w:fill="FFFFFF"/>
            <w:noWrap/>
            <w:vAlign w:val="center"/>
            <w:hideMark/>
          </w:tcPr>
          <w:p w14:paraId="1259990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1.986</w:t>
            </w:r>
          </w:p>
        </w:tc>
        <w:tc>
          <w:tcPr>
            <w:tcW w:w="624" w:type="dxa"/>
            <w:tcBorders>
              <w:top w:val="nil"/>
              <w:left w:val="nil"/>
              <w:bottom w:val="single" w:sz="8" w:space="0" w:color="A9A9A9"/>
              <w:right w:val="single" w:sz="8" w:space="0" w:color="A9A9A9"/>
            </w:tcBorders>
            <w:shd w:val="clear" w:color="000000" w:fill="FFFFFF"/>
            <w:noWrap/>
            <w:vAlign w:val="center"/>
            <w:hideMark/>
          </w:tcPr>
          <w:p w14:paraId="124FDD7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2.328</w:t>
            </w:r>
          </w:p>
        </w:tc>
        <w:tc>
          <w:tcPr>
            <w:tcW w:w="678" w:type="dxa"/>
            <w:tcBorders>
              <w:top w:val="nil"/>
              <w:left w:val="nil"/>
              <w:bottom w:val="single" w:sz="8" w:space="0" w:color="A9A9A9"/>
              <w:right w:val="single" w:sz="8" w:space="0" w:color="A9A9A9"/>
            </w:tcBorders>
            <w:shd w:val="clear" w:color="000000" w:fill="FFFFFF"/>
            <w:noWrap/>
            <w:vAlign w:val="center"/>
            <w:hideMark/>
          </w:tcPr>
          <w:p w14:paraId="1CEEC0E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2.945</w:t>
            </w:r>
          </w:p>
        </w:tc>
        <w:tc>
          <w:tcPr>
            <w:tcW w:w="597" w:type="dxa"/>
            <w:tcBorders>
              <w:top w:val="nil"/>
              <w:left w:val="nil"/>
              <w:bottom w:val="single" w:sz="8" w:space="0" w:color="A9A9A9"/>
              <w:right w:val="single" w:sz="8" w:space="0" w:color="A9A9A9"/>
            </w:tcBorders>
            <w:shd w:val="clear" w:color="000000" w:fill="FFFFFF"/>
            <w:noWrap/>
            <w:vAlign w:val="center"/>
            <w:hideMark/>
          </w:tcPr>
          <w:p w14:paraId="0E6AD54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3.301</w:t>
            </w:r>
          </w:p>
        </w:tc>
        <w:tc>
          <w:tcPr>
            <w:tcW w:w="709" w:type="dxa"/>
            <w:tcBorders>
              <w:top w:val="nil"/>
              <w:left w:val="nil"/>
              <w:bottom w:val="single" w:sz="8" w:space="0" w:color="A9A9A9"/>
              <w:right w:val="single" w:sz="8" w:space="0" w:color="A9A9A9"/>
            </w:tcBorders>
            <w:shd w:val="clear" w:color="000000" w:fill="FFFFFF"/>
            <w:noWrap/>
            <w:vAlign w:val="center"/>
            <w:hideMark/>
          </w:tcPr>
          <w:p w14:paraId="3385C91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3.031 M</w:t>
            </w:r>
          </w:p>
        </w:tc>
        <w:tc>
          <w:tcPr>
            <w:tcW w:w="612" w:type="dxa"/>
            <w:tcBorders>
              <w:top w:val="nil"/>
              <w:left w:val="nil"/>
              <w:bottom w:val="single" w:sz="8" w:space="0" w:color="A9A9A9"/>
              <w:right w:val="single" w:sz="8" w:space="0" w:color="A9A9A9"/>
            </w:tcBorders>
            <w:shd w:val="clear" w:color="000000" w:fill="FFFFFF"/>
            <w:noWrap/>
            <w:vAlign w:val="center"/>
            <w:hideMark/>
          </w:tcPr>
          <w:p w14:paraId="2E8009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3.240 M</w:t>
            </w:r>
          </w:p>
        </w:tc>
        <w:tc>
          <w:tcPr>
            <w:tcW w:w="799" w:type="dxa"/>
            <w:tcBorders>
              <w:top w:val="nil"/>
              <w:left w:val="nil"/>
              <w:bottom w:val="single" w:sz="8" w:space="0" w:color="A9A9A9"/>
              <w:right w:val="single" w:sz="8" w:space="0" w:color="A9A9A9"/>
            </w:tcBorders>
            <w:shd w:val="clear" w:color="000000" w:fill="FFFFFF"/>
            <w:noWrap/>
            <w:vAlign w:val="center"/>
            <w:hideMark/>
          </w:tcPr>
          <w:p w14:paraId="010737F5"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44</w:t>
            </w:r>
          </w:p>
        </w:tc>
        <w:tc>
          <w:tcPr>
            <w:tcW w:w="567" w:type="dxa"/>
            <w:tcBorders>
              <w:top w:val="nil"/>
              <w:left w:val="nil"/>
              <w:bottom w:val="single" w:sz="8" w:space="0" w:color="A9A9A9"/>
              <w:right w:val="single" w:sz="8" w:space="0" w:color="A9A9A9"/>
            </w:tcBorders>
            <w:shd w:val="clear" w:color="000000" w:fill="FFFFFF"/>
            <w:noWrap/>
            <w:vAlign w:val="center"/>
            <w:hideMark/>
          </w:tcPr>
          <w:p w14:paraId="0CFA6F3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57</w:t>
            </w:r>
          </w:p>
        </w:tc>
        <w:tc>
          <w:tcPr>
            <w:tcW w:w="567" w:type="dxa"/>
            <w:tcBorders>
              <w:top w:val="nil"/>
              <w:left w:val="nil"/>
              <w:bottom w:val="single" w:sz="8" w:space="0" w:color="A9A9A9"/>
              <w:right w:val="single" w:sz="8" w:space="0" w:color="A9A9A9"/>
            </w:tcBorders>
            <w:shd w:val="clear" w:color="000000" w:fill="FFFFFF"/>
            <w:noWrap/>
            <w:vAlign w:val="center"/>
            <w:hideMark/>
          </w:tcPr>
          <w:p w14:paraId="7E89A08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45</w:t>
            </w:r>
          </w:p>
        </w:tc>
        <w:tc>
          <w:tcPr>
            <w:tcW w:w="504" w:type="dxa"/>
            <w:tcBorders>
              <w:top w:val="nil"/>
              <w:left w:val="nil"/>
              <w:bottom w:val="single" w:sz="8" w:space="0" w:color="A9A9A9"/>
              <w:right w:val="single" w:sz="8" w:space="0" w:color="A9A9A9"/>
            </w:tcBorders>
            <w:shd w:val="clear" w:color="000000" w:fill="FFFFFF"/>
            <w:noWrap/>
            <w:vAlign w:val="center"/>
            <w:hideMark/>
          </w:tcPr>
          <w:p w14:paraId="00E0DAB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83</w:t>
            </w:r>
          </w:p>
        </w:tc>
        <w:tc>
          <w:tcPr>
            <w:tcW w:w="630" w:type="dxa"/>
            <w:tcBorders>
              <w:top w:val="nil"/>
              <w:left w:val="nil"/>
              <w:bottom w:val="single" w:sz="8" w:space="0" w:color="A9A9A9"/>
              <w:right w:val="single" w:sz="8" w:space="0" w:color="A9A9A9"/>
            </w:tcBorders>
            <w:shd w:val="clear" w:color="000000" w:fill="FFFFFF"/>
            <w:noWrap/>
            <w:vAlign w:val="center"/>
            <w:hideMark/>
          </w:tcPr>
          <w:p w14:paraId="4D34459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89</w:t>
            </w:r>
          </w:p>
        </w:tc>
        <w:tc>
          <w:tcPr>
            <w:tcW w:w="567" w:type="dxa"/>
            <w:tcBorders>
              <w:top w:val="nil"/>
              <w:left w:val="nil"/>
              <w:bottom w:val="single" w:sz="8" w:space="0" w:color="A9A9A9"/>
              <w:right w:val="single" w:sz="8" w:space="0" w:color="A9A9A9"/>
            </w:tcBorders>
            <w:shd w:val="clear" w:color="000000" w:fill="FFFFFF"/>
            <w:noWrap/>
            <w:vAlign w:val="center"/>
            <w:hideMark/>
          </w:tcPr>
          <w:p w14:paraId="695FD11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90 M</w:t>
            </w:r>
          </w:p>
        </w:tc>
        <w:tc>
          <w:tcPr>
            <w:tcW w:w="709" w:type="dxa"/>
            <w:tcBorders>
              <w:top w:val="nil"/>
              <w:left w:val="nil"/>
              <w:bottom w:val="single" w:sz="8" w:space="0" w:color="A9A9A9"/>
              <w:right w:val="single" w:sz="8" w:space="0" w:color="A9A9A9"/>
            </w:tcBorders>
            <w:shd w:val="clear" w:color="000000" w:fill="FFFFFF"/>
            <w:noWrap/>
            <w:vAlign w:val="center"/>
            <w:hideMark/>
          </w:tcPr>
          <w:p w14:paraId="1BE5F72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93 M</w:t>
            </w:r>
          </w:p>
        </w:tc>
      </w:tr>
    </w:tbl>
    <w:p w14:paraId="1998EFF7" w14:textId="77777777" w:rsidR="006B6A1F" w:rsidRPr="00726070" w:rsidRDefault="006B6A1F" w:rsidP="006B6A1F">
      <w:pPr>
        <w:spacing w:before="200" w:line="360" w:lineRule="auto"/>
        <w:rPr>
          <w:i/>
          <w:sz w:val="18"/>
          <w:szCs w:val="20"/>
        </w:rPr>
      </w:pPr>
      <w:r w:rsidRPr="00726070">
        <w:rPr>
          <w:i/>
          <w:sz w:val="18"/>
          <w:szCs w:val="20"/>
        </w:rPr>
        <w:t>Vir: SURS; M- manj zanesljivi podatki</w:t>
      </w:r>
    </w:p>
    <w:p w14:paraId="5458E485" w14:textId="5B6B4EE9" w:rsidR="00F679A2" w:rsidRPr="005B2A49" w:rsidRDefault="00F679A2" w:rsidP="005B2A49">
      <w:pPr>
        <w:spacing w:after="120" w:line="260" w:lineRule="atLeast"/>
        <w:rPr>
          <w:rFonts w:eastAsia="Calibri"/>
          <w:szCs w:val="20"/>
        </w:rPr>
      </w:pPr>
    </w:p>
    <w:p w14:paraId="4D73920B" w14:textId="334DCB76" w:rsidR="00F679A2" w:rsidRPr="005B2A49" w:rsidRDefault="00F679A2" w:rsidP="005B2A49">
      <w:pPr>
        <w:spacing w:after="120" w:line="260" w:lineRule="atLeast"/>
        <w:rPr>
          <w:rFonts w:eastAsia="Calibri"/>
        </w:rPr>
      </w:pPr>
      <w:r w:rsidRPr="005B2A49">
        <w:rPr>
          <w:rFonts w:eastAsia="Calibri"/>
          <w:szCs w:val="20"/>
        </w:rPr>
        <w:t>Domača prireja mesa je v letih 2007-2019 bila od 500 do 740 ton</w:t>
      </w:r>
      <w:r w:rsidR="009E7E6E">
        <w:rPr>
          <w:rFonts w:eastAsia="Calibri"/>
          <w:szCs w:val="20"/>
        </w:rPr>
        <w:t xml:space="preserve"> </w:t>
      </w:r>
      <w:r w:rsidR="006B6A1F" w:rsidRPr="00C73213">
        <w:rPr>
          <w:rFonts w:eastAsia="TimesNewRoman"/>
        </w:rPr>
        <w:t>(v povprečju okoli 620 ton). V tem obdobju je bila domača poraba konjskega mesa v povprečju okoli 330 ton letno, pri čemer v letih 2018 in 2019 le okoli 260 ton</w:t>
      </w:r>
      <w:r w:rsidRPr="005B2A49">
        <w:rPr>
          <w:rFonts w:eastAsia="Calibri"/>
          <w:szCs w:val="20"/>
        </w:rPr>
        <w:t xml:space="preserve">. </w:t>
      </w:r>
    </w:p>
    <w:p w14:paraId="0CE1BAFE" w14:textId="332874BC" w:rsidR="006B6A1F" w:rsidRDefault="006B6A1F" w:rsidP="005B2A49">
      <w:pPr>
        <w:spacing w:after="120" w:line="260" w:lineRule="atLeast"/>
        <w:rPr>
          <w:rFonts w:eastAsia="TimesNewRoman"/>
        </w:rPr>
      </w:pPr>
      <w:r w:rsidRPr="00C73213">
        <w:rPr>
          <w:rFonts w:eastAsia="TimesNewRoman"/>
        </w:rPr>
        <w:t>Slovenija je s konjskim mesom samooskrbna</w:t>
      </w:r>
      <w:r w:rsidRPr="006B6A1F" w:rsidDel="006B6A1F">
        <w:rPr>
          <w:rFonts w:eastAsia="Calibri"/>
          <w:szCs w:val="20"/>
        </w:rPr>
        <w:t xml:space="preserve"> </w:t>
      </w:r>
      <w:r w:rsidRPr="00C73213">
        <w:rPr>
          <w:rFonts w:eastAsia="TimesNewRoman"/>
        </w:rPr>
        <w:t>že od leta 2004 dalje</w:t>
      </w:r>
      <w:r w:rsidR="00F679A2" w:rsidRPr="005B2A49">
        <w:rPr>
          <w:rFonts w:eastAsia="Calibri"/>
          <w:szCs w:val="20"/>
        </w:rPr>
        <w:t>. V obdobju 2007 – 2019 se je samooskrba s konjskim mesom gibala med 142</w:t>
      </w:r>
      <w:r>
        <w:rPr>
          <w:rFonts w:eastAsia="Calibri"/>
          <w:szCs w:val="20"/>
        </w:rPr>
        <w:t> </w:t>
      </w:r>
      <w:r w:rsidR="00F679A2" w:rsidRPr="005B2A49">
        <w:rPr>
          <w:rFonts w:eastAsia="Calibri"/>
          <w:szCs w:val="20"/>
        </w:rPr>
        <w:t>% (v letu 2010) in 2</w:t>
      </w:r>
      <w:r>
        <w:rPr>
          <w:rFonts w:eastAsia="Calibri"/>
          <w:szCs w:val="20"/>
        </w:rPr>
        <w:t>48 </w:t>
      </w:r>
      <w:r w:rsidR="00F679A2" w:rsidRPr="005B2A49">
        <w:rPr>
          <w:rFonts w:eastAsia="Calibri"/>
          <w:szCs w:val="20"/>
        </w:rPr>
        <w:t xml:space="preserve">% (v letu 2019). </w:t>
      </w:r>
      <w:r w:rsidRPr="00C73213">
        <w:rPr>
          <w:rFonts w:eastAsia="TimesNewRoman"/>
        </w:rPr>
        <w:t>Poraba konjskega mesa v letih 2007-2019 je bila v povprečju le okoli 163 g na prebivalca. Iz statističnih podatkov je viden trend naraščanja stopnje samooskrbe s konjskim mesom in trend zmanjševanja porabe konjskega mesa na prebivalca.</w:t>
      </w:r>
    </w:p>
    <w:p w14:paraId="32131562" w14:textId="77777777" w:rsidR="00726070" w:rsidRDefault="00726070" w:rsidP="005B2A49">
      <w:pPr>
        <w:spacing w:after="120" w:line="260" w:lineRule="atLeast"/>
        <w:rPr>
          <w:rFonts w:eastAsia="TimesNewRoman"/>
        </w:rPr>
      </w:pPr>
    </w:p>
    <w:p w14:paraId="5C1294EB" w14:textId="124F34E6" w:rsidR="00726070" w:rsidRDefault="00726070" w:rsidP="00726070">
      <w:pPr>
        <w:pStyle w:val="SCPreglednica"/>
      </w:pPr>
      <w:bookmarkStart w:id="3171" w:name="_Toc89861016"/>
      <w:r>
        <w:t xml:space="preserve">Tabela </w:t>
      </w:r>
      <w:r>
        <w:rPr>
          <w:noProof/>
        </w:rPr>
        <w:fldChar w:fldCharType="begin"/>
      </w:r>
      <w:r>
        <w:rPr>
          <w:noProof/>
        </w:rPr>
        <w:instrText xml:space="preserve"> SEQ Tabela \* ARABIC </w:instrText>
      </w:r>
      <w:r>
        <w:rPr>
          <w:noProof/>
        </w:rPr>
        <w:fldChar w:fldCharType="separate"/>
      </w:r>
      <w:r w:rsidR="002E0D2A">
        <w:rPr>
          <w:noProof/>
        </w:rPr>
        <w:t>24</w:t>
      </w:r>
      <w:r>
        <w:rPr>
          <w:noProof/>
        </w:rPr>
        <w:fldChar w:fldCharType="end"/>
      </w:r>
      <w:r>
        <w:t xml:space="preserve">: </w:t>
      </w:r>
      <w:r w:rsidRPr="00726070">
        <w:t>Bilanca proizvodnje in porabe konjskega mesa (t, klavna masa)</w:t>
      </w:r>
      <w:bookmarkEnd w:id="317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709"/>
        <w:gridCol w:w="709"/>
        <w:gridCol w:w="560"/>
        <w:gridCol w:w="561"/>
        <w:gridCol w:w="541"/>
        <w:gridCol w:w="606"/>
        <w:gridCol w:w="567"/>
        <w:gridCol w:w="567"/>
        <w:gridCol w:w="567"/>
        <w:gridCol w:w="567"/>
        <w:gridCol w:w="567"/>
      </w:tblGrid>
      <w:tr w:rsidR="006B6A1F" w:rsidRPr="00910707" w14:paraId="65D6A120" w14:textId="77777777" w:rsidTr="006B6A1F">
        <w:trPr>
          <w:trHeight w:val="300"/>
        </w:trPr>
        <w:tc>
          <w:tcPr>
            <w:tcW w:w="2405" w:type="dxa"/>
            <w:shd w:val="clear" w:color="auto" w:fill="auto"/>
            <w:noWrap/>
            <w:vAlign w:val="bottom"/>
            <w:hideMark/>
          </w:tcPr>
          <w:p w14:paraId="56EE2DF2" w14:textId="77777777" w:rsidR="006B6A1F" w:rsidRPr="00396A4C" w:rsidRDefault="006B6A1F" w:rsidP="006B6A1F">
            <w:pPr>
              <w:spacing w:line="240" w:lineRule="auto"/>
              <w:rPr>
                <w:sz w:val="16"/>
                <w:szCs w:val="16"/>
                <w:lang w:eastAsia="sl-SI"/>
              </w:rPr>
            </w:pPr>
          </w:p>
        </w:tc>
        <w:tc>
          <w:tcPr>
            <w:tcW w:w="709" w:type="dxa"/>
            <w:shd w:val="clear" w:color="auto" w:fill="auto"/>
            <w:noWrap/>
            <w:vAlign w:val="bottom"/>
            <w:hideMark/>
          </w:tcPr>
          <w:p w14:paraId="0A65819F"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2007</w:t>
            </w:r>
          </w:p>
        </w:tc>
        <w:tc>
          <w:tcPr>
            <w:tcW w:w="709" w:type="dxa"/>
            <w:shd w:val="clear" w:color="auto" w:fill="auto"/>
            <w:noWrap/>
            <w:vAlign w:val="bottom"/>
            <w:hideMark/>
          </w:tcPr>
          <w:p w14:paraId="732A6908"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2010</w:t>
            </w:r>
          </w:p>
        </w:tc>
        <w:tc>
          <w:tcPr>
            <w:tcW w:w="560" w:type="dxa"/>
            <w:vAlign w:val="bottom"/>
          </w:tcPr>
          <w:p w14:paraId="3D0C418E"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2011</w:t>
            </w:r>
          </w:p>
        </w:tc>
        <w:tc>
          <w:tcPr>
            <w:tcW w:w="561" w:type="dxa"/>
            <w:vAlign w:val="bottom"/>
          </w:tcPr>
          <w:p w14:paraId="1A3BC2EC"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2012</w:t>
            </w:r>
          </w:p>
        </w:tc>
        <w:tc>
          <w:tcPr>
            <w:tcW w:w="541" w:type="dxa"/>
            <w:vAlign w:val="bottom"/>
          </w:tcPr>
          <w:p w14:paraId="01B1A584"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2013</w:t>
            </w:r>
          </w:p>
        </w:tc>
        <w:tc>
          <w:tcPr>
            <w:tcW w:w="606" w:type="dxa"/>
            <w:vAlign w:val="bottom"/>
          </w:tcPr>
          <w:p w14:paraId="17275AE6"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2014</w:t>
            </w:r>
          </w:p>
        </w:tc>
        <w:tc>
          <w:tcPr>
            <w:tcW w:w="567" w:type="dxa"/>
            <w:shd w:val="clear" w:color="auto" w:fill="auto"/>
            <w:noWrap/>
            <w:vAlign w:val="bottom"/>
            <w:hideMark/>
          </w:tcPr>
          <w:p w14:paraId="5BD6E7E5"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2015</w:t>
            </w:r>
          </w:p>
        </w:tc>
        <w:tc>
          <w:tcPr>
            <w:tcW w:w="567" w:type="dxa"/>
            <w:shd w:val="clear" w:color="auto" w:fill="auto"/>
            <w:noWrap/>
            <w:vAlign w:val="bottom"/>
            <w:hideMark/>
          </w:tcPr>
          <w:p w14:paraId="5E8B31D4"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2016</w:t>
            </w:r>
          </w:p>
        </w:tc>
        <w:tc>
          <w:tcPr>
            <w:tcW w:w="567" w:type="dxa"/>
            <w:shd w:val="clear" w:color="auto" w:fill="auto"/>
            <w:noWrap/>
            <w:vAlign w:val="bottom"/>
            <w:hideMark/>
          </w:tcPr>
          <w:p w14:paraId="1D03729A"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2017</w:t>
            </w:r>
          </w:p>
        </w:tc>
        <w:tc>
          <w:tcPr>
            <w:tcW w:w="567" w:type="dxa"/>
            <w:shd w:val="clear" w:color="auto" w:fill="auto"/>
            <w:noWrap/>
            <w:vAlign w:val="bottom"/>
            <w:hideMark/>
          </w:tcPr>
          <w:p w14:paraId="28503698"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2018</w:t>
            </w:r>
          </w:p>
        </w:tc>
        <w:tc>
          <w:tcPr>
            <w:tcW w:w="567" w:type="dxa"/>
            <w:shd w:val="clear" w:color="auto" w:fill="auto"/>
            <w:noWrap/>
            <w:vAlign w:val="bottom"/>
            <w:hideMark/>
          </w:tcPr>
          <w:p w14:paraId="284B24FC"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2019</w:t>
            </w:r>
          </w:p>
        </w:tc>
      </w:tr>
      <w:tr w:rsidR="006B6A1F" w:rsidRPr="00910707" w14:paraId="776A72FA" w14:textId="77777777" w:rsidTr="006B6A1F">
        <w:trPr>
          <w:trHeight w:val="300"/>
        </w:trPr>
        <w:tc>
          <w:tcPr>
            <w:tcW w:w="2405" w:type="dxa"/>
            <w:shd w:val="clear" w:color="auto" w:fill="auto"/>
            <w:noWrap/>
            <w:vAlign w:val="bottom"/>
            <w:hideMark/>
          </w:tcPr>
          <w:p w14:paraId="75F030B3"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1.1.1. Domača prireja mesa</w:t>
            </w:r>
          </w:p>
        </w:tc>
        <w:tc>
          <w:tcPr>
            <w:tcW w:w="709" w:type="dxa"/>
            <w:shd w:val="clear" w:color="auto" w:fill="auto"/>
            <w:noWrap/>
            <w:vAlign w:val="bottom"/>
            <w:hideMark/>
          </w:tcPr>
          <w:p w14:paraId="1A89285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553</w:t>
            </w:r>
          </w:p>
        </w:tc>
        <w:tc>
          <w:tcPr>
            <w:tcW w:w="709" w:type="dxa"/>
            <w:shd w:val="clear" w:color="auto" w:fill="auto"/>
            <w:noWrap/>
            <w:vAlign w:val="bottom"/>
            <w:hideMark/>
          </w:tcPr>
          <w:p w14:paraId="1ADD0E8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574</w:t>
            </w:r>
          </w:p>
        </w:tc>
        <w:tc>
          <w:tcPr>
            <w:tcW w:w="560" w:type="dxa"/>
            <w:vAlign w:val="bottom"/>
          </w:tcPr>
          <w:p w14:paraId="2D83667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665</w:t>
            </w:r>
          </w:p>
        </w:tc>
        <w:tc>
          <w:tcPr>
            <w:tcW w:w="561" w:type="dxa"/>
            <w:vAlign w:val="bottom"/>
          </w:tcPr>
          <w:p w14:paraId="24FE2AF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668</w:t>
            </w:r>
          </w:p>
        </w:tc>
        <w:tc>
          <w:tcPr>
            <w:tcW w:w="541" w:type="dxa"/>
            <w:vAlign w:val="bottom"/>
          </w:tcPr>
          <w:p w14:paraId="45C2E96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696</w:t>
            </w:r>
          </w:p>
        </w:tc>
        <w:tc>
          <w:tcPr>
            <w:tcW w:w="606" w:type="dxa"/>
            <w:vAlign w:val="bottom"/>
          </w:tcPr>
          <w:p w14:paraId="6180B33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744</w:t>
            </w:r>
          </w:p>
        </w:tc>
        <w:tc>
          <w:tcPr>
            <w:tcW w:w="567" w:type="dxa"/>
            <w:shd w:val="clear" w:color="auto" w:fill="auto"/>
            <w:noWrap/>
            <w:vAlign w:val="bottom"/>
            <w:hideMark/>
          </w:tcPr>
          <w:p w14:paraId="2168118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584</w:t>
            </w:r>
          </w:p>
        </w:tc>
        <w:tc>
          <w:tcPr>
            <w:tcW w:w="567" w:type="dxa"/>
            <w:shd w:val="clear" w:color="auto" w:fill="auto"/>
            <w:noWrap/>
            <w:vAlign w:val="bottom"/>
            <w:hideMark/>
          </w:tcPr>
          <w:p w14:paraId="307666D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633</w:t>
            </w:r>
          </w:p>
        </w:tc>
        <w:tc>
          <w:tcPr>
            <w:tcW w:w="567" w:type="dxa"/>
            <w:shd w:val="clear" w:color="auto" w:fill="auto"/>
            <w:noWrap/>
            <w:vAlign w:val="bottom"/>
            <w:hideMark/>
          </w:tcPr>
          <w:p w14:paraId="495493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636</w:t>
            </w:r>
          </w:p>
        </w:tc>
        <w:tc>
          <w:tcPr>
            <w:tcW w:w="567" w:type="dxa"/>
            <w:shd w:val="clear" w:color="auto" w:fill="auto"/>
            <w:noWrap/>
            <w:vAlign w:val="bottom"/>
            <w:hideMark/>
          </w:tcPr>
          <w:p w14:paraId="4C9C71D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604</w:t>
            </w:r>
          </w:p>
        </w:tc>
        <w:tc>
          <w:tcPr>
            <w:tcW w:w="567" w:type="dxa"/>
            <w:shd w:val="clear" w:color="auto" w:fill="auto"/>
            <w:noWrap/>
            <w:vAlign w:val="bottom"/>
            <w:hideMark/>
          </w:tcPr>
          <w:p w14:paraId="28C70DD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667</w:t>
            </w:r>
          </w:p>
        </w:tc>
      </w:tr>
      <w:tr w:rsidR="006B6A1F" w:rsidRPr="00910707" w14:paraId="5F998086" w14:textId="77777777" w:rsidTr="006B6A1F">
        <w:trPr>
          <w:trHeight w:val="300"/>
        </w:trPr>
        <w:tc>
          <w:tcPr>
            <w:tcW w:w="2405" w:type="dxa"/>
            <w:shd w:val="clear" w:color="auto" w:fill="auto"/>
            <w:noWrap/>
            <w:vAlign w:val="bottom"/>
            <w:hideMark/>
          </w:tcPr>
          <w:p w14:paraId="49C9CF6A"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1.1.2. Uvoz živih živali</w:t>
            </w:r>
          </w:p>
        </w:tc>
        <w:tc>
          <w:tcPr>
            <w:tcW w:w="709" w:type="dxa"/>
            <w:shd w:val="clear" w:color="auto" w:fill="auto"/>
            <w:noWrap/>
            <w:vAlign w:val="bottom"/>
            <w:hideMark/>
          </w:tcPr>
          <w:p w14:paraId="5E26F33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w:t>
            </w:r>
          </w:p>
        </w:tc>
        <w:tc>
          <w:tcPr>
            <w:tcW w:w="709" w:type="dxa"/>
            <w:shd w:val="clear" w:color="auto" w:fill="auto"/>
            <w:noWrap/>
            <w:vAlign w:val="bottom"/>
            <w:hideMark/>
          </w:tcPr>
          <w:p w14:paraId="174E744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0" w:type="dxa"/>
            <w:vAlign w:val="bottom"/>
          </w:tcPr>
          <w:p w14:paraId="37CFB11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w:t>
            </w:r>
          </w:p>
        </w:tc>
        <w:tc>
          <w:tcPr>
            <w:tcW w:w="561" w:type="dxa"/>
            <w:vAlign w:val="bottom"/>
          </w:tcPr>
          <w:p w14:paraId="35C8BAE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w:t>
            </w:r>
          </w:p>
        </w:tc>
        <w:tc>
          <w:tcPr>
            <w:tcW w:w="541" w:type="dxa"/>
            <w:vAlign w:val="bottom"/>
          </w:tcPr>
          <w:p w14:paraId="70B6448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w:t>
            </w:r>
          </w:p>
        </w:tc>
        <w:tc>
          <w:tcPr>
            <w:tcW w:w="606" w:type="dxa"/>
            <w:vAlign w:val="bottom"/>
          </w:tcPr>
          <w:p w14:paraId="1B707D8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w:t>
            </w:r>
          </w:p>
        </w:tc>
        <w:tc>
          <w:tcPr>
            <w:tcW w:w="567" w:type="dxa"/>
            <w:shd w:val="clear" w:color="auto" w:fill="auto"/>
            <w:noWrap/>
            <w:vAlign w:val="bottom"/>
            <w:hideMark/>
          </w:tcPr>
          <w:p w14:paraId="458CC01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65</w:t>
            </w:r>
          </w:p>
        </w:tc>
        <w:tc>
          <w:tcPr>
            <w:tcW w:w="567" w:type="dxa"/>
            <w:shd w:val="clear" w:color="auto" w:fill="auto"/>
            <w:noWrap/>
            <w:vAlign w:val="bottom"/>
            <w:hideMark/>
          </w:tcPr>
          <w:p w14:paraId="43B3267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7" w:type="dxa"/>
            <w:shd w:val="clear" w:color="auto" w:fill="auto"/>
            <w:noWrap/>
            <w:vAlign w:val="bottom"/>
            <w:hideMark/>
          </w:tcPr>
          <w:p w14:paraId="4AD6E4A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7" w:type="dxa"/>
            <w:shd w:val="clear" w:color="auto" w:fill="auto"/>
            <w:noWrap/>
            <w:vAlign w:val="bottom"/>
            <w:hideMark/>
          </w:tcPr>
          <w:p w14:paraId="310F344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w:t>
            </w:r>
          </w:p>
        </w:tc>
        <w:tc>
          <w:tcPr>
            <w:tcW w:w="567" w:type="dxa"/>
            <w:shd w:val="clear" w:color="auto" w:fill="auto"/>
            <w:noWrap/>
            <w:vAlign w:val="bottom"/>
            <w:hideMark/>
          </w:tcPr>
          <w:p w14:paraId="2F54B46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w:t>
            </w:r>
          </w:p>
        </w:tc>
      </w:tr>
      <w:tr w:rsidR="006B6A1F" w:rsidRPr="00910707" w14:paraId="6F9EC4F2" w14:textId="77777777" w:rsidTr="006B6A1F">
        <w:trPr>
          <w:trHeight w:val="300"/>
        </w:trPr>
        <w:tc>
          <w:tcPr>
            <w:tcW w:w="2405" w:type="dxa"/>
            <w:shd w:val="clear" w:color="auto" w:fill="auto"/>
            <w:noWrap/>
            <w:vAlign w:val="bottom"/>
            <w:hideMark/>
          </w:tcPr>
          <w:p w14:paraId="1EE47BD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2.1. Izvoz živih živali</w:t>
            </w:r>
          </w:p>
        </w:tc>
        <w:tc>
          <w:tcPr>
            <w:tcW w:w="709" w:type="dxa"/>
            <w:shd w:val="clear" w:color="auto" w:fill="auto"/>
            <w:noWrap/>
            <w:vAlign w:val="bottom"/>
            <w:hideMark/>
          </w:tcPr>
          <w:p w14:paraId="3E705EF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231</w:t>
            </w:r>
          </w:p>
        </w:tc>
        <w:tc>
          <w:tcPr>
            <w:tcW w:w="709" w:type="dxa"/>
            <w:shd w:val="clear" w:color="auto" w:fill="auto"/>
            <w:noWrap/>
            <w:vAlign w:val="bottom"/>
            <w:hideMark/>
          </w:tcPr>
          <w:p w14:paraId="77F824D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192</w:t>
            </w:r>
          </w:p>
        </w:tc>
        <w:tc>
          <w:tcPr>
            <w:tcW w:w="560" w:type="dxa"/>
            <w:vAlign w:val="bottom"/>
          </w:tcPr>
          <w:p w14:paraId="05AA104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286</w:t>
            </w:r>
          </w:p>
        </w:tc>
        <w:tc>
          <w:tcPr>
            <w:tcW w:w="561" w:type="dxa"/>
            <w:vAlign w:val="bottom"/>
          </w:tcPr>
          <w:p w14:paraId="683FCC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288</w:t>
            </w:r>
          </w:p>
        </w:tc>
        <w:tc>
          <w:tcPr>
            <w:tcW w:w="541" w:type="dxa"/>
            <w:vAlign w:val="bottom"/>
          </w:tcPr>
          <w:p w14:paraId="7286373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389</w:t>
            </w:r>
          </w:p>
        </w:tc>
        <w:tc>
          <w:tcPr>
            <w:tcW w:w="606" w:type="dxa"/>
            <w:vAlign w:val="bottom"/>
          </w:tcPr>
          <w:p w14:paraId="2201528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400</w:t>
            </w:r>
          </w:p>
        </w:tc>
        <w:tc>
          <w:tcPr>
            <w:tcW w:w="567" w:type="dxa"/>
            <w:shd w:val="clear" w:color="auto" w:fill="auto"/>
            <w:noWrap/>
            <w:vAlign w:val="bottom"/>
            <w:hideMark/>
          </w:tcPr>
          <w:p w14:paraId="27C726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332</w:t>
            </w:r>
          </w:p>
        </w:tc>
        <w:tc>
          <w:tcPr>
            <w:tcW w:w="567" w:type="dxa"/>
            <w:shd w:val="clear" w:color="auto" w:fill="auto"/>
            <w:noWrap/>
            <w:vAlign w:val="bottom"/>
            <w:hideMark/>
          </w:tcPr>
          <w:p w14:paraId="1E0DD4B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315</w:t>
            </w:r>
          </w:p>
        </w:tc>
        <w:tc>
          <w:tcPr>
            <w:tcW w:w="567" w:type="dxa"/>
            <w:shd w:val="clear" w:color="auto" w:fill="auto"/>
            <w:noWrap/>
            <w:vAlign w:val="bottom"/>
            <w:hideMark/>
          </w:tcPr>
          <w:p w14:paraId="13A55FF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350</w:t>
            </w:r>
          </w:p>
        </w:tc>
        <w:tc>
          <w:tcPr>
            <w:tcW w:w="567" w:type="dxa"/>
            <w:shd w:val="clear" w:color="auto" w:fill="auto"/>
            <w:noWrap/>
            <w:vAlign w:val="bottom"/>
            <w:hideMark/>
          </w:tcPr>
          <w:p w14:paraId="4A5E91F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371</w:t>
            </w:r>
          </w:p>
        </w:tc>
        <w:tc>
          <w:tcPr>
            <w:tcW w:w="567" w:type="dxa"/>
            <w:shd w:val="clear" w:color="auto" w:fill="auto"/>
            <w:noWrap/>
            <w:vAlign w:val="bottom"/>
            <w:hideMark/>
          </w:tcPr>
          <w:p w14:paraId="2913974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416</w:t>
            </w:r>
          </w:p>
        </w:tc>
      </w:tr>
      <w:tr w:rsidR="006B6A1F" w:rsidRPr="00910707" w14:paraId="76843FD9" w14:textId="77777777" w:rsidTr="006B6A1F">
        <w:trPr>
          <w:trHeight w:val="300"/>
        </w:trPr>
        <w:tc>
          <w:tcPr>
            <w:tcW w:w="2405" w:type="dxa"/>
            <w:shd w:val="clear" w:color="auto" w:fill="auto"/>
            <w:noWrap/>
            <w:vAlign w:val="bottom"/>
            <w:hideMark/>
          </w:tcPr>
          <w:p w14:paraId="38F66F6D"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 Vse pridobljeno meso</w:t>
            </w:r>
          </w:p>
        </w:tc>
        <w:tc>
          <w:tcPr>
            <w:tcW w:w="709" w:type="dxa"/>
            <w:shd w:val="clear" w:color="auto" w:fill="auto"/>
            <w:noWrap/>
            <w:vAlign w:val="bottom"/>
            <w:hideMark/>
          </w:tcPr>
          <w:p w14:paraId="611D77A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324</w:t>
            </w:r>
          </w:p>
        </w:tc>
        <w:tc>
          <w:tcPr>
            <w:tcW w:w="709" w:type="dxa"/>
            <w:shd w:val="clear" w:color="auto" w:fill="auto"/>
            <w:noWrap/>
            <w:vAlign w:val="bottom"/>
            <w:hideMark/>
          </w:tcPr>
          <w:p w14:paraId="4283E6F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382</w:t>
            </w:r>
          </w:p>
        </w:tc>
        <w:tc>
          <w:tcPr>
            <w:tcW w:w="560" w:type="dxa"/>
            <w:vAlign w:val="bottom"/>
          </w:tcPr>
          <w:p w14:paraId="5941168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381</w:t>
            </w:r>
          </w:p>
        </w:tc>
        <w:tc>
          <w:tcPr>
            <w:tcW w:w="561" w:type="dxa"/>
            <w:vAlign w:val="bottom"/>
          </w:tcPr>
          <w:p w14:paraId="310B2A9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381</w:t>
            </w:r>
          </w:p>
        </w:tc>
        <w:tc>
          <w:tcPr>
            <w:tcW w:w="541" w:type="dxa"/>
            <w:vAlign w:val="bottom"/>
          </w:tcPr>
          <w:p w14:paraId="146DB70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307</w:t>
            </w:r>
          </w:p>
        </w:tc>
        <w:tc>
          <w:tcPr>
            <w:tcW w:w="606" w:type="dxa"/>
            <w:vAlign w:val="bottom"/>
          </w:tcPr>
          <w:p w14:paraId="5012542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344</w:t>
            </w:r>
          </w:p>
        </w:tc>
        <w:tc>
          <w:tcPr>
            <w:tcW w:w="567" w:type="dxa"/>
            <w:shd w:val="clear" w:color="auto" w:fill="auto"/>
            <w:noWrap/>
            <w:vAlign w:val="bottom"/>
            <w:hideMark/>
          </w:tcPr>
          <w:p w14:paraId="6A33AEF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317</w:t>
            </w:r>
          </w:p>
        </w:tc>
        <w:tc>
          <w:tcPr>
            <w:tcW w:w="567" w:type="dxa"/>
            <w:shd w:val="clear" w:color="auto" w:fill="auto"/>
            <w:noWrap/>
            <w:vAlign w:val="bottom"/>
            <w:hideMark/>
          </w:tcPr>
          <w:p w14:paraId="5BCB2BA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319</w:t>
            </w:r>
          </w:p>
        </w:tc>
        <w:tc>
          <w:tcPr>
            <w:tcW w:w="567" w:type="dxa"/>
            <w:shd w:val="clear" w:color="auto" w:fill="auto"/>
            <w:noWrap/>
            <w:vAlign w:val="bottom"/>
            <w:hideMark/>
          </w:tcPr>
          <w:p w14:paraId="1C5709F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287</w:t>
            </w:r>
          </w:p>
        </w:tc>
        <w:tc>
          <w:tcPr>
            <w:tcW w:w="567" w:type="dxa"/>
            <w:shd w:val="clear" w:color="auto" w:fill="auto"/>
            <w:noWrap/>
            <w:vAlign w:val="bottom"/>
            <w:hideMark/>
          </w:tcPr>
          <w:p w14:paraId="522680E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235</w:t>
            </w:r>
          </w:p>
        </w:tc>
        <w:tc>
          <w:tcPr>
            <w:tcW w:w="567" w:type="dxa"/>
            <w:shd w:val="clear" w:color="auto" w:fill="auto"/>
            <w:noWrap/>
            <w:vAlign w:val="bottom"/>
            <w:hideMark/>
          </w:tcPr>
          <w:p w14:paraId="2A2C09E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255</w:t>
            </w:r>
          </w:p>
        </w:tc>
      </w:tr>
      <w:tr w:rsidR="006B6A1F" w:rsidRPr="00910707" w14:paraId="45A0F9EB" w14:textId="77777777" w:rsidTr="006B6A1F">
        <w:trPr>
          <w:trHeight w:val="300"/>
        </w:trPr>
        <w:tc>
          <w:tcPr>
            <w:tcW w:w="2405" w:type="dxa"/>
            <w:shd w:val="clear" w:color="auto" w:fill="auto"/>
            <w:noWrap/>
            <w:vAlign w:val="bottom"/>
            <w:hideMark/>
          </w:tcPr>
          <w:p w14:paraId="4A9267B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2.4. Domača potrošnja</w:t>
            </w:r>
          </w:p>
        </w:tc>
        <w:tc>
          <w:tcPr>
            <w:tcW w:w="709" w:type="dxa"/>
            <w:shd w:val="clear" w:color="auto" w:fill="auto"/>
            <w:noWrap/>
            <w:vAlign w:val="bottom"/>
            <w:hideMark/>
          </w:tcPr>
          <w:p w14:paraId="6DA2738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353</w:t>
            </w:r>
          </w:p>
        </w:tc>
        <w:tc>
          <w:tcPr>
            <w:tcW w:w="709" w:type="dxa"/>
            <w:shd w:val="clear" w:color="auto" w:fill="auto"/>
            <w:noWrap/>
            <w:vAlign w:val="bottom"/>
            <w:hideMark/>
          </w:tcPr>
          <w:p w14:paraId="0C37194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404</w:t>
            </w:r>
          </w:p>
        </w:tc>
        <w:tc>
          <w:tcPr>
            <w:tcW w:w="560" w:type="dxa"/>
            <w:vAlign w:val="bottom"/>
          </w:tcPr>
          <w:p w14:paraId="38D0750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394</w:t>
            </w:r>
          </w:p>
        </w:tc>
        <w:tc>
          <w:tcPr>
            <w:tcW w:w="561" w:type="dxa"/>
            <w:vAlign w:val="bottom"/>
          </w:tcPr>
          <w:p w14:paraId="30258F8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386</w:t>
            </w:r>
          </w:p>
        </w:tc>
        <w:tc>
          <w:tcPr>
            <w:tcW w:w="541" w:type="dxa"/>
            <w:vAlign w:val="bottom"/>
          </w:tcPr>
          <w:p w14:paraId="2BFF80DD"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318</w:t>
            </w:r>
          </w:p>
        </w:tc>
        <w:tc>
          <w:tcPr>
            <w:tcW w:w="606" w:type="dxa"/>
            <w:vAlign w:val="bottom"/>
          </w:tcPr>
          <w:p w14:paraId="03FF63D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350</w:t>
            </w:r>
          </w:p>
        </w:tc>
        <w:tc>
          <w:tcPr>
            <w:tcW w:w="567" w:type="dxa"/>
            <w:shd w:val="clear" w:color="auto" w:fill="auto"/>
            <w:noWrap/>
            <w:vAlign w:val="bottom"/>
            <w:hideMark/>
          </w:tcPr>
          <w:p w14:paraId="77A5385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322</w:t>
            </w:r>
          </w:p>
        </w:tc>
        <w:tc>
          <w:tcPr>
            <w:tcW w:w="567" w:type="dxa"/>
            <w:shd w:val="clear" w:color="auto" w:fill="auto"/>
            <w:noWrap/>
            <w:vAlign w:val="bottom"/>
            <w:hideMark/>
          </w:tcPr>
          <w:p w14:paraId="186F65A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301</w:t>
            </w:r>
          </w:p>
        </w:tc>
        <w:tc>
          <w:tcPr>
            <w:tcW w:w="567" w:type="dxa"/>
            <w:shd w:val="clear" w:color="auto" w:fill="auto"/>
            <w:noWrap/>
            <w:vAlign w:val="bottom"/>
            <w:hideMark/>
          </w:tcPr>
          <w:p w14:paraId="049AAD6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304</w:t>
            </w:r>
          </w:p>
        </w:tc>
        <w:tc>
          <w:tcPr>
            <w:tcW w:w="567" w:type="dxa"/>
            <w:shd w:val="clear" w:color="auto" w:fill="auto"/>
            <w:noWrap/>
            <w:vAlign w:val="bottom"/>
            <w:hideMark/>
          </w:tcPr>
          <w:p w14:paraId="3CFC039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253</w:t>
            </w:r>
          </w:p>
        </w:tc>
        <w:tc>
          <w:tcPr>
            <w:tcW w:w="567" w:type="dxa"/>
            <w:shd w:val="clear" w:color="auto" w:fill="auto"/>
            <w:noWrap/>
            <w:vAlign w:val="bottom"/>
            <w:hideMark/>
          </w:tcPr>
          <w:p w14:paraId="2B21AAC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269</w:t>
            </w:r>
          </w:p>
        </w:tc>
      </w:tr>
      <w:tr w:rsidR="006B6A1F" w:rsidRPr="00910707" w14:paraId="63FB7B3E" w14:textId="77777777" w:rsidTr="006B6A1F">
        <w:trPr>
          <w:trHeight w:val="300"/>
        </w:trPr>
        <w:tc>
          <w:tcPr>
            <w:tcW w:w="2405" w:type="dxa"/>
            <w:shd w:val="clear" w:color="auto" w:fill="auto"/>
            <w:noWrap/>
            <w:vAlign w:val="bottom"/>
            <w:hideMark/>
          </w:tcPr>
          <w:p w14:paraId="4BA0889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4 Potrošnja na prebivalca (kg)</w:t>
            </w:r>
          </w:p>
        </w:tc>
        <w:tc>
          <w:tcPr>
            <w:tcW w:w="709" w:type="dxa"/>
            <w:shd w:val="clear" w:color="auto" w:fill="auto"/>
            <w:noWrap/>
            <w:vAlign w:val="bottom"/>
            <w:hideMark/>
          </w:tcPr>
          <w:p w14:paraId="68A5932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0,17</w:t>
            </w:r>
          </w:p>
        </w:tc>
        <w:tc>
          <w:tcPr>
            <w:tcW w:w="709" w:type="dxa"/>
            <w:shd w:val="clear" w:color="auto" w:fill="auto"/>
            <w:noWrap/>
            <w:vAlign w:val="bottom"/>
            <w:hideMark/>
          </w:tcPr>
          <w:p w14:paraId="330B07C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0,20</w:t>
            </w:r>
          </w:p>
        </w:tc>
        <w:tc>
          <w:tcPr>
            <w:tcW w:w="560" w:type="dxa"/>
            <w:vAlign w:val="bottom"/>
          </w:tcPr>
          <w:p w14:paraId="4936112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0,19</w:t>
            </w:r>
          </w:p>
        </w:tc>
        <w:tc>
          <w:tcPr>
            <w:tcW w:w="561" w:type="dxa"/>
            <w:vAlign w:val="bottom"/>
          </w:tcPr>
          <w:p w14:paraId="3A3C869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0,19</w:t>
            </w:r>
          </w:p>
        </w:tc>
        <w:tc>
          <w:tcPr>
            <w:tcW w:w="541" w:type="dxa"/>
            <w:vAlign w:val="bottom"/>
          </w:tcPr>
          <w:p w14:paraId="3F043A0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0,15</w:t>
            </w:r>
          </w:p>
        </w:tc>
        <w:tc>
          <w:tcPr>
            <w:tcW w:w="606" w:type="dxa"/>
            <w:vAlign w:val="bottom"/>
          </w:tcPr>
          <w:p w14:paraId="2032087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0,17</w:t>
            </w:r>
          </w:p>
        </w:tc>
        <w:tc>
          <w:tcPr>
            <w:tcW w:w="567" w:type="dxa"/>
            <w:shd w:val="clear" w:color="auto" w:fill="auto"/>
            <w:noWrap/>
            <w:vAlign w:val="bottom"/>
            <w:hideMark/>
          </w:tcPr>
          <w:p w14:paraId="3A7B776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0,16</w:t>
            </w:r>
          </w:p>
        </w:tc>
        <w:tc>
          <w:tcPr>
            <w:tcW w:w="567" w:type="dxa"/>
            <w:shd w:val="clear" w:color="auto" w:fill="auto"/>
            <w:noWrap/>
            <w:vAlign w:val="bottom"/>
            <w:hideMark/>
          </w:tcPr>
          <w:p w14:paraId="2D9F75E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0,15</w:t>
            </w:r>
          </w:p>
        </w:tc>
        <w:tc>
          <w:tcPr>
            <w:tcW w:w="567" w:type="dxa"/>
            <w:shd w:val="clear" w:color="auto" w:fill="auto"/>
            <w:noWrap/>
            <w:vAlign w:val="bottom"/>
            <w:hideMark/>
          </w:tcPr>
          <w:p w14:paraId="597B7C4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0,15</w:t>
            </w:r>
          </w:p>
        </w:tc>
        <w:tc>
          <w:tcPr>
            <w:tcW w:w="567" w:type="dxa"/>
            <w:shd w:val="clear" w:color="auto" w:fill="auto"/>
            <w:noWrap/>
            <w:vAlign w:val="bottom"/>
            <w:hideMark/>
          </w:tcPr>
          <w:p w14:paraId="715AB92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0,12</w:t>
            </w:r>
          </w:p>
        </w:tc>
        <w:tc>
          <w:tcPr>
            <w:tcW w:w="567" w:type="dxa"/>
            <w:shd w:val="clear" w:color="auto" w:fill="auto"/>
            <w:noWrap/>
            <w:vAlign w:val="bottom"/>
            <w:hideMark/>
          </w:tcPr>
          <w:p w14:paraId="407F054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0,13</w:t>
            </w:r>
          </w:p>
        </w:tc>
      </w:tr>
      <w:tr w:rsidR="006B6A1F" w:rsidRPr="00910707" w14:paraId="72D31AEA" w14:textId="77777777" w:rsidTr="006B6A1F">
        <w:trPr>
          <w:trHeight w:val="300"/>
        </w:trPr>
        <w:tc>
          <w:tcPr>
            <w:tcW w:w="2405" w:type="dxa"/>
            <w:shd w:val="clear" w:color="auto" w:fill="auto"/>
            <w:noWrap/>
            <w:vAlign w:val="bottom"/>
            <w:hideMark/>
          </w:tcPr>
          <w:p w14:paraId="41B3E7AB"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3 Stopnja samooskrbe (%)</w:t>
            </w:r>
          </w:p>
        </w:tc>
        <w:tc>
          <w:tcPr>
            <w:tcW w:w="709" w:type="dxa"/>
            <w:shd w:val="clear" w:color="auto" w:fill="auto"/>
            <w:noWrap/>
            <w:vAlign w:val="bottom"/>
            <w:hideMark/>
          </w:tcPr>
          <w:p w14:paraId="2DCB656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156,6</w:t>
            </w:r>
          </w:p>
        </w:tc>
        <w:tc>
          <w:tcPr>
            <w:tcW w:w="709" w:type="dxa"/>
            <w:shd w:val="clear" w:color="auto" w:fill="auto"/>
            <w:noWrap/>
            <w:vAlign w:val="bottom"/>
            <w:hideMark/>
          </w:tcPr>
          <w:p w14:paraId="6EFE424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142,1</w:t>
            </w:r>
          </w:p>
        </w:tc>
        <w:tc>
          <w:tcPr>
            <w:tcW w:w="560" w:type="dxa"/>
            <w:vAlign w:val="bottom"/>
          </w:tcPr>
          <w:p w14:paraId="2B40EB5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168,9</w:t>
            </w:r>
          </w:p>
        </w:tc>
        <w:tc>
          <w:tcPr>
            <w:tcW w:w="561" w:type="dxa"/>
            <w:vAlign w:val="bottom"/>
          </w:tcPr>
          <w:p w14:paraId="749245B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173,1</w:t>
            </w:r>
          </w:p>
        </w:tc>
        <w:tc>
          <w:tcPr>
            <w:tcW w:w="541" w:type="dxa"/>
            <w:vAlign w:val="bottom"/>
          </w:tcPr>
          <w:p w14:paraId="2A88A19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218,9</w:t>
            </w:r>
          </w:p>
        </w:tc>
        <w:tc>
          <w:tcPr>
            <w:tcW w:w="606" w:type="dxa"/>
            <w:vAlign w:val="bottom"/>
          </w:tcPr>
          <w:p w14:paraId="56AD103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212,6</w:t>
            </w:r>
          </w:p>
        </w:tc>
        <w:tc>
          <w:tcPr>
            <w:tcW w:w="567" w:type="dxa"/>
            <w:shd w:val="clear" w:color="auto" w:fill="auto"/>
            <w:noWrap/>
            <w:vAlign w:val="bottom"/>
            <w:hideMark/>
          </w:tcPr>
          <w:p w14:paraId="4854552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181,4</w:t>
            </w:r>
          </w:p>
        </w:tc>
        <w:tc>
          <w:tcPr>
            <w:tcW w:w="567" w:type="dxa"/>
            <w:shd w:val="clear" w:color="auto" w:fill="auto"/>
            <w:noWrap/>
            <w:vAlign w:val="bottom"/>
            <w:hideMark/>
          </w:tcPr>
          <w:p w14:paraId="6653184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210,3</w:t>
            </w:r>
          </w:p>
        </w:tc>
        <w:tc>
          <w:tcPr>
            <w:tcW w:w="567" w:type="dxa"/>
            <w:shd w:val="clear" w:color="auto" w:fill="auto"/>
            <w:noWrap/>
            <w:vAlign w:val="bottom"/>
            <w:hideMark/>
          </w:tcPr>
          <w:p w14:paraId="1CD7193D"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209,2</w:t>
            </w:r>
          </w:p>
        </w:tc>
        <w:tc>
          <w:tcPr>
            <w:tcW w:w="567" w:type="dxa"/>
            <w:shd w:val="clear" w:color="auto" w:fill="auto"/>
            <w:noWrap/>
            <w:vAlign w:val="bottom"/>
            <w:hideMark/>
          </w:tcPr>
          <w:p w14:paraId="02EFEA8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238,7</w:t>
            </w:r>
          </w:p>
        </w:tc>
        <w:tc>
          <w:tcPr>
            <w:tcW w:w="567" w:type="dxa"/>
            <w:shd w:val="clear" w:color="auto" w:fill="auto"/>
            <w:noWrap/>
            <w:vAlign w:val="bottom"/>
            <w:hideMark/>
          </w:tcPr>
          <w:p w14:paraId="49057E8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248,0</w:t>
            </w:r>
          </w:p>
        </w:tc>
      </w:tr>
    </w:tbl>
    <w:p w14:paraId="27BC841C" w14:textId="77777777" w:rsidR="006B6A1F" w:rsidRPr="00726070" w:rsidRDefault="006B6A1F" w:rsidP="006B6A1F">
      <w:pPr>
        <w:spacing w:before="200" w:line="360" w:lineRule="auto"/>
        <w:rPr>
          <w:rFonts w:eastAsia="TimesNewRoman"/>
          <w:i/>
          <w:sz w:val="18"/>
          <w:szCs w:val="20"/>
        </w:rPr>
      </w:pPr>
      <w:r w:rsidRPr="00726070">
        <w:rPr>
          <w:i/>
          <w:sz w:val="18"/>
          <w:szCs w:val="20"/>
        </w:rPr>
        <w:t>Vir: SURS</w:t>
      </w:r>
    </w:p>
    <w:p w14:paraId="26A4AA7C" w14:textId="01EFD3C8" w:rsidR="00F679A2" w:rsidRPr="005B2A49" w:rsidRDefault="006B6A1F" w:rsidP="005B2A49">
      <w:pPr>
        <w:spacing w:after="120" w:line="260" w:lineRule="atLeast"/>
        <w:rPr>
          <w:rFonts w:eastAsia="Calibri"/>
          <w:szCs w:val="20"/>
        </w:rPr>
      </w:pPr>
      <w:r>
        <w:rPr>
          <w:rFonts w:eastAsia="TimesNewRoman"/>
          <w:szCs w:val="20"/>
        </w:rPr>
        <w:t xml:space="preserve">Izvoz živih živali se je v letih 2010-2019 povečeval. </w:t>
      </w:r>
      <w:r w:rsidR="00F679A2" w:rsidRPr="005B2A49">
        <w:rPr>
          <w:rFonts w:eastAsia="Calibri"/>
          <w:szCs w:val="20"/>
        </w:rPr>
        <w:t>Odkupne cene konj za zakol so se v letih 2007 – 2019 gibale med 1</w:t>
      </w:r>
      <w:r>
        <w:rPr>
          <w:rFonts w:eastAsia="Calibri"/>
          <w:szCs w:val="20"/>
        </w:rPr>
        <w:t>.</w:t>
      </w:r>
      <w:r w:rsidR="00F679A2" w:rsidRPr="005B2A49">
        <w:rPr>
          <w:rFonts w:eastAsia="Calibri"/>
          <w:szCs w:val="20"/>
        </w:rPr>
        <w:t xml:space="preserve">574 EUR/t </w:t>
      </w:r>
      <w:r w:rsidRPr="00C73213">
        <w:rPr>
          <w:rFonts w:eastAsia="TimesNewRoman"/>
          <w:szCs w:val="20"/>
        </w:rPr>
        <w:t>(leta 2008) žive mase in 2.058 EUR/t žive mase (v letu 2019</w:t>
      </w:r>
      <w:r w:rsidR="00F679A2" w:rsidRPr="005B2A49">
        <w:rPr>
          <w:rFonts w:eastAsia="Calibri"/>
          <w:szCs w:val="20"/>
        </w:rPr>
        <w:t xml:space="preserve">). </w:t>
      </w:r>
      <w:r w:rsidRPr="00C73213">
        <w:rPr>
          <w:rFonts w:eastAsia="TimesNewRoman"/>
          <w:szCs w:val="20"/>
        </w:rPr>
        <w:t>Odkupne cene konj za zakol so v obdobju 2007–2014 nihale, po tem letu pa je zabeležen trend zviševanja cen.</w:t>
      </w:r>
      <w:r>
        <w:rPr>
          <w:rFonts w:eastAsia="TimesNewRoman"/>
          <w:szCs w:val="20"/>
        </w:rPr>
        <w:t xml:space="preserve"> Glede na majhno porabo konjskega mesa v Sloveniji in povečevanje odkupnih cen, so rejci konj izkoristili možnost izvoza živih živali na druge trge.</w:t>
      </w:r>
    </w:p>
    <w:p w14:paraId="162D25A6" w14:textId="1754CDAC" w:rsidR="00F679A2" w:rsidRDefault="00F679A2" w:rsidP="005B2A49">
      <w:pPr>
        <w:spacing w:after="120" w:line="260" w:lineRule="atLeast"/>
        <w:rPr>
          <w:rFonts w:eastAsia="Calibri"/>
          <w:szCs w:val="20"/>
        </w:rPr>
      </w:pPr>
      <w:r w:rsidRPr="005B2A49">
        <w:rPr>
          <w:rFonts w:eastAsia="Calibri"/>
          <w:szCs w:val="20"/>
        </w:rPr>
        <w:t xml:space="preserve">Po statističnih podatkih se je v </w:t>
      </w:r>
      <w:r w:rsidR="006B6A1F" w:rsidRPr="00C73213">
        <w:rPr>
          <w:szCs w:val="20"/>
        </w:rPr>
        <w:t xml:space="preserve">letih </w:t>
      </w:r>
      <w:r w:rsidRPr="005B2A49">
        <w:rPr>
          <w:rFonts w:eastAsia="Calibri"/>
          <w:szCs w:val="20"/>
        </w:rPr>
        <w:t>2010 – 2019, število ekološko rejenih kopitarjev, med katere spadajo tudi konji, povečalo iz 3</w:t>
      </w:r>
      <w:r w:rsidR="006B6A1F">
        <w:rPr>
          <w:rFonts w:eastAsia="Calibri"/>
          <w:szCs w:val="20"/>
        </w:rPr>
        <w:t>.</w:t>
      </w:r>
      <w:r w:rsidRPr="005B2A49">
        <w:rPr>
          <w:rFonts w:eastAsia="Calibri"/>
          <w:szCs w:val="20"/>
        </w:rPr>
        <w:t>081 na 4</w:t>
      </w:r>
      <w:r w:rsidR="006B6A1F">
        <w:rPr>
          <w:rFonts w:eastAsia="Calibri"/>
          <w:szCs w:val="20"/>
        </w:rPr>
        <w:t>.</w:t>
      </w:r>
      <w:r w:rsidRPr="005B2A49">
        <w:rPr>
          <w:rFonts w:eastAsia="Calibri"/>
          <w:szCs w:val="20"/>
        </w:rPr>
        <w:t xml:space="preserve">095 </w:t>
      </w:r>
      <w:r w:rsidR="006B6A1F">
        <w:rPr>
          <w:rFonts w:eastAsia="Calibri"/>
          <w:szCs w:val="20"/>
        </w:rPr>
        <w:t>živali</w:t>
      </w:r>
      <w:r w:rsidRPr="005B2A49">
        <w:rPr>
          <w:rFonts w:eastAsia="Calibri"/>
          <w:szCs w:val="20"/>
        </w:rPr>
        <w:t>. Število ekološko rejenih živali se je povečevalo predvsem v obdobju 201</w:t>
      </w:r>
      <w:r w:rsidR="006B6A1F">
        <w:rPr>
          <w:rFonts w:eastAsia="Calibri"/>
          <w:szCs w:val="20"/>
        </w:rPr>
        <w:t>2</w:t>
      </w:r>
      <w:r w:rsidRPr="005B2A49">
        <w:rPr>
          <w:rFonts w:eastAsia="Calibri"/>
          <w:szCs w:val="20"/>
        </w:rPr>
        <w:t xml:space="preserve"> – 201</w:t>
      </w:r>
      <w:r w:rsidR="006B6A1F">
        <w:rPr>
          <w:rFonts w:eastAsia="Calibri"/>
          <w:szCs w:val="20"/>
        </w:rPr>
        <w:t>6</w:t>
      </w:r>
      <w:r w:rsidR="006A449B" w:rsidRPr="00C73213">
        <w:rPr>
          <w:szCs w:val="20"/>
        </w:rPr>
        <w:t xml:space="preserve">, po tem obdobju pa število ekološko rejenih kopitarjev ostaja na enaki ravni. </w:t>
      </w:r>
      <w:r w:rsidR="006A449B" w:rsidRPr="00C73213">
        <w:rPr>
          <w:rFonts w:eastAsia="TimesNewRoman"/>
          <w:szCs w:val="20"/>
        </w:rPr>
        <w:t>Prireja ekološkega mesa kopitarjev je zanemarljiva kljub povečevanju števila ekološko rejenih kopitarjev. V letu 2012 je bila prireja tovrstnega mesa 1,84 ton, nakar se je v letu 2013 povečala na 4,66 ton in v nadaljnjih letih postopoma zmanjševala</w:t>
      </w:r>
      <w:r w:rsidR="006A449B">
        <w:rPr>
          <w:rFonts w:eastAsia="TimesNewRoman"/>
          <w:szCs w:val="20"/>
        </w:rPr>
        <w:t>.</w:t>
      </w:r>
      <w:r w:rsidR="006A449B" w:rsidRPr="00C73213">
        <w:rPr>
          <w:rFonts w:eastAsia="TimesNewRoman"/>
          <w:szCs w:val="20"/>
        </w:rPr>
        <w:t xml:space="preserve"> </w:t>
      </w:r>
      <w:r w:rsidR="006A449B">
        <w:rPr>
          <w:rFonts w:eastAsia="TimesNewRoman"/>
          <w:szCs w:val="20"/>
        </w:rPr>
        <w:t>V</w:t>
      </w:r>
      <w:r w:rsidR="006A449B" w:rsidRPr="00C73213">
        <w:rPr>
          <w:rFonts w:eastAsia="TimesNewRoman"/>
          <w:szCs w:val="20"/>
        </w:rPr>
        <w:t xml:space="preserve"> letu 2018 in 2019 ni bilo več ekološko prirejenega mesa kopitarjev</w:t>
      </w:r>
      <w:r w:rsidRPr="005B2A49">
        <w:rPr>
          <w:rFonts w:eastAsia="Calibri"/>
          <w:szCs w:val="20"/>
        </w:rPr>
        <w:t>.</w:t>
      </w:r>
    </w:p>
    <w:p w14:paraId="52E2A024" w14:textId="37C48497" w:rsidR="00726070" w:rsidRDefault="00726070" w:rsidP="00726070">
      <w:pPr>
        <w:pStyle w:val="SCPreglednica"/>
      </w:pPr>
      <w:bookmarkStart w:id="3172" w:name="_Toc89861017"/>
      <w:r>
        <w:t xml:space="preserve">Tabela </w:t>
      </w:r>
      <w:r>
        <w:rPr>
          <w:noProof/>
        </w:rPr>
        <w:fldChar w:fldCharType="begin"/>
      </w:r>
      <w:r>
        <w:rPr>
          <w:noProof/>
        </w:rPr>
        <w:instrText xml:space="preserve"> SEQ Tabela \* ARABIC </w:instrText>
      </w:r>
      <w:r>
        <w:rPr>
          <w:noProof/>
        </w:rPr>
        <w:fldChar w:fldCharType="separate"/>
      </w:r>
      <w:r w:rsidR="002E0D2A">
        <w:rPr>
          <w:noProof/>
        </w:rPr>
        <w:t>25</w:t>
      </w:r>
      <w:r>
        <w:rPr>
          <w:noProof/>
        </w:rPr>
        <w:fldChar w:fldCharType="end"/>
      </w:r>
      <w:r>
        <w:t xml:space="preserve">: </w:t>
      </w:r>
      <w:r w:rsidRPr="00726070">
        <w:t>Število konj v ekološki reji in prireja ekološkega mesa</w:t>
      </w:r>
      <w:bookmarkEnd w:id="3172"/>
    </w:p>
    <w:tbl>
      <w:tblPr>
        <w:tblW w:w="8813" w:type="dxa"/>
        <w:tblInd w:w="-5" w:type="dxa"/>
        <w:tblCellMar>
          <w:left w:w="70" w:type="dxa"/>
          <w:right w:w="70" w:type="dxa"/>
        </w:tblCellMar>
        <w:tblLook w:val="04A0" w:firstRow="1" w:lastRow="0" w:firstColumn="1" w:lastColumn="0" w:noHBand="0" w:noVBand="1"/>
      </w:tblPr>
      <w:tblGrid>
        <w:gridCol w:w="1134"/>
        <w:gridCol w:w="698"/>
        <w:gridCol w:w="698"/>
        <w:gridCol w:w="703"/>
        <w:gridCol w:w="740"/>
        <w:gridCol w:w="740"/>
        <w:gridCol w:w="740"/>
        <w:gridCol w:w="940"/>
        <w:gridCol w:w="940"/>
        <w:gridCol w:w="740"/>
        <w:gridCol w:w="740"/>
      </w:tblGrid>
      <w:tr w:rsidR="006A449B" w:rsidRPr="00910707" w14:paraId="4FA03429"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98CCB" w14:textId="77777777" w:rsidR="006A449B" w:rsidRPr="00180FEF" w:rsidRDefault="006A449B" w:rsidP="00F832E6">
            <w:pPr>
              <w:spacing w:line="240" w:lineRule="auto"/>
              <w:rPr>
                <w:sz w:val="16"/>
                <w:szCs w:val="16"/>
                <w:lang w:eastAsia="sl-SI"/>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1E4A"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5CEDA"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7675"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4AAF"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2013</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BEFCB"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1EE0"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C794D"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6579C"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2017</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F74E"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B3A15"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2019</w:t>
            </w:r>
          </w:p>
        </w:tc>
      </w:tr>
      <w:tr w:rsidR="006A449B" w:rsidRPr="00910707" w14:paraId="5E7A28F9"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DDE89"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Kopitarji</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F1F3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3081</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D349B"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2981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FDEB"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3262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4F184"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3544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24A4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3846</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E41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3878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B6E0"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4093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B8BE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4089</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4FFF"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4054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0C820"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4095</w:t>
            </w:r>
          </w:p>
        </w:tc>
      </w:tr>
      <w:tr w:rsidR="006A449B" w:rsidRPr="00910707" w14:paraId="72C999CA"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2BEE3"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Meso kopitarjev (t)</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C98E" w14:textId="77777777" w:rsidR="006A449B" w:rsidRPr="00180FEF" w:rsidRDefault="006A449B" w:rsidP="00F832E6">
            <w:pPr>
              <w:spacing w:line="240" w:lineRule="auto"/>
              <w:jc w:val="right"/>
              <w:rPr>
                <w:color w:val="000000"/>
                <w:sz w:val="16"/>
                <w:szCs w:val="16"/>
                <w:lang w:eastAsia="sl-SI"/>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E242D" w14:textId="77777777" w:rsidR="006A449B" w:rsidRPr="00180FEF" w:rsidRDefault="006A449B" w:rsidP="00F832E6">
            <w:pPr>
              <w:spacing w:line="240" w:lineRule="auto"/>
              <w:jc w:val="right"/>
              <w:rPr>
                <w:color w:val="000000"/>
                <w:sz w:val="16"/>
                <w:szCs w:val="16"/>
                <w:lang w:eastAsia="sl-SI"/>
              </w:rPr>
            </w:pP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EB92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1,84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1C8B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4,66</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BDB9"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1,65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12B7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E269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1,13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247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1,38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F8B0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0,00</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53BF1"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0,00</w:t>
            </w:r>
          </w:p>
        </w:tc>
      </w:tr>
    </w:tbl>
    <w:p w14:paraId="3B1DC35C" w14:textId="77777777" w:rsidR="006A449B" w:rsidRPr="00726070" w:rsidRDefault="006A449B" w:rsidP="006A449B">
      <w:pPr>
        <w:spacing w:before="200" w:line="360" w:lineRule="auto"/>
        <w:rPr>
          <w:i/>
          <w:sz w:val="18"/>
          <w:szCs w:val="20"/>
        </w:rPr>
      </w:pPr>
      <w:r w:rsidRPr="00726070">
        <w:rPr>
          <w:i/>
          <w:sz w:val="18"/>
          <w:szCs w:val="20"/>
        </w:rPr>
        <w:t>Vir: SURS</w:t>
      </w:r>
    </w:p>
    <w:p w14:paraId="7A98A387" w14:textId="77777777" w:rsidR="006A449B" w:rsidRDefault="006A449B" w:rsidP="005B2A49">
      <w:pPr>
        <w:spacing w:after="120" w:line="260" w:lineRule="atLeast"/>
        <w:rPr>
          <w:rFonts w:eastAsia="TimesNewRoman"/>
          <w:szCs w:val="20"/>
        </w:rPr>
      </w:pPr>
      <w:r>
        <w:rPr>
          <w:rFonts w:eastAsia="TimesNewRoman"/>
          <w:szCs w:val="20"/>
        </w:rPr>
        <w:t>Zaradi majhnega število konj v Sloveniji, konjereja prispeva 1 % izpustov toplogrednih plinov na področju živinoreje, 0,7 </w:t>
      </w:r>
      <w:r>
        <w:rPr>
          <w:rFonts w:eastAsia="TimesNewRoman"/>
        </w:rPr>
        <w:t>% k</w:t>
      </w:r>
      <w:r>
        <w:rPr>
          <w:rFonts w:eastAsia="TimesNewRoman"/>
          <w:szCs w:val="20"/>
        </w:rPr>
        <w:t xml:space="preserve"> izpustom toplogrednih plinov na področju kmetijstva oziroma 0,07 % k vsem izpustom toplogrednih plinov v Sloveniji. </w:t>
      </w:r>
      <w:r w:rsidRPr="00180FEF">
        <w:rPr>
          <w:rFonts w:eastAsia="TimesNewRoman"/>
          <w:szCs w:val="20"/>
        </w:rPr>
        <w:t xml:space="preserve">Glede ukrepov </w:t>
      </w:r>
      <w:r>
        <w:rPr>
          <w:rFonts w:eastAsia="TimesNewRoman"/>
          <w:szCs w:val="20"/>
        </w:rPr>
        <w:t xml:space="preserve">za zmanjšanje izpustov toplogrednih plinov </w:t>
      </w:r>
      <w:r w:rsidRPr="00180FEF">
        <w:rPr>
          <w:rFonts w:eastAsia="TimesNewRoman"/>
          <w:szCs w:val="20"/>
        </w:rPr>
        <w:t>so možnosti v konjereji zelo omejene. Nekaj bi lahko izboljšali s pašo (manjše emisije metana, didušikovega oksida in amonijaka iz gnojišč).</w:t>
      </w:r>
    </w:p>
    <w:p w14:paraId="27A22BF4" w14:textId="77777777" w:rsidR="006A449B" w:rsidRDefault="006A449B" w:rsidP="005B2A49">
      <w:pPr>
        <w:spacing w:after="120" w:line="260" w:lineRule="atLeast"/>
        <w:rPr>
          <w:rFonts w:eastAsia="TimesNewRoman"/>
          <w:szCs w:val="20"/>
        </w:rPr>
      </w:pPr>
      <w:r>
        <w:rPr>
          <w:rFonts w:eastAsia="TimesNewRoman"/>
          <w:szCs w:val="20"/>
        </w:rPr>
        <w:t>V 20. stoletju je u</w:t>
      </w:r>
      <w:r w:rsidRPr="00180FEF">
        <w:rPr>
          <w:rFonts w:eastAsia="TimesNewRoman"/>
          <w:szCs w:val="20"/>
        </w:rPr>
        <w:t xml:space="preserve">vedba mehanizacije na kmetijah in specializacija kmetijske proizvodnje drastično posegla v </w:t>
      </w:r>
      <w:r>
        <w:rPr>
          <w:rFonts w:eastAsia="TimesNewRoman"/>
          <w:szCs w:val="20"/>
        </w:rPr>
        <w:t>konjerejo</w:t>
      </w:r>
      <w:r w:rsidRPr="00180FEF">
        <w:rPr>
          <w:rFonts w:eastAsia="TimesNewRoman"/>
          <w:szCs w:val="20"/>
        </w:rPr>
        <w:t xml:space="preserve"> in povzročila velik upad števila konj. </w:t>
      </w:r>
      <w:r>
        <w:rPr>
          <w:rFonts w:eastAsia="TimesNewRoman"/>
          <w:szCs w:val="20"/>
        </w:rPr>
        <w:t>V zadnjih desetletjih se</w:t>
      </w:r>
      <w:r w:rsidRPr="00180FEF">
        <w:rPr>
          <w:rFonts w:eastAsia="TimesNewRoman"/>
          <w:szCs w:val="20"/>
        </w:rPr>
        <w:t xml:space="preserve"> </w:t>
      </w:r>
      <w:r>
        <w:rPr>
          <w:rFonts w:eastAsia="TimesNewRoman"/>
          <w:szCs w:val="20"/>
        </w:rPr>
        <w:t xml:space="preserve">konji uporabljajo predvsem za rejo mesa, za turistično dejavnost ter športno in rekreativno konjeništvo. </w:t>
      </w:r>
      <w:r w:rsidRPr="00F209CD">
        <w:rPr>
          <w:rFonts w:eastAsia="TimesNewRoman"/>
          <w:szCs w:val="20"/>
        </w:rPr>
        <w:t xml:space="preserve">Ključne priložnosti razvoja </w:t>
      </w:r>
      <w:r>
        <w:rPr>
          <w:rFonts w:eastAsia="TimesNewRoman"/>
          <w:szCs w:val="20"/>
        </w:rPr>
        <w:t>konjereje</w:t>
      </w:r>
      <w:r w:rsidRPr="00F209CD">
        <w:rPr>
          <w:rFonts w:eastAsia="TimesNewRoman"/>
          <w:szCs w:val="20"/>
        </w:rPr>
        <w:t xml:space="preserve"> se kažejo v organizaciji prireditev, </w:t>
      </w:r>
      <w:r w:rsidRPr="00180FEF">
        <w:rPr>
          <w:rFonts w:eastAsia="TimesNewRoman"/>
          <w:szCs w:val="20"/>
        </w:rPr>
        <w:t xml:space="preserve">ki vključujejo konje, </w:t>
      </w:r>
      <w:r>
        <w:rPr>
          <w:rFonts w:eastAsia="TimesNewRoman"/>
          <w:szCs w:val="20"/>
        </w:rPr>
        <w:t xml:space="preserve">promociji konjereje in konjeništva, </w:t>
      </w:r>
      <w:r w:rsidRPr="00180FEF">
        <w:rPr>
          <w:rFonts w:eastAsia="TimesNewRoman"/>
          <w:szCs w:val="20"/>
        </w:rPr>
        <w:t xml:space="preserve">povezovanju med deležniki v verigi, proizvodnji in trženju nišnih proizvodov, uvajanju blagovnih znamk, proizvodnji specialne opreme za konjerejo in konjeništvo ter uporabi konj v terapevtske in rekreacijske namene. </w:t>
      </w:r>
    </w:p>
    <w:p w14:paraId="0F352FBD" w14:textId="77777777" w:rsidR="006A449B" w:rsidRPr="00C73213" w:rsidRDefault="006A449B" w:rsidP="005B2A49">
      <w:pPr>
        <w:spacing w:after="120" w:line="260" w:lineRule="atLeast"/>
        <w:rPr>
          <w:rFonts w:eastAsia="TimesNewRoman"/>
          <w:szCs w:val="20"/>
        </w:rPr>
      </w:pPr>
      <w:r w:rsidRPr="00C73213">
        <w:rPr>
          <w:rFonts w:eastAsia="TimesNewRoman"/>
          <w:szCs w:val="20"/>
        </w:rPr>
        <w:t>Dosedanje podpore SKP 2014-2020 za sektor konjereje izhajajo iz različnih ukrepov PRP 2014-2020 (M04 Naložbe v osnovna sredstva, M06 Razvoj kmetij in podjetij itd.). Do dne 31. 8. 2019 je bilo v okviru podukrepa M04.1 Podpora za naložbe v kmetijska gospodarstva izplačano približno 107.000 EUR, v okviru podukrepa M06.1 Pomoč za zagon dejavnosti za mlade kmete, kjer je sektor konjereje glede na število upravičencev (pod 1 %) eden izmed najmanj zastopanih sektorjev pa je bilo izplačano približno 76.000 EUR. V okviru podukrepa M06.3 Pomoč za zagon dejavnosti, namenjene razvoju majhnih kmetije bilo izplačano dobrih 300.000 EUR.</w:t>
      </w:r>
    </w:p>
    <w:p w14:paraId="67827A81" w14:textId="2733E803" w:rsidR="00F679A2" w:rsidRPr="005B2A49" w:rsidRDefault="006A449B" w:rsidP="005B2A49">
      <w:pPr>
        <w:spacing w:after="120" w:line="260" w:lineRule="atLeast"/>
        <w:rPr>
          <w:rFonts w:eastAsia="Calibri"/>
          <w:szCs w:val="20"/>
        </w:rPr>
      </w:pPr>
      <w:r w:rsidRPr="00C73213">
        <w:rPr>
          <w:rFonts w:eastAsia="TimesNewRoman"/>
          <w:szCs w:val="20"/>
        </w:rPr>
        <w:t xml:space="preserve">V okviru priprav Strateškega načrta SKP po 2020 so deležniki kot ključno slabost </w:t>
      </w:r>
      <w:r>
        <w:rPr>
          <w:rFonts w:eastAsia="TimesNewRoman"/>
          <w:szCs w:val="20"/>
        </w:rPr>
        <w:t>i</w:t>
      </w:r>
      <w:r w:rsidRPr="00C73213">
        <w:rPr>
          <w:rFonts w:eastAsia="TimesNewRoman"/>
          <w:szCs w:val="20"/>
        </w:rPr>
        <w:t>zpostavili dejstvo, da v programskem obdobju 2014-2020 ni bilo ukrepa dobrobiti živali za konjerejo. V prihodnjem programskem obdobju so izvajanje ukrepa dobrobit živali prepoznali kot priložnost za razvoj panoge.</w:t>
      </w:r>
      <w:r w:rsidRPr="003D106B">
        <w:rPr>
          <w:rFonts w:eastAsia="TimesNewRoman"/>
          <w:szCs w:val="20"/>
        </w:rPr>
        <w:t xml:space="preserve"> </w:t>
      </w:r>
      <w:r w:rsidRPr="00C73213">
        <w:rPr>
          <w:rFonts w:eastAsia="TimesNewRoman"/>
          <w:szCs w:val="20"/>
        </w:rPr>
        <w:t>Splošna javnost želi, da se dobrobit živali okrepi na vseh področjih, tudi na področju konjereje in konjeništva, ki je medijsko bolj izpostavljeno.</w:t>
      </w:r>
    </w:p>
    <w:p w14:paraId="236D2C48" w14:textId="5C1EB146" w:rsidR="00F679A2" w:rsidRDefault="00F679A2" w:rsidP="005B2A49">
      <w:pPr>
        <w:spacing w:after="120" w:line="260" w:lineRule="atLeast"/>
        <w:rPr>
          <w:rFonts w:eastAsia="Calibri"/>
          <w:szCs w:val="20"/>
        </w:rPr>
      </w:pPr>
      <w:r w:rsidRPr="005B2A49">
        <w:rPr>
          <w:rFonts w:eastAsia="Calibri"/>
          <w:szCs w:val="20"/>
        </w:rPr>
        <w:t>V javno službo strokovnih nalog na področju konjereje so vključene naslednje pasme: slovenska hladnokrvna pasma, posavski konj, lipicanski konj, haflinški konj, arabski konj, arabski polnokrvni konj, angleški polnokrvni konj, islandski konj in šetlandski poni, slovenski toplokrvni konj,</w:t>
      </w:r>
      <w:r w:rsidR="006A449B">
        <w:rPr>
          <w:rFonts w:eastAsia="Calibri"/>
          <w:szCs w:val="20"/>
        </w:rPr>
        <w:t xml:space="preserve"> bosanski planinski konj,</w:t>
      </w:r>
      <w:r w:rsidRPr="005B2A49">
        <w:rPr>
          <w:rFonts w:eastAsia="Calibri"/>
          <w:szCs w:val="20"/>
        </w:rPr>
        <w:t xml:space="preserve"> kasaški konj in ljutomerski kasač. Rejcem konj je svetovanje zagotovljeno preko javne kmetijske svetovalne službe.</w:t>
      </w:r>
    </w:p>
    <w:p w14:paraId="153DDCD7" w14:textId="77777777" w:rsidR="006A449B" w:rsidRPr="00C73213" w:rsidRDefault="006A449B" w:rsidP="005B2A49">
      <w:pPr>
        <w:spacing w:after="120" w:line="260" w:lineRule="atLeast"/>
        <w:rPr>
          <w:rFonts w:eastAsia="TimesNewRoman"/>
          <w:szCs w:val="20"/>
        </w:rPr>
      </w:pPr>
      <w:r w:rsidRPr="00C73213">
        <w:rPr>
          <w:rFonts w:eastAsia="TimesNewRoman"/>
          <w:szCs w:val="20"/>
        </w:rPr>
        <w:t>V Sloveniji imamo v primerjavi z drugimi vrstami rejnih živali, relativno veliko število avtohtonih in tradicionalnih pasem konj. Veliko pasem je ogroženih,</w:t>
      </w:r>
      <w:r>
        <w:rPr>
          <w:rFonts w:eastAsia="TimesNewRoman"/>
          <w:szCs w:val="20"/>
        </w:rPr>
        <w:t xml:space="preserve"> </w:t>
      </w:r>
      <w:r w:rsidRPr="00180FEF">
        <w:rPr>
          <w:rFonts w:eastAsia="TimesNewRoman"/>
          <w:szCs w:val="20"/>
        </w:rPr>
        <w:t>zato bi bilo potrebno okrepiti njihovo zaščito</w:t>
      </w:r>
      <w:r w:rsidRPr="00C73213">
        <w:rPr>
          <w:rFonts w:eastAsia="TimesNewRoman"/>
          <w:szCs w:val="20"/>
        </w:rPr>
        <w:t xml:space="preserve">. </w:t>
      </w:r>
      <w:r>
        <w:rPr>
          <w:rFonts w:eastAsia="TimesNewRoman"/>
          <w:szCs w:val="20"/>
        </w:rPr>
        <w:t>Glede na stopnjo</w:t>
      </w:r>
      <w:r w:rsidRPr="00FE3CE7">
        <w:rPr>
          <w:rFonts w:eastAsia="TimesNewRoman"/>
          <w:szCs w:val="20"/>
        </w:rPr>
        <w:t xml:space="preserve"> ogroženosti pasme na nacionalni ravni </w:t>
      </w:r>
      <w:r>
        <w:rPr>
          <w:rFonts w:eastAsia="TimesNewRoman"/>
          <w:szCs w:val="20"/>
        </w:rPr>
        <w:t xml:space="preserve">v letu 2019 </w:t>
      </w:r>
      <w:r w:rsidRPr="00180FEF">
        <w:rPr>
          <w:rFonts w:eastAsia="TimesNewRoman"/>
          <w:szCs w:val="20"/>
        </w:rPr>
        <w:t>so lipicanski konj, slovenski hladnokrvni konj, posavski konj</w:t>
      </w:r>
      <w:r>
        <w:rPr>
          <w:rFonts w:eastAsia="TimesNewRoman"/>
          <w:szCs w:val="20"/>
        </w:rPr>
        <w:t>, haflinški konj, bosanski planinski konj</w:t>
      </w:r>
      <w:r w:rsidRPr="00180FEF">
        <w:rPr>
          <w:rFonts w:eastAsia="TimesNewRoman"/>
          <w:szCs w:val="20"/>
        </w:rPr>
        <w:t xml:space="preserve"> in ljutomerski kasač uvrščeni med kritično ogrožene pasme</w:t>
      </w:r>
      <w:r>
        <w:rPr>
          <w:rFonts w:eastAsia="TimesNewRoman"/>
          <w:szCs w:val="20"/>
        </w:rPr>
        <w:t>.</w:t>
      </w:r>
      <w:r w:rsidRPr="00180FEF">
        <w:rPr>
          <w:rFonts w:eastAsia="TimesNewRoman"/>
          <w:szCs w:val="20"/>
        </w:rPr>
        <w:t xml:space="preserve"> </w:t>
      </w:r>
    </w:p>
    <w:p w14:paraId="2E4889E5"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varujejo/ohranjajo tri avtohtone pasme konj: lipicanski, slovenski hladnokrvni in posavski ter dve tradicionalni pasmi: haflinški in ljutomerski kasač. V letu 2019 se je Register pasem z zootehniško oceno vodil za naslednje pasme konj: lipicanski, posavski, slovenski hladnokrvni, ljutomerski kasač, haflinški, kasaški, arabski, arabski polnokrvni, islandski, angleški polnokrvni, slovenski toplokrvni in bosanski planinski. Javna služba opravlja naloge na področjih spremljanja stanja in karakterizacije pasem, mehanizmih trajnostne rabe in razvoja, oblik ohranjanja živalskih genskih virov ter politik upravljanja živalskih genskih virov.</w:t>
      </w:r>
    </w:p>
    <w:p w14:paraId="2FDED176" w14:textId="77777777" w:rsidR="00F679A2" w:rsidRPr="00C4167C" w:rsidRDefault="00F679A2" w:rsidP="00F679A2"/>
    <w:p w14:paraId="12166959" w14:textId="77777777" w:rsidR="00F679A2" w:rsidRPr="00271FF1" w:rsidRDefault="00F679A2" w:rsidP="00F679A2">
      <w:pPr>
        <w:pStyle w:val="Naslov3"/>
        <w:rPr>
          <w:rFonts w:eastAsia="Calibri"/>
        </w:rPr>
      </w:pPr>
      <w:bookmarkStart w:id="3173" w:name="_Toc90462264"/>
      <w:r w:rsidRPr="00271FF1">
        <w:rPr>
          <w:rFonts w:eastAsia="Calibri"/>
        </w:rPr>
        <w:t>Ključne ugotovitve:</w:t>
      </w:r>
      <w:bookmarkEnd w:id="3173"/>
    </w:p>
    <w:p w14:paraId="00D427C5" w14:textId="77777777" w:rsidR="00F679A2" w:rsidRPr="00271FF1" w:rsidRDefault="00F679A2" w:rsidP="00F679A2">
      <w:pPr>
        <w:rPr>
          <w:rFonts w:eastAsia="Calibri"/>
        </w:rPr>
      </w:pPr>
    </w:p>
    <w:p w14:paraId="66065907" w14:textId="4409EE5E" w:rsidR="00F679A2" w:rsidRPr="00271FF1" w:rsidRDefault="006A449B" w:rsidP="005B2A49">
      <w:pPr>
        <w:pStyle w:val="Odstavekseznama"/>
        <w:numPr>
          <w:ilvl w:val="0"/>
          <w:numId w:val="187"/>
        </w:numPr>
        <w:spacing w:after="120" w:line="260" w:lineRule="atLeast"/>
        <w:ind w:left="357" w:hanging="357"/>
        <w:rPr>
          <w:rFonts w:ascii="Arial" w:hAnsi="Arial"/>
          <w:sz w:val="22"/>
          <w:szCs w:val="22"/>
        </w:rPr>
      </w:pPr>
      <w:r w:rsidRPr="005B2A49">
        <w:rPr>
          <w:rFonts w:ascii="Arial" w:hAnsi="Arial"/>
          <w:sz w:val="22"/>
          <w:szCs w:val="22"/>
        </w:rPr>
        <w:t>Vrednost konjereje kot delež od celotne kmetijske proizvodnje v Sloveniji v povprečju zadnjega desetletja znaša le okoli 0,3</w:t>
      </w:r>
      <w:r w:rsidR="00175627">
        <w:rPr>
          <w:rFonts w:ascii="Arial" w:hAnsi="Arial"/>
          <w:sz w:val="22"/>
          <w:szCs w:val="22"/>
        </w:rPr>
        <w:t> </w:t>
      </w:r>
      <w:r w:rsidRPr="005B2A49">
        <w:rPr>
          <w:rFonts w:ascii="Arial" w:hAnsi="Arial"/>
          <w:sz w:val="22"/>
          <w:szCs w:val="22"/>
        </w:rPr>
        <w:t>%</w:t>
      </w:r>
      <w:r w:rsidR="00F679A2" w:rsidRPr="00271FF1">
        <w:rPr>
          <w:rFonts w:ascii="Arial" w:hAnsi="Arial"/>
          <w:sz w:val="22"/>
          <w:szCs w:val="22"/>
        </w:rPr>
        <w:t>.</w:t>
      </w:r>
    </w:p>
    <w:p w14:paraId="1C923EAF" w14:textId="77777777"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Število ekološko rejenih kopitarjev se je v obdobju 2010 – 2019 povečalo medtem, ko se je prireja ekološkega konjskega mesa povsem ustavila. Sektor ni vključen v ukrep dobrobit živali.</w:t>
      </w:r>
    </w:p>
    <w:p w14:paraId="317B760C" w14:textId="4C0A5760"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Avtohtone in tradicionalne pasme konj so ogrožene, zato bi bilo potrebno okrepiti njihovo zaščito.</w:t>
      </w:r>
    </w:p>
    <w:p w14:paraId="686C8638" w14:textId="50323447"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V konjereji so priložnosti v trženju lokalnih proizvodov in storitev, vendar je potrebno okrepiti promocijo</w:t>
      </w:r>
      <w:r w:rsidR="00175627">
        <w:rPr>
          <w:rFonts w:ascii="Arial" w:hAnsi="Arial"/>
          <w:sz w:val="22"/>
          <w:szCs w:val="22"/>
        </w:rPr>
        <w:t xml:space="preserve"> </w:t>
      </w:r>
      <w:r w:rsidR="00175627" w:rsidRPr="005B2A49">
        <w:rPr>
          <w:rFonts w:ascii="Arial" w:hAnsi="Arial"/>
          <w:sz w:val="22"/>
          <w:szCs w:val="22"/>
        </w:rPr>
        <w:t>konjereje in konjeništva</w:t>
      </w:r>
      <w:r w:rsidRPr="00271FF1">
        <w:rPr>
          <w:rFonts w:ascii="Arial" w:hAnsi="Arial"/>
          <w:sz w:val="22"/>
          <w:szCs w:val="22"/>
        </w:rPr>
        <w:t>.</w:t>
      </w:r>
    </w:p>
    <w:p w14:paraId="266606B6" w14:textId="77777777" w:rsidR="00F679A2" w:rsidRPr="00E2688B" w:rsidRDefault="00F679A2" w:rsidP="00F679A2"/>
    <w:p w14:paraId="331C2AF7" w14:textId="77777777" w:rsidR="00F679A2" w:rsidRPr="00271FF1" w:rsidRDefault="00F679A2" w:rsidP="00F679A2">
      <w:pPr>
        <w:pStyle w:val="Naslov2"/>
      </w:pPr>
      <w:bookmarkStart w:id="3174" w:name="_Toc90462265"/>
      <w:r w:rsidRPr="00271FF1">
        <w:t>Zelenjadarstvo</w:t>
      </w:r>
      <w:bookmarkEnd w:id="3174"/>
    </w:p>
    <w:p w14:paraId="5AA91E12" w14:textId="39FB5DF9" w:rsidR="00F679A2" w:rsidRDefault="00F679A2" w:rsidP="005B2A49">
      <w:pPr>
        <w:spacing w:after="120" w:line="260" w:lineRule="atLeast"/>
        <w:rPr>
          <w:rFonts w:eastAsia="Calibri"/>
          <w:szCs w:val="20"/>
        </w:rPr>
      </w:pPr>
      <w:r w:rsidRPr="005B2A49">
        <w:rPr>
          <w:rFonts w:eastAsia="Calibri"/>
          <w:szCs w:val="20"/>
        </w:rPr>
        <w:t>V Sloveniji so za tržno pridelavo zelenjave značilne majhne pridelovalne površine na posamezno kmetijsko gospodarstvo, ki pa so intenzivno obdelane. Pridelava je zelo odvisna od vremenskih razmer, saj imamo kar 96 % osnovnih površin, ki so namenjene pridelavi zelenjave, na prostem. Slovenija v povprečju uvozi 160.000 ton sveže zelenjave na leto, izvozi pa cca. 15.000 ton, kar kaže na velik potencial panoge</w:t>
      </w:r>
      <w:r w:rsidR="003453AC">
        <w:rPr>
          <w:rFonts w:eastAsia="Calibri"/>
          <w:szCs w:val="20"/>
        </w:rPr>
        <w:t xml:space="preserve">. </w:t>
      </w:r>
      <w:r w:rsidRPr="005B2A49">
        <w:rPr>
          <w:rFonts w:eastAsia="Calibri"/>
          <w:szCs w:val="20"/>
        </w:rPr>
        <w:t>Za boljše zagotavljanje prehranske varnosti države je pomembno, da bi čim večji del uvoza nadomestili z lastno pridelavo, še posebno v časih izrednih razmer – npr. pandemije, ter za ohranjanje in ustvarjanje novih delovnih mest na podeželju.</w:t>
      </w:r>
    </w:p>
    <w:p w14:paraId="5B2DBDFA" w14:textId="77777777" w:rsidR="00C25531" w:rsidRPr="005B2A49" w:rsidRDefault="00C25531" w:rsidP="005B2A49">
      <w:pPr>
        <w:spacing w:after="120" w:line="260" w:lineRule="atLeast"/>
        <w:rPr>
          <w:rFonts w:eastAsia="Calibri"/>
          <w:szCs w:val="20"/>
        </w:rPr>
      </w:pPr>
    </w:p>
    <w:p w14:paraId="24F3784D" w14:textId="77777777" w:rsidR="00F679A2" w:rsidRDefault="00F679A2" w:rsidP="00F679A2">
      <w:pPr>
        <w:pStyle w:val="Naslov3"/>
        <w:rPr>
          <w:rFonts w:eastAsia="Calibri"/>
        </w:rPr>
      </w:pPr>
      <w:bookmarkStart w:id="3175" w:name="_Toc90462266"/>
      <w:r w:rsidRPr="00271FF1">
        <w:rPr>
          <w:rFonts w:eastAsia="Calibri"/>
        </w:rPr>
        <w:t>Stanje v sektorju in osnovni ekonomski kazalniki</w:t>
      </w:r>
      <w:bookmarkEnd w:id="3175"/>
    </w:p>
    <w:p w14:paraId="2B5ADAB2" w14:textId="77777777" w:rsidR="00F679A2" w:rsidRPr="00271FF1" w:rsidRDefault="00F679A2" w:rsidP="00F679A2">
      <w:pPr>
        <w:rPr>
          <w:rFonts w:eastAsia="Calibri"/>
        </w:rPr>
      </w:pPr>
    </w:p>
    <w:p w14:paraId="5784A565" w14:textId="51B51825" w:rsidR="00F679A2" w:rsidRDefault="00F679A2" w:rsidP="005B2A49">
      <w:pPr>
        <w:spacing w:after="120" w:line="260" w:lineRule="atLeast"/>
        <w:rPr>
          <w:rFonts w:eastAsia="Calibri"/>
          <w:szCs w:val="20"/>
        </w:rPr>
      </w:pPr>
      <w:r w:rsidRPr="003B2B91">
        <w:rPr>
          <w:rFonts w:eastAsia="Calibri"/>
          <w:szCs w:val="20"/>
        </w:rPr>
        <w:t xml:space="preserve">Število kmetijskih gospodarstev, ki se ukvarjajo s tržno pridelavo zelenjave, se je po podatkih SURS povečalo. Leta 2010 se je s tržno pridelavo zelenjave ukvarjalo 1.192 kmetijskih gospodarstev, medtem ko v letu 2019 32 % več (1.584 pridelovalcev). Povprečni tržni pridelovalec je leta 2000 zelenjavo prideloval na 1,02 ha osnovne površine, v letu 2019 pa na 1,78 ha osnovne površine (+ 74 %). Povečuje se tudi pridelava zelenjave v zavarovanih prostorih, s povprečno površino 0,28 ha/KMG v letu 2019. Glavnina tržne pridelave zelenjadnic poteka na prostem (96 %). </w:t>
      </w:r>
    </w:p>
    <w:p w14:paraId="2B6C1D0F" w14:textId="77777777" w:rsidR="00F25435" w:rsidRPr="003B2B91" w:rsidRDefault="00F25435" w:rsidP="005B2A49">
      <w:pPr>
        <w:spacing w:after="120" w:line="260" w:lineRule="atLeast"/>
        <w:rPr>
          <w:rFonts w:eastAsia="Calibri"/>
          <w:szCs w:val="20"/>
        </w:rPr>
      </w:pPr>
    </w:p>
    <w:p w14:paraId="16C9FF84" w14:textId="48A20E27" w:rsidR="00F679A2" w:rsidRDefault="00F679A2" w:rsidP="00F679A2">
      <w:pPr>
        <w:pStyle w:val="SCPreglednica"/>
      </w:pPr>
      <w:bookmarkStart w:id="3176" w:name="_Toc89861018"/>
      <w:r>
        <w:t xml:space="preserve">Tabela </w:t>
      </w:r>
      <w:r>
        <w:rPr>
          <w:noProof/>
        </w:rPr>
        <w:fldChar w:fldCharType="begin"/>
      </w:r>
      <w:r>
        <w:rPr>
          <w:noProof/>
        </w:rPr>
        <w:instrText xml:space="preserve"> SEQ Tabela \* ARABIC </w:instrText>
      </w:r>
      <w:r>
        <w:rPr>
          <w:noProof/>
        </w:rPr>
        <w:fldChar w:fldCharType="separate"/>
      </w:r>
      <w:r w:rsidR="002E0D2A">
        <w:rPr>
          <w:noProof/>
        </w:rPr>
        <w:t>26</w:t>
      </w:r>
      <w:r>
        <w:rPr>
          <w:noProof/>
        </w:rPr>
        <w:fldChar w:fldCharType="end"/>
      </w:r>
      <w:r>
        <w:t xml:space="preserve">: </w:t>
      </w:r>
      <w:r w:rsidRPr="00E2688B">
        <w:t>Število kmetijskih gospodarstev ter osnovna in pridelovalna površina zelenjadnic pri tržnih pridelovalcih za leta 2010, 2013, 2016 in 2019</w:t>
      </w:r>
      <w:bookmarkEnd w:id="3176"/>
    </w:p>
    <w:p w14:paraId="5E5C2D0A" w14:textId="77777777" w:rsidR="00F679A2" w:rsidRPr="003B2B91" w:rsidRDefault="00F679A2" w:rsidP="00F679A2">
      <w:pPr>
        <w:spacing w:line="360" w:lineRule="auto"/>
        <w:rPr>
          <w:rFonts w:eastAsia="Calibri"/>
          <w:szCs w:val="20"/>
        </w:rPr>
      </w:pPr>
      <w:r w:rsidRPr="003B2B91">
        <w:rPr>
          <w:noProof/>
          <w:szCs w:val="20"/>
          <w:lang w:eastAsia="sl-SI"/>
        </w:rPr>
        <w:drawing>
          <wp:inline distT="0" distB="0" distL="0" distR="0" wp14:anchorId="3C8566CD" wp14:editId="64C5A10F">
            <wp:extent cx="5760720" cy="1064260"/>
            <wp:effectExtent l="0" t="0" r="0" b="2540"/>
            <wp:docPr id="24169629" name="Slika 2416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064260"/>
                    </a:xfrm>
                    <a:prstGeom prst="rect">
                      <a:avLst/>
                    </a:prstGeom>
                    <a:noFill/>
                    <a:ln>
                      <a:noFill/>
                    </a:ln>
                  </pic:spPr>
                </pic:pic>
              </a:graphicData>
            </a:graphic>
          </wp:inline>
        </w:drawing>
      </w:r>
    </w:p>
    <w:p w14:paraId="1138BA6B" w14:textId="77777777" w:rsidR="00F679A2" w:rsidRPr="003B2B91" w:rsidRDefault="00F679A2" w:rsidP="00F679A2">
      <w:pPr>
        <w:spacing w:line="360" w:lineRule="auto"/>
        <w:rPr>
          <w:rFonts w:eastAsia="Calibri"/>
          <w:szCs w:val="20"/>
        </w:rPr>
      </w:pPr>
      <w:r w:rsidRPr="005718B1">
        <w:rPr>
          <w:rFonts w:eastAsia="Calibri"/>
          <w:sz w:val="16"/>
          <w:szCs w:val="16"/>
        </w:rPr>
        <w:t>Vir: SURS</w:t>
      </w:r>
      <w:r w:rsidRPr="003E5B4D">
        <w:rPr>
          <w:rFonts w:eastAsia="Calibri"/>
          <w:sz w:val="16"/>
          <w:szCs w:val="16"/>
        </w:rPr>
        <w:t xml:space="preserve"> (popisi tržnega vrtnarstva</w:t>
      </w:r>
      <w:r w:rsidRPr="002C6682">
        <w:rPr>
          <w:rFonts w:eastAsia="Calibri"/>
          <w:sz w:val="16"/>
          <w:szCs w:val="16"/>
        </w:rPr>
        <w:t>) /</w:t>
      </w:r>
      <w:r w:rsidRPr="005718B1">
        <w:rPr>
          <w:rFonts w:eastAsia="Calibri"/>
          <w:sz w:val="16"/>
          <w:szCs w:val="16"/>
        </w:rPr>
        <w:t xml:space="preserve"> ZP-2019 </w:t>
      </w:r>
    </w:p>
    <w:p w14:paraId="48544FEC" w14:textId="1AB01169" w:rsidR="00F679A2" w:rsidRDefault="00F679A2" w:rsidP="005B2A49">
      <w:pPr>
        <w:spacing w:after="120" w:line="260" w:lineRule="atLeast"/>
        <w:rPr>
          <w:rFonts w:eastAsia="Calibri"/>
          <w:szCs w:val="20"/>
        </w:rPr>
      </w:pPr>
      <w:r w:rsidRPr="003B2B91">
        <w:rPr>
          <w:rFonts w:eastAsia="Calibri"/>
          <w:szCs w:val="20"/>
        </w:rPr>
        <w:t xml:space="preserve">V strukturi rabe njiv in vrtov so osnovne površine zelenjadnic (za tržne namene in za lastno pridelavo) v povprečju zadnjih </w:t>
      </w:r>
      <w:r w:rsidR="00114E22">
        <w:rPr>
          <w:rFonts w:eastAsia="Calibri"/>
          <w:szCs w:val="20"/>
        </w:rPr>
        <w:t>šestih</w:t>
      </w:r>
      <w:r w:rsidRPr="003B2B91">
        <w:rPr>
          <w:rFonts w:eastAsia="Calibri"/>
          <w:szCs w:val="20"/>
        </w:rPr>
        <w:t xml:space="preserve"> let (2014–201</w:t>
      </w:r>
      <w:r w:rsidR="00114E22">
        <w:rPr>
          <w:rFonts w:eastAsia="Calibri"/>
          <w:szCs w:val="20"/>
        </w:rPr>
        <w:t>9</w:t>
      </w:r>
      <w:r w:rsidRPr="003B2B91">
        <w:rPr>
          <w:rFonts w:eastAsia="Calibri"/>
          <w:szCs w:val="20"/>
        </w:rPr>
        <w:t>) zavzemale 2,</w:t>
      </w:r>
      <w:r w:rsidR="00114E22">
        <w:rPr>
          <w:rFonts w:eastAsia="Calibri"/>
          <w:szCs w:val="20"/>
        </w:rPr>
        <w:t>7</w:t>
      </w:r>
      <w:r w:rsidRPr="003B2B91">
        <w:rPr>
          <w:rFonts w:eastAsia="Calibri"/>
          <w:szCs w:val="20"/>
        </w:rPr>
        <w:t xml:space="preserve"> %, v letu 20</w:t>
      </w:r>
      <w:r w:rsidR="00114E22">
        <w:rPr>
          <w:rFonts w:eastAsia="Calibri"/>
          <w:szCs w:val="20"/>
        </w:rPr>
        <w:t>20</w:t>
      </w:r>
      <w:r w:rsidRPr="003B2B91">
        <w:rPr>
          <w:rFonts w:eastAsia="Calibri"/>
          <w:szCs w:val="20"/>
        </w:rPr>
        <w:t xml:space="preserve"> pa 3,</w:t>
      </w:r>
      <w:r w:rsidR="00114E22">
        <w:rPr>
          <w:rFonts w:eastAsia="Calibri"/>
          <w:szCs w:val="20"/>
        </w:rPr>
        <w:t>3</w:t>
      </w:r>
      <w:r w:rsidRPr="003B2B91">
        <w:rPr>
          <w:rFonts w:eastAsia="Calibri"/>
          <w:szCs w:val="20"/>
        </w:rPr>
        <w:t xml:space="preserve"> % kmetijskih površin. Skupna pridelovalna površina zelenjadnic je navadno za skoraj četrtino večja od osnovne površine in je v obdobju 20</w:t>
      </w:r>
      <w:r w:rsidR="00927B67">
        <w:rPr>
          <w:rFonts w:eastAsia="Calibri"/>
          <w:szCs w:val="20"/>
        </w:rPr>
        <w:t>10</w:t>
      </w:r>
      <w:r w:rsidRPr="003B2B91">
        <w:rPr>
          <w:rFonts w:eastAsia="Calibri"/>
          <w:szCs w:val="20"/>
        </w:rPr>
        <w:t>–20</w:t>
      </w:r>
      <w:r w:rsidR="00927B67">
        <w:rPr>
          <w:rFonts w:eastAsia="Calibri"/>
          <w:szCs w:val="20"/>
        </w:rPr>
        <w:t>20</w:t>
      </w:r>
      <w:r w:rsidRPr="003B2B91">
        <w:rPr>
          <w:rFonts w:eastAsia="Calibri"/>
          <w:szCs w:val="20"/>
        </w:rPr>
        <w:t xml:space="preserve"> obsegala od 2.</w:t>
      </w:r>
      <w:r w:rsidR="00927B67">
        <w:rPr>
          <w:rFonts w:eastAsia="Calibri"/>
          <w:szCs w:val="20"/>
        </w:rPr>
        <w:t>276</w:t>
      </w:r>
      <w:r w:rsidRPr="003B2B91">
        <w:rPr>
          <w:rFonts w:eastAsia="Calibri"/>
          <w:szCs w:val="20"/>
        </w:rPr>
        <w:t xml:space="preserve"> do 5.</w:t>
      </w:r>
      <w:r w:rsidR="00927B67">
        <w:rPr>
          <w:rFonts w:eastAsia="Calibri"/>
          <w:szCs w:val="20"/>
        </w:rPr>
        <w:t>766</w:t>
      </w:r>
      <w:r w:rsidRPr="003B2B91">
        <w:rPr>
          <w:rFonts w:eastAsia="Calibri"/>
          <w:szCs w:val="20"/>
        </w:rPr>
        <w:t xml:space="preserve"> ha. Leta 20</w:t>
      </w:r>
      <w:r w:rsidR="00114E22">
        <w:rPr>
          <w:rFonts w:eastAsia="Calibri"/>
          <w:szCs w:val="20"/>
        </w:rPr>
        <w:t>20</w:t>
      </w:r>
      <w:r w:rsidRPr="003B2B91">
        <w:rPr>
          <w:rFonts w:eastAsia="Calibri"/>
          <w:szCs w:val="20"/>
        </w:rPr>
        <w:t xml:space="preserve"> so bile zelenjadnice pospravljene s </w:t>
      </w:r>
      <w:r w:rsidR="00114E22">
        <w:rPr>
          <w:rFonts w:eastAsia="Calibri"/>
          <w:szCs w:val="20"/>
        </w:rPr>
        <w:t>7</w:t>
      </w:r>
      <w:r w:rsidRPr="003B2B91">
        <w:rPr>
          <w:rFonts w:eastAsia="Calibri"/>
          <w:szCs w:val="20"/>
        </w:rPr>
        <w:t>,</w:t>
      </w:r>
      <w:r w:rsidR="00114E22">
        <w:rPr>
          <w:rFonts w:eastAsia="Calibri"/>
          <w:szCs w:val="20"/>
        </w:rPr>
        <w:t>116</w:t>
      </w:r>
      <w:r w:rsidRPr="003B2B91">
        <w:rPr>
          <w:rFonts w:eastAsia="Calibri"/>
          <w:szCs w:val="20"/>
        </w:rPr>
        <w:t xml:space="preserve"> hektarjev njiv, kar je za </w:t>
      </w:r>
      <w:r w:rsidR="00114E22">
        <w:rPr>
          <w:rFonts w:eastAsia="Calibri"/>
          <w:szCs w:val="20"/>
        </w:rPr>
        <w:t>10</w:t>
      </w:r>
      <w:r w:rsidRPr="003B2B91">
        <w:rPr>
          <w:rFonts w:eastAsia="Calibri"/>
          <w:szCs w:val="20"/>
        </w:rPr>
        <w:t xml:space="preserve"> % več kot leto prej in </w:t>
      </w:r>
      <w:r w:rsidR="00114E22">
        <w:rPr>
          <w:rFonts w:eastAsia="Calibri"/>
          <w:szCs w:val="20"/>
        </w:rPr>
        <w:t>22 %</w:t>
      </w:r>
      <w:r w:rsidRPr="003B2B91">
        <w:rPr>
          <w:rFonts w:eastAsia="Calibri"/>
          <w:szCs w:val="20"/>
        </w:rPr>
        <w:t xml:space="preserve"> nad povprečjem zadnjih petih let. Na rekordno površino zelenjadnic je vplivalo močno povečanje površin namenjenih tržni pridelavi zelenjadnic (+55 %), ki so jih ugotovili s popisom v letu 2019.</w:t>
      </w:r>
    </w:p>
    <w:p w14:paraId="6F98A1A3" w14:textId="77777777" w:rsidR="00F25435" w:rsidRDefault="00F25435" w:rsidP="005B2A49">
      <w:pPr>
        <w:spacing w:after="120" w:line="260" w:lineRule="atLeast"/>
        <w:rPr>
          <w:rFonts w:eastAsia="Calibri"/>
          <w:szCs w:val="20"/>
        </w:rPr>
      </w:pPr>
    </w:p>
    <w:p w14:paraId="658ADB49" w14:textId="75C6C999" w:rsidR="00F679A2" w:rsidRDefault="00F679A2" w:rsidP="00F679A2">
      <w:pPr>
        <w:pStyle w:val="SCSlika0"/>
      </w:pPr>
      <w:bookmarkStart w:id="3177" w:name="_Toc89851108"/>
      <w:r>
        <w:t xml:space="preserve">Slika </w:t>
      </w:r>
      <w:r>
        <w:rPr>
          <w:noProof/>
        </w:rPr>
        <w:fldChar w:fldCharType="begin"/>
      </w:r>
      <w:r>
        <w:rPr>
          <w:noProof/>
        </w:rPr>
        <w:instrText xml:space="preserve"> SEQ Slika \* ARABIC </w:instrText>
      </w:r>
      <w:r>
        <w:rPr>
          <w:noProof/>
        </w:rPr>
        <w:fldChar w:fldCharType="separate"/>
      </w:r>
      <w:r w:rsidR="00F25435">
        <w:rPr>
          <w:noProof/>
        </w:rPr>
        <w:t>66</w:t>
      </w:r>
      <w:r>
        <w:rPr>
          <w:noProof/>
        </w:rPr>
        <w:fldChar w:fldCharType="end"/>
      </w:r>
      <w:r>
        <w:t xml:space="preserve">: </w:t>
      </w:r>
      <w:r w:rsidRPr="00E2688B">
        <w:t>Površina zelenjadnic (ha) za tržne in netržne pridelovalce (2007-20</w:t>
      </w:r>
      <w:r w:rsidR="00D455EE">
        <w:t>20</w:t>
      </w:r>
      <w:r w:rsidRPr="00E2688B">
        <w:t>)</w:t>
      </w:r>
      <w:bookmarkEnd w:id="3177"/>
    </w:p>
    <w:p w14:paraId="1B0B7576" w14:textId="77BCDD58" w:rsidR="00F679A2" w:rsidRDefault="00F679A2" w:rsidP="00F679A2">
      <w:pPr>
        <w:spacing w:line="360" w:lineRule="auto"/>
        <w:rPr>
          <w:rFonts w:eastAsia="Calibri"/>
          <w:szCs w:val="20"/>
        </w:rPr>
      </w:pPr>
      <w:r w:rsidRPr="003B2B91">
        <w:rPr>
          <w:noProof/>
          <w:szCs w:val="20"/>
          <w:lang w:eastAsia="sl-SI"/>
        </w:rPr>
        <w:drawing>
          <wp:inline distT="0" distB="0" distL="0" distR="0" wp14:anchorId="0CC0AD72" wp14:editId="56CA9E98">
            <wp:extent cx="3733800" cy="2028825"/>
            <wp:effectExtent l="0" t="0" r="0" b="9525"/>
            <wp:docPr id="24169630" name="Grafikon 24169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3846A6A" w14:textId="2044D688" w:rsidR="00D455EE" w:rsidRDefault="00D455EE" w:rsidP="00F679A2">
      <w:pPr>
        <w:spacing w:line="360" w:lineRule="auto"/>
        <w:rPr>
          <w:rFonts w:eastAsia="Calibri"/>
          <w:szCs w:val="20"/>
        </w:rPr>
      </w:pPr>
    </w:p>
    <w:p w14:paraId="0BE6E312" w14:textId="426AE593" w:rsidR="00D455EE" w:rsidRPr="003B2B91" w:rsidRDefault="00D455EE" w:rsidP="00F679A2">
      <w:pPr>
        <w:spacing w:line="360" w:lineRule="auto"/>
        <w:rPr>
          <w:rFonts w:eastAsia="Calibri"/>
          <w:szCs w:val="20"/>
        </w:rPr>
      </w:pPr>
      <w:r>
        <w:rPr>
          <w:rFonts w:eastAsia="Calibri"/>
          <w:noProof/>
          <w:szCs w:val="20"/>
          <w:lang w:eastAsia="sl-SI"/>
        </w:rPr>
        <w:drawing>
          <wp:inline distT="0" distB="0" distL="0" distR="0" wp14:anchorId="3A34D269" wp14:editId="6D4D1D53">
            <wp:extent cx="4584700" cy="2755900"/>
            <wp:effectExtent l="0" t="0" r="635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A5DF99" w14:textId="77777777" w:rsidR="00F679A2" w:rsidRPr="003B2B91" w:rsidRDefault="00F679A2" w:rsidP="00F679A2">
      <w:pPr>
        <w:spacing w:line="360" w:lineRule="auto"/>
        <w:rPr>
          <w:rFonts w:eastAsia="Calibri"/>
          <w:szCs w:val="20"/>
        </w:rPr>
      </w:pPr>
      <w:r w:rsidRPr="005718B1">
        <w:rPr>
          <w:rFonts w:eastAsia="Arial,Calibri"/>
          <w:sz w:val="16"/>
          <w:szCs w:val="16"/>
        </w:rPr>
        <w:t xml:space="preserve">Vir: </w:t>
      </w:r>
      <w:r>
        <w:rPr>
          <w:rFonts w:eastAsia="Arial,Calibri"/>
          <w:sz w:val="16"/>
          <w:szCs w:val="16"/>
        </w:rPr>
        <w:t>SURS (</w:t>
      </w:r>
      <w:r w:rsidRPr="005718B1">
        <w:rPr>
          <w:rFonts w:eastAsia="Arial,Calibri"/>
          <w:sz w:val="16"/>
          <w:szCs w:val="16"/>
        </w:rPr>
        <w:t>ZP-2019</w:t>
      </w:r>
      <w:r>
        <w:rPr>
          <w:rFonts w:eastAsia="Arial,Calibri"/>
          <w:sz w:val="16"/>
          <w:szCs w:val="16"/>
        </w:rPr>
        <w:t>)</w:t>
      </w:r>
    </w:p>
    <w:p w14:paraId="737FBF1B" w14:textId="407B1FED" w:rsidR="00F679A2" w:rsidRDefault="00D455EE" w:rsidP="005B2A49">
      <w:pPr>
        <w:spacing w:after="120" w:line="260" w:lineRule="atLeast"/>
        <w:rPr>
          <w:rFonts w:eastAsia="Calibri"/>
          <w:szCs w:val="20"/>
        </w:rPr>
      </w:pPr>
      <w:r>
        <w:rPr>
          <w:rFonts w:eastAsia="Calibri"/>
          <w:szCs w:val="20"/>
        </w:rPr>
        <w:t xml:space="preserve">V Sloveniji smo v letu 2020 </w:t>
      </w:r>
      <w:r w:rsidRPr="00D455EE">
        <w:rPr>
          <w:rFonts w:eastAsia="Calibri"/>
          <w:szCs w:val="20"/>
        </w:rPr>
        <w:t>zaradi večjih površin in ugodne letine pridelali za 14 % več zelenjadnic kot leta 2019, količina pridelanih zelenjadnic pa je bila kar za tretjino večja od povprečja zadnjega petletnega obdobja</w:t>
      </w:r>
      <w:r>
        <w:rPr>
          <w:rFonts w:eastAsia="Calibri"/>
          <w:szCs w:val="20"/>
        </w:rPr>
        <w:t xml:space="preserve">. </w:t>
      </w:r>
      <w:r w:rsidR="00F679A2" w:rsidRPr="003B2B91">
        <w:rPr>
          <w:rFonts w:eastAsia="Calibri"/>
          <w:szCs w:val="20"/>
        </w:rPr>
        <w:t xml:space="preserve">Povprečni hektarski pridelek zelenjadnic je bil za </w:t>
      </w:r>
      <w:r w:rsidR="00DA7C50">
        <w:rPr>
          <w:rFonts w:eastAsia="Calibri"/>
          <w:szCs w:val="20"/>
        </w:rPr>
        <w:t>4</w:t>
      </w:r>
      <w:r w:rsidR="00F679A2" w:rsidRPr="003B2B91">
        <w:rPr>
          <w:rFonts w:eastAsia="Calibri"/>
          <w:szCs w:val="20"/>
        </w:rPr>
        <w:t xml:space="preserve"> % </w:t>
      </w:r>
      <w:r w:rsidR="00DA7C50">
        <w:rPr>
          <w:rFonts w:eastAsia="Calibri"/>
          <w:szCs w:val="20"/>
        </w:rPr>
        <w:t>večji</w:t>
      </w:r>
      <w:r w:rsidR="00F679A2" w:rsidRPr="003B2B91">
        <w:rPr>
          <w:rFonts w:eastAsia="Calibri"/>
          <w:szCs w:val="20"/>
        </w:rPr>
        <w:t xml:space="preserve"> kot v </w:t>
      </w:r>
      <w:r w:rsidR="00DA7C50">
        <w:rPr>
          <w:rFonts w:eastAsia="Calibri"/>
          <w:szCs w:val="20"/>
        </w:rPr>
        <w:t>letu 2019 in</w:t>
      </w:r>
      <w:r w:rsidR="00F679A2" w:rsidRPr="003B2B91">
        <w:rPr>
          <w:rFonts w:eastAsia="Calibri"/>
          <w:szCs w:val="20"/>
        </w:rPr>
        <w:t xml:space="preserve"> </w:t>
      </w:r>
      <w:r w:rsidR="00DA7C50">
        <w:rPr>
          <w:rFonts w:eastAsia="Calibri"/>
          <w:szCs w:val="20"/>
        </w:rPr>
        <w:t xml:space="preserve"> malo višji od</w:t>
      </w:r>
      <w:r w:rsidR="00F679A2" w:rsidRPr="003B2B91">
        <w:rPr>
          <w:rFonts w:eastAsia="Calibri"/>
          <w:szCs w:val="20"/>
        </w:rPr>
        <w:t xml:space="preserve"> povprečja zadnjih petih let.</w:t>
      </w:r>
    </w:p>
    <w:p w14:paraId="06D35670" w14:textId="77777777" w:rsidR="00F679A2" w:rsidRDefault="00F679A2" w:rsidP="00F679A2">
      <w:pPr>
        <w:spacing w:before="200" w:line="360" w:lineRule="auto"/>
        <w:rPr>
          <w:rFonts w:eastAsia="Calibri"/>
          <w:szCs w:val="20"/>
        </w:rPr>
      </w:pPr>
    </w:p>
    <w:p w14:paraId="74A7C241" w14:textId="7B2C191D" w:rsidR="00F679A2" w:rsidRDefault="00F679A2" w:rsidP="00F679A2">
      <w:pPr>
        <w:pStyle w:val="SCSlika0"/>
      </w:pPr>
      <w:bookmarkStart w:id="3178" w:name="_Toc89851109"/>
      <w:r>
        <w:t xml:space="preserve">Slika </w:t>
      </w:r>
      <w:r>
        <w:rPr>
          <w:noProof/>
        </w:rPr>
        <w:fldChar w:fldCharType="begin"/>
      </w:r>
      <w:r>
        <w:rPr>
          <w:noProof/>
        </w:rPr>
        <w:instrText xml:space="preserve"> SEQ Slika \* ARABIC </w:instrText>
      </w:r>
      <w:r>
        <w:rPr>
          <w:noProof/>
        </w:rPr>
        <w:fldChar w:fldCharType="separate"/>
      </w:r>
      <w:r w:rsidR="00F25435">
        <w:rPr>
          <w:noProof/>
        </w:rPr>
        <w:t>67</w:t>
      </w:r>
      <w:r>
        <w:rPr>
          <w:noProof/>
        </w:rPr>
        <w:fldChar w:fldCharType="end"/>
      </w:r>
      <w:r>
        <w:t xml:space="preserve">: </w:t>
      </w:r>
      <w:r w:rsidRPr="00E2688B">
        <w:t>Pridelek zelenjadnic (t) pri tržnih in netržnih pridelovalcih (2007-2019)</w:t>
      </w:r>
      <w:bookmarkEnd w:id="3178"/>
    </w:p>
    <w:p w14:paraId="62D420F6" w14:textId="77777777" w:rsidR="00F679A2" w:rsidRPr="003B2B91" w:rsidRDefault="00F679A2" w:rsidP="00F679A2">
      <w:pPr>
        <w:spacing w:line="360" w:lineRule="auto"/>
        <w:rPr>
          <w:rFonts w:eastAsia="Calibri"/>
          <w:szCs w:val="20"/>
        </w:rPr>
      </w:pPr>
      <w:r w:rsidRPr="003B2B91">
        <w:rPr>
          <w:noProof/>
          <w:szCs w:val="20"/>
          <w:lang w:eastAsia="sl-SI"/>
        </w:rPr>
        <w:drawing>
          <wp:inline distT="0" distB="0" distL="0" distR="0" wp14:anchorId="3632FF31" wp14:editId="5D74C9B3">
            <wp:extent cx="4143375" cy="1924050"/>
            <wp:effectExtent l="0" t="0" r="9525" b="0"/>
            <wp:docPr id="49"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F016630" w14:textId="3BE75B4B" w:rsidR="00F679A2" w:rsidRPr="003B2B91" w:rsidRDefault="00F679A2" w:rsidP="00F679A2">
      <w:pPr>
        <w:spacing w:line="360" w:lineRule="auto"/>
        <w:rPr>
          <w:rFonts w:eastAsia="Calibri"/>
          <w:szCs w:val="20"/>
        </w:rPr>
      </w:pPr>
      <w:r w:rsidRPr="005718B1">
        <w:rPr>
          <w:rFonts w:eastAsia="Arial,Calibri"/>
          <w:sz w:val="16"/>
          <w:szCs w:val="16"/>
        </w:rPr>
        <w:t xml:space="preserve">Vir: </w:t>
      </w:r>
      <w:r>
        <w:rPr>
          <w:rFonts w:eastAsia="Arial,Calibri"/>
          <w:sz w:val="16"/>
          <w:szCs w:val="16"/>
        </w:rPr>
        <w:t>SURS (</w:t>
      </w:r>
      <w:r w:rsidRPr="005718B1">
        <w:rPr>
          <w:rFonts w:eastAsia="Arial,Calibri"/>
          <w:sz w:val="16"/>
          <w:szCs w:val="16"/>
        </w:rPr>
        <w:t>ZP-20</w:t>
      </w:r>
      <w:r w:rsidR="008E0331">
        <w:rPr>
          <w:rFonts w:eastAsia="Arial,Calibri"/>
          <w:sz w:val="16"/>
          <w:szCs w:val="16"/>
        </w:rPr>
        <w:t>20</w:t>
      </w:r>
      <w:r>
        <w:rPr>
          <w:rFonts w:eastAsia="Arial,Calibri"/>
          <w:sz w:val="16"/>
          <w:szCs w:val="16"/>
        </w:rPr>
        <w:t>)</w:t>
      </w:r>
    </w:p>
    <w:p w14:paraId="73BA440F" w14:textId="546A81D6" w:rsidR="00F679A2" w:rsidRPr="003B2B91" w:rsidRDefault="00F679A2" w:rsidP="005B2A49">
      <w:pPr>
        <w:spacing w:after="120" w:line="260" w:lineRule="atLeast"/>
        <w:rPr>
          <w:rFonts w:eastAsia="Calibri"/>
          <w:szCs w:val="20"/>
        </w:rPr>
      </w:pPr>
      <w:r w:rsidRPr="005B2A49">
        <w:rPr>
          <w:rFonts w:eastAsia="Calibri"/>
          <w:szCs w:val="20"/>
        </w:rPr>
        <w:t>V Sloveniji so kmetijska gospodarstva leta 20</w:t>
      </w:r>
      <w:r w:rsidR="008E0331">
        <w:rPr>
          <w:rFonts w:eastAsia="Calibri"/>
          <w:szCs w:val="20"/>
        </w:rPr>
        <w:t>20</w:t>
      </w:r>
      <w:r w:rsidRPr="005B2A49">
        <w:rPr>
          <w:rFonts w:eastAsia="Calibri"/>
          <w:szCs w:val="20"/>
        </w:rPr>
        <w:t xml:space="preserve"> na </w:t>
      </w:r>
      <w:r w:rsidR="008E0331">
        <w:rPr>
          <w:rFonts w:eastAsia="Calibri"/>
          <w:szCs w:val="20"/>
        </w:rPr>
        <w:t>7.116</w:t>
      </w:r>
      <w:r w:rsidRPr="005B2A49">
        <w:rPr>
          <w:rFonts w:eastAsia="Calibri"/>
          <w:szCs w:val="20"/>
        </w:rPr>
        <w:t xml:space="preserve"> ha površin pridelali 1</w:t>
      </w:r>
      <w:r w:rsidR="008E0331">
        <w:rPr>
          <w:rFonts w:eastAsia="Calibri"/>
          <w:szCs w:val="20"/>
        </w:rPr>
        <w:t>37.227</w:t>
      </w:r>
      <w:r w:rsidRPr="005B2A49">
        <w:rPr>
          <w:rFonts w:eastAsia="Calibri"/>
          <w:szCs w:val="20"/>
        </w:rPr>
        <w:t xml:space="preserve"> ton zelenjave, od tega na 3.487 ha površin 8</w:t>
      </w:r>
      <w:r w:rsidR="008E0331">
        <w:rPr>
          <w:rFonts w:eastAsia="Calibri"/>
          <w:szCs w:val="20"/>
        </w:rPr>
        <w:t>5.275</w:t>
      </w:r>
      <w:r w:rsidRPr="005B2A49">
        <w:rPr>
          <w:rFonts w:eastAsia="Calibri"/>
          <w:szCs w:val="20"/>
        </w:rPr>
        <w:t xml:space="preserve"> ton za prodajo. Glede na leto 200</w:t>
      </w:r>
      <w:r w:rsidR="008E0331">
        <w:rPr>
          <w:rFonts w:eastAsia="Calibri"/>
          <w:szCs w:val="20"/>
        </w:rPr>
        <w:t>8</w:t>
      </w:r>
      <w:r w:rsidRPr="005B2A49">
        <w:rPr>
          <w:rFonts w:eastAsia="Calibri"/>
          <w:szCs w:val="20"/>
        </w:rPr>
        <w:t xml:space="preserve"> se je tržni pridelek zelenjadnic za enkrat povečal (</w:t>
      </w:r>
      <w:r w:rsidR="008E0331">
        <w:rPr>
          <w:rFonts w:eastAsia="Calibri"/>
          <w:szCs w:val="20"/>
        </w:rPr>
        <w:t>97</w:t>
      </w:r>
      <w:r w:rsidRPr="005B2A49">
        <w:rPr>
          <w:rFonts w:eastAsia="Calibri"/>
          <w:szCs w:val="20"/>
        </w:rPr>
        <w:t xml:space="preserve"> %). Povprečni hektarski pridelki posameznih tržnih zelenjadnic zaostajajo za povprečnimi hektarskimi pridelki v državah članicah Evropske unije (EU). V pridelovalni strukturi tržnih zelenjadnic, so bile leta 20</w:t>
      </w:r>
      <w:r w:rsidR="008E0331">
        <w:rPr>
          <w:rFonts w:eastAsia="Calibri"/>
          <w:szCs w:val="20"/>
        </w:rPr>
        <w:t>20</w:t>
      </w:r>
      <w:r w:rsidRPr="005B2A49">
        <w:rPr>
          <w:rFonts w:eastAsia="Calibri"/>
          <w:szCs w:val="20"/>
        </w:rPr>
        <w:t xml:space="preserve"> po količini najpomembnejše zelenjadnice zelje, čebula, paradižnik, solata, korenček, paprika, rdeča pesa in bučka.</w:t>
      </w:r>
    </w:p>
    <w:p w14:paraId="4BD1E0C5" w14:textId="4175214E" w:rsidR="00F679A2" w:rsidRPr="005B2A49" w:rsidRDefault="00F679A2" w:rsidP="005B2A49">
      <w:pPr>
        <w:spacing w:after="120" w:line="260" w:lineRule="atLeast"/>
        <w:rPr>
          <w:rFonts w:eastAsia="Calibri"/>
          <w:szCs w:val="20"/>
        </w:rPr>
      </w:pPr>
      <w:r w:rsidRPr="005B2A49">
        <w:rPr>
          <w:rFonts w:eastAsia="Calibri"/>
          <w:szCs w:val="20"/>
        </w:rPr>
        <w:t>V letu 20</w:t>
      </w:r>
      <w:r w:rsidR="008E0331">
        <w:rPr>
          <w:rFonts w:eastAsia="Calibri"/>
          <w:szCs w:val="20"/>
        </w:rPr>
        <w:t>20</w:t>
      </w:r>
      <w:r w:rsidRPr="005B2A49">
        <w:rPr>
          <w:rFonts w:eastAsia="Calibri"/>
          <w:szCs w:val="20"/>
        </w:rPr>
        <w:t xml:space="preserve"> smo pridelali za 1</w:t>
      </w:r>
      <w:r w:rsidR="008E0331">
        <w:rPr>
          <w:rFonts w:eastAsia="Calibri"/>
          <w:szCs w:val="20"/>
        </w:rPr>
        <w:t>7</w:t>
      </w:r>
      <w:r w:rsidRPr="005B2A49">
        <w:rPr>
          <w:rFonts w:eastAsia="Calibri"/>
          <w:szCs w:val="20"/>
        </w:rPr>
        <w:t> % več zelenjadnic kot leta 201</w:t>
      </w:r>
      <w:r w:rsidR="008E0331">
        <w:rPr>
          <w:rFonts w:eastAsia="Calibri"/>
          <w:szCs w:val="20"/>
        </w:rPr>
        <w:t>9</w:t>
      </w:r>
      <w:r w:rsidRPr="005B2A49">
        <w:rPr>
          <w:rFonts w:eastAsia="Calibri"/>
          <w:szCs w:val="20"/>
        </w:rPr>
        <w:t>. Količina pridelanih zelenjadnic v letu 20</w:t>
      </w:r>
      <w:r w:rsidR="008E0331">
        <w:rPr>
          <w:rFonts w:eastAsia="Calibri"/>
          <w:szCs w:val="20"/>
        </w:rPr>
        <w:t>20</w:t>
      </w:r>
      <w:r w:rsidRPr="005B2A49">
        <w:rPr>
          <w:rFonts w:eastAsia="Calibri"/>
          <w:szCs w:val="20"/>
        </w:rPr>
        <w:t xml:space="preserve"> po naših ocenah ter na podlagi analize podatkov zadnjega tržnega popisa vrtnarstva verjetno vključuje tudi pridelek zelenjadnic, ki ni bil v celoti namenjen prehrani ljudi (npr. repa, redkev, grah, bučke).</w:t>
      </w:r>
    </w:p>
    <w:p w14:paraId="4DA8C001" w14:textId="1503C669" w:rsidR="00F679A2" w:rsidRDefault="00F679A2" w:rsidP="00F679A2">
      <w:pPr>
        <w:pStyle w:val="SCSlika0"/>
      </w:pPr>
      <w:bookmarkStart w:id="3179" w:name="_Toc89851110"/>
      <w:r>
        <w:t xml:space="preserve">Slika </w:t>
      </w:r>
      <w:r>
        <w:rPr>
          <w:noProof/>
        </w:rPr>
        <w:fldChar w:fldCharType="begin"/>
      </w:r>
      <w:r>
        <w:rPr>
          <w:noProof/>
        </w:rPr>
        <w:instrText xml:space="preserve"> SEQ Slika \* ARABIC </w:instrText>
      </w:r>
      <w:r>
        <w:rPr>
          <w:noProof/>
        </w:rPr>
        <w:fldChar w:fldCharType="separate"/>
      </w:r>
      <w:r w:rsidR="00F25435">
        <w:rPr>
          <w:noProof/>
        </w:rPr>
        <w:t>68</w:t>
      </w:r>
      <w:r>
        <w:rPr>
          <w:noProof/>
        </w:rPr>
        <w:fldChar w:fldCharType="end"/>
      </w:r>
      <w:r>
        <w:t xml:space="preserve">: </w:t>
      </w:r>
      <w:r w:rsidRPr="005718B1">
        <w:rPr>
          <w:rFonts w:eastAsia="Calibri"/>
        </w:rPr>
        <w:t>Pridelava in poraba zelenjave</w:t>
      </w:r>
      <w:r>
        <w:rPr>
          <w:rFonts w:eastAsia="Calibri"/>
        </w:rPr>
        <w:t xml:space="preserve"> (v 1000 t, ekvivalent sveže zelenjave)</w:t>
      </w:r>
      <w:bookmarkEnd w:id="3179"/>
    </w:p>
    <w:p w14:paraId="5DDAC96B" w14:textId="0C4F8841" w:rsidR="00F679A2" w:rsidRPr="003B2B91" w:rsidRDefault="00F679A2" w:rsidP="00F679A2">
      <w:pPr>
        <w:pStyle w:val="ZPtekst"/>
        <w:spacing w:before="0" w:line="360" w:lineRule="auto"/>
        <w:rPr>
          <w:rFonts w:eastAsia="Calibri"/>
          <w:szCs w:val="20"/>
        </w:rPr>
      </w:pPr>
    </w:p>
    <w:p w14:paraId="4964371A" w14:textId="66215C27" w:rsidR="003439B6" w:rsidRDefault="003439B6" w:rsidP="00F679A2">
      <w:pPr>
        <w:spacing w:line="360" w:lineRule="auto"/>
        <w:rPr>
          <w:rFonts w:eastAsia="Calibri"/>
          <w:sz w:val="16"/>
          <w:szCs w:val="16"/>
        </w:rPr>
      </w:pPr>
      <w:r>
        <w:rPr>
          <w:rFonts w:eastAsia="Calibri"/>
          <w:noProof/>
          <w:sz w:val="16"/>
          <w:szCs w:val="16"/>
          <w:lang w:eastAsia="sl-SI"/>
        </w:rPr>
        <w:drawing>
          <wp:inline distT="0" distB="0" distL="0" distR="0" wp14:anchorId="456809B7" wp14:editId="40BE787E">
            <wp:extent cx="4584700" cy="2755900"/>
            <wp:effectExtent l="0" t="0" r="6350" b="6350"/>
            <wp:docPr id="1631865358" name="Slika 163186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6DECA8" w14:textId="318C0D00" w:rsidR="00F679A2" w:rsidRPr="005718B1" w:rsidRDefault="00F679A2" w:rsidP="00F679A2">
      <w:pPr>
        <w:spacing w:line="360" w:lineRule="auto"/>
        <w:rPr>
          <w:rFonts w:eastAsia="Calibri"/>
          <w:sz w:val="16"/>
          <w:szCs w:val="16"/>
        </w:rPr>
      </w:pPr>
      <w:r w:rsidRPr="005718B1">
        <w:rPr>
          <w:rFonts w:eastAsia="Calibri"/>
          <w:sz w:val="16"/>
          <w:szCs w:val="16"/>
        </w:rPr>
        <w:t xml:space="preserve">Vir: </w:t>
      </w:r>
      <w:r>
        <w:rPr>
          <w:rFonts w:eastAsia="Calibri"/>
          <w:sz w:val="16"/>
          <w:szCs w:val="16"/>
        </w:rPr>
        <w:t>SURS, KIS (</w:t>
      </w:r>
      <w:r w:rsidRPr="005718B1">
        <w:rPr>
          <w:rFonts w:eastAsia="Calibri"/>
          <w:sz w:val="16"/>
          <w:szCs w:val="16"/>
        </w:rPr>
        <w:t>ZP-20</w:t>
      </w:r>
      <w:r w:rsidR="003439B6">
        <w:rPr>
          <w:rFonts w:eastAsia="Calibri"/>
          <w:sz w:val="16"/>
          <w:szCs w:val="16"/>
        </w:rPr>
        <w:t>20</w:t>
      </w:r>
      <w:r>
        <w:rPr>
          <w:rFonts w:eastAsia="Calibri"/>
          <w:sz w:val="16"/>
          <w:szCs w:val="16"/>
        </w:rPr>
        <w:t>)</w:t>
      </w:r>
    </w:p>
    <w:p w14:paraId="793A7423" w14:textId="77777777" w:rsidR="003439B6" w:rsidRDefault="003439B6" w:rsidP="005B2A49">
      <w:pPr>
        <w:spacing w:after="120" w:line="260" w:lineRule="atLeast"/>
        <w:rPr>
          <w:rFonts w:eastAsia="Calibri"/>
          <w:szCs w:val="20"/>
        </w:rPr>
      </w:pPr>
    </w:p>
    <w:p w14:paraId="6D1CBA40" w14:textId="3ED47FDF" w:rsidR="00F679A2" w:rsidRPr="005B2A49" w:rsidRDefault="00F679A2" w:rsidP="005B2A49">
      <w:pPr>
        <w:spacing w:after="120" w:line="260" w:lineRule="atLeast"/>
        <w:rPr>
          <w:rFonts w:eastAsia="Calibri"/>
          <w:szCs w:val="20"/>
        </w:rPr>
      </w:pPr>
      <w:r w:rsidRPr="005B2A49">
        <w:rPr>
          <w:rFonts w:eastAsia="Calibri"/>
          <w:szCs w:val="20"/>
        </w:rPr>
        <w:t xml:space="preserve">Površine vključene v ekološko pridelavo zelenjadnic, tako na prostem kot v zaščitenem prostoru, naraščajo. V letu 2010 je bilo v ekološko pridelavo vključenih 122 ha površin z zelenjadnicami, medtem ko so se v letu 2019 površine povečale za 168 % (328 ha).  </w:t>
      </w:r>
    </w:p>
    <w:p w14:paraId="6BA8AA59" w14:textId="77777777" w:rsidR="00726070" w:rsidRDefault="00726070" w:rsidP="00F679A2">
      <w:pPr>
        <w:pStyle w:val="SCSlika0"/>
      </w:pPr>
    </w:p>
    <w:p w14:paraId="73079F9C" w14:textId="62C9AF89" w:rsidR="00F679A2" w:rsidRDefault="00F679A2" w:rsidP="00F679A2">
      <w:pPr>
        <w:pStyle w:val="SCSlika0"/>
      </w:pPr>
      <w:bookmarkStart w:id="3180" w:name="_Toc89851111"/>
      <w:r>
        <w:t xml:space="preserve">Slika </w:t>
      </w:r>
      <w:r>
        <w:rPr>
          <w:noProof/>
        </w:rPr>
        <w:fldChar w:fldCharType="begin"/>
      </w:r>
      <w:r>
        <w:rPr>
          <w:noProof/>
        </w:rPr>
        <w:instrText xml:space="preserve"> SEQ Slika \* ARABIC </w:instrText>
      </w:r>
      <w:r>
        <w:rPr>
          <w:noProof/>
        </w:rPr>
        <w:fldChar w:fldCharType="separate"/>
      </w:r>
      <w:r w:rsidR="00F25435">
        <w:rPr>
          <w:noProof/>
        </w:rPr>
        <w:t>69</w:t>
      </w:r>
      <w:r>
        <w:rPr>
          <w:noProof/>
        </w:rPr>
        <w:fldChar w:fldCharType="end"/>
      </w:r>
      <w:r>
        <w:t xml:space="preserve">: Površine (ha) </w:t>
      </w:r>
      <w:r w:rsidRPr="005718B1">
        <w:t xml:space="preserve">vrtnin na prostem in v zaščitenem prostoru </w:t>
      </w:r>
      <w:r>
        <w:t>vključene v ekološko pridelavo</w:t>
      </w:r>
      <w:bookmarkEnd w:id="3180"/>
    </w:p>
    <w:p w14:paraId="06831A84"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13BC534" wp14:editId="6D0910DD">
            <wp:extent cx="3540556" cy="2051685"/>
            <wp:effectExtent l="0" t="0" r="3175" b="5715"/>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E9CE14A" w14:textId="77777777" w:rsidR="00F679A2" w:rsidRPr="003B2B91" w:rsidRDefault="00F679A2" w:rsidP="00F679A2">
      <w:pPr>
        <w:spacing w:line="360" w:lineRule="auto"/>
        <w:rPr>
          <w:szCs w:val="20"/>
        </w:rPr>
      </w:pPr>
      <w:r w:rsidRPr="005718B1">
        <w:rPr>
          <w:rFonts w:eastAsia="Arial,Times New Roman"/>
          <w:sz w:val="16"/>
          <w:szCs w:val="16"/>
        </w:rPr>
        <w:t>V</w:t>
      </w:r>
      <w:r>
        <w:rPr>
          <w:rFonts w:eastAsia="Arial,Times New Roman"/>
          <w:sz w:val="16"/>
          <w:szCs w:val="16"/>
        </w:rPr>
        <w:t>ir</w:t>
      </w:r>
      <w:r w:rsidRPr="005718B1">
        <w:rPr>
          <w:rFonts w:eastAsia="Arial,Times New Roman"/>
          <w:sz w:val="16"/>
          <w:szCs w:val="16"/>
        </w:rPr>
        <w:t>: MKGP</w:t>
      </w:r>
      <w:r>
        <w:rPr>
          <w:rFonts w:eastAsia="Arial,Times New Roman"/>
          <w:sz w:val="16"/>
          <w:szCs w:val="16"/>
        </w:rPr>
        <w:t>-2020</w:t>
      </w:r>
    </w:p>
    <w:p w14:paraId="137BBB96" w14:textId="4D8CE62A" w:rsidR="00F679A2" w:rsidRPr="005B2A49" w:rsidRDefault="00F679A2" w:rsidP="005B2A49">
      <w:pPr>
        <w:spacing w:after="120" w:line="260" w:lineRule="atLeast"/>
        <w:rPr>
          <w:rFonts w:eastAsia="Calibri"/>
          <w:szCs w:val="20"/>
        </w:rPr>
      </w:pPr>
      <w:r w:rsidRPr="005B2A49">
        <w:rPr>
          <w:rFonts w:eastAsia="Calibri"/>
          <w:szCs w:val="20"/>
        </w:rPr>
        <w:t>Površine tržne pridelave zelenjadnic, ki so vključene v integrirano pridelavo, so se v letu 20</w:t>
      </w:r>
      <w:r w:rsidR="00216C2C">
        <w:rPr>
          <w:rFonts w:eastAsia="Calibri"/>
          <w:szCs w:val="20"/>
        </w:rPr>
        <w:t>20</w:t>
      </w:r>
      <w:r w:rsidRPr="005B2A49">
        <w:rPr>
          <w:rFonts w:eastAsia="Calibri"/>
          <w:szCs w:val="20"/>
        </w:rPr>
        <w:t xml:space="preserve"> zmanjšale za </w:t>
      </w:r>
      <w:r w:rsidR="00216C2C">
        <w:rPr>
          <w:rFonts w:eastAsia="Calibri"/>
          <w:szCs w:val="20"/>
        </w:rPr>
        <w:t>76</w:t>
      </w:r>
      <w:r w:rsidRPr="005B2A49">
        <w:rPr>
          <w:rFonts w:eastAsia="Calibri"/>
          <w:szCs w:val="20"/>
        </w:rPr>
        <w:t xml:space="preserve"> % glede na leto 2010. Površine, vključene v kontrolo integrirane pridelave, po letu </w:t>
      </w:r>
      <w:r w:rsidR="00216C2C">
        <w:rPr>
          <w:rFonts w:eastAsia="Calibri"/>
          <w:szCs w:val="20"/>
        </w:rPr>
        <w:t>2010 padajo.</w:t>
      </w:r>
    </w:p>
    <w:p w14:paraId="0CD82BF5" w14:textId="09DC31EE" w:rsidR="00F679A2" w:rsidRDefault="00F679A2" w:rsidP="00F679A2">
      <w:pPr>
        <w:pStyle w:val="SCSlika0"/>
      </w:pPr>
      <w:bookmarkStart w:id="3181" w:name="_Toc89851112"/>
      <w:r>
        <w:t xml:space="preserve">Slika </w:t>
      </w:r>
      <w:r>
        <w:rPr>
          <w:noProof/>
        </w:rPr>
        <w:fldChar w:fldCharType="begin"/>
      </w:r>
      <w:r>
        <w:rPr>
          <w:noProof/>
        </w:rPr>
        <w:instrText xml:space="preserve"> SEQ Slika \* ARABIC </w:instrText>
      </w:r>
      <w:r>
        <w:rPr>
          <w:noProof/>
        </w:rPr>
        <w:fldChar w:fldCharType="separate"/>
      </w:r>
      <w:r w:rsidR="00F25435">
        <w:rPr>
          <w:noProof/>
        </w:rPr>
        <w:t>70</w:t>
      </w:r>
      <w:r>
        <w:rPr>
          <w:noProof/>
        </w:rPr>
        <w:fldChar w:fldCharType="end"/>
      </w:r>
      <w:r>
        <w:t xml:space="preserve">: </w:t>
      </w:r>
      <w:r w:rsidRPr="00E2688B">
        <w:t>Površine (ha) vključene v integrirano pridelavo zelenjadnic na prostem in v zaščitenem prostoru</w:t>
      </w:r>
      <w:bookmarkEnd w:id="3181"/>
    </w:p>
    <w:p w14:paraId="5C1B0DE6" w14:textId="5D9D8535" w:rsidR="00F679A2" w:rsidRPr="003B2B91" w:rsidRDefault="00F679A2" w:rsidP="00F679A2">
      <w:pPr>
        <w:spacing w:line="360" w:lineRule="auto"/>
        <w:rPr>
          <w:szCs w:val="20"/>
        </w:rPr>
      </w:pPr>
    </w:p>
    <w:p w14:paraId="13A0CDDE" w14:textId="77777777" w:rsidR="00216C2C" w:rsidRDefault="00216C2C" w:rsidP="00F679A2">
      <w:pPr>
        <w:spacing w:line="360" w:lineRule="auto"/>
        <w:rPr>
          <w:rFonts w:eastAsia="Arial,Times New Roman"/>
          <w:sz w:val="16"/>
          <w:szCs w:val="16"/>
        </w:rPr>
      </w:pPr>
    </w:p>
    <w:p w14:paraId="2B8EAF61" w14:textId="190504D7" w:rsidR="00216C2C" w:rsidRDefault="00216C2C" w:rsidP="00F679A2">
      <w:pPr>
        <w:spacing w:line="360" w:lineRule="auto"/>
        <w:rPr>
          <w:rFonts w:eastAsia="Arial,Times New Roman"/>
          <w:sz w:val="16"/>
          <w:szCs w:val="16"/>
        </w:rPr>
      </w:pPr>
      <w:r>
        <w:rPr>
          <w:rFonts w:eastAsia="Arial,Times New Roman"/>
          <w:noProof/>
          <w:sz w:val="16"/>
          <w:szCs w:val="16"/>
          <w:lang w:eastAsia="sl-SI"/>
        </w:rPr>
        <w:drawing>
          <wp:inline distT="0" distB="0" distL="0" distR="0" wp14:anchorId="6F983C8C" wp14:editId="221E4F38">
            <wp:extent cx="3848100" cy="2394669"/>
            <wp:effectExtent l="0" t="0" r="0" b="5715"/>
            <wp:docPr id="1631865366" name="Slika 163186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5018" cy="2398974"/>
                    </a:xfrm>
                    <a:prstGeom prst="rect">
                      <a:avLst/>
                    </a:prstGeom>
                    <a:noFill/>
                  </pic:spPr>
                </pic:pic>
              </a:graphicData>
            </a:graphic>
          </wp:inline>
        </w:drawing>
      </w:r>
    </w:p>
    <w:p w14:paraId="14F11DBA" w14:textId="20A585A7" w:rsidR="00F679A2" w:rsidRPr="005718B1" w:rsidRDefault="00F679A2" w:rsidP="00F679A2">
      <w:pPr>
        <w:spacing w:line="360" w:lineRule="auto"/>
        <w:rPr>
          <w:sz w:val="16"/>
          <w:szCs w:val="16"/>
        </w:rPr>
      </w:pPr>
      <w:r w:rsidRPr="005718B1">
        <w:rPr>
          <w:rFonts w:eastAsia="Arial,Times New Roman"/>
          <w:sz w:val="16"/>
          <w:szCs w:val="16"/>
        </w:rPr>
        <w:t>V</w:t>
      </w:r>
      <w:r>
        <w:rPr>
          <w:rFonts w:eastAsia="Arial,Times New Roman"/>
          <w:sz w:val="16"/>
          <w:szCs w:val="16"/>
        </w:rPr>
        <w:t>ir</w:t>
      </w:r>
      <w:r w:rsidRPr="005718B1">
        <w:rPr>
          <w:rFonts w:eastAsia="Arial,Times New Roman"/>
          <w:sz w:val="16"/>
          <w:szCs w:val="16"/>
        </w:rPr>
        <w:t>: MKGP</w:t>
      </w:r>
      <w:r>
        <w:rPr>
          <w:rFonts w:eastAsia="Arial,Times New Roman"/>
          <w:sz w:val="16"/>
          <w:szCs w:val="16"/>
        </w:rPr>
        <w:t>-202</w:t>
      </w:r>
      <w:r w:rsidR="00216C2C">
        <w:rPr>
          <w:rFonts w:eastAsia="Arial,Times New Roman"/>
          <w:sz w:val="16"/>
          <w:szCs w:val="16"/>
        </w:rPr>
        <w:t>1</w:t>
      </w:r>
    </w:p>
    <w:p w14:paraId="010E3500" w14:textId="1A5A5087" w:rsidR="00F679A2" w:rsidRPr="00216C2C" w:rsidRDefault="00F679A2" w:rsidP="005B2A49">
      <w:pPr>
        <w:spacing w:after="120" w:line="260" w:lineRule="atLeast"/>
        <w:rPr>
          <w:rFonts w:eastAsia="Calibri"/>
          <w:szCs w:val="20"/>
        </w:rPr>
      </w:pPr>
      <w:r w:rsidRPr="005B2A49">
        <w:rPr>
          <w:rFonts w:eastAsia="Calibri"/>
          <w:szCs w:val="20"/>
        </w:rPr>
        <w:t>Stopnja samooskrbe z zelenjavo je nizka, kljub temu, da klimatske, hidrološke in pedološke danosti ter možnost zagotavljanja obnovljivih virov energije v Sloveniji omogočajo pridelavo vseh kontinentalnih vrst zelenjave na prostem, v primeru pridelave v zavarovanih prostorih pa je mogoče tudi podaljšanje sezone pridelave ali pri posameznih zelenjadnicah celo celoletna pridelava. V letu 20</w:t>
      </w:r>
      <w:r w:rsidR="00216C2C">
        <w:rPr>
          <w:rFonts w:eastAsia="Calibri"/>
          <w:szCs w:val="20"/>
        </w:rPr>
        <w:t>20</w:t>
      </w:r>
      <w:r w:rsidRPr="005B2A49">
        <w:rPr>
          <w:rFonts w:eastAsia="Calibri"/>
          <w:szCs w:val="20"/>
        </w:rPr>
        <w:t xml:space="preserve"> je samooskrba z zelenjavo dosegla 4</w:t>
      </w:r>
      <w:r w:rsidR="00216C2C">
        <w:rPr>
          <w:rFonts w:eastAsia="Calibri"/>
          <w:szCs w:val="20"/>
        </w:rPr>
        <w:t>8</w:t>
      </w:r>
      <w:r w:rsidRPr="005B2A49">
        <w:rPr>
          <w:rFonts w:eastAsia="Calibri"/>
          <w:szCs w:val="20"/>
        </w:rPr>
        <w:t xml:space="preserve"> %, s svežo zelenjavo pa </w:t>
      </w:r>
      <w:r w:rsidR="00216C2C">
        <w:rPr>
          <w:rFonts w:eastAsia="Calibri"/>
          <w:szCs w:val="20"/>
        </w:rPr>
        <w:t>61</w:t>
      </w:r>
      <w:r w:rsidRPr="005B2A49">
        <w:rPr>
          <w:rFonts w:eastAsia="Calibri"/>
          <w:szCs w:val="20"/>
        </w:rPr>
        <w:t>% (Vir: ZP-20</w:t>
      </w:r>
      <w:r w:rsidR="00216C2C">
        <w:rPr>
          <w:rFonts w:eastAsia="Calibri"/>
          <w:szCs w:val="20"/>
        </w:rPr>
        <w:t>20</w:t>
      </w:r>
      <w:r w:rsidRPr="005B2A49">
        <w:rPr>
          <w:rFonts w:eastAsia="Calibri"/>
          <w:szCs w:val="20"/>
        </w:rPr>
        <w:t>). Glavni razlogi za nizko stopnjo samooskrbe so nekonkurenčnost po ceni in količini z drugimi EU državami, nepovezanost pridelovalcev, neurejene pogodbe odkupa ter premalo pridelave zelenjave v zavarovanih prostorih. Pomemben delež zelenjave v Republiki Sloveniji tradicionalno pridelajo tudi ljubiteljski vrtnarji (vrtičkarji) za lastno oskrbo gospodinjstev, vendar podatki o teh pridelkih niso vključeni v uradni izračun samooskrbe z zelenjavo.</w:t>
      </w:r>
    </w:p>
    <w:p w14:paraId="1913FEF8" w14:textId="18890811" w:rsidR="00F679A2" w:rsidRPr="005B2A49" w:rsidRDefault="00F679A2" w:rsidP="005B2A49">
      <w:pPr>
        <w:spacing w:after="120" w:line="260" w:lineRule="atLeast"/>
        <w:rPr>
          <w:rFonts w:eastAsia="Calibri"/>
          <w:szCs w:val="20"/>
        </w:rPr>
      </w:pPr>
      <w:r w:rsidRPr="005B2A49">
        <w:rPr>
          <w:rFonts w:eastAsia="Calibri"/>
          <w:szCs w:val="20"/>
        </w:rPr>
        <w:t>Ker pridelava zelenjave že dolgo ne sledi več povpraševanju, se dolgoročno povečuje uvoz iz notranjega trga EU in tretjih držav. Skupni uvoz zelenjave je leta 20</w:t>
      </w:r>
      <w:r w:rsidR="00216C2C">
        <w:rPr>
          <w:rFonts w:eastAsia="Calibri"/>
          <w:szCs w:val="20"/>
        </w:rPr>
        <w:t>20</w:t>
      </w:r>
      <w:r w:rsidRPr="005B2A49">
        <w:rPr>
          <w:rFonts w:eastAsia="Calibri"/>
          <w:szCs w:val="20"/>
        </w:rPr>
        <w:t xml:space="preserve"> znašal 17</w:t>
      </w:r>
      <w:r w:rsidR="00216C2C">
        <w:rPr>
          <w:rFonts w:eastAsia="Calibri"/>
          <w:szCs w:val="20"/>
        </w:rPr>
        <w:t>3</w:t>
      </w:r>
      <w:r w:rsidRPr="005B2A49">
        <w:rPr>
          <w:rFonts w:eastAsia="Calibri"/>
          <w:szCs w:val="20"/>
        </w:rPr>
        <w:t xml:space="preserve"> tisoč ton, od tega </w:t>
      </w:r>
      <w:r w:rsidR="00216C2C">
        <w:rPr>
          <w:rFonts w:eastAsia="Calibri"/>
          <w:szCs w:val="20"/>
        </w:rPr>
        <w:t>58</w:t>
      </w:r>
      <w:r w:rsidRPr="005B2A49">
        <w:rPr>
          <w:rFonts w:eastAsia="Calibri"/>
          <w:szCs w:val="20"/>
        </w:rPr>
        <w:t xml:space="preserve"> % sveže zelenjave. V primerjavi z letom 20</w:t>
      </w:r>
      <w:r w:rsidR="00216C2C">
        <w:rPr>
          <w:rFonts w:eastAsia="Calibri"/>
          <w:szCs w:val="20"/>
        </w:rPr>
        <w:t>16</w:t>
      </w:r>
      <w:r w:rsidRPr="005B2A49">
        <w:rPr>
          <w:rFonts w:eastAsia="Calibri"/>
          <w:szCs w:val="20"/>
        </w:rPr>
        <w:t>, ko se je uvozilo 1</w:t>
      </w:r>
      <w:r w:rsidR="00216C2C">
        <w:rPr>
          <w:rFonts w:eastAsia="Calibri"/>
          <w:szCs w:val="20"/>
        </w:rPr>
        <w:t>64</w:t>
      </w:r>
      <w:r w:rsidRPr="005B2A49">
        <w:rPr>
          <w:rFonts w:eastAsia="Calibri"/>
          <w:szCs w:val="20"/>
        </w:rPr>
        <w:t xml:space="preserve"> tisoč ton zelenjave, se je uvoz do leta 20</w:t>
      </w:r>
      <w:r w:rsidR="00216C2C">
        <w:rPr>
          <w:rFonts w:eastAsia="Calibri"/>
          <w:szCs w:val="20"/>
        </w:rPr>
        <w:t>20</w:t>
      </w:r>
      <w:r w:rsidRPr="005B2A49">
        <w:rPr>
          <w:rFonts w:eastAsia="Calibri"/>
          <w:szCs w:val="20"/>
        </w:rPr>
        <w:t xml:space="preserve"> povečal za </w:t>
      </w:r>
      <w:r w:rsidR="00216C2C">
        <w:rPr>
          <w:rFonts w:eastAsia="Calibri"/>
          <w:szCs w:val="20"/>
        </w:rPr>
        <w:t>5</w:t>
      </w:r>
      <w:r w:rsidRPr="005B2A49">
        <w:rPr>
          <w:rFonts w:eastAsia="Calibri"/>
          <w:szCs w:val="20"/>
        </w:rPr>
        <w:t xml:space="preserve"> %. Izvoz zelenjave v obsegu približno 2</w:t>
      </w:r>
      <w:r w:rsidR="00216C2C">
        <w:rPr>
          <w:rFonts w:eastAsia="Calibri"/>
          <w:szCs w:val="20"/>
        </w:rPr>
        <w:t>5</w:t>
      </w:r>
      <w:r w:rsidRPr="005B2A49">
        <w:rPr>
          <w:rFonts w:eastAsia="Calibri"/>
          <w:szCs w:val="20"/>
        </w:rPr>
        <w:t xml:space="preserve"> tisoč ton (od tega je bilo </w:t>
      </w:r>
      <w:r w:rsidR="004C24E4">
        <w:rPr>
          <w:rFonts w:eastAsia="Calibri"/>
          <w:szCs w:val="20"/>
        </w:rPr>
        <w:t>52</w:t>
      </w:r>
      <w:r w:rsidRPr="005B2A49">
        <w:rPr>
          <w:rFonts w:eastAsia="Calibri"/>
          <w:szCs w:val="20"/>
        </w:rPr>
        <w:t xml:space="preserve"> % sveže zelenjave), se je leta 20</w:t>
      </w:r>
      <w:r w:rsidR="004C24E4">
        <w:rPr>
          <w:rFonts w:eastAsia="Calibri"/>
          <w:szCs w:val="20"/>
        </w:rPr>
        <w:t>20</w:t>
      </w:r>
      <w:r w:rsidRPr="005B2A49">
        <w:rPr>
          <w:rFonts w:eastAsia="Calibri"/>
          <w:szCs w:val="20"/>
        </w:rPr>
        <w:t xml:space="preserve"> v primerjavi z letom 20</w:t>
      </w:r>
      <w:r w:rsidR="004C24E4">
        <w:rPr>
          <w:rFonts w:eastAsia="Calibri"/>
          <w:szCs w:val="20"/>
        </w:rPr>
        <w:t>16</w:t>
      </w:r>
      <w:r w:rsidRPr="005B2A49">
        <w:rPr>
          <w:rFonts w:eastAsia="Calibri"/>
          <w:szCs w:val="20"/>
        </w:rPr>
        <w:t xml:space="preserve"> povečal za </w:t>
      </w:r>
      <w:r w:rsidR="004C24E4">
        <w:rPr>
          <w:rFonts w:eastAsia="Calibri"/>
          <w:szCs w:val="20"/>
        </w:rPr>
        <w:t>54</w:t>
      </w:r>
      <w:r w:rsidRPr="005B2A49">
        <w:rPr>
          <w:rFonts w:eastAsia="Calibri"/>
          <w:szCs w:val="20"/>
        </w:rPr>
        <w:t xml:space="preserve"> %, v letu 20</w:t>
      </w:r>
      <w:r w:rsidR="004C24E4">
        <w:rPr>
          <w:rFonts w:eastAsia="Calibri"/>
          <w:szCs w:val="20"/>
        </w:rPr>
        <w:t>16</w:t>
      </w:r>
      <w:r w:rsidRPr="005B2A49">
        <w:rPr>
          <w:rFonts w:eastAsia="Calibri"/>
          <w:szCs w:val="20"/>
        </w:rPr>
        <w:t xml:space="preserve"> je znašal približno 1</w:t>
      </w:r>
      <w:r w:rsidR="004C24E4">
        <w:rPr>
          <w:rFonts w:eastAsia="Calibri"/>
          <w:szCs w:val="20"/>
        </w:rPr>
        <w:t>6</w:t>
      </w:r>
      <w:r w:rsidRPr="005B2A49">
        <w:rPr>
          <w:rFonts w:eastAsia="Calibri"/>
          <w:szCs w:val="20"/>
        </w:rPr>
        <w:t xml:space="preserve"> tisoč ton. V količinski strukturi zunanje trgovine sveže zelenjave so najpomembnejše zelenjadnice: paradižnik, čebula, paprika, solata, lubenica ter melona, kumara in zelje. </w:t>
      </w:r>
    </w:p>
    <w:p w14:paraId="2F292BE4" w14:textId="4F05AE8D" w:rsidR="00F679A2" w:rsidRPr="00C25531" w:rsidRDefault="00F679A2" w:rsidP="005B2A49">
      <w:pPr>
        <w:spacing w:after="120" w:line="260" w:lineRule="atLeast"/>
        <w:rPr>
          <w:rFonts w:eastAsia="Calibri"/>
          <w:szCs w:val="20"/>
        </w:rPr>
      </w:pPr>
      <w:r w:rsidRPr="00F679A2">
        <w:rPr>
          <w:rFonts w:eastAsia="Calibri"/>
          <w:szCs w:val="20"/>
        </w:rPr>
        <w:t>V obdobju 2007–2018 je vrednost pridelave zelenjave po osnovnih cenah naraščala in je znašala</w:t>
      </w:r>
      <w:r w:rsidRPr="00C25531">
        <w:rPr>
          <w:rFonts w:eastAsia="Calibri"/>
          <w:szCs w:val="20"/>
        </w:rPr>
        <w:t xml:space="preserve"> med 39 mio EUR leta 2010 in 93 mio EUR leta 2018.</w:t>
      </w:r>
      <w:r w:rsidRPr="00C25531" w:rsidDel="002A6767">
        <w:rPr>
          <w:rFonts w:eastAsia="Calibri"/>
          <w:szCs w:val="20"/>
        </w:rPr>
        <w:t xml:space="preserve"> </w:t>
      </w:r>
      <w:r w:rsidRPr="00C25531">
        <w:rPr>
          <w:rFonts w:eastAsia="Calibri"/>
          <w:szCs w:val="20"/>
        </w:rPr>
        <w:t xml:space="preserve"> Pridelava zelenjadnic je v obdobju 200</w:t>
      </w:r>
      <w:r w:rsidR="004C24E4">
        <w:rPr>
          <w:rFonts w:eastAsia="Calibri"/>
          <w:szCs w:val="20"/>
        </w:rPr>
        <w:t>8</w:t>
      </w:r>
      <w:r w:rsidRPr="00C25531">
        <w:rPr>
          <w:rFonts w:eastAsia="Calibri"/>
          <w:szCs w:val="20"/>
        </w:rPr>
        <w:t>–201</w:t>
      </w:r>
      <w:r w:rsidR="004C24E4">
        <w:rPr>
          <w:rFonts w:eastAsia="Calibri"/>
          <w:szCs w:val="20"/>
        </w:rPr>
        <w:t>9</w:t>
      </w:r>
      <w:r w:rsidRPr="00C25531">
        <w:rPr>
          <w:rFonts w:eastAsia="Calibri"/>
          <w:szCs w:val="20"/>
        </w:rPr>
        <w:t xml:space="preserve"> k skupni vrednosti kmetijske proizvodnje prispevala od 3,</w:t>
      </w:r>
      <w:r w:rsidR="004C24E4">
        <w:rPr>
          <w:rFonts w:eastAsia="Calibri"/>
          <w:szCs w:val="20"/>
        </w:rPr>
        <w:t>8</w:t>
      </w:r>
      <w:r w:rsidRPr="00C25531">
        <w:rPr>
          <w:rFonts w:eastAsia="Calibri"/>
          <w:szCs w:val="20"/>
        </w:rPr>
        <w:t xml:space="preserve"> % do </w:t>
      </w:r>
      <w:r w:rsidR="004C24E4">
        <w:rPr>
          <w:rFonts w:eastAsia="Calibri"/>
          <w:szCs w:val="20"/>
        </w:rPr>
        <w:t>9,3</w:t>
      </w:r>
      <w:r w:rsidRPr="00C25531">
        <w:rPr>
          <w:rFonts w:eastAsia="Calibri"/>
          <w:szCs w:val="20"/>
        </w:rPr>
        <w:t xml:space="preserve"> %, k vrednosti rastlinske pridelave pa od </w:t>
      </w:r>
      <w:r w:rsidR="007F38E5">
        <w:rPr>
          <w:rFonts w:eastAsia="Calibri"/>
          <w:szCs w:val="20"/>
        </w:rPr>
        <w:t>7,1</w:t>
      </w:r>
      <w:r w:rsidRPr="00C25531">
        <w:rPr>
          <w:rFonts w:eastAsia="Calibri"/>
          <w:szCs w:val="20"/>
        </w:rPr>
        <w:t xml:space="preserve"> % do </w:t>
      </w:r>
      <w:r w:rsidR="007F38E5">
        <w:rPr>
          <w:rFonts w:eastAsia="Calibri"/>
          <w:szCs w:val="20"/>
        </w:rPr>
        <w:t>16,8</w:t>
      </w:r>
      <w:r w:rsidRPr="00C25531">
        <w:rPr>
          <w:rFonts w:eastAsia="Calibri"/>
          <w:szCs w:val="20"/>
        </w:rPr>
        <w:t xml:space="preserve"> %. Leta 20</w:t>
      </w:r>
      <w:r w:rsidR="007F38E5">
        <w:rPr>
          <w:rFonts w:eastAsia="Calibri"/>
          <w:szCs w:val="20"/>
        </w:rPr>
        <w:t>20</w:t>
      </w:r>
      <w:r w:rsidRPr="00C25531">
        <w:rPr>
          <w:rFonts w:eastAsia="Calibri"/>
          <w:szCs w:val="20"/>
        </w:rPr>
        <w:t xml:space="preserve"> so imele zelenjadnice v skupni vrednosti kmetijske proizvodnje </w:t>
      </w:r>
      <w:r w:rsidR="007F38E5">
        <w:rPr>
          <w:rFonts w:eastAsia="Calibri"/>
          <w:szCs w:val="20"/>
        </w:rPr>
        <w:t>9,7</w:t>
      </w:r>
      <w:r w:rsidRPr="00C25531">
        <w:rPr>
          <w:rFonts w:eastAsia="Calibri"/>
          <w:szCs w:val="20"/>
        </w:rPr>
        <w:t xml:space="preserve"> %, v vrednosti rastlinske pridelave pa </w:t>
      </w:r>
      <w:r w:rsidR="007F38E5">
        <w:rPr>
          <w:rFonts w:eastAsia="Calibri"/>
          <w:szCs w:val="20"/>
        </w:rPr>
        <w:t>16,8</w:t>
      </w:r>
      <w:r w:rsidRPr="00C25531">
        <w:rPr>
          <w:rFonts w:eastAsia="Calibri"/>
          <w:szCs w:val="20"/>
        </w:rPr>
        <w:t xml:space="preserve"> %, kar je največ do zdaj.</w:t>
      </w:r>
    </w:p>
    <w:p w14:paraId="598586DB" w14:textId="77777777" w:rsidR="00F679A2" w:rsidRPr="00FC4DC2" w:rsidRDefault="00F679A2" w:rsidP="005B2A49">
      <w:pPr>
        <w:spacing w:after="120" w:line="260" w:lineRule="atLeast"/>
        <w:rPr>
          <w:rFonts w:eastAsia="Calibri"/>
          <w:szCs w:val="20"/>
        </w:rPr>
      </w:pPr>
      <w:r w:rsidRPr="00BF3857">
        <w:rPr>
          <w:rFonts w:eastAsia="Calibri"/>
          <w:szCs w:val="20"/>
        </w:rPr>
        <w:t>V letu 2016 je</w:t>
      </w:r>
      <w:r w:rsidRPr="00FC732C">
        <w:rPr>
          <w:rFonts w:eastAsia="Calibri"/>
          <w:szCs w:val="20"/>
        </w:rPr>
        <w:t xml:space="preserve"> bi</w:t>
      </w:r>
      <w:r w:rsidRPr="00FC4DC2">
        <w:rPr>
          <w:rFonts w:eastAsia="Calibri"/>
          <w:szCs w:val="20"/>
        </w:rPr>
        <w:t>lo v Sloveniji po tipu kmetovanja vrtnarskih 440 kmetij (vsaj 2/3 prihodkov iz vrtnarstva) ali 0.6 % vseh KMG (17 % manj kot v 2010), ki so obdelovala 1.690 ha KZU ali 0,3 % vseh KZU in dosegla 27,6 mio EUR ali 2,4 % standardnega prihodka. V enakem obdobju je bilo v EU-28 po tipu kmetovanja vrtnarskih kmetij 2 %, obdelovale so 0,7 % vseh KZU in dosegle 8 % standardnega prihodka.</w:t>
      </w:r>
    </w:p>
    <w:p w14:paraId="72936A84"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tržne zelenjave v Republiki Sloveniji je zelo razdrobljena – majhna povprečna osnovna površina z zelenjadnicami na kmetijsko gospodarstvo, pri čemer se v povprečju na teh površinah prideluje več različnih vrst zelenjadnic (po podatkih iz zbirne vloge za proizvodno vezano plačilo za zelenjadnice, brez repe, se je leta 2019 na kmetijskem gospodarstvu v povprečju pridelovalo 3 vrste zelenjadnic). Predvsem zaradi razdrobljene strukture pridelave in visokih stroškov dela, so stroški pridelave večine zelenjadnic v Republiki Sloveniji višji kot v državah članicah EU, iz katerih se uvozi glavnina zelenjave, ki vstopa v slovensko verigo oskrbe z zelenjavo. Dodatno cenovno nekonkurenčnost slovenske tržne pridelave zelenjave poslabšujejo tehnološki zaostanek, visoki stroški reprodukcijskega materiala in nedostopnost učinkovitih fitofarmacevtskih sredstev ter sredstev za biotično varstvo (neustrezna cona, visoki stroški registracije). </w:t>
      </w:r>
    </w:p>
    <w:p w14:paraId="1C6A4224" w14:textId="32D76339" w:rsidR="00F679A2" w:rsidRPr="005B2A49" w:rsidRDefault="00F679A2" w:rsidP="005B2A49">
      <w:pPr>
        <w:spacing w:after="120" w:line="260" w:lineRule="atLeast"/>
        <w:rPr>
          <w:rFonts w:eastAsia="Calibri"/>
          <w:szCs w:val="20"/>
        </w:rPr>
      </w:pPr>
      <w:r w:rsidRPr="005B2A49">
        <w:rPr>
          <w:rFonts w:eastAsia="Calibri"/>
          <w:szCs w:val="20"/>
        </w:rPr>
        <w:t>Po oceni SURS se evidentirana prodaja zelenjave (odkup in prodaja zelenjave na tržnicah) zadnja štiri leta povečuje. Leta 20</w:t>
      </w:r>
      <w:r w:rsidR="00450178">
        <w:rPr>
          <w:rFonts w:eastAsia="Calibri"/>
          <w:szCs w:val="20"/>
        </w:rPr>
        <w:t>20</w:t>
      </w:r>
      <w:r w:rsidRPr="005B2A49">
        <w:rPr>
          <w:rFonts w:eastAsia="Calibri"/>
          <w:szCs w:val="20"/>
        </w:rPr>
        <w:t xml:space="preserve"> je znašala 2</w:t>
      </w:r>
      <w:r w:rsidR="00450178">
        <w:rPr>
          <w:rFonts w:eastAsia="Calibri"/>
          <w:szCs w:val="20"/>
        </w:rPr>
        <w:t>3.162</w:t>
      </w:r>
      <w:r w:rsidRPr="005B2A49">
        <w:rPr>
          <w:rFonts w:eastAsia="Calibri"/>
          <w:szCs w:val="20"/>
        </w:rPr>
        <w:t xml:space="preserve"> ton (1</w:t>
      </w:r>
      <w:r w:rsidR="00450178">
        <w:rPr>
          <w:rFonts w:eastAsia="Calibri"/>
          <w:szCs w:val="20"/>
        </w:rPr>
        <w:t>0</w:t>
      </w:r>
      <w:r w:rsidRPr="005B2A49">
        <w:rPr>
          <w:rFonts w:eastAsia="Calibri"/>
          <w:szCs w:val="20"/>
        </w:rPr>
        <w:t xml:space="preserve"> % več kot leta 201</w:t>
      </w:r>
      <w:r w:rsidR="00450178">
        <w:rPr>
          <w:rFonts w:eastAsia="Calibri"/>
          <w:szCs w:val="20"/>
        </w:rPr>
        <w:t>9</w:t>
      </w:r>
      <w:r w:rsidRPr="005B2A49">
        <w:rPr>
          <w:rFonts w:eastAsia="Calibri"/>
          <w:szCs w:val="20"/>
        </w:rPr>
        <w:t>), a je še vedno</w:t>
      </w:r>
      <w:r w:rsidRPr="005B2A49" w:rsidDel="0031182F">
        <w:rPr>
          <w:rFonts w:eastAsia="Calibri"/>
          <w:szCs w:val="20"/>
        </w:rPr>
        <w:t xml:space="preserve"> </w:t>
      </w:r>
      <w:r w:rsidRPr="005B2A49">
        <w:rPr>
          <w:rFonts w:eastAsia="Calibri"/>
          <w:szCs w:val="20"/>
        </w:rPr>
        <w:t>predstavljala le 2</w:t>
      </w:r>
      <w:r w:rsidR="00450178">
        <w:rPr>
          <w:rFonts w:eastAsia="Calibri"/>
          <w:szCs w:val="20"/>
        </w:rPr>
        <w:t>7</w:t>
      </w:r>
      <w:r w:rsidRPr="005B2A49">
        <w:rPr>
          <w:rFonts w:eastAsia="Calibri"/>
          <w:szCs w:val="20"/>
        </w:rPr>
        <w:t xml:space="preserve"> % skupnega pridelka tržnih pridelovalcev zelenjave. </w:t>
      </w:r>
    </w:p>
    <w:p w14:paraId="3378200B" w14:textId="082C528D" w:rsidR="00F679A2" w:rsidRPr="005B2A49" w:rsidRDefault="00F679A2" w:rsidP="005B2A49">
      <w:pPr>
        <w:spacing w:after="120" w:line="260" w:lineRule="atLeast"/>
        <w:rPr>
          <w:rFonts w:eastAsia="Calibri"/>
          <w:szCs w:val="20"/>
        </w:rPr>
      </w:pPr>
      <w:r w:rsidRPr="005B2A49">
        <w:rPr>
          <w:rFonts w:eastAsia="Calibri"/>
          <w:szCs w:val="20"/>
        </w:rPr>
        <w:t>V Sloveniji še ni priznana nobena organizacije proizvajalcev, ki bi združevala tudi pridelovalce zelenjave. Kmetijske zadruge in gospodarske družbe, ki že tradicionalno združujejo slovenske pridelovalce zelenjave, imajo možnost za priznanje od leta 2014. Konec leta 20</w:t>
      </w:r>
      <w:r w:rsidR="00450178">
        <w:rPr>
          <w:rFonts w:eastAsia="Calibri"/>
          <w:szCs w:val="20"/>
        </w:rPr>
        <w:t>20</w:t>
      </w:r>
      <w:r w:rsidRPr="005B2A49">
        <w:rPr>
          <w:rFonts w:eastAsia="Calibri"/>
          <w:szCs w:val="20"/>
        </w:rPr>
        <w:t xml:space="preserve"> je bil sicer opazen napredek pri organiziranju v evropsko primerljive oblike, saj so bile v sektorju sadje in zelenjava priznan</w:t>
      </w:r>
      <w:r w:rsidR="00450178">
        <w:rPr>
          <w:rFonts w:eastAsia="Calibri"/>
          <w:szCs w:val="20"/>
        </w:rPr>
        <w:t>ih</w:t>
      </w:r>
      <w:r w:rsidRPr="005B2A49">
        <w:rPr>
          <w:rFonts w:eastAsia="Calibri"/>
          <w:szCs w:val="20"/>
        </w:rPr>
        <w:t xml:space="preserve"> </w:t>
      </w:r>
      <w:r w:rsidR="00450178">
        <w:rPr>
          <w:rFonts w:eastAsia="Calibri"/>
          <w:szCs w:val="20"/>
        </w:rPr>
        <w:t>pet</w:t>
      </w:r>
      <w:r w:rsidRPr="005B2A49">
        <w:rPr>
          <w:rFonts w:eastAsia="Calibri"/>
          <w:szCs w:val="20"/>
        </w:rPr>
        <w:t xml:space="preserve"> skupin proizvajalcev za skupno trženje in ena organizacija proizvajalcev za sadje. </w:t>
      </w:r>
    </w:p>
    <w:p w14:paraId="22720BFB" w14:textId="77777777" w:rsidR="00F679A2" w:rsidRPr="005B2A49" w:rsidDel="00B73D20" w:rsidRDefault="00F679A2" w:rsidP="005B2A49">
      <w:pPr>
        <w:spacing w:after="120" w:line="260" w:lineRule="atLeast"/>
        <w:rPr>
          <w:rFonts w:eastAsia="Calibri"/>
          <w:szCs w:val="20"/>
        </w:rPr>
      </w:pPr>
      <w:r w:rsidRPr="005B2A49">
        <w:rPr>
          <w:rFonts w:eastAsia="Calibri"/>
          <w:szCs w:val="20"/>
        </w:rPr>
        <w:t xml:space="preserve">V spremenjenih podnebnih razmerah so pridelovalci zelenjave zaradi majhnega deleža pridelave v zavarovanih prostorih (4 %) zelo odvisni od vremena v rastni dobi. Ker skoraj vsako leto beležimo ekstremne vremenske razmere (suša, toča, zmrzali, itd.), je potrebno povečati delež pokritih površin namenjenih pridelavi zelenjave, povečati delež namakalnih sistemov, protitočnih mrež, sistemov za oroševanje ter spodbujati uporabo specialne mehanizacije, ki bo bistveno prispeva k ohranjanju okolja (npr. manjša raba FFS). V celotni oskrbi z zelenjavo bi bilo potrebno zamenjati plastiko in nerazgradljive materiale z razgradljivimi.  </w:t>
      </w:r>
    </w:p>
    <w:p w14:paraId="0C4268B0" w14:textId="77777777" w:rsidR="00F679A2" w:rsidRPr="005B2A49" w:rsidRDefault="00F679A2" w:rsidP="005B2A49">
      <w:pPr>
        <w:spacing w:after="120" w:line="260" w:lineRule="atLeast"/>
        <w:rPr>
          <w:rFonts w:eastAsia="Calibri"/>
          <w:szCs w:val="20"/>
        </w:rPr>
      </w:pPr>
      <w:r w:rsidRPr="005B2A49">
        <w:rPr>
          <w:rFonts w:eastAsia="Calibri"/>
          <w:szCs w:val="20"/>
        </w:rPr>
        <w:t>V Sloveniji želimo povečati delež samooskrbe z zelenjadnicami na podeželju, kar bi vodilo tudi k spodbujanju zaposlovanja na podeželju, predvsem mladih kmetov ter ohranjanju kulturne krajine in biotski raznovrstnosti. Za ta namen, bi bilo potrebno olajšati dostop do primernih kmetijskih zemljišč za proizvodnjo zelenjave ter prilagoditi pridelavo na območjih z varstvenimi režimi (NATURA, VVO, itd.) ter spodbujati ekološko pridelavo zelenjadnic.</w:t>
      </w:r>
    </w:p>
    <w:p w14:paraId="6AB6ECDF" w14:textId="2CAEA61A"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PRP 2014–2020 so lahko pridelovalci zelenjadnic na podlagi plačilnih pravic iz sheme neposrednih plačil pridobili osnovno plačilo in plačilo za zeleno komponento. Pridelovalci zelenjadnic so poleg tega upravičeni tudi do proizvodno vezanih plačil, katerih višina v posameznem letu je odvisna od števila upravičenih hektarjev in višine ovojnice za to shemo. V letih 2015–2019 je bilo shemi za zelenjadnice namenjeno 1,5 % ovojnice za neposredna plačila, povprečno proizvodno vezano plačilo pa je bilo v letu 2019 </w:t>
      </w:r>
      <w:r w:rsidR="00141C6B">
        <w:rPr>
          <w:rFonts w:eastAsia="Calibri"/>
          <w:szCs w:val="20"/>
        </w:rPr>
        <w:t xml:space="preserve">in 2020 </w:t>
      </w:r>
      <w:r w:rsidRPr="005B2A49">
        <w:rPr>
          <w:rFonts w:eastAsia="Calibri"/>
          <w:szCs w:val="20"/>
        </w:rPr>
        <w:t>nižj</w:t>
      </w:r>
      <w:r w:rsidR="00141C6B">
        <w:rPr>
          <w:rFonts w:eastAsia="Calibri"/>
          <w:szCs w:val="20"/>
        </w:rPr>
        <w:t>i</w:t>
      </w:r>
      <w:r w:rsidRPr="005B2A49">
        <w:rPr>
          <w:rFonts w:eastAsia="Calibri"/>
          <w:szCs w:val="20"/>
        </w:rPr>
        <w:t xml:space="preserve"> kot v let</w:t>
      </w:r>
      <w:r w:rsidR="00141C6B">
        <w:rPr>
          <w:rFonts w:eastAsia="Calibri"/>
          <w:szCs w:val="20"/>
        </w:rPr>
        <w:t>ih pred temin</w:t>
      </w:r>
      <w:r w:rsidRPr="005B2A49">
        <w:rPr>
          <w:rFonts w:eastAsia="Calibri"/>
          <w:szCs w:val="20"/>
        </w:rPr>
        <w:t xml:space="preserve"> je znašal</w:t>
      </w:r>
      <w:r w:rsidR="00141C6B">
        <w:rPr>
          <w:rFonts w:eastAsia="Calibri"/>
          <w:szCs w:val="20"/>
        </w:rPr>
        <w:t>a v letu 2019</w:t>
      </w:r>
      <w:r w:rsidRPr="005B2A49">
        <w:rPr>
          <w:rFonts w:eastAsia="Calibri"/>
          <w:szCs w:val="20"/>
        </w:rPr>
        <w:t xml:space="preserve"> 699 EUR/ha </w:t>
      </w:r>
      <w:r w:rsidR="00141C6B">
        <w:rPr>
          <w:rFonts w:eastAsia="Calibri"/>
          <w:szCs w:val="20"/>
        </w:rPr>
        <w:t>in v letu 2020 662 EUR/ha.</w:t>
      </w:r>
      <w:r w:rsidRPr="005B2A49">
        <w:rPr>
          <w:rFonts w:eastAsia="Calibri"/>
          <w:szCs w:val="20"/>
        </w:rPr>
        <w:t xml:space="preserve">. Tudi pri zavarovanju zelenjadnic je bilo </w:t>
      </w:r>
      <w:r w:rsidR="00141C6B">
        <w:rPr>
          <w:rFonts w:eastAsia="Calibri"/>
          <w:szCs w:val="20"/>
        </w:rPr>
        <w:t xml:space="preserve">v </w:t>
      </w:r>
      <w:r w:rsidRPr="005B2A49">
        <w:rPr>
          <w:rFonts w:eastAsia="Calibri"/>
          <w:szCs w:val="20"/>
        </w:rPr>
        <w:t>let</w:t>
      </w:r>
      <w:r w:rsidR="00141C6B">
        <w:rPr>
          <w:rFonts w:eastAsia="Calibri"/>
          <w:szCs w:val="20"/>
        </w:rPr>
        <w:t>u</w:t>
      </w:r>
      <w:r w:rsidRPr="005B2A49">
        <w:rPr>
          <w:rFonts w:eastAsia="Calibri"/>
          <w:szCs w:val="20"/>
        </w:rPr>
        <w:t xml:space="preserve"> </w:t>
      </w:r>
      <w:r w:rsidR="00141C6B">
        <w:rPr>
          <w:rFonts w:eastAsia="Calibri"/>
          <w:szCs w:val="20"/>
        </w:rPr>
        <w:t>2020</w:t>
      </w:r>
      <w:r w:rsidRPr="005B2A49">
        <w:rPr>
          <w:rFonts w:eastAsia="Calibri"/>
          <w:szCs w:val="20"/>
        </w:rPr>
        <w:t xml:space="preserve"> mogoče uveljaviti regres v vrednosti 50 % zavarovalne premije (v letu 2018: 40 % in v letih 2015–2017: 20 %). V ukrep je bilo leta 2018 vključenih 230 kmetijskih gospodarstev s 188 ha ali 10 % osnovnih površin zelenjadnic. Pridelovalci lahko uveljavljajo tudi pravico do vračila dela trošarine za gorivo, porabljeno v kmetijstvu (70 %).</w:t>
      </w:r>
    </w:p>
    <w:p w14:paraId="06AA050D"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ukrepov PRP 2014–2020 je bilo s stanjem na dan 31. 8. 2019 za sektor zelenjave odobrenih 62 vlog v skupnem znesku podpore 5,6 milijona EUR, od tega za ukrep M04.1 Podpore za naložbe v kmetijska gospodarstva 35 vlog v skupnem znesku 3,7 milijona EUR in za ukrep M04.2 Podpora za naložbe v predelavo/trženje in/ali razvoj kmetijskih proizvodov 7 vlog v skupnem znesku podpore 1,2 milijona EUR. </w:t>
      </w:r>
    </w:p>
    <w:p w14:paraId="439075A0" w14:textId="13224499" w:rsidR="00F679A2" w:rsidRDefault="00F679A2" w:rsidP="005B2A49">
      <w:pPr>
        <w:spacing w:after="120" w:line="260" w:lineRule="atLeast"/>
        <w:rPr>
          <w:rFonts w:eastAsia="Calibri"/>
          <w:szCs w:val="20"/>
        </w:rPr>
      </w:pPr>
      <w:r w:rsidRPr="005B2A49">
        <w:rPr>
          <w:rFonts w:eastAsia="Calibri"/>
          <w:szCs w:val="20"/>
        </w:rPr>
        <w:t>V Sloveniji je vzpostavljena Javna služba na področju vrtnarstva, v okviru katere se izvajajo naloge: selekcija zelišč, žlahtnjenje zelenjadnic, introdukcija zelenjadnic in ugotavljanje njihove vrednosti za predelavo, introdukcija in ekološko rajonizacijo zelišč ter ugotavljanje njihove vrednosti za predelavo, tehnologije pridelave zelenjadnic, tehnologije pridelave zelišč in strokovno-tehnična koordinacija v vrtnarstvu. Slednja je zelo pomembna za prenos znanja in rezultatov nalog javne službe, ki potekajo v sodelovanju z javno službo kmetijskega svetovanja. Ohranjanje rastlinskih genskih virov zelenjadnic poteka v okviru javne službe nalog rastlinske genske banke, kjer je shranjenih 1466 akcesij.</w:t>
      </w:r>
    </w:p>
    <w:p w14:paraId="24AE6BEA" w14:textId="77777777" w:rsidR="00C25531" w:rsidRPr="005B2A49" w:rsidRDefault="00C25531" w:rsidP="005B2A49">
      <w:pPr>
        <w:spacing w:after="120" w:line="260" w:lineRule="atLeast"/>
        <w:rPr>
          <w:rFonts w:eastAsia="Calibri"/>
          <w:szCs w:val="20"/>
        </w:rPr>
      </w:pPr>
    </w:p>
    <w:p w14:paraId="17FD53EB" w14:textId="77777777" w:rsidR="00F679A2" w:rsidRDefault="00F679A2" w:rsidP="00F679A2">
      <w:pPr>
        <w:pStyle w:val="Naslov3"/>
        <w:rPr>
          <w:rFonts w:eastAsia="Calibri"/>
        </w:rPr>
      </w:pPr>
      <w:bookmarkStart w:id="3182" w:name="_Toc90462267"/>
      <w:r w:rsidRPr="00271FF1">
        <w:rPr>
          <w:rFonts w:eastAsia="Calibri"/>
        </w:rPr>
        <w:t>Ključne ugotovitve</w:t>
      </w:r>
      <w:bookmarkEnd w:id="3182"/>
    </w:p>
    <w:p w14:paraId="62E5D356"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Slovenija ima ugodne naravne danosti za zelenjadarstvo, vendar kljub temu ne dosega pridelovalnega in tržnega potenciala, zlasti zaradi razdrobljene strukture pridelave in tehnološkega zaostanka, visokih stroškov dela, pa tudi zaradi </w:t>
      </w:r>
      <w:r>
        <w:rPr>
          <w:rFonts w:eastAsia="Arial"/>
          <w:szCs w:val="20"/>
        </w:rPr>
        <w:t xml:space="preserve">zelo majhne </w:t>
      </w:r>
      <w:r w:rsidRPr="003B2B91">
        <w:rPr>
          <w:rFonts w:eastAsia="Arial"/>
          <w:szCs w:val="20"/>
        </w:rPr>
        <w:t>povezanosti pridelovalcev.</w:t>
      </w:r>
    </w:p>
    <w:p w14:paraId="25E979AA" w14:textId="43AB5213"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Obseg proizvodnje zelenjadnic pri tržnih pridelovalcih se povečuje, enako tudi povprečna površina</w:t>
      </w:r>
      <w:r w:rsidR="00DF2F71">
        <w:rPr>
          <w:rFonts w:eastAsia="Arial"/>
          <w:szCs w:val="20"/>
        </w:rPr>
        <w:t>,</w:t>
      </w:r>
      <w:r w:rsidRPr="003B2B91">
        <w:rPr>
          <w:rFonts w:eastAsia="Arial"/>
          <w:szCs w:val="20"/>
        </w:rPr>
        <w:t xml:space="preserve"> na kateri kmetijska gospodarstva pridelujejo zelenjadnice, vendar struktura pridelave še zmeraj ostaja razdrobljena.</w:t>
      </w:r>
    </w:p>
    <w:p w14:paraId="08ED260F"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Ker pridelava zelenjadnic v Republiki Sloveniji večinoma poteka na prostem (dobrih 94 % vseh tržnih površin), je pridelek zelenjave tako količinsko kot po kakovosti nestabilen in močno odvisen od vremenskih dejavnikov. </w:t>
      </w:r>
    </w:p>
    <w:p w14:paraId="0CD9C2E0"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Povprečni pridelki posameznih zelenjadnic so nizki. Sektor je v tehnološkem zaostanku tako pri pridelavi kot skladiščenju/hlajenju, pripravi zelenjave za trg ter distribuciji. V sektorju niso izkoriščene naravne danosti za podaljšanje sezone pridelave oziroma celoletno pridelavo in zmanjšanje tveganj povezanih z ekstremnimi vremenskimi pojavi in učinkovitostjo rabe virov, zaradi česar je cenovna konkurenčnost v primerjavi z uvoženo zelenjavo prenizka. </w:t>
      </w:r>
    </w:p>
    <w:p w14:paraId="1915D269"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Stroški pridelave na enoto pridelka</w:t>
      </w:r>
      <w:r>
        <w:rPr>
          <w:rFonts w:eastAsia="Arial"/>
          <w:szCs w:val="20"/>
        </w:rPr>
        <w:t xml:space="preserve"> tudi zaradi tehnološkega zaostanka</w:t>
      </w:r>
      <w:r w:rsidRPr="003B2B91">
        <w:rPr>
          <w:rFonts w:eastAsia="Arial"/>
          <w:szCs w:val="20"/>
        </w:rPr>
        <w:t>, z upoštevanjem subvencij, so pri večini zelenjadnic višji od odkupne cene in cene, po kateri zelenjadnice vstopajo v trgovinske sisteme.</w:t>
      </w:r>
    </w:p>
    <w:p w14:paraId="7535C11C"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Organiziranost pridelovalcev v evropsko primerljive oblike sodelovanja je nizka, tudi medpanožno sodelovanje v verigi vrednosti s strani deležnikov ni ustrezno prepoznano.</w:t>
      </w:r>
      <w:r w:rsidRPr="003B2B91" w:rsidDel="004C6035">
        <w:rPr>
          <w:rFonts w:eastAsia="Arial"/>
          <w:szCs w:val="20"/>
        </w:rPr>
        <w:t xml:space="preserve"> </w:t>
      </w:r>
    </w:p>
    <w:p w14:paraId="2A3E4D81"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Pogajalski položaj slovenskih pridelovalcev zelenjave v verigi oskrbe z zelenjavo je slab, ponudba zelenjave ni ustrezno načrtovana (časovno, količinsko in glede izenačenosti kakovosti).</w:t>
      </w:r>
    </w:p>
    <w:p w14:paraId="33300AEE" w14:textId="55C8B78D" w:rsidR="00F679A2" w:rsidRPr="003B2B91" w:rsidRDefault="00F679A2" w:rsidP="005B2A49">
      <w:pPr>
        <w:numPr>
          <w:ilvl w:val="0"/>
          <w:numId w:val="188"/>
        </w:numPr>
        <w:spacing w:after="120" w:line="260" w:lineRule="atLeast"/>
        <w:ind w:left="357" w:hanging="357"/>
        <w:rPr>
          <w:szCs w:val="20"/>
        </w:rPr>
      </w:pPr>
      <w:r>
        <w:rPr>
          <w:rFonts w:eastAsia="Arial"/>
          <w:szCs w:val="20"/>
        </w:rPr>
        <w:t xml:space="preserve">V Sloveniji imamo premalo </w:t>
      </w:r>
      <w:r w:rsidRPr="003B2B91">
        <w:rPr>
          <w:rFonts w:eastAsia="Arial"/>
          <w:szCs w:val="20"/>
        </w:rPr>
        <w:t>zbirn</w:t>
      </w:r>
      <w:r>
        <w:rPr>
          <w:rFonts w:eastAsia="Arial"/>
          <w:szCs w:val="20"/>
        </w:rPr>
        <w:t>ih</w:t>
      </w:r>
      <w:r w:rsidR="008C320F">
        <w:rPr>
          <w:rFonts w:eastAsia="Arial"/>
          <w:szCs w:val="20"/>
        </w:rPr>
        <w:t xml:space="preserve"> </w:t>
      </w:r>
      <w:r w:rsidRPr="003B2B91">
        <w:rPr>
          <w:rFonts w:eastAsia="Arial"/>
          <w:szCs w:val="20"/>
        </w:rPr>
        <w:t>centr</w:t>
      </w:r>
      <w:r>
        <w:rPr>
          <w:rFonts w:eastAsia="Arial"/>
          <w:szCs w:val="20"/>
        </w:rPr>
        <w:t>ov</w:t>
      </w:r>
      <w:r w:rsidRPr="003B2B91">
        <w:rPr>
          <w:rFonts w:eastAsia="Arial"/>
          <w:szCs w:val="20"/>
        </w:rPr>
        <w:t xml:space="preserve"> za pripravo blaga za trg (hladilne/skladiščne kapacitete, sortirne linije, pakirne linije) z ustrezno infrastrukturo, ki b</w:t>
      </w:r>
      <w:r>
        <w:rPr>
          <w:rFonts w:eastAsia="Arial"/>
          <w:szCs w:val="20"/>
        </w:rPr>
        <w:t>i</w:t>
      </w:r>
      <w:r w:rsidRPr="003B2B91">
        <w:rPr>
          <w:rFonts w:eastAsia="Arial"/>
          <w:szCs w:val="20"/>
        </w:rPr>
        <w:t xml:space="preserve"> omogoč</w:t>
      </w:r>
      <w:r>
        <w:rPr>
          <w:rFonts w:eastAsia="Arial"/>
          <w:szCs w:val="20"/>
        </w:rPr>
        <w:t>alaa</w:t>
      </w:r>
      <w:r w:rsidRPr="003B2B91">
        <w:rPr>
          <w:rFonts w:eastAsia="Arial"/>
          <w:szCs w:val="20"/>
        </w:rPr>
        <w:t xml:space="preserve"> večjo dodano vrednost pridelave zelenjave v primarnem sektorju.</w:t>
      </w:r>
    </w:p>
    <w:p w14:paraId="552027B9"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Glede na nizko stopnjo samooskrbe pri posameznih zelenjadnicah imamo velike možnosti za povečanje obsega pridelave zelenjave, tako s povečanjem površin kot s povečanjem produktivnosti ter učinkovitosti rabe virov. Beležimo tudi spremembe prehranjevalnih navad v smer rastlinske prehrane.</w:t>
      </w:r>
    </w:p>
    <w:p w14:paraId="4DA0C730" w14:textId="11E0DCA2" w:rsidR="00F679A2" w:rsidRPr="005B2A49" w:rsidRDefault="00F679A2" w:rsidP="005B2A49">
      <w:pPr>
        <w:numPr>
          <w:ilvl w:val="0"/>
          <w:numId w:val="188"/>
        </w:numPr>
        <w:spacing w:after="120" w:line="260" w:lineRule="atLeast"/>
        <w:ind w:left="357" w:hanging="357"/>
        <w:rPr>
          <w:szCs w:val="20"/>
        </w:rPr>
      </w:pPr>
      <w:r w:rsidRPr="003B2B91">
        <w:rPr>
          <w:rFonts w:eastAsia="Arial"/>
          <w:szCs w:val="20"/>
        </w:rPr>
        <w:t>Shema kakovosti Izbrana kakovost v sektorju še ni vzpostavljena, delež površin zelenjadnic, vključenih v ostale sheme kakovosti je nizek in se zmanjšuje.</w:t>
      </w:r>
    </w:p>
    <w:p w14:paraId="7A7CEEA4" w14:textId="77777777" w:rsidR="00C25531" w:rsidRPr="003B2B91" w:rsidRDefault="00C25531" w:rsidP="005B2A49">
      <w:pPr>
        <w:spacing w:after="120" w:line="260" w:lineRule="atLeast"/>
        <w:ind w:left="357"/>
        <w:rPr>
          <w:szCs w:val="20"/>
        </w:rPr>
      </w:pPr>
    </w:p>
    <w:p w14:paraId="2C065441" w14:textId="77777777" w:rsidR="00F679A2" w:rsidRPr="00271FF1" w:rsidRDefault="00F679A2" w:rsidP="00F679A2">
      <w:pPr>
        <w:pStyle w:val="Naslov2"/>
      </w:pPr>
      <w:bookmarkStart w:id="3183" w:name="_Toc90462268"/>
      <w:r w:rsidRPr="00271FF1">
        <w:t>Zelišča</w:t>
      </w:r>
      <w:bookmarkEnd w:id="3183"/>
    </w:p>
    <w:p w14:paraId="09DB16F6"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Slovenijo je značilno tradicionalno nabiranje zdravilnih in aromatičnih rastlin v naravi, sušenje le-teh in zbiranje posušenih zelišč (znotraj odkupnih zbirališč/centrov) za potrebe prehranske (dišavnice) in farmacevtske industrije (zdravilna zelišča). Zelišča, ki so pridelana v nasadih ali na njivah in izvirajo iz poznanega genskega materiala s stalno in nadzorovano kakovostjo pa so pomemben potencial, saj je v Sloveniji vse večje povpraševanje po zeliščih ali zeliščnih polproizvodih (rastlinskih izvlečkov). </w:t>
      </w:r>
    </w:p>
    <w:p w14:paraId="350C8A93" w14:textId="2A16586D" w:rsidR="00F679A2" w:rsidRDefault="00F679A2" w:rsidP="005B2A49">
      <w:pPr>
        <w:spacing w:after="120" w:line="260" w:lineRule="atLeast"/>
        <w:rPr>
          <w:rFonts w:eastAsia="Calibri"/>
          <w:szCs w:val="20"/>
        </w:rPr>
      </w:pPr>
      <w:r w:rsidRPr="005B2A49">
        <w:rPr>
          <w:rFonts w:eastAsia="Calibri"/>
          <w:szCs w:val="20"/>
        </w:rPr>
        <w:t>Pridelava zdravilnih zelišč se na kmetijskih gospodarstvih lahko opravlja kot osnovna ali dopolnilna dejavnost (predelava zelišč, dišav in začimb in dejavnosti povezane s tradicionalnimi znanji na kmetiji, t.j. tradicionalni izdelki iz zelišč in dišavnic).</w:t>
      </w:r>
    </w:p>
    <w:p w14:paraId="364B1F58" w14:textId="3CA79771" w:rsidR="00C25531" w:rsidRDefault="00C25531" w:rsidP="005B2A49">
      <w:pPr>
        <w:spacing w:after="120" w:line="260" w:lineRule="atLeast"/>
        <w:rPr>
          <w:rFonts w:eastAsia="Calibri"/>
          <w:szCs w:val="20"/>
        </w:rPr>
      </w:pPr>
    </w:p>
    <w:p w14:paraId="77BD5B76" w14:textId="77777777" w:rsidR="00C25531" w:rsidRPr="00271FF1" w:rsidRDefault="00C25531" w:rsidP="00C25531">
      <w:pPr>
        <w:pStyle w:val="Naslov3"/>
        <w:rPr>
          <w:rFonts w:eastAsia="Calibri"/>
        </w:rPr>
      </w:pPr>
      <w:bookmarkStart w:id="3184" w:name="_Toc90462269"/>
      <w:r w:rsidRPr="00271FF1">
        <w:rPr>
          <w:rFonts w:eastAsia="Calibri"/>
        </w:rPr>
        <w:t>Stanje v sektorju in osnovni ekonomski kazalniki</w:t>
      </w:r>
      <w:bookmarkEnd w:id="3184"/>
    </w:p>
    <w:p w14:paraId="3D2CED83" w14:textId="77777777" w:rsidR="00F679A2" w:rsidRPr="005B2A49" w:rsidRDefault="00F679A2" w:rsidP="005B2A49">
      <w:pPr>
        <w:spacing w:after="120" w:line="260" w:lineRule="atLeast"/>
        <w:rPr>
          <w:rFonts w:eastAsia="Calibri"/>
          <w:szCs w:val="20"/>
        </w:rPr>
      </w:pPr>
      <w:r w:rsidRPr="005B2A49">
        <w:rPr>
          <w:rFonts w:eastAsia="Calibri"/>
          <w:szCs w:val="20"/>
        </w:rPr>
        <w:t>Obseg pridelave njivskih zelišč v obdobju 2000 – 2019 izrazito narašča. Po podatkih SURSa je razvidno, da je zelišča leta 2000 pridelovalo 67 kmetijskih gospodarstev na 13,3 ha. Leta 2019 pa je zelišča pridelovalo 311 kmetijskih gospodarstev, od tega 71 v zavarovanih prostorih na skupno 150 ha. Iz tega izhaja, da se odvijajo pomembne strukturne spremembe, ki izhajajo iz večjega povpraševanja po zeliščih ali zeliščnih proizvodov na trgu.</w:t>
      </w:r>
    </w:p>
    <w:p w14:paraId="7FA098B2" w14:textId="77777777" w:rsidR="00F679A2" w:rsidRPr="003B2B91" w:rsidRDefault="00F679A2" w:rsidP="00F679A2">
      <w:pPr>
        <w:spacing w:before="200" w:line="360" w:lineRule="auto"/>
        <w:rPr>
          <w:szCs w:val="20"/>
        </w:rPr>
      </w:pPr>
    </w:p>
    <w:p w14:paraId="4F0EEA43" w14:textId="15D00437" w:rsidR="00F679A2" w:rsidRPr="00E2688B" w:rsidRDefault="00F679A2" w:rsidP="00F679A2">
      <w:pPr>
        <w:pStyle w:val="SCSlika0"/>
      </w:pPr>
      <w:bookmarkStart w:id="3185" w:name="_Toc89851113"/>
      <w:r>
        <w:t xml:space="preserve">Slika </w:t>
      </w:r>
      <w:r>
        <w:rPr>
          <w:noProof/>
        </w:rPr>
        <w:fldChar w:fldCharType="begin"/>
      </w:r>
      <w:r>
        <w:rPr>
          <w:noProof/>
        </w:rPr>
        <w:instrText xml:space="preserve"> SEQ Slika \* ARABIC </w:instrText>
      </w:r>
      <w:r>
        <w:rPr>
          <w:noProof/>
        </w:rPr>
        <w:fldChar w:fldCharType="separate"/>
      </w:r>
      <w:r w:rsidR="00F25435">
        <w:rPr>
          <w:noProof/>
        </w:rPr>
        <w:t>71</w:t>
      </w:r>
      <w:r>
        <w:rPr>
          <w:noProof/>
        </w:rPr>
        <w:fldChar w:fldCharType="end"/>
      </w:r>
      <w:r>
        <w:t>:</w:t>
      </w:r>
      <w:r w:rsidRPr="00E2688B">
        <w:t xml:space="preserve"> Pridelovalne površine z zelišči, dišavnicami in zdravilnimi rastlinam (2000-2019)</w:t>
      </w:r>
      <w:bookmarkEnd w:id="3185"/>
    </w:p>
    <w:p w14:paraId="0A3DE116"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6186E893" wp14:editId="0F9532FC">
            <wp:extent cx="4133850" cy="2152650"/>
            <wp:effectExtent l="0" t="0" r="0" b="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2F0CD2E" w14:textId="77777777" w:rsidR="00F679A2" w:rsidRDefault="00F679A2" w:rsidP="00F679A2">
      <w:pPr>
        <w:keepNext/>
        <w:keepLines/>
        <w:spacing w:line="360" w:lineRule="auto"/>
        <w:rPr>
          <w:szCs w:val="20"/>
        </w:rPr>
      </w:pPr>
      <w:r w:rsidRPr="005718B1">
        <w:rPr>
          <w:rFonts w:eastAsia="Arial"/>
          <w:sz w:val="16"/>
          <w:szCs w:val="16"/>
        </w:rPr>
        <w:t>V</w:t>
      </w:r>
      <w:r>
        <w:rPr>
          <w:rFonts w:eastAsia="Arial"/>
          <w:sz w:val="16"/>
          <w:szCs w:val="16"/>
        </w:rPr>
        <w:t>ir</w:t>
      </w:r>
      <w:r w:rsidRPr="005718B1">
        <w:rPr>
          <w:rFonts w:eastAsia="Arial"/>
          <w:sz w:val="16"/>
          <w:szCs w:val="16"/>
        </w:rPr>
        <w:t>: SURS</w:t>
      </w:r>
      <w:r>
        <w:rPr>
          <w:rFonts w:eastAsia="Arial"/>
          <w:sz w:val="16"/>
          <w:szCs w:val="16"/>
        </w:rPr>
        <w:t>-2020</w:t>
      </w:r>
    </w:p>
    <w:p w14:paraId="6AFC1C6C" w14:textId="77777777" w:rsidR="00F679A2" w:rsidRDefault="00F679A2" w:rsidP="00F679A2">
      <w:pPr>
        <w:pStyle w:val="Napis"/>
      </w:pPr>
    </w:p>
    <w:p w14:paraId="64DB5CB6" w14:textId="2A974B97" w:rsidR="00F679A2" w:rsidRDefault="00F679A2" w:rsidP="00F679A2">
      <w:pPr>
        <w:pStyle w:val="SCSlika0"/>
      </w:pPr>
      <w:bookmarkStart w:id="3186" w:name="_Toc89851114"/>
      <w:r>
        <w:t xml:space="preserve">Slika </w:t>
      </w:r>
      <w:r>
        <w:rPr>
          <w:noProof/>
        </w:rPr>
        <w:fldChar w:fldCharType="begin"/>
      </w:r>
      <w:r>
        <w:rPr>
          <w:noProof/>
        </w:rPr>
        <w:instrText xml:space="preserve"> SEQ Slika \* ARABIC </w:instrText>
      </w:r>
      <w:r>
        <w:rPr>
          <w:noProof/>
        </w:rPr>
        <w:fldChar w:fldCharType="separate"/>
      </w:r>
      <w:r w:rsidR="00F25435">
        <w:rPr>
          <w:noProof/>
        </w:rPr>
        <w:t>72</w:t>
      </w:r>
      <w:r>
        <w:rPr>
          <w:noProof/>
        </w:rPr>
        <w:fldChar w:fldCharType="end"/>
      </w:r>
      <w:r>
        <w:t xml:space="preserve">: </w:t>
      </w:r>
      <w:r w:rsidRPr="00E2688B">
        <w:t>Število kmetijskih gospodarstev (KMG), ki pridelujejo zelišča, dišavnice in zdravilne rastline</w:t>
      </w:r>
      <w:bookmarkEnd w:id="3186"/>
    </w:p>
    <w:p w14:paraId="4E809E3D"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69D1B061" wp14:editId="2C687A57">
            <wp:extent cx="4276725" cy="2457450"/>
            <wp:effectExtent l="0" t="0" r="9525" b="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743681F" w14:textId="77777777" w:rsidR="00F679A2" w:rsidRPr="005718B1" w:rsidRDefault="00F679A2" w:rsidP="00F679A2">
      <w:pPr>
        <w:spacing w:line="360" w:lineRule="auto"/>
        <w:rPr>
          <w:sz w:val="16"/>
          <w:szCs w:val="16"/>
        </w:rPr>
      </w:pPr>
      <w:r w:rsidRPr="005718B1">
        <w:rPr>
          <w:rFonts w:eastAsia="Arial"/>
          <w:sz w:val="16"/>
          <w:szCs w:val="16"/>
        </w:rPr>
        <w:t>V</w:t>
      </w:r>
      <w:r>
        <w:rPr>
          <w:rFonts w:eastAsia="Arial"/>
          <w:sz w:val="16"/>
          <w:szCs w:val="16"/>
        </w:rPr>
        <w:t>ir</w:t>
      </w:r>
      <w:r w:rsidRPr="005718B1">
        <w:rPr>
          <w:rFonts w:eastAsia="Arial"/>
          <w:sz w:val="16"/>
          <w:szCs w:val="16"/>
        </w:rPr>
        <w:t>: SURS</w:t>
      </w:r>
      <w:r>
        <w:rPr>
          <w:rFonts w:eastAsia="Arial"/>
          <w:sz w:val="16"/>
          <w:szCs w:val="16"/>
        </w:rPr>
        <w:t>-2020</w:t>
      </w:r>
    </w:p>
    <w:p w14:paraId="2FFE3E8F"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v vrtnarstvu se izvajajo tudi naloge na področju zelišč: selekcija zelišč, introdukcija in ekološka rajonizacija zelišč ter ugotavljanje njihove vrednosti za predelavo, tehnologije pridelave zelišč. Ohranjanje rastlinskih genskih virov zdravilnih in aromatičnih rastlin  poteka v okviru javne službe nalog rastlinske genske banke, kjer je shranjenih 251 akcesij zdravilnih in aromatičnih rastlin.</w:t>
      </w:r>
    </w:p>
    <w:p w14:paraId="47B2D0DC" w14:textId="7CB778AA" w:rsidR="00F679A2" w:rsidRDefault="00F679A2" w:rsidP="005B2A49">
      <w:pPr>
        <w:spacing w:after="120" w:line="260" w:lineRule="atLeast"/>
        <w:rPr>
          <w:rFonts w:eastAsia="Calibri"/>
          <w:szCs w:val="20"/>
        </w:rPr>
      </w:pPr>
      <w:r w:rsidRPr="005B2A49">
        <w:rPr>
          <w:rFonts w:eastAsia="Calibri"/>
          <w:szCs w:val="20"/>
        </w:rPr>
        <w:t>Uvajanje pridelave zelišč je pomembno tudi s stališča ohranjanja naravnih rastišč samoniklih zelišč in s tem ohranjanja biotske raznovrstnosti. Preveliko povpraševanje po določenih zeliščih lahko vodi v nekontrolirano, prekomerno nabiranje le-teh, zaradi česar so naravna rastišča ogrožena. Samonikla zelišča iz naravnih rastišč so namreč lahko tudi izvorni material za raziskave in žlahtnjenje ter za razvoj populacij zelišč, primernih za njivsko pridelavo, kar je tudi ena od nalog Javne službe v vrtnarstvu.</w:t>
      </w:r>
    </w:p>
    <w:p w14:paraId="259D05F9" w14:textId="77777777" w:rsidR="00C25531" w:rsidRPr="005B2A49" w:rsidRDefault="00C25531" w:rsidP="005B2A49">
      <w:pPr>
        <w:spacing w:after="120" w:line="260" w:lineRule="atLeast"/>
        <w:rPr>
          <w:rFonts w:eastAsia="Calibri"/>
          <w:szCs w:val="20"/>
        </w:rPr>
      </w:pPr>
    </w:p>
    <w:p w14:paraId="32036AC1" w14:textId="77777777" w:rsidR="00F679A2" w:rsidRDefault="00F679A2" w:rsidP="00F679A2">
      <w:pPr>
        <w:pStyle w:val="Naslov3"/>
        <w:rPr>
          <w:rFonts w:eastAsia="Calibri"/>
        </w:rPr>
      </w:pPr>
      <w:bookmarkStart w:id="3187" w:name="_Toc90462270"/>
      <w:r w:rsidRPr="00271FF1">
        <w:rPr>
          <w:rFonts w:eastAsia="Calibri"/>
        </w:rPr>
        <w:t>Ključne ugotovitve</w:t>
      </w:r>
      <w:bookmarkEnd w:id="3187"/>
    </w:p>
    <w:p w14:paraId="0A27E8DD" w14:textId="3E427CD1" w:rsidR="00F679A2" w:rsidRDefault="00F679A2" w:rsidP="005B2A49">
      <w:pPr>
        <w:numPr>
          <w:ilvl w:val="0"/>
          <w:numId w:val="188"/>
        </w:numPr>
        <w:spacing w:after="120" w:line="260" w:lineRule="atLeast"/>
        <w:ind w:left="357" w:hanging="357"/>
        <w:rPr>
          <w:rFonts w:eastAsia="Arial"/>
          <w:szCs w:val="20"/>
        </w:rPr>
      </w:pPr>
      <w:r w:rsidRPr="000E474E">
        <w:rPr>
          <w:rFonts w:eastAsia="Arial"/>
          <w:szCs w:val="20"/>
        </w:rPr>
        <w:t xml:space="preserve">Pomembnejši vzroki, ki zavirajo razvoj panoge so manjkajoča oz. razpršena in neurejena zakonodajna ureditev, ki zadeva več vladnih resorjev, nepovezanost pridelovalcev zdravilnih zelišč ter neurejenost odkupa, skladiščenja, sušenja, priprave in predelave ter kontrole zdravilnih zelišč. </w:t>
      </w:r>
    </w:p>
    <w:p w14:paraId="17BB2FD3" w14:textId="77777777" w:rsidR="00C25531" w:rsidRDefault="00C25531" w:rsidP="005B2A49">
      <w:pPr>
        <w:spacing w:after="120" w:line="260" w:lineRule="atLeast"/>
        <w:ind w:left="357"/>
        <w:rPr>
          <w:rFonts w:eastAsia="Arial"/>
          <w:szCs w:val="20"/>
        </w:rPr>
      </w:pPr>
    </w:p>
    <w:p w14:paraId="381D14BE" w14:textId="77777777" w:rsidR="00F679A2" w:rsidRPr="00271FF1" w:rsidRDefault="00F679A2" w:rsidP="00F679A2">
      <w:pPr>
        <w:pStyle w:val="Naslov2"/>
      </w:pPr>
      <w:bookmarkStart w:id="3188" w:name="_Toc90462271"/>
      <w:r w:rsidRPr="00271FF1">
        <w:t>Sadjarstvo</w:t>
      </w:r>
      <w:bookmarkEnd w:id="3188"/>
    </w:p>
    <w:p w14:paraId="4EB1882D" w14:textId="77777777" w:rsidR="00F679A2" w:rsidRPr="005B2A49" w:rsidRDefault="00F679A2" w:rsidP="005B2A49">
      <w:pPr>
        <w:spacing w:after="120" w:line="260" w:lineRule="atLeast"/>
        <w:rPr>
          <w:rFonts w:eastAsia="Calibri"/>
          <w:szCs w:val="20"/>
        </w:rPr>
      </w:pPr>
      <w:r w:rsidRPr="005B2A49">
        <w:rPr>
          <w:rFonts w:eastAsia="Calibri"/>
          <w:szCs w:val="20"/>
        </w:rPr>
        <w:t>V Sloveniji ima s</w:t>
      </w:r>
      <w:r w:rsidRPr="005B2A49" w:rsidDel="00077748">
        <w:rPr>
          <w:rFonts w:eastAsia="Calibri"/>
          <w:szCs w:val="20"/>
        </w:rPr>
        <w:t xml:space="preserve">adjarstvo </w:t>
      </w:r>
      <w:r w:rsidRPr="005B2A49">
        <w:rPr>
          <w:rFonts w:eastAsia="Calibri"/>
          <w:szCs w:val="20"/>
        </w:rPr>
        <w:t xml:space="preserve">še precej neizkoriščenih možnosti za večji tehnološki napredek in nadaljnji razvoj, kar med drugim izvira iz naravnih danosti, tradicije, uveljavljenosti okolju prijaznih načinov pridelave, kakovostnega znanja, ugodne geografske lege ter velikih rezerv na področju porabe v prehrani, ki se kažejo v še vedno v prenizki stopnji samooskrbe s sadjem. </w:t>
      </w:r>
    </w:p>
    <w:p w14:paraId="0BC2074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 razvoju mednarodno konkurenčnega sadjarstva in ob upoštevanju zelo visokih okoljevarstvenih standardov ter izrazitega vpliva podnebnih sprememb v zadnjih letih, bo tudi v Sloveniji treba še več vlagati v nova znanja in iskanje novih tehnoloških rešitev.   </w:t>
      </w:r>
    </w:p>
    <w:p w14:paraId="4B3B6E2D" w14:textId="55BBA66A" w:rsidR="00F679A2" w:rsidRDefault="00F679A2" w:rsidP="005B2A49">
      <w:pPr>
        <w:spacing w:after="120" w:line="260" w:lineRule="atLeast"/>
        <w:rPr>
          <w:rFonts w:eastAsia="Calibri"/>
          <w:szCs w:val="20"/>
        </w:rPr>
      </w:pPr>
      <w:r w:rsidRPr="005B2A49">
        <w:rPr>
          <w:rFonts w:eastAsia="Calibri"/>
          <w:szCs w:val="20"/>
        </w:rPr>
        <w:t>Temeljni cilji razvoja slovenskega sadjarstva so povečanje obsega pridelanega sadja, izboljšanje konkurenčnosti in kakovosti pridelanega sadja ter povečanje porabe sadja.</w:t>
      </w:r>
    </w:p>
    <w:p w14:paraId="1AEC22DA" w14:textId="77777777" w:rsidR="00C25531" w:rsidRPr="000A4C0A" w:rsidRDefault="00C25531" w:rsidP="005B2A49">
      <w:pPr>
        <w:spacing w:after="120" w:line="260" w:lineRule="atLeast"/>
        <w:rPr>
          <w:rFonts w:eastAsia="Calibri"/>
          <w:szCs w:val="20"/>
        </w:rPr>
      </w:pPr>
    </w:p>
    <w:p w14:paraId="41FE7FCD" w14:textId="77777777" w:rsidR="00F679A2" w:rsidRPr="00271FF1" w:rsidRDefault="00F679A2" w:rsidP="00F679A2">
      <w:pPr>
        <w:pStyle w:val="Naslov3"/>
        <w:rPr>
          <w:rFonts w:eastAsia="Calibri"/>
        </w:rPr>
      </w:pPr>
      <w:bookmarkStart w:id="3189" w:name="_Toc90462272"/>
      <w:r w:rsidRPr="00271FF1">
        <w:rPr>
          <w:rFonts w:eastAsia="Calibri"/>
        </w:rPr>
        <w:t>Stanje v sektorju in osnovni ekonomski kazalniki</w:t>
      </w:r>
      <w:bookmarkEnd w:id="3189"/>
    </w:p>
    <w:p w14:paraId="5B79B1F0" w14:textId="77777777" w:rsidR="00F679A2" w:rsidRPr="00F14D7D" w:rsidRDefault="00F679A2" w:rsidP="005B2A49">
      <w:pPr>
        <w:spacing w:after="120" w:line="260" w:lineRule="atLeast"/>
        <w:rPr>
          <w:rFonts w:eastAsia="Calibri"/>
          <w:szCs w:val="20"/>
        </w:rPr>
      </w:pPr>
      <w:r w:rsidRPr="00F14D7D">
        <w:rPr>
          <w:rFonts w:eastAsia="Calibri"/>
          <w:szCs w:val="20"/>
        </w:rPr>
        <w:t>K skupni vrednosti kmetijske proizvodnje po osnovnih cenah je v obdobju 2010–2019 pridelava sadja prispevala med 4,1 % in 8,4 %, k vrednosti rastlinske proizvodnje pa med 7,4 % in 16,3 %.</w:t>
      </w:r>
    </w:p>
    <w:p w14:paraId="66AC358D" w14:textId="77777777" w:rsidR="00F679A2" w:rsidRPr="005B2A49" w:rsidRDefault="00F679A2" w:rsidP="005B2A49">
      <w:pPr>
        <w:spacing w:after="120" w:line="260" w:lineRule="atLeast"/>
        <w:rPr>
          <w:rFonts w:eastAsia="Calibri"/>
          <w:szCs w:val="20"/>
        </w:rPr>
      </w:pPr>
      <w:r w:rsidRPr="00F14D7D">
        <w:rPr>
          <w:rFonts w:eastAsia="Calibri"/>
          <w:szCs w:val="20"/>
        </w:rPr>
        <w:t xml:space="preserve">Površine sadovnjakov, ki vključujejo površine ekstenzivnih sadovnjakov in površine intenzivnih sadovnjakov vključno z jagodami in namiznim grozdjem, zavzemajo približno 2 % kmetijskih zemljišč v uporabi. Leta 2019 so obsegale 10,8 tisoč hektarjev in so bile v primerjavi z zadnjim desetletnim obdobjem (2009-2018) večje za 17 %. Ekstenzivni sadovnjaki so obsegali 6,5 tisoč hektarjev ali 60 % vseh sadovnjakov (površina se je v obdobju 2001–2009 postopno zmanjševala, v zadnjih letih pa je opazno njeno povečevanje), intenzivni sadovnjaki so obsegali 4,3 tisoč hektarjev in so tudi v trendu povečevanja. </w:t>
      </w:r>
    </w:p>
    <w:p w14:paraId="778F5B9A" w14:textId="211DD324" w:rsidR="00F679A2" w:rsidRPr="005B2A49" w:rsidRDefault="00F679A2" w:rsidP="005B2A49">
      <w:pPr>
        <w:spacing w:after="120" w:line="260" w:lineRule="atLeast"/>
        <w:rPr>
          <w:rFonts w:eastAsia="Calibri"/>
          <w:szCs w:val="20"/>
        </w:rPr>
      </w:pPr>
      <w:r w:rsidRPr="00F14D7D">
        <w:rPr>
          <w:rFonts w:eastAsia="Calibri"/>
          <w:szCs w:val="20"/>
        </w:rPr>
        <w:t>Struktura sadnih vrst v intenzivnih sadovnjakih se je v obdobju 20</w:t>
      </w:r>
      <w:r w:rsidR="003356E2">
        <w:rPr>
          <w:rFonts w:eastAsia="Calibri"/>
          <w:szCs w:val="20"/>
        </w:rPr>
        <w:t>10</w:t>
      </w:r>
      <w:r w:rsidRPr="00F14D7D">
        <w:rPr>
          <w:rFonts w:eastAsia="Calibri"/>
          <w:szCs w:val="20"/>
        </w:rPr>
        <w:t>-20</w:t>
      </w:r>
      <w:r w:rsidR="003356E2">
        <w:rPr>
          <w:rFonts w:eastAsia="Calibri"/>
          <w:szCs w:val="20"/>
        </w:rPr>
        <w:t>20</w:t>
      </w:r>
      <w:r w:rsidRPr="00F14D7D">
        <w:rPr>
          <w:rFonts w:eastAsia="Calibri"/>
          <w:szCs w:val="20"/>
        </w:rPr>
        <w:t xml:space="preserve"> nekoliko spremenila. Površine jablan z 2.267 ha še vedno močno prevladujejo (53 %), vendar je njihov delež v strukturi bruto površine v trendu zmanjševanja. Zmanjšuje se tudi delež drugih v preteklosti najbolj razširjenih sadnih vrst kot so hruške, breskve in nektarine. Glede na leto 2012 se povečuje zastopanost lupinarjev, jagod in drugega jagodičja, nekaterih koščičarjev, zlasti češenj, in drugih sadnih vrst. V letu 20</w:t>
      </w:r>
      <w:r w:rsidR="003356E2">
        <w:rPr>
          <w:rFonts w:eastAsia="Calibri"/>
          <w:szCs w:val="20"/>
        </w:rPr>
        <w:t>20</w:t>
      </w:r>
      <w:r w:rsidRPr="00F14D7D">
        <w:rPr>
          <w:rFonts w:eastAsia="Calibri"/>
          <w:szCs w:val="20"/>
        </w:rPr>
        <w:t xml:space="preserve"> so se v intenzivnih sadovnjakih za 210 ha povečale tudi površine z novimi sadnimi vrstami. </w:t>
      </w:r>
      <w:r w:rsidRPr="005B2A49">
        <w:rPr>
          <w:rFonts w:eastAsia="Calibri"/>
          <w:szCs w:val="20"/>
        </w:rPr>
        <w:t>V pridelavi intenzivnih sadovnjakov je značilna velika posestna razdrobljenost, kar 60% sadjarjev obdeluje pod 0,5 ha sadovnjakov, velikost do 1 ha sadovnjaka pa zajame kar 76% vseh pridelovalcev.</w:t>
      </w:r>
    </w:p>
    <w:p w14:paraId="51BA2D0A" w14:textId="6E3AA082" w:rsidR="00F679A2" w:rsidRPr="005B2A49" w:rsidRDefault="00F679A2" w:rsidP="005B2A49">
      <w:pPr>
        <w:pStyle w:val="ZPtekst"/>
        <w:rPr>
          <w:rFonts w:eastAsia="Calibri"/>
          <w:szCs w:val="20"/>
        </w:rPr>
      </w:pPr>
      <w:r w:rsidRPr="00F14D7D">
        <w:rPr>
          <w:rFonts w:eastAsia="Calibri"/>
          <w:szCs w:val="20"/>
        </w:rPr>
        <w:t>Skupna pridelava sadja v ekstenzivnih in intenzivnih sadovnjakih je bila v letu 20</w:t>
      </w:r>
      <w:r w:rsidR="00442E6B">
        <w:rPr>
          <w:rFonts w:eastAsia="Calibri"/>
          <w:szCs w:val="20"/>
        </w:rPr>
        <w:t>20</w:t>
      </w:r>
      <w:r w:rsidRPr="00F14D7D">
        <w:rPr>
          <w:rFonts w:eastAsia="Calibri"/>
          <w:szCs w:val="20"/>
        </w:rPr>
        <w:t xml:space="preserve"> </w:t>
      </w:r>
      <w:r w:rsidR="00442E6B">
        <w:rPr>
          <w:rFonts w:eastAsia="Calibri"/>
          <w:szCs w:val="20"/>
        </w:rPr>
        <w:t>113</w:t>
      </w:r>
      <w:r w:rsidRPr="00F14D7D">
        <w:rPr>
          <w:rFonts w:eastAsia="Calibri"/>
          <w:szCs w:val="20"/>
        </w:rPr>
        <w:t xml:space="preserve"> tisoč ton, kar je za </w:t>
      </w:r>
      <w:r w:rsidR="00442E6B" w:rsidRPr="00623E67">
        <w:t>15 % pod povprečjem obdobja 2011–2015 (zadnjih pet zaporednih let brez večjih ekstremnih vremenskih razmer)</w:t>
      </w:r>
      <w:r w:rsidRPr="00F14D7D">
        <w:rPr>
          <w:rFonts w:eastAsia="Calibri"/>
          <w:szCs w:val="20"/>
        </w:rPr>
        <w:t xml:space="preserve">. Hektarski pridelek jablan v intenzivnih nasadih je bil </w:t>
      </w:r>
      <w:r w:rsidR="00442E6B">
        <w:rPr>
          <w:rFonts w:eastAsia="Calibri"/>
          <w:szCs w:val="20"/>
        </w:rPr>
        <w:t>30,5</w:t>
      </w:r>
      <w:r w:rsidRPr="00F14D7D">
        <w:rPr>
          <w:rFonts w:eastAsia="Calibri"/>
          <w:szCs w:val="20"/>
        </w:rPr>
        <w:t xml:space="preserve"> t/ha </w:t>
      </w:r>
      <w:r w:rsidR="00442E6B" w:rsidRPr="00623E67">
        <w:t>in je za desetino presegel povprečje obdobja 2011–2015.</w:t>
      </w:r>
      <w:r w:rsidR="00442E6B">
        <w:t xml:space="preserve"> </w:t>
      </w:r>
      <w:r w:rsidRPr="005B2A49">
        <w:rPr>
          <w:rFonts w:eastAsia="Calibri"/>
          <w:szCs w:val="20"/>
        </w:rPr>
        <w:t xml:space="preserve"> </w:t>
      </w:r>
    </w:p>
    <w:p w14:paraId="6E5EA97A" w14:textId="47F4176A" w:rsidR="00F679A2" w:rsidRDefault="00F679A2" w:rsidP="00F679A2">
      <w:pPr>
        <w:pStyle w:val="SCSlika0"/>
      </w:pPr>
      <w:bookmarkStart w:id="3190" w:name="_Toc89851115"/>
      <w:r>
        <w:t xml:space="preserve">Slika </w:t>
      </w:r>
      <w:r>
        <w:rPr>
          <w:noProof/>
        </w:rPr>
        <w:fldChar w:fldCharType="begin"/>
      </w:r>
      <w:r>
        <w:rPr>
          <w:noProof/>
        </w:rPr>
        <w:instrText xml:space="preserve"> SEQ Slika \* ARABIC </w:instrText>
      </w:r>
      <w:r>
        <w:rPr>
          <w:noProof/>
        </w:rPr>
        <w:fldChar w:fldCharType="separate"/>
      </w:r>
      <w:r w:rsidR="00F25435">
        <w:rPr>
          <w:noProof/>
        </w:rPr>
        <w:t>73</w:t>
      </w:r>
      <w:r>
        <w:rPr>
          <w:noProof/>
        </w:rPr>
        <w:fldChar w:fldCharType="end"/>
      </w:r>
      <w:r>
        <w:t xml:space="preserve">: </w:t>
      </w:r>
      <w:r w:rsidRPr="00F14D7D">
        <w:t>Površina in pridelek sadja (200</w:t>
      </w:r>
      <w:r w:rsidR="002B2C4D">
        <w:t>8</w:t>
      </w:r>
      <w:r w:rsidRPr="00F14D7D">
        <w:t>–20</w:t>
      </w:r>
      <w:r w:rsidR="002B2C4D">
        <w:t>20</w:t>
      </w:r>
      <w:r w:rsidRPr="00F14D7D">
        <w:t>)</w:t>
      </w:r>
      <w:bookmarkEnd w:id="3190"/>
    </w:p>
    <w:p w14:paraId="03C9DC71" w14:textId="77777777" w:rsidR="002B2C4D" w:rsidRPr="00623E67" w:rsidRDefault="002B2C4D" w:rsidP="002B2C4D">
      <w:pPr>
        <w:pStyle w:val="ZPslika"/>
      </w:pPr>
      <w:r w:rsidRPr="00623E67">
        <w:drawing>
          <wp:inline distT="0" distB="0" distL="0" distR="0" wp14:anchorId="721A896E" wp14:editId="7F172B81">
            <wp:extent cx="5760085" cy="1956116"/>
            <wp:effectExtent l="0" t="0" r="0" b="6350"/>
            <wp:docPr id="1631865365" name="Slika 163186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1956116"/>
                    </a:xfrm>
                    <a:prstGeom prst="rect">
                      <a:avLst/>
                    </a:prstGeom>
                    <a:noFill/>
                    <a:ln>
                      <a:noFill/>
                    </a:ln>
                  </pic:spPr>
                </pic:pic>
              </a:graphicData>
            </a:graphic>
          </wp:inline>
        </w:drawing>
      </w:r>
    </w:p>
    <w:p w14:paraId="3C376026" w14:textId="2908A0E1" w:rsidR="00F679A2" w:rsidRPr="005718B1" w:rsidRDefault="00F679A2" w:rsidP="00F679A2">
      <w:pPr>
        <w:widowControl w:val="0"/>
        <w:spacing w:line="360" w:lineRule="auto"/>
        <w:contextualSpacing/>
        <w:rPr>
          <w:color w:val="000000" w:themeColor="text1"/>
          <w:szCs w:val="20"/>
        </w:rPr>
      </w:pPr>
      <w:r w:rsidRPr="005718B1">
        <w:rPr>
          <w:rFonts w:eastAsia="Calibri"/>
          <w:color w:val="000000" w:themeColor="text1"/>
          <w:sz w:val="16"/>
          <w:szCs w:val="16"/>
        </w:rPr>
        <w:t xml:space="preserve">Vir: </w:t>
      </w:r>
      <w:r>
        <w:rPr>
          <w:color w:val="000000" w:themeColor="text1"/>
          <w:sz w:val="16"/>
          <w:szCs w:val="16"/>
        </w:rPr>
        <w:t>SURS (ZP-20</w:t>
      </w:r>
      <w:r w:rsidR="002B2C4D">
        <w:rPr>
          <w:color w:val="000000" w:themeColor="text1"/>
          <w:sz w:val="16"/>
          <w:szCs w:val="16"/>
        </w:rPr>
        <w:t>20</w:t>
      </w:r>
      <w:r>
        <w:rPr>
          <w:color w:val="000000" w:themeColor="text1"/>
          <w:sz w:val="16"/>
          <w:szCs w:val="16"/>
        </w:rPr>
        <w:t>)</w:t>
      </w:r>
    </w:p>
    <w:p w14:paraId="33706760" w14:textId="77777777" w:rsidR="00F679A2" w:rsidRPr="005B2A49" w:rsidRDefault="00F679A2" w:rsidP="005B2A49">
      <w:pPr>
        <w:spacing w:after="120" w:line="260" w:lineRule="atLeast"/>
        <w:rPr>
          <w:rFonts w:eastAsia="Calibri"/>
          <w:szCs w:val="20"/>
        </w:rPr>
      </w:pPr>
      <w:r w:rsidRPr="005B2A49">
        <w:rPr>
          <w:rFonts w:eastAsia="Calibri"/>
          <w:szCs w:val="20"/>
        </w:rPr>
        <w:t xml:space="preserve">Delež nasadov z mrežami proti toči in namakalnimi sistemi je še vedno premajhen. V letu 2019 je bilo z mrežo proti toči pokritih 1.297 ha ali 30 % vseh intenzivnih sadovnjakov, od tega 1.171 ha ali 52 % vseh intenzivnih nasadov jablan, kar je še vedno premalo. Namakanih je bilo 812 ha ali 18,7 % intenzivnih sadovnjakov, od tega 360 ha ali 16 % intenzivnih nasadov jablan. Glede na strateške in razvojne cilje v sadjarstvu najbolj izstopa trend naraščanja površin z mrežami proti toči pri jablani, katerih cilj je 80 % pokritost površin jablan. </w:t>
      </w:r>
    </w:p>
    <w:p w14:paraId="16F4EA01" w14:textId="277CA881" w:rsidR="002B2C4D" w:rsidRPr="002B2C4D" w:rsidRDefault="00F679A2" w:rsidP="002B2C4D">
      <w:pPr>
        <w:pStyle w:val="SCSlika0"/>
      </w:pPr>
      <w:bookmarkStart w:id="3191" w:name="_Toc89851116"/>
      <w:r>
        <w:t xml:space="preserve">Slika </w:t>
      </w:r>
      <w:r>
        <w:rPr>
          <w:noProof/>
        </w:rPr>
        <w:fldChar w:fldCharType="begin"/>
      </w:r>
      <w:r>
        <w:rPr>
          <w:noProof/>
        </w:rPr>
        <w:instrText xml:space="preserve"> SEQ Slika \* ARABIC </w:instrText>
      </w:r>
      <w:r>
        <w:rPr>
          <w:noProof/>
        </w:rPr>
        <w:fldChar w:fldCharType="separate"/>
      </w:r>
      <w:r w:rsidR="00F25435">
        <w:rPr>
          <w:noProof/>
        </w:rPr>
        <w:t>74</w:t>
      </w:r>
      <w:r>
        <w:rPr>
          <w:noProof/>
        </w:rPr>
        <w:fldChar w:fldCharType="end"/>
      </w:r>
      <w:r>
        <w:t xml:space="preserve">: </w:t>
      </w:r>
      <w:r w:rsidRPr="009F16BA">
        <w:t xml:space="preserve">Deleži pokritosti sadovnjakov z mrežami proti </w:t>
      </w:r>
      <w:r w:rsidRPr="0085099A">
        <w:t xml:space="preserve">toči oz. z namakalnimi sistemi </w:t>
      </w:r>
      <w:r>
        <w:t>(v %)</w:t>
      </w:r>
      <w:bookmarkEnd w:id="3191"/>
      <w:r w:rsidR="002B2C4D">
        <w:t xml:space="preserve"> </w:t>
      </w:r>
    </w:p>
    <w:p w14:paraId="33FF4EA8" w14:textId="77777777" w:rsidR="00F679A2" w:rsidRDefault="00F679A2" w:rsidP="00F679A2">
      <w:pPr>
        <w:spacing w:line="360" w:lineRule="auto"/>
        <w:rPr>
          <w:szCs w:val="20"/>
        </w:rPr>
      </w:pPr>
      <w:r>
        <w:rPr>
          <w:noProof/>
          <w:lang w:eastAsia="sl-SI"/>
        </w:rPr>
        <w:drawing>
          <wp:inline distT="0" distB="0" distL="0" distR="0" wp14:anchorId="5ECEA53D" wp14:editId="38A60361">
            <wp:extent cx="5759355" cy="2905760"/>
            <wp:effectExtent l="0" t="0" r="13335" b="8890"/>
            <wp:docPr id="63" name="Grafikon 6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4796243" w14:textId="77777777" w:rsidR="00F679A2" w:rsidRPr="005718B1" w:rsidRDefault="00F679A2" w:rsidP="00F679A2">
      <w:pPr>
        <w:spacing w:line="360" w:lineRule="auto"/>
        <w:rPr>
          <w:rFonts w:eastAsia="Calibri"/>
          <w:sz w:val="16"/>
          <w:szCs w:val="16"/>
        </w:rPr>
      </w:pPr>
      <w:r w:rsidRPr="005718B1">
        <w:rPr>
          <w:sz w:val="16"/>
          <w:szCs w:val="16"/>
        </w:rPr>
        <w:t>Vir: RKG</w:t>
      </w:r>
      <w:r w:rsidRPr="0034156F">
        <w:rPr>
          <w:sz w:val="16"/>
          <w:szCs w:val="16"/>
        </w:rPr>
        <w:t>-2020</w:t>
      </w:r>
    </w:p>
    <w:p w14:paraId="1FBB9F60" w14:textId="77777777" w:rsidR="00F679A2" w:rsidRPr="003B2B91" w:rsidRDefault="00F679A2" w:rsidP="005B2A49">
      <w:pPr>
        <w:spacing w:after="120" w:line="260" w:lineRule="atLeast"/>
        <w:rPr>
          <w:rFonts w:eastAsia="Calibri"/>
          <w:szCs w:val="20"/>
        </w:rPr>
      </w:pPr>
      <w:r w:rsidRPr="003B2B91">
        <w:rPr>
          <w:rFonts w:eastAsia="Calibri"/>
          <w:szCs w:val="20"/>
        </w:rPr>
        <w:t>Zaradi neugodne starostne strukture intenzivnih sadovnjakov, bi bilo potrebno povečati delež obnovljenih intenzivnih sadovnjakov. Po podatkih RKG bi bila v letu 2019 za 2.808 ha oziroma 66 % intenzivnih sadovnjakov starih do 15 let in 1.464 ha oziroma 34 % starih več kot 15 let potrebna obnova nadasov. Povprečna letna obnova v obdobju 2013–2019 je znašala 220 ha intenzivnih sadovnjakov na leto, od tega 50 ha nasadov jablan. Izmed intenzivnih jablanovih nasadov, ki je še vedno najbolj razširjena sadna vrsta, je bilo 377 ha ali 17 % starih do 5 let, 427 ha ali 19 % 6–10 let, 883 ha ali 39 % 11–20 let in 580 ha ali 25 % več kot 20 let.</w:t>
      </w:r>
    </w:p>
    <w:p w14:paraId="7BDDE317" w14:textId="509317D2" w:rsidR="00F679A2" w:rsidRDefault="00F679A2" w:rsidP="00F679A2">
      <w:pPr>
        <w:pStyle w:val="SCSlika0"/>
      </w:pPr>
      <w:bookmarkStart w:id="3192" w:name="_Toc89851117"/>
      <w:r>
        <w:t xml:space="preserve">Slika </w:t>
      </w:r>
      <w:r>
        <w:rPr>
          <w:noProof/>
        </w:rPr>
        <w:fldChar w:fldCharType="begin"/>
      </w:r>
      <w:r>
        <w:rPr>
          <w:noProof/>
        </w:rPr>
        <w:instrText xml:space="preserve"> SEQ Slika \* ARABIC </w:instrText>
      </w:r>
      <w:r>
        <w:rPr>
          <w:noProof/>
        </w:rPr>
        <w:fldChar w:fldCharType="separate"/>
      </w:r>
      <w:r w:rsidR="00F25435">
        <w:rPr>
          <w:noProof/>
        </w:rPr>
        <w:t>75</w:t>
      </w:r>
      <w:r>
        <w:rPr>
          <w:noProof/>
        </w:rPr>
        <w:fldChar w:fldCharType="end"/>
      </w:r>
      <w:r>
        <w:t xml:space="preserve">: </w:t>
      </w:r>
      <w:r w:rsidRPr="009F16BA">
        <w:t xml:space="preserve">Starostna struktura sadovnjakov </w:t>
      </w:r>
      <w:r>
        <w:t xml:space="preserve">(ha) v letih </w:t>
      </w:r>
      <w:r w:rsidRPr="009F16BA">
        <w:t xml:space="preserve">(jablana, hruška, oreh, </w:t>
      </w:r>
      <w:r w:rsidRPr="00F14D7D">
        <w:t>češnja</w:t>
      </w:r>
      <w:r w:rsidRPr="009F16BA">
        <w:t>)</w:t>
      </w:r>
      <w:bookmarkEnd w:id="3192"/>
    </w:p>
    <w:p w14:paraId="0A5DD28F" w14:textId="77777777" w:rsidR="00F679A2" w:rsidRPr="003B2B91" w:rsidRDefault="00F679A2" w:rsidP="00F679A2">
      <w:pPr>
        <w:spacing w:line="360" w:lineRule="auto"/>
        <w:rPr>
          <w:szCs w:val="20"/>
        </w:rPr>
      </w:pPr>
      <w:r>
        <w:rPr>
          <w:noProof/>
          <w:lang w:eastAsia="sl-SI"/>
        </w:rPr>
        <w:drawing>
          <wp:inline distT="0" distB="0" distL="0" distR="0" wp14:anchorId="53DC817F" wp14:editId="4D60B622">
            <wp:extent cx="5554639" cy="3043451"/>
            <wp:effectExtent l="0" t="0" r="8255" b="5080"/>
            <wp:docPr id="1631865344" name="Grafikon 1631865344">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C636C53" w14:textId="77777777" w:rsidR="00F679A2" w:rsidRDefault="00F679A2" w:rsidP="00F679A2">
      <w:pPr>
        <w:spacing w:line="360" w:lineRule="auto"/>
        <w:rPr>
          <w:rFonts w:eastAsia="Calibri"/>
          <w:szCs w:val="20"/>
        </w:rPr>
      </w:pPr>
      <w:r w:rsidRPr="005718B1">
        <w:rPr>
          <w:rFonts w:eastAsia="Calibri"/>
          <w:sz w:val="16"/>
          <w:szCs w:val="16"/>
        </w:rPr>
        <w:t>Vir: RKG</w:t>
      </w:r>
      <w:r>
        <w:rPr>
          <w:rFonts w:eastAsia="Calibri"/>
          <w:sz w:val="16"/>
          <w:szCs w:val="16"/>
        </w:rPr>
        <w:t>-2020</w:t>
      </w:r>
    </w:p>
    <w:p w14:paraId="1D3F84B8" w14:textId="77777777" w:rsidR="00F679A2" w:rsidRPr="005B2A49" w:rsidRDefault="00F679A2" w:rsidP="005B2A49">
      <w:pPr>
        <w:spacing w:after="120" w:line="260" w:lineRule="atLeast"/>
        <w:rPr>
          <w:rFonts w:eastAsia="Calibri"/>
          <w:szCs w:val="20"/>
        </w:rPr>
      </w:pPr>
      <w:r w:rsidRPr="00F14D7D">
        <w:rPr>
          <w:rFonts w:eastAsia="Calibri"/>
          <w:szCs w:val="20"/>
        </w:rPr>
        <w:t xml:space="preserve">Pri sadju so opazna precejšnja medletna nihanja stopenj samooskrbe in porabe, ki so predvsem posledica bolj ali manj obilnih letin. V letu 2019 je bila nizka stopnja samooskrbe s sadjem (sveže in predelano) in je znašala 29,6%, najvišja stopnja samooskrbe v zadnjem desetletnem obdobju je bila v letu 2018 z 48 %. Pri stopnji samooskrbe s svežim sadjem 43,7 % je bila poraba na prebivalca 76 kg, v vseh oblikah sadja pa 129 kg na prebivalca. </w:t>
      </w:r>
    </w:p>
    <w:p w14:paraId="28D35525" w14:textId="77777777" w:rsidR="00F679A2" w:rsidRPr="00F14D7D" w:rsidRDefault="00F679A2" w:rsidP="005B2A49">
      <w:pPr>
        <w:spacing w:after="120" w:line="260" w:lineRule="atLeast"/>
        <w:rPr>
          <w:rFonts w:eastAsia="Calibri"/>
          <w:szCs w:val="20"/>
        </w:rPr>
      </w:pPr>
      <w:r w:rsidRPr="005B2A49">
        <w:rPr>
          <w:rFonts w:eastAsia="Calibri"/>
          <w:szCs w:val="20"/>
        </w:rPr>
        <w:t>V obdobju 2015–2019 je zunanja trgovina z užitnim sadjem obsegala od 323 do 379 tisoč ton oziroma vrednostno od 259 do 302 tisoč EUR na leto. Leta 2019 je bilo v zunanjetrgovinski menjavi prodanega vrednostno in količinsko več sadja kot leto prej. Zunanjetrgovinska bilanca z jabolki se je zaradi manjšega uvoza in povečanega izvoza povečala. V letu 2019 je bilo v sveži in predelani obliki (vključno s sokovi) porabljeno približno 301 tisoč ton sadja, kar je za 17 % več glede na povprečje obdobja 2009–2018.</w:t>
      </w:r>
    </w:p>
    <w:p w14:paraId="4E763F29" w14:textId="77777777" w:rsidR="00F679A2" w:rsidRPr="00F679A2" w:rsidRDefault="00F679A2" w:rsidP="005B2A49">
      <w:pPr>
        <w:spacing w:after="120" w:line="260" w:lineRule="atLeast"/>
        <w:rPr>
          <w:rFonts w:eastAsia="Calibri"/>
          <w:szCs w:val="20"/>
        </w:rPr>
      </w:pPr>
      <w:r w:rsidRPr="00F14D7D">
        <w:rPr>
          <w:rFonts w:eastAsia="Calibri"/>
          <w:szCs w:val="20"/>
        </w:rPr>
        <w:t xml:space="preserve">Ocene na podlagi letine in modelnih kalkulacij kažejo, da so se ekonomske razmere pri pridelavi sadja, kljub slabši letini v letu 2019, predvsem zaradi pomembno višjih odkupnih cen jabolk v letu 2019 večinoma izboljšale. Odkupne cene namiznih jabolk in namiznih hrušk, pridelanih v letu 2019, so bile v času spravila višje za 45 % oziroma 19 %, odkupne cene namiznih breskev pa so bile nižje za 4 %. </w:t>
      </w:r>
    </w:p>
    <w:p w14:paraId="2961F61E" w14:textId="2189D997" w:rsidR="00F679A2" w:rsidRDefault="00F679A2" w:rsidP="00F679A2">
      <w:pPr>
        <w:pStyle w:val="SCSlika0"/>
      </w:pPr>
      <w:bookmarkStart w:id="3193" w:name="_Toc89851118"/>
      <w:r>
        <w:t xml:space="preserve">Slika </w:t>
      </w:r>
      <w:r>
        <w:rPr>
          <w:noProof/>
        </w:rPr>
        <w:fldChar w:fldCharType="begin"/>
      </w:r>
      <w:r>
        <w:rPr>
          <w:noProof/>
        </w:rPr>
        <w:instrText xml:space="preserve"> SEQ Slika \* ARABIC </w:instrText>
      </w:r>
      <w:r>
        <w:rPr>
          <w:noProof/>
        </w:rPr>
        <w:fldChar w:fldCharType="separate"/>
      </w:r>
      <w:r w:rsidR="00F25435">
        <w:rPr>
          <w:noProof/>
        </w:rPr>
        <w:t>76</w:t>
      </w:r>
      <w:r>
        <w:rPr>
          <w:noProof/>
        </w:rPr>
        <w:fldChar w:fldCharType="end"/>
      </w:r>
      <w:r>
        <w:t xml:space="preserve">: </w:t>
      </w:r>
      <w:r w:rsidRPr="00F14D7D">
        <w:t>Osnovni ekonomski kazalci pri pridelavi jabolk (indeks, povprečje 2014–2018 = 100)</w:t>
      </w:r>
      <w:bookmarkEnd w:id="3193"/>
    </w:p>
    <w:p w14:paraId="2E2B97CB" w14:textId="77777777" w:rsidR="00F679A2" w:rsidRPr="005718B1" w:rsidRDefault="00F679A2" w:rsidP="00F679A2">
      <w:pPr>
        <w:pStyle w:val="opomba"/>
        <w:keepNext/>
        <w:spacing w:line="360" w:lineRule="auto"/>
        <w:jc w:val="center"/>
        <w:rPr>
          <w:color w:val="000000" w:themeColor="text1"/>
          <w:sz w:val="20"/>
        </w:rPr>
      </w:pPr>
      <w:r w:rsidRPr="005718B1">
        <w:rPr>
          <w:noProof/>
          <w:color w:val="000000" w:themeColor="text1"/>
          <w:sz w:val="20"/>
        </w:rPr>
        <w:drawing>
          <wp:inline distT="0" distB="0" distL="0" distR="0" wp14:anchorId="12381DC1" wp14:editId="0DDA4211">
            <wp:extent cx="5702300" cy="2191385"/>
            <wp:effectExtent l="0" t="0" r="0" b="0"/>
            <wp:docPr id="1631865346" name="Slika 163186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596B17BE" w14:textId="77777777" w:rsidR="00F679A2" w:rsidRPr="005718B1" w:rsidRDefault="00F679A2" w:rsidP="00F679A2">
      <w:pPr>
        <w:spacing w:line="360" w:lineRule="auto"/>
        <w:rPr>
          <w:color w:val="000000" w:themeColor="text1"/>
          <w:sz w:val="16"/>
          <w:szCs w:val="16"/>
        </w:rPr>
      </w:pPr>
      <w:r w:rsidRPr="005718B1">
        <w:rPr>
          <w:color w:val="000000" w:themeColor="text1"/>
          <w:sz w:val="16"/>
          <w:szCs w:val="16"/>
        </w:rPr>
        <w:t>Vir:</w:t>
      </w:r>
      <w:r>
        <w:rPr>
          <w:color w:val="000000" w:themeColor="text1"/>
          <w:sz w:val="16"/>
          <w:szCs w:val="16"/>
        </w:rPr>
        <w:t xml:space="preserve"> Modelne kalkulacije KIS (ZP-2019)</w:t>
      </w:r>
    </w:p>
    <w:p w14:paraId="7C7ABB6C"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zadnjih letih je gibanje stroškov pridelave jabolk manj intenzivno od gibanja odkupnih cen. Cenovno-stroškovna pariteta, ki odraža le razmerje med spremembami cen inputov in spremembami odkupnih cen, je zato v zadnjih letih zelo spremenljiva. Ekonomski položaj pri pridelavi jabolk se je leta 2019, kljub slabi letini in nekoliko višjih stroških pridelave, zaradi znatnega povišanja odkupnih cen izboljšal in je med ugodnejšimi v zadnjih letih. </w:t>
      </w:r>
    </w:p>
    <w:p w14:paraId="0B75118D"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podnebnih sprememb je v Sloveniji pridelava sadja zelo odvisna od vremenskih razmer, s tem pa so povezana tudi velika tveganja na primer zmrzal in toča. Za obvladovanje le-teh je z mrežami proti toči in drugimi vrstami mrež pokritih 30 % intenzivnih sadovnjakov ter več kot polovico intenzivnih nasadov jablan, pridelovalci so upravičeni do 50 % stopnje sofinanciranja zavarovalne premije. Bistveno premalo je vzpostavljenih namakalnih sistemov in vodnih zajetij, </w:t>
      </w:r>
      <w:r w:rsidRPr="00F14D7D">
        <w:rPr>
          <w:rFonts w:eastAsia="Calibri"/>
          <w:szCs w:val="20"/>
        </w:rPr>
        <w:t>tudi glede na vedno večje potrebe protislanske zaščite sadovnjakov</w:t>
      </w:r>
      <w:r w:rsidRPr="005B2A49">
        <w:rPr>
          <w:rFonts w:eastAsia="Calibri"/>
          <w:szCs w:val="20"/>
        </w:rPr>
        <w:t>, ter drugih zaščitnih mrež, sodobnih hladilnih in skladiščnih kapacitet ter specialne mehanizacije in opreme. Za boljše obvladovanje podnebnih sprememb v panogi primanjkuje specifičnega znanja.</w:t>
      </w:r>
    </w:p>
    <w:p w14:paraId="252F16A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strukturnih sprememb se v pridelavo ponovno uvajajo sadne vrste, ki so se v preteklosti opustile, povečuje se tudi povpraševanje po ekološko pridelanemu sadju. Bolje bi lahko izkoristili dostopnost obnovljivih virov energije za pridelavo v zavarovanih prostorih in možnost podaljšanja sezone pridelave in celoletna pridelava (npr. jagode). Pridelava sadja je izpostavljena pojavu novih škodljivih organizmov (marmorirana smrdljivka, plodova vinska mušica…), za katere je na voljo vedno manj fitofarmacevstskih sredstev. </w:t>
      </w:r>
    </w:p>
    <w:p w14:paraId="1A85DD7E" w14:textId="77777777" w:rsidR="00F679A2" w:rsidRPr="005B2A49" w:rsidRDefault="00F679A2" w:rsidP="005B2A49">
      <w:pPr>
        <w:spacing w:after="120" w:line="260" w:lineRule="atLeast"/>
        <w:rPr>
          <w:rFonts w:eastAsia="Calibri"/>
          <w:szCs w:val="20"/>
        </w:rPr>
      </w:pPr>
      <w:r w:rsidRPr="005B2A49">
        <w:rPr>
          <w:rFonts w:eastAsia="Calibri"/>
          <w:szCs w:val="20"/>
        </w:rPr>
        <w:t>Zaradi nepovezanosti pridelovalcev v organizirano obliko delovanja in razmer na trgu je njihova cenovna nekonkurenčnost še večja. V Sloveniji imamo priznano eno organizacijo proizvajalcev, ki pa še ne izvaja operativnega programa organizacije proizvajalcev in ne črpa sredstev iz naslova tega ukrepa.</w:t>
      </w:r>
    </w:p>
    <w:p w14:paraId="1C8EDAC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sodobnejše načine hlajenja in skladiščenja je premalo kapacitet pri pridelovalcih, neustrezna je tehnološka priprava pridelkov za trg (npr. zagotavljanje hladne linije, tehnologije za podaljšanje obstojnosti pridelka na prodajni polici). Z večjo vključitvijo slovenskega sadja v okviru obstoječe živilsko predelovalne industrije bi bilo potrebno povečati predelovalne kapacitete.  </w:t>
      </w:r>
    </w:p>
    <w:p w14:paraId="2F6CD4D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Sloveniji želimo s promocijo povečati uživanje sadja, saj je zaradi cenovnih razmer še vedno prenizko povpraševanje po slovenskem sadju. </w:t>
      </w:r>
    </w:p>
    <w:p w14:paraId="7D2F4626" w14:textId="77777777" w:rsidR="00F679A2" w:rsidRPr="005B2A49" w:rsidRDefault="00F679A2" w:rsidP="005B2A49">
      <w:pPr>
        <w:spacing w:after="120" w:line="260" w:lineRule="atLeast"/>
        <w:rPr>
          <w:rFonts w:eastAsia="Calibri"/>
          <w:szCs w:val="20"/>
        </w:rPr>
      </w:pPr>
      <w:r w:rsidRPr="005B2A49">
        <w:rPr>
          <w:rFonts w:eastAsia="Calibri"/>
          <w:szCs w:val="20"/>
        </w:rPr>
        <w:t xml:space="preserve">Razdrobljena je lastniška in posestna struktura, neugodna je tudi starostna struktura sadovnjakov. </w:t>
      </w:r>
    </w:p>
    <w:p w14:paraId="19A32987" w14:textId="77777777" w:rsidR="00F679A2" w:rsidRPr="005B2A49" w:rsidRDefault="00F679A2" w:rsidP="005B2A49">
      <w:pPr>
        <w:spacing w:after="120" w:line="260" w:lineRule="atLeast"/>
        <w:rPr>
          <w:rFonts w:eastAsia="Calibri"/>
          <w:szCs w:val="20"/>
        </w:rPr>
      </w:pPr>
      <w:r w:rsidRPr="005B2A49">
        <w:rPr>
          <w:rFonts w:eastAsia="Calibri"/>
          <w:szCs w:val="20"/>
        </w:rPr>
        <w:t xml:space="preserve">Sadjarji so v letu 2019 vstopili v shemo Izbrana kakovost, vendar ugotavljamo, da je med potrošniki še vedno slaba prepoznavnost oznak iz shem kakovosti (ekološka pridelava, integrirana, izbrana kakovost, druge sheme kakovosti), čeprav so ankete pokazale, da je zvestoba slovenskih potrošnikov slovenskim blagovnim znamkam in slovenskim proizvodom velika. Podpore bi bile potrebne tudi za spodbujanje zaposlovanja na podeželju, predvsem mladih kmetov ter ohranjanju kulturne krajine in biotske raznovrstnosti, spodbuditi pa bi morali še socialno podjetništvo in zaposlovanje ranljivih skupin prebivalstva. </w:t>
      </w:r>
    </w:p>
    <w:p w14:paraId="237CCE2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SKP 2014–2020 lahko pridelovalci sadja </w:t>
      </w:r>
      <w:r w:rsidRPr="005B2A49" w:rsidDel="00CE351F">
        <w:rPr>
          <w:rFonts w:eastAsia="Calibri"/>
          <w:szCs w:val="20"/>
        </w:rPr>
        <w:t xml:space="preserve">na podlagi plačilnih pravic </w:t>
      </w:r>
      <w:r w:rsidRPr="005B2A49">
        <w:rPr>
          <w:rFonts w:eastAsia="Calibri"/>
          <w:szCs w:val="20"/>
        </w:rPr>
        <w:t>iz sheme neposrednih plačil pridobijo osnovno plačilo in plačilo za zeleno komponento. Od leta 2006 so tudi sadjarji upravičeni do sofinanciranja zavarovanja, ki se je leta 2018 zvišalo iz 40 % na 50 % zavarovalne premije (leta 2018 je bilo v ukrep vključenih 455 KMG s 1.363 ha ali 32 % intenzivnih sadovnjakov), uveljavljajo pa lahko tudi pravico do vračila dela trošarine za gorivo, porabljeno v kmetijstvu (od leta 2009 70 %).</w:t>
      </w:r>
    </w:p>
    <w:p w14:paraId="05FC704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PRP 2014 – 2020 se podore sadjarstvu lahko izvajajo v okviru naslednjih ukrepov: prenos znanja in dejavnosti informiranja, podpora za pomoč pri uporabi storitev svetovanja, podpora za novo sodelovanje v shemah kakovosti, podpora za naložbe v kmetijska gospodarstva, podpora za naložbe v predelavo ali trženje kmetijskih proizvodov, naložbe v infrastrukturo, povezano z razvojem kmetijstva in gozdarstva, pomoč za zagon dejavnosti za mlade kmete, pomoč za zagon dejavnosti za razvoj majhnih kmetij, ustanavljanje skupin in organizacij proizvajalcev v kmetijskem sektorju, kmetijsko okoljsko podnebna plačila (KOPOP), ekološko kmetovanje, plačila območjem z naravnimi ali drugimi posebnimi omejitvami, sodelovanje. V tem obdobju so pridelovalci sadja iz ukrepov prejeli do 11 mio EUR, od tega smo podprli tudi 130 naložb v kmetijska gospodarstva v skupni višini 8,6 mio EUR. </w:t>
      </w:r>
    </w:p>
    <w:p w14:paraId="406D092C" w14:textId="77777777" w:rsidR="00F679A2" w:rsidRPr="00F14D7D" w:rsidRDefault="00F679A2" w:rsidP="005B2A49">
      <w:pPr>
        <w:spacing w:after="120" w:line="260" w:lineRule="atLeast"/>
        <w:rPr>
          <w:rFonts w:eastAsia="Calibri"/>
          <w:szCs w:val="20"/>
        </w:rPr>
      </w:pPr>
      <w:r w:rsidRPr="005B2A49">
        <w:rPr>
          <w:rFonts w:eastAsia="Calibri"/>
          <w:szCs w:val="20"/>
        </w:rPr>
        <w:t xml:space="preserve">V tehnologiji pridelave sadja prevladuje integriran način pridelave, v katero je bilo v letu 2014 vključenih 714 kmetijskih gospodarstev z 2.973 hektarji sadovnjakov, v letu 2017 pa le še 25 % oziroma 1030 hektarjev, saj se je podpora integrirani pridelavi v okviru kmetijsko okoljskih plačil z letom 2014 ukinila. Pri ekološkem načinu pridelave je v </w:t>
      </w:r>
      <w:r w:rsidRPr="00F14D7D">
        <w:rPr>
          <w:rFonts w:eastAsia="Calibri"/>
          <w:szCs w:val="20"/>
        </w:rPr>
        <w:t xml:space="preserve">obdobju 2010-2019 </w:t>
      </w:r>
      <w:r w:rsidRPr="005B2A49">
        <w:rPr>
          <w:rFonts w:eastAsia="Calibri"/>
          <w:szCs w:val="20"/>
        </w:rPr>
        <w:t xml:space="preserve">zaznati trend povečevanja površin </w:t>
      </w:r>
      <w:r w:rsidRPr="00F14D7D">
        <w:rPr>
          <w:rFonts w:eastAsia="Calibri"/>
          <w:szCs w:val="20"/>
        </w:rPr>
        <w:t xml:space="preserve">sadovnjakov, vključenih v sistem nadzora ekološke pridelave, in sicer so se površine sadovnjakov povečale iz 798 ha na 2.119 ha. </w:t>
      </w:r>
    </w:p>
    <w:p w14:paraId="3205B69A" w14:textId="77777777" w:rsidR="00F679A2" w:rsidRPr="005B2A49" w:rsidRDefault="00F679A2" w:rsidP="005B2A49">
      <w:pPr>
        <w:spacing w:after="120" w:line="260" w:lineRule="atLeast"/>
        <w:rPr>
          <w:rFonts w:eastAsia="Calibri"/>
          <w:szCs w:val="20"/>
        </w:rPr>
      </w:pPr>
      <w:r w:rsidRPr="005B2A49">
        <w:rPr>
          <w:rFonts w:eastAsia="Calibri"/>
          <w:szCs w:val="20"/>
        </w:rPr>
        <w:t>Zaradi prepovedi izvoza svežega sadja in zelenjave iz EU v Rusko Federacijo so posredne učinke na trgu v letu 2014 občutili tudi slovenski pridelovalci sadja. Za blažitev krize so bili na podlagi Uredbe o ureditvi kmetijskih trgov na ozemlju celotne EU vzpostavljeni začasni izredni ukrepi, do katerih so bili izjemoma upravičeni tudi pridelovalci, ki niso bili združeni v okviru organizacij proizvajalcev. V obdobju 2014–2016 je bilo v Sloveniji s trga umaknjenih 5.931 ton pridelka, za katerega so pridelovalci v okviru ukrepa prejeli 1,63 milijona EUR nadomestila.</w:t>
      </w:r>
    </w:p>
    <w:p w14:paraId="203AEEB7" w14:textId="77777777" w:rsidR="00F679A2" w:rsidRPr="005B2A49" w:rsidRDefault="00F679A2" w:rsidP="005B2A49">
      <w:pPr>
        <w:spacing w:after="120" w:line="260" w:lineRule="atLeast"/>
        <w:rPr>
          <w:rFonts w:eastAsia="Calibri"/>
          <w:szCs w:val="20"/>
        </w:rPr>
      </w:pPr>
      <w:r w:rsidRPr="005B2A49">
        <w:rPr>
          <w:rFonts w:eastAsia="Calibri"/>
          <w:szCs w:val="20"/>
        </w:rPr>
        <w:t>Za tehnološki napredek in izmenjavo znanja v panogi je pomembna Javna služba na področju sadjarstva, v okviru katere se izvajajo naloge selekcija in introdukcija sadnih rastlin in ugotavljanje njihove vrednosti za predelavo, preizkušanje tehnologij, zagotavljanje izhodiščnega razmnoževalnega materiala ter strokovno-tehnična koordinacija v sadjarstvu. Slednja je pomembna za prenos znanja in rezultatov nalog javne službe do kmetijskih pridelovalcev, ki potekajo v sodelovanju z javno službo kmetijskega svetovanja. Pomembna pa je tudi za ustrezen prenos znanja med raziskovalnimi, izobraževalnimi in svetovalnimi ustanovami. Rastlinske genske vire v sadjarstvu ohranjamo v okviru javne službe nalog rastlinske genske banke (JSRGB). Njihovo ohranjanje je pomembno iz različnih vidikov, med drugim tudi za to, ker so vir biotske raznovrstnosti kmetijskih rastlin za trajnostno kmetijstvo. Na področju sadjarstva ima JSRGB shranjenih 119 akcesij jablan in 48 akcesij hrušk.</w:t>
      </w:r>
    </w:p>
    <w:p w14:paraId="0FE4A1E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projektov ukrepa sodelovanja - Evropskega partnerstva za inovacije na področju kmetijske produktivnosti in trajnosti (EIP), so pridelovalci sadja v okviru različnih projektov (npr. visokostorilna trajnostna pridelava jabolk) vzpostavili partnerstvo za doseganje cilja trajnostne in konkurenčnejše pridelave sadja, zmanjševanje obremenitev okolja, zmanjševanje pridelovalnih tveganj zaradi podnebnih sprememb in doseganje najvišjih trženjskih standardov. V okviru ciljno raziskovalnih projektov so se preučevali specifični problemi v pridelavi sadja kot npr. tehnološki ukrepi z zmanjšano uporabo zaščitnih sredstev, tehnologije za konkurenčnejšo pridelavo jabolk, hrušk in češenj. </w:t>
      </w:r>
    </w:p>
    <w:p w14:paraId="5122B51D" w14:textId="77777777" w:rsidR="00F679A2" w:rsidRPr="005B2A49" w:rsidRDefault="00F679A2" w:rsidP="005B2A49">
      <w:pPr>
        <w:spacing w:after="120" w:line="260" w:lineRule="atLeast"/>
        <w:rPr>
          <w:rFonts w:eastAsia="Calibri"/>
          <w:szCs w:val="20"/>
        </w:rPr>
      </w:pPr>
      <w:r w:rsidRPr="005B2A49">
        <w:rPr>
          <w:rFonts w:eastAsia="Calibri"/>
          <w:szCs w:val="20"/>
        </w:rPr>
        <w:t xml:space="preserve">Okrepiti bi morali finančne podpore za razvoj novejših tehnologij in aplikativnih poskusov, zlasti na demonstracijsko poskusnih centrih, in v praksi neposredno uporabnih raziskovalnih in razvojnih nalog (javne službe, CRPi, ARRS projekti), s čimer bi lahko zmanjšali tehnološko zaostalost v pridelavi in dosegali boljšo tržno kakovost in večje količine pridelanega sadja. Povezanost in sodelovanje strokovnih inštitucij še ni optimalna zato je pomemben cilj okrepljeno povezovanje strokovnih inštitucij v okviru delujočega sistema AKIS. </w:t>
      </w:r>
    </w:p>
    <w:p w14:paraId="3B8AEFDA" w14:textId="77777777" w:rsidR="00F679A2" w:rsidRPr="000E474E" w:rsidRDefault="00F679A2" w:rsidP="00F679A2"/>
    <w:p w14:paraId="5C2061A0" w14:textId="77777777" w:rsidR="00F679A2" w:rsidRDefault="00F679A2" w:rsidP="00F679A2">
      <w:pPr>
        <w:pStyle w:val="Naslov3"/>
        <w:rPr>
          <w:rFonts w:eastAsia="Calibri"/>
        </w:rPr>
      </w:pPr>
      <w:bookmarkStart w:id="3194" w:name="_Toc90462273"/>
      <w:r w:rsidRPr="00271FF1">
        <w:rPr>
          <w:rFonts w:eastAsia="Calibri"/>
        </w:rPr>
        <w:t>Ključne ugotovitve</w:t>
      </w:r>
      <w:bookmarkEnd w:id="3194"/>
    </w:p>
    <w:p w14:paraId="0B2442F3" w14:textId="77777777" w:rsidR="00F679A2" w:rsidRPr="00271FF1" w:rsidRDefault="00F679A2" w:rsidP="005B2A49">
      <w:pPr>
        <w:pStyle w:val="Odstavekseznama"/>
        <w:numPr>
          <w:ilvl w:val="0"/>
          <w:numId w:val="189"/>
        </w:numPr>
        <w:tabs>
          <w:tab w:val="left" w:pos="2160"/>
        </w:tabs>
        <w:spacing w:after="120" w:line="260" w:lineRule="atLeast"/>
        <w:ind w:left="357" w:hanging="357"/>
        <w:rPr>
          <w:rFonts w:ascii="Arial" w:hAnsi="Arial"/>
          <w:sz w:val="22"/>
          <w:szCs w:val="22"/>
          <w:u w:val="single"/>
        </w:rPr>
      </w:pPr>
      <w:r w:rsidRPr="00271FF1">
        <w:rPr>
          <w:rFonts w:ascii="Arial" w:hAnsi="Arial"/>
          <w:sz w:val="22"/>
          <w:szCs w:val="22"/>
        </w:rPr>
        <w:t>Površine intenzivnih sadovnjakov rahlo naraščajo (do 2 % na leto), zmanjšujejo se površine najbolj razširjene sadne vrste jablane, ki obsegajo 52 % površin, nastajajo pa strukturne spremembe z večjo pestrostjo sadnih vrst. Neugodna je starostna struktura intenzivnih sadovnjakov, zato je potrebno okrepiti naložbe, zlasti v postavitev novih nasadov in obnove nasadov. Prevelika je posestna razdrobljenost.</w:t>
      </w:r>
    </w:p>
    <w:p w14:paraId="092915BC" w14:textId="77777777" w:rsidR="00F679A2" w:rsidRPr="00271FF1" w:rsidRDefault="00F679A2" w:rsidP="005B2A49">
      <w:pPr>
        <w:numPr>
          <w:ilvl w:val="0"/>
          <w:numId w:val="189"/>
        </w:numPr>
        <w:spacing w:after="120" w:line="260" w:lineRule="atLeast"/>
        <w:ind w:left="357" w:hanging="357"/>
        <w:rPr>
          <w:szCs w:val="22"/>
        </w:rPr>
      </w:pPr>
      <w:r w:rsidRPr="00271FF1">
        <w:rPr>
          <w:szCs w:val="22"/>
        </w:rPr>
        <w:t>Pridelovalci na trgu niso konkurenčni tako zaradi neustreznih tehnologij pridelave (premajhen tržni delež I. kakovostnega razreda, prenizek hektarski pridelek), neustreznega načina hlajenja in skladiščenja ter priprave za trg, zaradi nizkih cen v Sloveniji oziroma visoke lastne cene v primerjavi z ostalimi konkurenčnimi državami, kot tudi zaradi nepovezanosti pridelovalcev ter preveč obdavčene delovne sile.</w:t>
      </w:r>
    </w:p>
    <w:p w14:paraId="08337C48" w14:textId="77777777" w:rsidR="00F679A2" w:rsidRPr="00271FF1" w:rsidRDefault="00F679A2" w:rsidP="005B2A49">
      <w:pPr>
        <w:numPr>
          <w:ilvl w:val="0"/>
          <w:numId w:val="189"/>
        </w:numPr>
        <w:spacing w:after="120" w:line="260" w:lineRule="atLeast"/>
        <w:ind w:left="357" w:hanging="357"/>
        <w:rPr>
          <w:szCs w:val="22"/>
        </w:rPr>
      </w:pPr>
      <w:r w:rsidRPr="00271FF1">
        <w:rPr>
          <w:szCs w:val="22"/>
        </w:rPr>
        <w:t xml:space="preserve">Spremenjene podnebne spremembe imajo na sadjarstvo v zadnji desetih letih izjemen vpliv, zato bo potrebna še boljša prilagoditev panoge s sodobnejšimi tehnologijami in dodatnimi naložbami, sofinanciranjem zavarovalnih premij in podobno. </w:t>
      </w:r>
    </w:p>
    <w:p w14:paraId="3A33855D" w14:textId="4A1B9F7D" w:rsidR="00F679A2" w:rsidRDefault="00F679A2" w:rsidP="005B2A49">
      <w:pPr>
        <w:numPr>
          <w:ilvl w:val="0"/>
          <w:numId w:val="189"/>
        </w:numPr>
        <w:spacing w:after="120" w:line="260" w:lineRule="atLeast"/>
        <w:ind w:left="357" w:hanging="357"/>
        <w:rPr>
          <w:szCs w:val="22"/>
        </w:rPr>
      </w:pPr>
      <w:r w:rsidRPr="00271FF1">
        <w:rPr>
          <w:szCs w:val="22"/>
        </w:rPr>
        <w:t>Shema kakovosti Izbrana kakovost je v sektorju vzpostavljena od leta 2019, pri čemer bo potrebno še okrepiti promocijske dejavnosti.</w:t>
      </w:r>
    </w:p>
    <w:p w14:paraId="20C25CE6" w14:textId="77777777" w:rsidR="00C25531" w:rsidRPr="00271FF1" w:rsidRDefault="00C25531" w:rsidP="005B2A49">
      <w:pPr>
        <w:spacing w:after="120" w:line="260" w:lineRule="atLeast"/>
        <w:ind w:left="357"/>
        <w:rPr>
          <w:szCs w:val="22"/>
        </w:rPr>
      </w:pPr>
    </w:p>
    <w:p w14:paraId="659004E5" w14:textId="49FD469C" w:rsidR="00F679A2" w:rsidRPr="00271FF1" w:rsidRDefault="00E95B10" w:rsidP="00F679A2">
      <w:pPr>
        <w:pStyle w:val="Naslov2"/>
      </w:pPr>
      <w:bookmarkStart w:id="3195" w:name="_Toc90462274"/>
      <w:r>
        <w:t>Vinogradništvo in vinarstvo</w:t>
      </w:r>
      <w:bookmarkEnd w:id="3195"/>
    </w:p>
    <w:p w14:paraId="6118A34D" w14:textId="77777777" w:rsidR="00F679A2" w:rsidRPr="005B2A49" w:rsidRDefault="00F679A2" w:rsidP="005B2A49">
      <w:pPr>
        <w:spacing w:after="120" w:line="260" w:lineRule="atLeast"/>
        <w:rPr>
          <w:rFonts w:eastAsia="Calibri"/>
          <w:szCs w:val="20"/>
        </w:rPr>
      </w:pPr>
      <w:r w:rsidRPr="005B2A49">
        <w:rPr>
          <w:rFonts w:eastAsia="Calibri"/>
          <w:szCs w:val="20"/>
        </w:rPr>
        <w:t>Vinogradništvo in vinarstvo v Sloveniji predstavljata pomembno kmetijsko panogo, ki ima tudi vidno gospodarsko vlogo in pomen pri ohranjanju kulturne krajine ter ohranjanju poseljenosti slovenskega podeželja. V vrednosti kmetijske proizvodnje</w:t>
      </w:r>
      <w:r w:rsidRPr="005B2A49" w:rsidDel="00A3569E">
        <w:rPr>
          <w:rFonts w:eastAsia="Calibri"/>
          <w:szCs w:val="20"/>
        </w:rPr>
        <w:t xml:space="preserve"> </w:t>
      </w:r>
      <w:r w:rsidRPr="005B2A49">
        <w:rPr>
          <w:rFonts w:eastAsia="Calibri"/>
          <w:szCs w:val="20"/>
        </w:rPr>
        <w:t>imata med rastlinskimi pridelki grozdje in vino skupaj največji delež.</w:t>
      </w:r>
    </w:p>
    <w:p w14:paraId="093DA036" w14:textId="77777777" w:rsidR="00F679A2" w:rsidRPr="005B2A49" w:rsidRDefault="00F679A2" w:rsidP="005B2A49">
      <w:pPr>
        <w:spacing w:after="120" w:line="260" w:lineRule="atLeast"/>
        <w:rPr>
          <w:rFonts w:eastAsia="Calibri"/>
          <w:szCs w:val="20"/>
        </w:rPr>
      </w:pPr>
      <w:r w:rsidRPr="005B2A49">
        <w:rPr>
          <w:rFonts w:eastAsia="Calibri"/>
          <w:szCs w:val="20"/>
        </w:rPr>
        <w:t>Strateški cilji Slovenije na področju vinogradništva in vinarstva so predvsem ohranitev obsega obstoječih vinogradniških površin in izboljšanje velikostne strukture, povečanje produktivnosti in izboljšanje konkurenčnosti panoge, tudi preko povečanja prepoznavnosti slovenskih vin.</w:t>
      </w:r>
    </w:p>
    <w:p w14:paraId="1C37E5ED" w14:textId="77777777" w:rsidR="00F679A2" w:rsidRDefault="00F679A2" w:rsidP="00F679A2">
      <w:pPr>
        <w:pStyle w:val="Naslov3"/>
        <w:rPr>
          <w:rFonts w:eastAsia="Calibri"/>
        </w:rPr>
      </w:pPr>
      <w:bookmarkStart w:id="3196" w:name="_Toc90462275"/>
      <w:r w:rsidRPr="00271FF1">
        <w:rPr>
          <w:rFonts w:eastAsia="Calibri"/>
        </w:rPr>
        <w:t>Stanje v sektorju in osnovni ekonomski kazalniki</w:t>
      </w:r>
      <w:bookmarkEnd w:id="3196"/>
    </w:p>
    <w:p w14:paraId="6C3A5042" w14:textId="1869491B" w:rsidR="00F679A2" w:rsidRPr="005B2A49" w:rsidRDefault="00F679A2" w:rsidP="005B2A49">
      <w:pPr>
        <w:spacing w:after="120" w:line="260" w:lineRule="atLeast"/>
        <w:rPr>
          <w:rFonts w:eastAsia="Calibri"/>
          <w:szCs w:val="20"/>
        </w:rPr>
      </w:pPr>
      <w:r w:rsidRPr="005B2A49">
        <w:rPr>
          <w:rFonts w:eastAsia="Calibri"/>
          <w:szCs w:val="20"/>
        </w:rPr>
        <w:t>Po podatkih zajema rabe kmetijskih zemljišč v letu 2019 imamo v Sloveniji 18.113 ha vinogradov, v register kmetijskih gospodarstev (RKG, 2019) je vpisanih 15.437 ha (zavezani KMG z 0,05 ha in več vinogradov), pridelek se v register pridelovalcev grozdja in vina (RPGV) redno prijavlja iz 14.200 ha (zavezanci KMG z 0,1 ha in več). V primerjavi z letom 2010 je razvidno, da so se površine pod vinogradi po podatkih RKG zmanjšale za 5 %, po zajemu rabe kmetijskih zemljišč pa kar za 18 %, kar kaže na opuščanje predvsem manjših vinogradov. Povprečna površina vinogradov na KMG se nekoliko povečuje in znaša 0,55 ha.</w:t>
      </w:r>
    </w:p>
    <w:p w14:paraId="1425F515"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RPGV je vpisanih skoraj 30.000 pridelovalcev grozdja in skoraj vsi so tudi pridelovalci vina, za stekleničenje je registriranih preko 2.300 pridelovalcev, od tega je 11 večjih (preko 500.000 litrov letno). </w:t>
      </w:r>
    </w:p>
    <w:p w14:paraId="0F37D8E9" w14:textId="7DE4C625" w:rsidR="00F679A2" w:rsidRPr="005B2A49" w:rsidRDefault="00F679A2" w:rsidP="005B2A49">
      <w:pPr>
        <w:spacing w:after="120" w:line="260" w:lineRule="atLeast"/>
        <w:rPr>
          <w:rFonts w:eastAsia="Calibri"/>
          <w:szCs w:val="20"/>
        </w:rPr>
      </w:pPr>
      <w:r w:rsidRPr="005B2A49">
        <w:rPr>
          <w:rFonts w:eastAsia="Calibri"/>
          <w:szCs w:val="20"/>
        </w:rPr>
        <w:t>Značilna je velika razdrobljenost vinogradov, kar 84 % vinogradnikov obdeluje pod 0,5 ha vinogradov, velikost do 1 ha vinogradov pa zajame kar 91 % vseh pridelovalcev. Največja razdrobljenost je na območjih Štajerske Slovenije, Prekmurja, Dolenjske, Bele krajine in Bizeljsko-Sremiča; manj kot 0,5 ha pa obdeluje večina pridelovalcev v vinorodnih območjih Prekmurje (95 %), Dolenjska (94 %) in Bela krajina (93 %).</w:t>
      </w:r>
      <w:r w:rsidR="00C23AC1">
        <w:rPr>
          <w:rFonts w:eastAsia="Calibri"/>
          <w:szCs w:val="20"/>
        </w:rPr>
        <w:t xml:space="preserve"> Strukturno slaba je tudi velikost posameznega vinograda, ki v povprečju znaša manj kot 0,32 ha.</w:t>
      </w:r>
    </w:p>
    <w:p w14:paraId="6C89118C" w14:textId="02DF493D" w:rsidR="00F679A2" w:rsidRDefault="00F679A2" w:rsidP="00F679A2">
      <w:pPr>
        <w:pStyle w:val="SCPreglednica"/>
      </w:pPr>
      <w:bookmarkStart w:id="3197" w:name="_Toc89861019"/>
      <w:r>
        <w:t xml:space="preserve">Tabela </w:t>
      </w:r>
      <w:r>
        <w:rPr>
          <w:noProof/>
        </w:rPr>
        <w:fldChar w:fldCharType="begin"/>
      </w:r>
      <w:r>
        <w:rPr>
          <w:noProof/>
        </w:rPr>
        <w:instrText xml:space="preserve"> SEQ Tabela \* ARABIC </w:instrText>
      </w:r>
      <w:r>
        <w:rPr>
          <w:noProof/>
        </w:rPr>
        <w:fldChar w:fldCharType="separate"/>
      </w:r>
      <w:r w:rsidR="002E0D2A">
        <w:rPr>
          <w:noProof/>
        </w:rPr>
        <w:t>27</w:t>
      </w:r>
      <w:r>
        <w:rPr>
          <w:noProof/>
        </w:rPr>
        <w:fldChar w:fldCharType="end"/>
      </w:r>
      <w:r>
        <w:t xml:space="preserve">: </w:t>
      </w:r>
      <w:r w:rsidRPr="00F14D7D">
        <w:t>Podatek o površinah vinogradov po letih (ha)</w:t>
      </w:r>
      <w:bookmarkEnd w:id="3197"/>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88"/>
        <w:gridCol w:w="789"/>
        <w:gridCol w:w="789"/>
        <w:gridCol w:w="789"/>
        <w:gridCol w:w="789"/>
        <w:gridCol w:w="789"/>
        <w:gridCol w:w="789"/>
        <w:gridCol w:w="789"/>
        <w:gridCol w:w="789"/>
        <w:gridCol w:w="789"/>
      </w:tblGrid>
      <w:tr w:rsidR="00F679A2" w:rsidRPr="003B2B91" w14:paraId="2D3C6E28" w14:textId="77777777" w:rsidTr="00B97309">
        <w:trPr>
          <w:trHeight w:val="261"/>
        </w:trPr>
        <w:tc>
          <w:tcPr>
            <w:tcW w:w="1134" w:type="dxa"/>
            <w:shd w:val="clear" w:color="auto" w:fill="C6D9F1" w:themeFill="text2" w:themeFillTint="33"/>
          </w:tcPr>
          <w:p w14:paraId="61731CD2" w14:textId="77777777" w:rsidR="00F679A2" w:rsidRPr="003B2B91" w:rsidRDefault="00F679A2" w:rsidP="00B97309">
            <w:pPr>
              <w:spacing w:line="360" w:lineRule="auto"/>
              <w:rPr>
                <w:szCs w:val="20"/>
              </w:rPr>
            </w:pPr>
          </w:p>
        </w:tc>
        <w:tc>
          <w:tcPr>
            <w:tcW w:w="788" w:type="dxa"/>
            <w:shd w:val="clear" w:color="auto" w:fill="C6D9F1" w:themeFill="text2" w:themeFillTint="33"/>
          </w:tcPr>
          <w:p w14:paraId="182592F6" w14:textId="77777777" w:rsidR="00F679A2" w:rsidRPr="003B2B91" w:rsidRDefault="00F679A2" w:rsidP="00B97309">
            <w:pPr>
              <w:spacing w:line="360" w:lineRule="auto"/>
              <w:rPr>
                <w:szCs w:val="20"/>
              </w:rPr>
            </w:pPr>
            <w:r w:rsidRPr="003B2B91">
              <w:rPr>
                <w:szCs w:val="20"/>
              </w:rPr>
              <w:t>2010</w:t>
            </w:r>
          </w:p>
        </w:tc>
        <w:tc>
          <w:tcPr>
            <w:tcW w:w="789" w:type="dxa"/>
            <w:shd w:val="clear" w:color="auto" w:fill="C6D9F1" w:themeFill="text2" w:themeFillTint="33"/>
          </w:tcPr>
          <w:p w14:paraId="7483A5B4" w14:textId="77777777" w:rsidR="00F679A2" w:rsidRPr="003B2B91" w:rsidRDefault="00F679A2" w:rsidP="00B97309">
            <w:pPr>
              <w:spacing w:line="360" w:lineRule="auto"/>
              <w:rPr>
                <w:szCs w:val="20"/>
              </w:rPr>
            </w:pPr>
            <w:r w:rsidRPr="003B2B91">
              <w:rPr>
                <w:szCs w:val="20"/>
              </w:rPr>
              <w:t>2011</w:t>
            </w:r>
          </w:p>
        </w:tc>
        <w:tc>
          <w:tcPr>
            <w:tcW w:w="789" w:type="dxa"/>
            <w:shd w:val="clear" w:color="auto" w:fill="C6D9F1" w:themeFill="text2" w:themeFillTint="33"/>
          </w:tcPr>
          <w:p w14:paraId="7978EF63" w14:textId="77777777" w:rsidR="00F679A2" w:rsidRPr="003B2B91" w:rsidRDefault="00F679A2" w:rsidP="00B97309">
            <w:pPr>
              <w:spacing w:line="360" w:lineRule="auto"/>
              <w:rPr>
                <w:szCs w:val="20"/>
              </w:rPr>
            </w:pPr>
            <w:r w:rsidRPr="003B2B91">
              <w:rPr>
                <w:szCs w:val="20"/>
              </w:rPr>
              <w:t>2012</w:t>
            </w:r>
          </w:p>
        </w:tc>
        <w:tc>
          <w:tcPr>
            <w:tcW w:w="789" w:type="dxa"/>
            <w:shd w:val="clear" w:color="auto" w:fill="C6D9F1" w:themeFill="text2" w:themeFillTint="33"/>
          </w:tcPr>
          <w:p w14:paraId="2F8492B1" w14:textId="77777777" w:rsidR="00F679A2" w:rsidRPr="003B2B91" w:rsidRDefault="00F679A2" w:rsidP="00B97309">
            <w:pPr>
              <w:spacing w:line="360" w:lineRule="auto"/>
              <w:rPr>
                <w:szCs w:val="20"/>
              </w:rPr>
            </w:pPr>
            <w:r w:rsidRPr="003B2B91">
              <w:rPr>
                <w:szCs w:val="20"/>
              </w:rPr>
              <w:t>2013</w:t>
            </w:r>
          </w:p>
        </w:tc>
        <w:tc>
          <w:tcPr>
            <w:tcW w:w="789" w:type="dxa"/>
            <w:shd w:val="clear" w:color="auto" w:fill="C6D9F1" w:themeFill="text2" w:themeFillTint="33"/>
          </w:tcPr>
          <w:p w14:paraId="0BFC4F2B" w14:textId="77777777" w:rsidR="00F679A2" w:rsidRPr="003B2B91" w:rsidRDefault="00F679A2" w:rsidP="00B97309">
            <w:pPr>
              <w:spacing w:line="360" w:lineRule="auto"/>
              <w:rPr>
                <w:szCs w:val="20"/>
              </w:rPr>
            </w:pPr>
            <w:r w:rsidRPr="003B2B91">
              <w:rPr>
                <w:szCs w:val="20"/>
              </w:rPr>
              <w:t>2014</w:t>
            </w:r>
          </w:p>
        </w:tc>
        <w:tc>
          <w:tcPr>
            <w:tcW w:w="789" w:type="dxa"/>
            <w:shd w:val="clear" w:color="auto" w:fill="C6D9F1" w:themeFill="text2" w:themeFillTint="33"/>
          </w:tcPr>
          <w:p w14:paraId="6975E74E" w14:textId="77777777" w:rsidR="00F679A2" w:rsidRPr="003B2B91" w:rsidRDefault="00F679A2" w:rsidP="00B97309">
            <w:pPr>
              <w:spacing w:line="360" w:lineRule="auto"/>
              <w:rPr>
                <w:szCs w:val="20"/>
              </w:rPr>
            </w:pPr>
            <w:r w:rsidRPr="003B2B91">
              <w:rPr>
                <w:szCs w:val="20"/>
              </w:rPr>
              <w:t>2015</w:t>
            </w:r>
          </w:p>
        </w:tc>
        <w:tc>
          <w:tcPr>
            <w:tcW w:w="789" w:type="dxa"/>
            <w:shd w:val="clear" w:color="auto" w:fill="C6D9F1" w:themeFill="text2" w:themeFillTint="33"/>
          </w:tcPr>
          <w:p w14:paraId="6B378E80" w14:textId="77777777" w:rsidR="00F679A2" w:rsidRPr="003B2B91" w:rsidRDefault="00F679A2" w:rsidP="00B97309">
            <w:pPr>
              <w:spacing w:line="360" w:lineRule="auto"/>
              <w:rPr>
                <w:szCs w:val="20"/>
              </w:rPr>
            </w:pPr>
            <w:r w:rsidRPr="003B2B91">
              <w:rPr>
                <w:szCs w:val="20"/>
              </w:rPr>
              <w:t>2016</w:t>
            </w:r>
          </w:p>
        </w:tc>
        <w:tc>
          <w:tcPr>
            <w:tcW w:w="789" w:type="dxa"/>
            <w:shd w:val="clear" w:color="auto" w:fill="C6D9F1" w:themeFill="text2" w:themeFillTint="33"/>
          </w:tcPr>
          <w:p w14:paraId="4D62A54F" w14:textId="77777777" w:rsidR="00F679A2" w:rsidRPr="003B2B91" w:rsidRDefault="00F679A2" w:rsidP="00B97309">
            <w:pPr>
              <w:spacing w:line="360" w:lineRule="auto"/>
              <w:rPr>
                <w:szCs w:val="20"/>
              </w:rPr>
            </w:pPr>
            <w:r w:rsidRPr="003B2B91">
              <w:rPr>
                <w:szCs w:val="20"/>
              </w:rPr>
              <w:t>2017</w:t>
            </w:r>
          </w:p>
        </w:tc>
        <w:tc>
          <w:tcPr>
            <w:tcW w:w="789" w:type="dxa"/>
            <w:shd w:val="clear" w:color="auto" w:fill="C6D9F1" w:themeFill="text2" w:themeFillTint="33"/>
          </w:tcPr>
          <w:p w14:paraId="5C6C9540" w14:textId="77777777" w:rsidR="00F679A2" w:rsidRPr="003B2B91" w:rsidRDefault="00F679A2" w:rsidP="00B97309">
            <w:pPr>
              <w:spacing w:line="360" w:lineRule="auto"/>
              <w:rPr>
                <w:szCs w:val="20"/>
              </w:rPr>
            </w:pPr>
            <w:r w:rsidRPr="003B2B91">
              <w:rPr>
                <w:szCs w:val="20"/>
              </w:rPr>
              <w:t>2018</w:t>
            </w:r>
          </w:p>
        </w:tc>
        <w:tc>
          <w:tcPr>
            <w:tcW w:w="789" w:type="dxa"/>
            <w:shd w:val="clear" w:color="auto" w:fill="C6D9F1" w:themeFill="text2" w:themeFillTint="33"/>
          </w:tcPr>
          <w:p w14:paraId="4CA69203" w14:textId="77777777" w:rsidR="00F679A2" w:rsidRPr="003B2B91" w:rsidRDefault="00F679A2" w:rsidP="00B97309">
            <w:pPr>
              <w:spacing w:line="360" w:lineRule="auto"/>
              <w:rPr>
                <w:szCs w:val="20"/>
              </w:rPr>
            </w:pPr>
            <w:r w:rsidRPr="003B2B91">
              <w:rPr>
                <w:szCs w:val="20"/>
              </w:rPr>
              <w:t>2019</w:t>
            </w:r>
          </w:p>
        </w:tc>
      </w:tr>
      <w:tr w:rsidR="00F679A2" w:rsidRPr="003B2B91" w14:paraId="1A5F0B1F" w14:textId="77777777" w:rsidTr="00B97309">
        <w:trPr>
          <w:trHeight w:val="261"/>
        </w:trPr>
        <w:tc>
          <w:tcPr>
            <w:tcW w:w="1134" w:type="dxa"/>
          </w:tcPr>
          <w:p w14:paraId="025AD20C" w14:textId="77777777" w:rsidR="00F679A2" w:rsidRPr="00726070" w:rsidRDefault="00F679A2" w:rsidP="00B97309">
            <w:pPr>
              <w:spacing w:line="360" w:lineRule="auto"/>
              <w:rPr>
                <w:sz w:val="18"/>
                <w:szCs w:val="20"/>
              </w:rPr>
            </w:pPr>
            <w:r w:rsidRPr="00726070">
              <w:rPr>
                <w:sz w:val="18"/>
                <w:szCs w:val="20"/>
              </w:rPr>
              <w:t>RKG</w:t>
            </w:r>
          </w:p>
        </w:tc>
        <w:tc>
          <w:tcPr>
            <w:tcW w:w="788" w:type="dxa"/>
          </w:tcPr>
          <w:p w14:paraId="7138BDD8" w14:textId="77777777" w:rsidR="00F679A2" w:rsidRPr="005718B1" w:rsidRDefault="00F679A2" w:rsidP="00B97309">
            <w:pPr>
              <w:spacing w:line="360" w:lineRule="auto"/>
              <w:rPr>
                <w:sz w:val="18"/>
                <w:szCs w:val="18"/>
              </w:rPr>
            </w:pPr>
            <w:r w:rsidRPr="005718B1">
              <w:rPr>
                <w:sz w:val="18"/>
                <w:szCs w:val="18"/>
              </w:rPr>
              <w:t>16.214</w:t>
            </w:r>
          </w:p>
        </w:tc>
        <w:tc>
          <w:tcPr>
            <w:tcW w:w="789" w:type="dxa"/>
          </w:tcPr>
          <w:p w14:paraId="28D7FD1C" w14:textId="77777777" w:rsidR="00F679A2" w:rsidRPr="005718B1" w:rsidRDefault="00F679A2" w:rsidP="00B97309">
            <w:pPr>
              <w:spacing w:line="360" w:lineRule="auto"/>
              <w:rPr>
                <w:sz w:val="18"/>
                <w:szCs w:val="18"/>
              </w:rPr>
            </w:pPr>
            <w:r w:rsidRPr="005718B1">
              <w:rPr>
                <w:sz w:val="18"/>
                <w:szCs w:val="18"/>
              </w:rPr>
              <w:t>16.082</w:t>
            </w:r>
          </w:p>
        </w:tc>
        <w:tc>
          <w:tcPr>
            <w:tcW w:w="789" w:type="dxa"/>
          </w:tcPr>
          <w:p w14:paraId="0115EC79" w14:textId="77777777" w:rsidR="00F679A2" w:rsidRPr="005718B1" w:rsidRDefault="00F679A2" w:rsidP="00B97309">
            <w:pPr>
              <w:spacing w:line="360" w:lineRule="auto"/>
              <w:rPr>
                <w:sz w:val="18"/>
                <w:szCs w:val="18"/>
              </w:rPr>
            </w:pPr>
            <w:r w:rsidRPr="005718B1">
              <w:rPr>
                <w:sz w:val="18"/>
                <w:szCs w:val="18"/>
              </w:rPr>
              <w:t>16.141</w:t>
            </w:r>
          </w:p>
        </w:tc>
        <w:tc>
          <w:tcPr>
            <w:tcW w:w="789" w:type="dxa"/>
          </w:tcPr>
          <w:p w14:paraId="411D9481" w14:textId="77777777" w:rsidR="00F679A2" w:rsidRPr="005718B1" w:rsidRDefault="00F679A2" w:rsidP="00B97309">
            <w:pPr>
              <w:spacing w:line="360" w:lineRule="auto"/>
              <w:rPr>
                <w:sz w:val="18"/>
                <w:szCs w:val="18"/>
              </w:rPr>
            </w:pPr>
            <w:r w:rsidRPr="005718B1">
              <w:rPr>
                <w:sz w:val="18"/>
                <w:szCs w:val="18"/>
              </w:rPr>
              <w:t>15.993</w:t>
            </w:r>
          </w:p>
        </w:tc>
        <w:tc>
          <w:tcPr>
            <w:tcW w:w="789" w:type="dxa"/>
          </w:tcPr>
          <w:p w14:paraId="26D6FBB2" w14:textId="77777777" w:rsidR="00F679A2" w:rsidRPr="005718B1" w:rsidRDefault="00F679A2" w:rsidP="00B97309">
            <w:pPr>
              <w:spacing w:line="360" w:lineRule="auto"/>
              <w:rPr>
                <w:sz w:val="18"/>
                <w:szCs w:val="18"/>
              </w:rPr>
            </w:pPr>
            <w:r w:rsidRPr="005718B1">
              <w:rPr>
                <w:sz w:val="18"/>
                <w:szCs w:val="18"/>
              </w:rPr>
              <w:t>15.773</w:t>
            </w:r>
          </w:p>
        </w:tc>
        <w:tc>
          <w:tcPr>
            <w:tcW w:w="789" w:type="dxa"/>
          </w:tcPr>
          <w:p w14:paraId="2082B102" w14:textId="77777777" w:rsidR="00F679A2" w:rsidRPr="005718B1" w:rsidRDefault="00F679A2" w:rsidP="00B97309">
            <w:pPr>
              <w:spacing w:line="360" w:lineRule="auto"/>
              <w:rPr>
                <w:sz w:val="18"/>
                <w:szCs w:val="18"/>
              </w:rPr>
            </w:pPr>
            <w:r w:rsidRPr="005718B1">
              <w:rPr>
                <w:sz w:val="18"/>
                <w:szCs w:val="18"/>
              </w:rPr>
              <w:t>15.694</w:t>
            </w:r>
          </w:p>
        </w:tc>
        <w:tc>
          <w:tcPr>
            <w:tcW w:w="789" w:type="dxa"/>
          </w:tcPr>
          <w:p w14:paraId="50CD6F4B" w14:textId="77777777" w:rsidR="00F679A2" w:rsidRPr="005718B1" w:rsidRDefault="00F679A2" w:rsidP="00B97309">
            <w:pPr>
              <w:spacing w:line="360" w:lineRule="auto"/>
              <w:rPr>
                <w:sz w:val="18"/>
                <w:szCs w:val="18"/>
              </w:rPr>
            </w:pPr>
            <w:r w:rsidRPr="005718B1">
              <w:rPr>
                <w:sz w:val="18"/>
                <w:szCs w:val="18"/>
              </w:rPr>
              <w:t>15.573</w:t>
            </w:r>
          </w:p>
        </w:tc>
        <w:tc>
          <w:tcPr>
            <w:tcW w:w="789" w:type="dxa"/>
          </w:tcPr>
          <w:p w14:paraId="74337AB7" w14:textId="77777777" w:rsidR="00F679A2" w:rsidRPr="005718B1" w:rsidRDefault="00F679A2" w:rsidP="00B97309">
            <w:pPr>
              <w:spacing w:line="360" w:lineRule="auto"/>
              <w:rPr>
                <w:sz w:val="18"/>
                <w:szCs w:val="18"/>
              </w:rPr>
            </w:pPr>
            <w:r w:rsidRPr="005718B1">
              <w:rPr>
                <w:sz w:val="18"/>
                <w:szCs w:val="18"/>
              </w:rPr>
              <w:t>15.555</w:t>
            </w:r>
          </w:p>
        </w:tc>
        <w:tc>
          <w:tcPr>
            <w:tcW w:w="789" w:type="dxa"/>
          </w:tcPr>
          <w:p w14:paraId="75F7C2F3" w14:textId="77777777" w:rsidR="00F679A2" w:rsidRPr="005718B1" w:rsidRDefault="00F679A2" w:rsidP="00B97309">
            <w:pPr>
              <w:spacing w:line="360" w:lineRule="auto"/>
              <w:rPr>
                <w:sz w:val="18"/>
                <w:szCs w:val="18"/>
              </w:rPr>
            </w:pPr>
            <w:r w:rsidRPr="005718B1">
              <w:rPr>
                <w:sz w:val="18"/>
                <w:szCs w:val="18"/>
              </w:rPr>
              <w:t>15.661</w:t>
            </w:r>
          </w:p>
        </w:tc>
        <w:tc>
          <w:tcPr>
            <w:tcW w:w="789" w:type="dxa"/>
          </w:tcPr>
          <w:p w14:paraId="3CFEE9E0" w14:textId="77777777" w:rsidR="00F679A2" w:rsidRPr="005718B1" w:rsidRDefault="00F679A2" w:rsidP="00B97309">
            <w:pPr>
              <w:spacing w:line="360" w:lineRule="auto"/>
              <w:rPr>
                <w:sz w:val="18"/>
                <w:szCs w:val="18"/>
              </w:rPr>
            </w:pPr>
            <w:r w:rsidRPr="005718B1">
              <w:rPr>
                <w:sz w:val="18"/>
                <w:szCs w:val="18"/>
              </w:rPr>
              <w:t>15.437</w:t>
            </w:r>
          </w:p>
        </w:tc>
      </w:tr>
      <w:tr w:rsidR="00F679A2" w:rsidRPr="003B2B91" w14:paraId="3885CEE1" w14:textId="77777777" w:rsidTr="00B97309">
        <w:trPr>
          <w:trHeight w:val="261"/>
        </w:trPr>
        <w:tc>
          <w:tcPr>
            <w:tcW w:w="1134" w:type="dxa"/>
          </w:tcPr>
          <w:p w14:paraId="4B3A6872" w14:textId="77777777" w:rsidR="00F679A2" w:rsidRPr="00726070" w:rsidRDefault="00F679A2" w:rsidP="00B97309">
            <w:pPr>
              <w:spacing w:line="360" w:lineRule="auto"/>
              <w:rPr>
                <w:sz w:val="18"/>
                <w:szCs w:val="20"/>
              </w:rPr>
            </w:pPr>
            <w:r w:rsidRPr="00726070">
              <w:rPr>
                <w:sz w:val="18"/>
                <w:szCs w:val="20"/>
              </w:rPr>
              <w:t>Raba kmetijskih zemljišč</w:t>
            </w:r>
          </w:p>
        </w:tc>
        <w:tc>
          <w:tcPr>
            <w:tcW w:w="788" w:type="dxa"/>
          </w:tcPr>
          <w:p w14:paraId="1AC5C27F" w14:textId="77777777" w:rsidR="00F679A2" w:rsidRPr="005718B1" w:rsidRDefault="00F679A2" w:rsidP="00B97309">
            <w:pPr>
              <w:spacing w:line="360" w:lineRule="auto"/>
              <w:rPr>
                <w:sz w:val="18"/>
                <w:szCs w:val="18"/>
              </w:rPr>
            </w:pPr>
            <w:r w:rsidRPr="005718B1">
              <w:rPr>
                <w:sz w:val="18"/>
                <w:szCs w:val="18"/>
              </w:rPr>
              <w:t>22.201</w:t>
            </w:r>
          </w:p>
        </w:tc>
        <w:tc>
          <w:tcPr>
            <w:tcW w:w="789" w:type="dxa"/>
          </w:tcPr>
          <w:p w14:paraId="2FC336E3" w14:textId="77777777" w:rsidR="00F679A2" w:rsidRPr="005718B1" w:rsidRDefault="00F679A2" w:rsidP="00B97309">
            <w:pPr>
              <w:spacing w:line="360" w:lineRule="auto"/>
              <w:rPr>
                <w:sz w:val="18"/>
                <w:szCs w:val="18"/>
              </w:rPr>
            </w:pPr>
            <w:r w:rsidRPr="005718B1">
              <w:rPr>
                <w:sz w:val="18"/>
                <w:szCs w:val="18"/>
              </w:rPr>
              <w:t>21.489</w:t>
            </w:r>
          </w:p>
        </w:tc>
        <w:tc>
          <w:tcPr>
            <w:tcW w:w="789" w:type="dxa"/>
          </w:tcPr>
          <w:p w14:paraId="6F1D7782" w14:textId="77777777" w:rsidR="00F679A2" w:rsidRPr="005718B1" w:rsidRDefault="00F679A2" w:rsidP="00B97309">
            <w:pPr>
              <w:spacing w:line="360" w:lineRule="auto"/>
              <w:rPr>
                <w:sz w:val="18"/>
                <w:szCs w:val="18"/>
              </w:rPr>
            </w:pPr>
            <w:r w:rsidRPr="005718B1">
              <w:rPr>
                <w:sz w:val="18"/>
                <w:szCs w:val="18"/>
              </w:rPr>
              <w:t>21.256</w:t>
            </w:r>
          </w:p>
        </w:tc>
        <w:tc>
          <w:tcPr>
            <w:tcW w:w="789" w:type="dxa"/>
          </w:tcPr>
          <w:p w14:paraId="587E9649" w14:textId="77777777" w:rsidR="00F679A2" w:rsidRPr="005718B1" w:rsidRDefault="00F679A2" w:rsidP="00B97309">
            <w:pPr>
              <w:spacing w:line="360" w:lineRule="auto"/>
              <w:rPr>
                <w:sz w:val="18"/>
                <w:szCs w:val="18"/>
              </w:rPr>
            </w:pPr>
            <w:r w:rsidRPr="005718B1">
              <w:rPr>
                <w:sz w:val="18"/>
                <w:szCs w:val="18"/>
              </w:rPr>
              <w:t>19.671</w:t>
            </w:r>
          </w:p>
        </w:tc>
        <w:tc>
          <w:tcPr>
            <w:tcW w:w="789" w:type="dxa"/>
          </w:tcPr>
          <w:p w14:paraId="0B584344" w14:textId="77777777" w:rsidR="00F679A2" w:rsidRPr="005718B1" w:rsidRDefault="00F679A2" w:rsidP="00B97309">
            <w:pPr>
              <w:spacing w:line="360" w:lineRule="auto"/>
              <w:rPr>
                <w:sz w:val="18"/>
                <w:szCs w:val="18"/>
              </w:rPr>
            </w:pPr>
            <w:r w:rsidRPr="005718B1">
              <w:rPr>
                <w:sz w:val="18"/>
                <w:szCs w:val="18"/>
              </w:rPr>
              <w:t>19.312</w:t>
            </w:r>
          </w:p>
        </w:tc>
        <w:tc>
          <w:tcPr>
            <w:tcW w:w="789" w:type="dxa"/>
          </w:tcPr>
          <w:p w14:paraId="54194BE3" w14:textId="77777777" w:rsidR="00F679A2" w:rsidRPr="005718B1" w:rsidRDefault="00F679A2" w:rsidP="00B97309">
            <w:pPr>
              <w:spacing w:line="360" w:lineRule="auto"/>
              <w:rPr>
                <w:sz w:val="18"/>
                <w:szCs w:val="18"/>
              </w:rPr>
            </w:pPr>
            <w:r w:rsidRPr="005718B1">
              <w:rPr>
                <w:sz w:val="18"/>
                <w:szCs w:val="18"/>
              </w:rPr>
              <w:t>19.140</w:t>
            </w:r>
          </w:p>
        </w:tc>
        <w:tc>
          <w:tcPr>
            <w:tcW w:w="789" w:type="dxa"/>
          </w:tcPr>
          <w:p w14:paraId="6981288A" w14:textId="77777777" w:rsidR="00F679A2" w:rsidRPr="005718B1" w:rsidRDefault="00F679A2" w:rsidP="00B97309">
            <w:pPr>
              <w:spacing w:line="360" w:lineRule="auto"/>
              <w:rPr>
                <w:sz w:val="18"/>
                <w:szCs w:val="18"/>
              </w:rPr>
            </w:pPr>
            <w:r w:rsidRPr="005718B1">
              <w:rPr>
                <w:sz w:val="18"/>
                <w:szCs w:val="18"/>
              </w:rPr>
              <w:t>18.976</w:t>
            </w:r>
          </w:p>
        </w:tc>
        <w:tc>
          <w:tcPr>
            <w:tcW w:w="789" w:type="dxa"/>
          </w:tcPr>
          <w:p w14:paraId="1AFD379D" w14:textId="77777777" w:rsidR="00F679A2" w:rsidRPr="005718B1" w:rsidRDefault="00F679A2" w:rsidP="00B97309">
            <w:pPr>
              <w:spacing w:line="360" w:lineRule="auto"/>
              <w:rPr>
                <w:sz w:val="18"/>
                <w:szCs w:val="18"/>
              </w:rPr>
            </w:pPr>
            <w:r w:rsidRPr="005718B1">
              <w:rPr>
                <w:sz w:val="18"/>
                <w:szCs w:val="18"/>
              </w:rPr>
              <w:t>18.696</w:t>
            </w:r>
          </w:p>
        </w:tc>
        <w:tc>
          <w:tcPr>
            <w:tcW w:w="789" w:type="dxa"/>
          </w:tcPr>
          <w:p w14:paraId="7F4B30B6" w14:textId="77777777" w:rsidR="00F679A2" w:rsidRPr="005718B1" w:rsidRDefault="00F679A2" w:rsidP="00B97309">
            <w:pPr>
              <w:spacing w:line="360" w:lineRule="auto"/>
              <w:rPr>
                <w:sz w:val="18"/>
                <w:szCs w:val="18"/>
              </w:rPr>
            </w:pPr>
            <w:r w:rsidRPr="005718B1">
              <w:rPr>
                <w:sz w:val="18"/>
                <w:szCs w:val="18"/>
              </w:rPr>
              <w:t>18.463</w:t>
            </w:r>
          </w:p>
        </w:tc>
        <w:tc>
          <w:tcPr>
            <w:tcW w:w="789" w:type="dxa"/>
          </w:tcPr>
          <w:p w14:paraId="0298BC8B" w14:textId="77777777" w:rsidR="00F679A2" w:rsidRPr="005718B1" w:rsidRDefault="00F679A2" w:rsidP="00B97309">
            <w:pPr>
              <w:spacing w:line="360" w:lineRule="auto"/>
              <w:rPr>
                <w:sz w:val="18"/>
                <w:szCs w:val="18"/>
              </w:rPr>
            </w:pPr>
            <w:r w:rsidRPr="005718B1">
              <w:rPr>
                <w:sz w:val="18"/>
                <w:szCs w:val="18"/>
              </w:rPr>
              <w:t>18.113</w:t>
            </w:r>
          </w:p>
        </w:tc>
      </w:tr>
    </w:tbl>
    <w:p w14:paraId="005E51EE" w14:textId="77777777" w:rsidR="00F679A2" w:rsidRPr="005718B1" w:rsidRDefault="00F679A2" w:rsidP="00F679A2">
      <w:pPr>
        <w:spacing w:line="360" w:lineRule="auto"/>
        <w:rPr>
          <w:color w:val="000000" w:themeColor="text1"/>
          <w:sz w:val="16"/>
          <w:szCs w:val="16"/>
        </w:rPr>
      </w:pPr>
      <w:r w:rsidRPr="005718B1">
        <w:rPr>
          <w:color w:val="000000" w:themeColor="text1"/>
          <w:sz w:val="16"/>
          <w:szCs w:val="16"/>
        </w:rPr>
        <w:t>Vir: RKG</w:t>
      </w:r>
      <w:r>
        <w:rPr>
          <w:color w:val="000000" w:themeColor="text1"/>
          <w:sz w:val="16"/>
          <w:szCs w:val="16"/>
        </w:rPr>
        <w:t>-2020</w:t>
      </w:r>
    </w:p>
    <w:p w14:paraId="3D79C6D1" w14:textId="53DFCD6A" w:rsidR="00F679A2" w:rsidRPr="005B2A49" w:rsidRDefault="00F679A2" w:rsidP="005B2A49">
      <w:pPr>
        <w:spacing w:after="120" w:line="260" w:lineRule="atLeast"/>
        <w:rPr>
          <w:rFonts w:eastAsia="Calibri"/>
          <w:szCs w:val="20"/>
        </w:rPr>
      </w:pPr>
      <w:r w:rsidRPr="005B2A49">
        <w:rPr>
          <w:rFonts w:eastAsia="Calibri"/>
          <w:szCs w:val="20"/>
        </w:rPr>
        <w:t xml:space="preserve">Letno se obnovi ali na novo zasadi v povprečju dobrih 300 ha vinogradov, kar ne zadostuje za enostavno reprodukcijo. Posledično se slabša starostna struktura vinogradov: 12 % vinogradov je starejših od 40 let, medtem ko je bilo pred 15 leti takih le 4 %. Največji delež mladih vinogradov (do 25 let) je na Primorskem (70 %), medtem ko jih je v Podravju in Posavju le dobra polovica. Situacija se </w:t>
      </w:r>
      <w:r w:rsidR="00C23AC1">
        <w:rPr>
          <w:rFonts w:eastAsia="Calibri"/>
          <w:szCs w:val="20"/>
        </w:rPr>
        <w:t xml:space="preserve">je </w:t>
      </w:r>
      <w:r w:rsidRPr="005B2A49">
        <w:rPr>
          <w:rFonts w:eastAsia="Calibri"/>
          <w:szCs w:val="20"/>
        </w:rPr>
        <w:t>nekoliko izboljš</w:t>
      </w:r>
      <w:r w:rsidR="00C23AC1">
        <w:rPr>
          <w:rFonts w:eastAsia="Calibri"/>
          <w:szCs w:val="20"/>
        </w:rPr>
        <w:t>ala</w:t>
      </w:r>
      <w:r w:rsidRPr="005B2A49">
        <w:rPr>
          <w:rFonts w:eastAsia="Calibri"/>
          <w:szCs w:val="20"/>
        </w:rPr>
        <w:t xml:space="preserve"> v zadnjih treh letih, ko je bilo na novo zasajenih po skoraj 400 ha vinogradov letno</w:t>
      </w:r>
      <w:r w:rsidR="00C23AC1">
        <w:rPr>
          <w:rFonts w:eastAsia="Calibri"/>
          <w:szCs w:val="20"/>
        </w:rPr>
        <w:t>, v letu 2020 in 2021 pa se je zaradi epidemije spet nekoliko poslabšala</w:t>
      </w:r>
      <w:r w:rsidRPr="005B2A49">
        <w:rPr>
          <w:rFonts w:eastAsia="Calibri"/>
          <w:szCs w:val="20"/>
        </w:rPr>
        <w:t>.</w:t>
      </w:r>
    </w:p>
    <w:p w14:paraId="03CD11FA" w14:textId="77777777" w:rsidR="00F679A2" w:rsidRPr="005B2A49" w:rsidRDefault="00F679A2" w:rsidP="005B2A49">
      <w:pPr>
        <w:spacing w:after="120" w:line="260" w:lineRule="atLeast"/>
        <w:rPr>
          <w:rFonts w:eastAsia="Calibri"/>
          <w:szCs w:val="20"/>
        </w:rPr>
      </w:pPr>
      <w:r w:rsidRPr="005B2A49">
        <w:rPr>
          <w:rFonts w:eastAsia="Calibri"/>
          <w:szCs w:val="20"/>
        </w:rPr>
        <w:t>Strmo narašča vključenost kmetijskih gospodarstev v ekološko pridelavo grozdja - v letu 2019 je bilo vključenih že 412 kmetijskih gospodarstev s 704 ha vinogradov, po drugi strani kot posledica ukinitve podpore za integrirano pridelavo upada vključenost v integrirano pridelavo grozdja.</w:t>
      </w:r>
    </w:p>
    <w:p w14:paraId="6D3761B5" w14:textId="77777777" w:rsidR="00F679A2" w:rsidRPr="005B2A49" w:rsidRDefault="00F679A2" w:rsidP="005B2A49">
      <w:pPr>
        <w:spacing w:after="120" w:line="260" w:lineRule="atLeast"/>
        <w:rPr>
          <w:rFonts w:eastAsia="Calibri"/>
          <w:szCs w:val="20"/>
        </w:rPr>
      </w:pPr>
      <w:r w:rsidRPr="005B2A49">
        <w:rPr>
          <w:rFonts w:eastAsia="Calibri"/>
          <w:szCs w:val="20"/>
        </w:rPr>
        <w:t>Letno se pridela med 63 in 89 mio litri vina, pri čemer ga je cca. 20 % za samooskrbo – registrirane pridelave je tako 45-55 mio litrov letno. Glavnino pridelka predstavljajo kakovostna vina z zaščitenim geografskim poreklom (70 %). Večina grozdja se pridela na kmetijah (80 %), večje kleti – podjetja odkupijo znaten delež in pridelajo od tretjine do polovice letne količine vina.</w:t>
      </w:r>
    </w:p>
    <w:p w14:paraId="00AC5E4F" w14:textId="2839DD53" w:rsidR="00F679A2" w:rsidRDefault="00F679A2" w:rsidP="00F679A2">
      <w:pPr>
        <w:pStyle w:val="SCPreglednica"/>
      </w:pPr>
      <w:bookmarkStart w:id="3198" w:name="_Toc89861020"/>
      <w:r>
        <w:t xml:space="preserve">Tabela </w:t>
      </w:r>
      <w:r>
        <w:rPr>
          <w:noProof/>
        </w:rPr>
        <w:fldChar w:fldCharType="begin"/>
      </w:r>
      <w:r>
        <w:rPr>
          <w:noProof/>
        </w:rPr>
        <w:instrText xml:space="preserve"> SEQ Tabela \* ARABIC </w:instrText>
      </w:r>
      <w:r>
        <w:rPr>
          <w:noProof/>
        </w:rPr>
        <w:fldChar w:fldCharType="separate"/>
      </w:r>
      <w:r w:rsidR="002E0D2A">
        <w:rPr>
          <w:noProof/>
        </w:rPr>
        <w:t>28</w:t>
      </w:r>
      <w:r>
        <w:rPr>
          <w:noProof/>
        </w:rPr>
        <w:fldChar w:fldCharType="end"/>
      </w:r>
      <w:r>
        <w:t xml:space="preserve">: </w:t>
      </w:r>
      <w:r w:rsidRPr="00D874C5">
        <w:t xml:space="preserve">Količina pridelka </w:t>
      </w:r>
      <w:r w:rsidR="00C23AC1">
        <w:t xml:space="preserve">vina </w:t>
      </w:r>
      <w:r w:rsidRPr="00D874C5">
        <w:t>po letih, prijavljena v RPGV (v 1000 litrih)</w:t>
      </w:r>
      <w:bookmarkEnd w:id="319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1"/>
        <w:gridCol w:w="820"/>
        <w:gridCol w:w="821"/>
        <w:gridCol w:w="820"/>
        <w:gridCol w:w="821"/>
        <w:gridCol w:w="820"/>
        <w:gridCol w:w="820"/>
        <w:gridCol w:w="821"/>
        <w:gridCol w:w="821"/>
        <w:gridCol w:w="870"/>
      </w:tblGrid>
      <w:tr w:rsidR="00C23AC1" w:rsidRPr="003B2B91" w14:paraId="46FFBC5E" w14:textId="77777777" w:rsidTr="00C23AC1">
        <w:trPr>
          <w:trHeight w:val="261"/>
        </w:trPr>
        <w:tc>
          <w:tcPr>
            <w:tcW w:w="817" w:type="dxa"/>
            <w:shd w:val="clear" w:color="auto" w:fill="C6D9F1" w:themeFill="text2" w:themeFillTint="33"/>
          </w:tcPr>
          <w:p w14:paraId="6FAAB26C" w14:textId="77777777" w:rsidR="00C23AC1" w:rsidRPr="003B2B91" w:rsidRDefault="00C23AC1" w:rsidP="00B97309">
            <w:pPr>
              <w:spacing w:line="360" w:lineRule="auto"/>
              <w:rPr>
                <w:szCs w:val="20"/>
              </w:rPr>
            </w:pPr>
          </w:p>
        </w:tc>
        <w:tc>
          <w:tcPr>
            <w:tcW w:w="821" w:type="dxa"/>
            <w:shd w:val="clear" w:color="auto" w:fill="C6D9F1" w:themeFill="text2" w:themeFillTint="33"/>
          </w:tcPr>
          <w:p w14:paraId="45BD8D77" w14:textId="77777777" w:rsidR="00C23AC1" w:rsidRPr="003B2B91" w:rsidRDefault="00C23AC1" w:rsidP="00B97309">
            <w:pPr>
              <w:spacing w:line="360" w:lineRule="auto"/>
              <w:rPr>
                <w:szCs w:val="20"/>
              </w:rPr>
            </w:pPr>
            <w:r w:rsidRPr="003B2B91">
              <w:rPr>
                <w:szCs w:val="20"/>
              </w:rPr>
              <w:t>2010</w:t>
            </w:r>
          </w:p>
        </w:tc>
        <w:tc>
          <w:tcPr>
            <w:tcW w:w="820" w:type="dxa"/>
            <w:shd w:val="clear" w:color="auto" w:fill="C6D9F1" w:themeFill="text2" w:themeFillTint="33"/>
          </w:tcPr>
          <w:p w14:paraId="13E8E6A7" w14:textId="77777777" w:rsidR="00C23AC1" w:rsidRPr="003B2B91" w:rsidRDefault="00C23AC1" w:rsidP="00B97309">
            <w:pPr>
              <w:spacing w:line="360" w:lineRule="auto"/>
              <w:rPr>
                <w:szCs w:val="20"/>
              </w:rPr>
            </w:pPr>
            <w:r w:rsidRPr="003B2B91">
              <w:rPr>
                <w:szCs w:val="20"/>
              </w:rPr>
              <w:t>2011</w:t>
            </w:r>
          </w:p>
        </w:tc>
        <w:tc>
          <w:tcPr>
            <w:tcW w:w="821" w:type="dxa"/>
            <w:shd w:val="clear" w:color="auto" w:fill="C6D9F1" w:themeFill="text2" w:themeFillTint="33"/>
          </w:tcPr>
          <w:p w14:paraId="68E545AB" w14:textId="77777777" w:rsidR="00C23AC1" w:rsidRPr="003B2B91" w:rsidRDefault="00C23AC1" w:rsidP="00B97309">
            <w:pPr>
              <w:spacing w:line="360" w:lineRule="auto"/>
              <w:rPr>
                <w:szCs w:val="20"/>
              </w:rPr>
            </w:pPr>
            <w:r w:rsidRPr="003B2B91">
              <w:rPr>
                <w:szCs w:val="20"/>
              </w:rPr>
              <w:t>2012</w:t>
            </w:r>
          </w:p>
        </w:tc>
        <w:tc>
          <w:tcPr>
            <w:tcW w:w="820" w:type="dxa"/>
            <w:shd w:val="clear" w:color="auto" w:fill="C6D9F1" w:themeFill="text2" w:themeFillTint="33"/>
          </w:tcPr>
          <w:p w14:paraId="3EAEA962" w14:textId="77777777" w:rsidR="00C23AC1" w:rsidRPr="003B2B91" w:rsidRDefault="00C23AC1" w:rsidP="00B97309">
            <w:pPr>
              <w:spacing w:line="360" w:lineRule="auto"/>
              <w:rPr>
                <w:szCs w:val="20"/>
              </w:rPr>
            </w:pPr>
            <w:r w:rsidRPr="003B2B91">
              <w:rPr>
                <w:szCs w:val="20"/>
              </w:rPr>
              <w:t>2013</w:t>
            </w:r>
          </w:p>
        </w:tc>
        <w:tc>
          <w:tcPr>
            <w:tcW w:w="821" w:type="dxa"/>
            <w:shd w:val="clear" w:color="auto" w:fill="C6D9F1" w:themeFill="text2" w:themeFillTint="33"/>
          </w:tcPr>
          <w:p w14:paraId="4DA4DC88" w14:textId="77777777" w:rsidR="00C23AC1" w:rsidRPr="003B2B91" w:rsidRDefault="00C23AC1" w:rsidP="00B97309">
            <w:pPr>
              <w:spacing w:line="360" w:lineRule="auto"/>
              <w:rPr>
                <w:szCs w:val="20"/>
              </w:rPr>
            </w:pPr>
            <w:r w:rsidRPr="003B2B91">
              <w:rPr>
                <w:szCs w:val="20"/>
              </w:rPr>
              <w:t>2014</w:t>
            </w:r>
          </w:p>
        </w:tc>
        <w:tc>
          <w:tcPr>
            <w:tcW w:w="820" w:type="dxa"/>
            <w:shd w:val="clear" w:color="auto" w:fill="C6D9F1" w:themeFill="text2" w:themeFillTint="33"/>
          </w:tcPr>
          <w:p w14:paraId="48AD35A2" w14:textId="77777777" w:rsidR="00C23AC1" w:rsidRPr="003B2B91" w:rsidRDefault="00C23AC1" w:rsidP="00B97309">
            <w:pPr>
              <w:spacing w:line="360" w:lineRule="auto"/>
              <w:rPr>
                <w:szCs w:val="20"/>
              </w:rPr>
            </w:pPr>
            <w:r w:rsidRPr="003B2B91">
              <w:rPr>
                <w:szCs w:val="20"/>
              </w:rPr>
              <w:t>2015</w:t>
            </w:r>
          </w:p>
        </w:tc>
        <w:tc>
          <w:tcPr>
            <w:tcW w:w="820" w:type="dxa"/>
            <w:shd w:val="clear" w:color="auto" w:fill="C6D9F1" w:themeFill="text2" w:themeFillTint="33"/>
          </w:tcPr>
          <w:p w14:paraId="37EF54BB" w14:textId="77777777" w:rsidR="00C23AC1" w:rsidRPr="003B2B91" w:rsidRDefault="00C23AC1" w:rsidP="00B97309">
            <w:pPr>
              <w:spacing w:line="360" w:lineRule="auto"/>
              <w:rPr>
                <w:szCs w:val="20"/>
              </w:rPr>
            </w:pPr>
            <w:r w:rsidRPr="003B2B91">
              <w:rPr>
                <w:szCs w:val="20"/>
              </w:rPr>
              <w:t>2016</w:t>
            </w:r>
          </w:p>
        </w:tc>
        <w:tc>
          <w:tcPr>
            <w:tcW w:w="821" w:type="dxa"/>
            <w:shd w:val="clear" w:color="auto" w:fill="C6D9F1" w:themeFill="text2" w:themeFillTint="33"/>
          </w:tcPr>
          <w:p w14:paraId="73924B58" w14:textId="77777777" w:rsidR="00C23AC1" w:rsidRPr="003B2B91" w:rsidRDefault="00C23AC1" w:rsidP="00B97309">
            <w:pPr>
              <w:spacing w:line="360" w:lineRule="auto"/>
              <w:rPr>
                <w:szCs w:val="20"/>
              </w:rPr>
            </w:pPr>
            <w:r w:rsidRPr="003B2B91">
              <w:rPr>
                <w:szCs w:val="20"/>
              </w:rPr>
              <w:t>2017</w:t>
            </w:r>
          </w:p>
        </w:tc>
        <w:tc>
          <w:tcPr>
            <w:tcW w:w="821" w:type="dxa"/>
            <w:shd w:val="clear" w:color="auto" w:fill="C6D9F1" w:themeFill="text2" w:themeFillTint="33"/>
          </w:tcPr>
          <w:p w14:paraId="4E615EC3" w14:textId="77777777" w:rsidR="00C23AC1" w:rsidRPr="003B2B91" w:rsidRDefault="00C23AC1" w:rsidP="00B97309">
            <w:pPr>
              <w:spacing w:line="360" w:lineRule="auto"/>
              <w:rPr>
                <w:szCs w:val="20"/>
              </w:rPr>
            </w:pPr>
            <w:r w:rsidRPr="003B2B91">
              <w:rPr>
                <w:szCs w:val="20"/>
              </w:rPr>
              <w:t>2018</w:t>
            </w:r>
          </w:p>
        </w:tc>
        <w:tc>
          <w:tcPr>
            <w:tcW w:w="870" w:type="dxa"/>
            <w:shd w:val="clear" w:color="auto" w:fill="C6D9F1" w:themeFill="text2" w:themeFillTint="33"/>
          </w:tcPr>
          <w:p w14:paraId="087D38FB" w14:textId="77777777" w:rsidR="00C23AC1" w:rsidRPr="003B2B91" w:rsidRDefault="00C23AC1" w:rsidP="00B97309">
            <w:pPr>
              <w:spacing w:line="360" w:lineRule="auto"/>
              <w:rPr>
                <w:szCs w:val="20"/>
              </w:rPr>
            </w:pPr>
            <w:r w:rsidRPr="003B2B91">
              <w:rPr>
                <w:szCs w:val="20"/>
              </w:rPr>
              <w:t>2019</w:t>
            </w:r>
          </w:p>
        </w:tc>
      </w:tr>
      <w:tr w:rsidR="00C23AC1" w:rsidRPr="003B2B91" w14:paraId="6E4E5FF9" w14:textId="77777777" w:rsidTr="00C23AC1">
        <w:trPr>
          <w:trHeight w:val="261"/>
        </w:trPr>
        <w:tc>
          <w:tcPr>
            <w:tcW w:w="817" w:type="dxa"/>
          </w:tcPr>
          <w:p w14:paraId="5BEA2B0D" w14:textId="77777777" w:rsidR="00C23AC1" w:rsidRPr="005718B1" w:rsidRDefault="00C23AC1" w:rsidP="00B97309">
            <w:pPr>
              <w:spacing w:line="360" w:lineRule="auto"/>
              <w:rPr>
                <w:sz w:val="16"/>
                <w:szCs w:val="16"/>
              </w:rPr>
            </w:pPr>
            <w:r w:rsidRPr="005718B1">
              <w:rPr>
                <w:sz w:val="16"/>
                <w:szCs w:val="16"/>
              </w:rPr>
              <w:t>Pridelek</w:t>
            </w:r>
          </w:p>
        </w:tc>
        <w:tc>
          <w:tcPr>
            <w:tcW w:w="821" w:type="dxa"/>
          </w:tcPr>
          <w:p w14:paraId="47A0F43A" w14:textId="77777777" w:rsidR="00C23AC1" w:rsidRPr="005718B1" w:rsidRDefault="00C23AC1" w:rsidP="00B97309">
            <w:pPr>
              <w:spacing w:line="360" w:lineRule="auto"/>
              <w:rPr>
                <w:sz w:val="18"/>
                <w:szCs w:val="18"/>
              </w:rPr>
            </w:pPr>
            <w:r w:rsidRPr="005718B1">
              <w:rPr>
                <w:sz w:val="18"/>
                <w:szCs w:val="18"/>
              </w:rPr>
              <w:t>49.379</w:t>
            </w:r>
          </w:p>
        </w:tc>
        <w:tc>
          <w:tcPr>
            <w:tcW w:w="820" w:type="dxa"/>
          </w:tcPr>
          <w:p w14:paraId="04C641B8" w14:textId="77777777" w:rsidR="00C23AC1" w:rsidRPr="005718B1" w:rsidRDefault="00C23AC1" w:rsidP="00B97309">
            <w:pPr>
              <w:spacing w:line="360" w:lineRule="auto"/>
              <w:rPr>
                <w:sz w:val="18"/>
                <w:szCs w:val="18"/>
              </w:rPr>
            </w:pPr>
            <w:r w:rsidRPr="005718B1">
              <w:rPr>
                <w:sz w:val="18"/>
                <w:szCs w:val="18"/>
              </w:rPr>
              <w:t>57.582</w:t>
            </w:r>
          </w:p>
        </w:tc>
        <w:tc>
          <w:tcPr>
            <w:tcW w:w="821" w:type="dxa"/>
          </w:tcPr>
          <w:p w14:paraId="44D3F1DB" w14:textId="77777777" w:rsidR="00C23AC1" w:rsidRPr="005718B1" w:rsidRDefault="00C23AC1" w:rsidP="00B97309">
            <w:pPr>
              <w:spacing w:line="360" w:lineRule="auto"/>
              <w:rPr>
                <w:sz w:val="18"/>
                <w:szCs w:val="18"/>
              </w:rPr>
            </w:pPr>
            <w:r w:rsidRPr="005718B1">
              <w:rPr>
                <w:sz w:val="18"/>
                <w:szCs w:val="18"/>
              </w:rPr>
              <w:t>44.810</w:t>
            </w:r>
          </w:p>
        </w:tc>
        <w:tc>
          <w:tcPr>
            <w:tcW w:w="820" w:type="dxa"/>
          </w:tcPr>
          <w:p w14:paraId="11F23960" w14:textId="77777777" w:rsidR="00C23AC1" w:rsidRPr="005718B1" w:rsidRDefault="00C23AC1" w:rsidP="00B97309">
            <w:pPr>
              <w:spacing w:line="360" w:lineRule="auto"/>
              <w:rPr>
                <w:sz w:val="18"/>
                <w:szCs w:val="18"/>
              </w:rPr>
            </w:pPr>
            <w:r w:rsidRPr="005718B1">
              <w:rPr>
                <w:sz w:val="18"/>
                <w:szCs w:val="18"/>
              </w:rPr>
              <w:t>54.243</w:t>
            </w:r>
          </w:p>
        </w:tc>
        <w:tc>
          <w:tcPr>
            <w:tcW w:w="821" w:type="dxa"/>
          </w:tcPr>
          <w:p w14:paraId="148FD10C" w14:textId="77777777" w:rsidR="00C23AC1" w:rsidRPr="005718B1" w:rsidRDefault="00C23AC1" w:rsidP="00B97309">
            <w:pPr>
              <w:spacing w:line="360" w:lineRule="auto"/>
              <w:rPr>
                <w:sz w:val="18"/>
                <w:szCs w:val="18"/>
              </w:rPr>
            </w:pPr>
            <w:r w:rsidRPr="005718B1">
              <w:rPr>
                <w:sz w:val="18"/>
                <w:szCs w:val="18"/>
              </w:rPr>
              <w:t>47.827</w:t>
            </w:r>
          </w:p>
        </w:tc>
        <w:tc>
          <w:tcPr>
            <w:tcW w:w="820" w:type="dxa"/>
          </w:tcPr>
          <w:p w14:paraId="6C538389" w14:textId="77777777" w:rsidR="00C23AC1" w:rsidRPr="005718B1" w:rsidRDefault="00C23AC1" w:rsidP="00B97309">
            <w:pPr>
              <w:spacing w:line="360" w:lineRule="auto"/>
              <w:rPr>
                <w:sz w:val="18"/>
                <w:szCs w:val="18"/>
              </w:rPr>
            </w:pPr>
            <w:r w:rsidRPr="005718B1">
              <w:rPr>
                <w:sz w:val="18"/>
                <w:szCs w:val="18"/>
              </w:rPr>
              <w:t>62.285</w:t>
            </w:r>
          </w:p>
        </w:tc>
        <w:tc>
          <w:tcPr>
            <w:tcW w:w="820" w:type="dxa"/>
          </w:tcPr>
          <w:p w14:paraId="5AEA183A" w14:textId="77777777" w:rsidR="00C23AC1" w:rsidRPr="005718B1" w:rsidRDefault="00C23AC1" w:rsidP="00B97309">
            <w:pPr>
              <w:spacing w:line="360" w:lineRule="auto"/>
              <w:rPr>
                <w:sz w:val="18"/>
                <w:szCs w:val="18"/>
              </w:rPr>
            </w:pPr>
            <w:r w:rsidRPr="005718B1">
              <w:rPr>
                <w:sz w:val="18"/>
                <w:szCs w:val="18"/>
              </w:rPr>
              <w:t>52.461</w:t>
            </w:r>
          </w:p>
        </w:tc>
        <w:tc>
          <w:tcPr>
            <w:tcW w:w="821" w:type="dxa"/>
          </w:tcPr>
          <w:p w14:paraId="61B053D7" w14:textId="77777777" w:rsidR="00C23AC1" w:rsidRPr="005718B1" w:rsidRDefault="00C23AC1" w:rsidP="00B97309">
            <w:pPr>
              <w:spacing w:line="360" w:lineRule="auto"/>
              <w:rPr>
                <w:sz w:val="18"/>
                <w:szCs w:val="18"/>
              </w:rPr>
            </w:pPr>
            <w:r w:rsidRPr="005718B1">
              <w:rPr>
                <w:sz w:val="18"/>
                <w:szCs w:val="18"/>
              </w:rPr>
              <w:t>53.565</w:t>
            </w:r>
          </w:p>
        </w:tc>
        <w:tc>
          <w:tcPr>
            <w:tcW w:w="821" w:type="dxa"/>
          </w:tcPr>
          <w:p w14:paraId="448D5917" w14:textId="77777777" w:rsidR="00C23AC1" w:rsidRPr="005718B1" w:rsidRDefault="00C23AC1" w:rsidP="00B97309">
            <w:pPr>
              <w:spacing w:line="360" w:lineRule="auto"/>
              <w:rPr>
                <w:sz w:val="18"/>
                <w:szCs w:val="18"/>
              </w:rPr>
            </w:pPr>
            <w:r w:rsidRPr="005718B1">
              <w:rPr>
                <w:sz w:val="18"/>
                <w:szCs w:val="18"/>
              </w:rPr>
              <w:t>68.132</w:t>
            </w:r>
          </w:p>
        </w:tc>
        <w:tc>
          <w:tcPr>
            <w:tcW w:w="870" w:type="dxa"/>
          </w:tcPr>
          <w:p w14:paraId="7D9F961A" w14:textId="77777777" w:rsidR="00C23AC1" w:rsidRPr="005718B1" w:rsidRDefault="00C23AC1" w:rsidP="00B97309">
            <w:pPr>
              <w:spacing w:line="360" w:lineRule="auto"/>
              <w:rPr>
                <w:sz w:val="18"/>
                <w:szCs w:val="18"/>
              </w:rPr>
            </w:pPr>
            <w:r w:rsidRPr="005718B1">
              <w:rPr>
                <w:sz w:val="18"/>
                <w:szCs w:val="18"/>
              </w:rPr>
              <w:t>56.199</w:t>
            </w:r>
          </w:p>
        </w:tc>
      </w:tr>
    </w:tbl>
    <w:p w14:paraId="4FC4CF76" w14:textId="77777777" w:rsidR="00F679A2" w:rsidRPr="003B2B91" w:rsidRDefault="00F679A2" w:rsidP="00F679A2">
      <w:pPr>
        <w:spacing w:line="360" w:lineRule="auto"/>
        <w:rPr>
          <w:szCs w:val="20"/>
        </w:rPr>
      </w:pPr>
      <w:r w:rsidRPr="005718B1">
        <w:rPr>
          <w:sz w:val="16"/>
          <w:szCs w:val="16"/>
        </w:rPr>
        <w:t>Vir: RPGV</w:t>
      </w:r>
      <w:r>
        <w:rPr>
          <w:sz w:val="16"/>
          <w:szCs w:val="16"/>
        </w:rPr>
        <w:t>-2020</w:t>
      </w:r>
    </w:p>
    <w:p w14:paraId="4C57D362"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Zaloge vina so odvisne predvsem od pretekle letine in se gibljejo med 30 in 40 mio litri letno, zaradi obilne letine 2018 so v letu 2019 poskočile na 48 mio litrov. </w:t>
      </w:r>
    </w:p>
    <w:p w14:paraId="6055378F" w14:textId="49215810" w:rsidR="00F679A2" w:rsidRPr="005B2A49" w:rsidRDefault="00F679A2" w:rsidP="005B2A49">
      <w:pPr>
        <w:spacing w:after="120" w:line="260" w:lineRule="atLeast"/>
        <w:rPr>
          <w:rFonts w:eastAsia="Calibri"/>
          <w:szCs w:val="20"/>
        </w:rPr>
      </w:pPr>
      <w:r w:rsidRPr="005B2A49">
        <w:rPr>
          <w:rFonts w:eastAsia="Calibri"/>
          <w:szCs w:val="20"/>
        </w:rPr>
        <w:t xml:space="preserve">Količinsko je bilanca zunanje trgovine z vinom od leta 2006 negativna, vrednostno pa dokaj izenačena. Izvoz vina se je leta 2019 količinsko sicer zmanjšal za dobrih 20 % na 5,33 mio litrov, vrednostno pa povečal za 4 % na 16 mio evrov in je bil za 18 % nad povprečjem zadnjih petih let. Uvoz vina, ki se je v letih 2013–2015 intenzivno povečeval, se zadnja štiri leta zmanjšuje. Leta 2019 je bilo uvoženih 9,75 mio litrov vina, kar je 23 % manj vina kot v povprečju zadnjih petih let. V uvozu vina prevladuje vino brez označbe porekla in geografske označbe, ki ga glede na strukturo pridelave in potrošnje primanjkuje, izvažamo </w:t>
      </w:r>
      <w:r w:rsidR="003F5847">
        <w:rPr>
          <w:rFonts w:eastAsia="Calibri"/>
          <w:szCs w:val="20"/>
        </w:rPr>
        <w:t>predvsem vino z označbo porekla, ki ga tudi največ pridelamo</w:t>
      </w:r>
      <w:r w:rsidRPr="005B2A49">
        <w:rPr>
          <w:rFonts w:eastAsia="Calibri"/>
          <w:szCs w:val="20"/>
        </w:rPr>
        <w:t>. Glavni trgi za slovensko vino so: Nemčija, ZDA, Hrvaška, Nizozemska, Bosna in Hercegovina ter v zadnjih letih Češka. Glavne države izvoznice na naš trg so: Makedonija, Italija, Nemčija in Madžarska. Po podatkih SURS znaša poraba vina v Sloveniji 37,8 litra/leto na prebivalca (2018/2019).</w:t>
      </w:r>
    </w:p>
    <w:p w14:paraId="40414470" w14:textId="77777777" w:rsidR="00F679A2" w:rsidRPr="005B2A49" w:rsidRDefault="00F679A2" w:rsidP="005B2A49">
      <w:pPr>
        <w:spacing w:after="120" w:line="260" w:lineRule="atLeast"/>
        <w:rPr>
          <w:rFonts w:eastAsia="Calibri"/>
          <w:szCs w:val="20"/>
        </w:rPr>
      </w:pPr>
      <w:r w:rsidRPr="005B2A49">
        <w:rPr>
          <w:rFonts w:eastAsia="Calibri"/>
          <w:szCs w:val="20"/>
        </w:rPr>
        <w:t>Po letu 2007 predstavljata grozdje in vino skupaj od 9,2 % do 14,6 % vrednosti kmetijske proizvodnje, kar je največ med rastlinskimi pridelki, v vrednosti rastlinske pridelave pa je ta delež od 17,5 % do 25,2 %. V letu 2019 je grozdje k skupni vrednosti kmetijske proizvodnje prispevalo 1,5 %, vino pa 12,6 %, kar je pri grozdju in vinu na ravni leta 2018 in nad povprečjem zadnjega petletnega obdobja (2014–2018).</w:t>
      </w:r>
    </w:p>
    <w:p w14:paraId="22EB4E36" w14:textId="77777777" w:rsidR="00F679A2" w:rsidRPr="005B2A49" w:rsidRDefault="00F679A2" w:rsidP="005B2A49">
      <w:pPr>
        <w:spacing w:after="120" w:line="260" w:lineRule="atLeast"/>
        <w:rPr>
          <w:rFonts w:eastAsia="Calibri"/>
          <w:szCs w:val="20"/>
        </w:rPr>
      </w:pPr>
      <w:r w:rsidRPr="005B2A49">
        <w:rPr>
          <w:rFonts w:eastAsia="Calibri"/>
          <w:szCs w:val="20"/>
        </w:rPr>
        <w:t>Odkupne cene grozdja so v porastu in so se v letu 2019 ponovno nekoliko zvišale po znižanju v letu prej.</w:t>
      </w:r>
    </w:p>
    <w:p w14:paraId="38243912" w14:textId="618E435A" w:rsidR="00F679A2" w:rsidRDefault="00F679A2" w:rsidP="00F679A2">
      <w:pPr>
        <w:pStyle w:val="SCPreglednica"/>
      </w:pPr>
      <w:bookmarkStart w:id="3199" w:name="_Toc89861021"/>
      <w:r>
        <w:t xml:space="preserve">Tabela </w:t>
      </w:r>
      <w:r>
        <w:rPr>
          <w:noProof/>
        </w:rPr>
        <w:fldChar w:fldCharType="begin"/>
      </w:r>
      <w:r>
        <w:rPr>
          <w:noProof/>
        </w:rPr>
        <w:instrText xml:space="preserve"> SEQ Tabela \* ARABIC </w:instrText>
      </w:r>
      <w:r>
        <w:rPr>
          <w:noProof/>
        </w:rPr>
        <w:fldChar w:fldCharType="separate"/>
      </w:r>
      <w:r w:rsidR="002E0D2A">
        <w:rPr>
          <w:noProof/>
        </w:rPr>
        <w:t>29</w:t>
      </w:r>
      <w:r>
        <w:rPr>
          <w:noProof/>
        </w:rPr>
        <w:fldChar w:fldCharType="end"/>
      </w:r>
      <w:r>
        <w:t xml:space="preserve">: </w:t>
      </w:r>
      <w:r w:rsidRPr="00D874C5">
        <w:t>Povprečna cena odkupljenega grozdja</w:t>
      </w:r>
      <w:bookmarkEnd w:id="3199"/>
    </w:p>
    <w:tbl>
      <w:tblPr>
        <w:tblW w:w="80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91"/>
        <w:gridCol w:w="630"/>
        <w:gridCol w:w="630"/>
        <w:gridCol w:w="630"/>
        <w:gridCol w:w="630"/>
        <w:gridCol w:w="630"/>
        <w:gridCol w:w="630"/>
        <w:gridCol w:w="630"/>
        <w:gridCol w:w="630"/>
        <w:gridCol w:w="630"/>
        <w:gridCol w:w="630"/>
      </w:tblGrid>
      <w:tr w:rsidR="00F679A2" w:rsidRPr="003B2B91" w14:paraId="14542101" w14:textId="77777777" w:rsidTr="00B97309">
        <w:trPr>
          <w:trHeight w:val="300"/>
        </w:trPr>
        <w:tc>
          <w:tcPr>
            <w:tcW w:w="2191" w:type="dxa"/>
            <w:shd w:val="clear" w:color="auto" w:fill="C6D9F1" w:themeFill="text2" w:themeFillTint="33"/>
            <w:noWrap/>
            <w:vAlign w:val="bottom"/>
          </w:tcPr>
          <w:p w14:paraId="60AE3E01" w14:textId="77777777" w:rsidR="00F679A2" w:rsidRPr="003B2B91" w:rsidRDefault="00F679A2" w:rsidP="00B97309">
            <w:pPr>
              <w:spacing w:line="360" w:lineRule="auto"/>
              <w:jc w:val="left"/>
              <w:rPr>
                <w:bCs/>
                <w:szCs w:val="20"/>
              </w:rPr>
            </w:pPr>
            <w:r w:rsidRPr="003B2B91">
              <w:rPr>
                <w:bCs/>
                <w:szCs w:val="20"/>
              </w:rPr>
              <w:t>Povprečna cena (EUR)</w:t>
            </w:r>
          </w:p>
        </w:tc>
        <w:tc>
          <w:tcPr>
            <w:tcW w:w="587" w:type="dxa"/>
            <w:shd w:val="clear" w:color="auto" w:fill="C6D9F1" w:themeFill="text2" w:themeFillTint="33"/>
            <w:vAlign w:val="center"/>
          </w:tcPr>
          <w:p w14:paraId="178D9DBC" w14:textId="77777777" w:rsidR="00F679A2" w:rsidRPr="003B2B91" w:rsidRDefault="00F679A2" w:rsidP="00B97309">
            <w:pPr>
              <w:spacing w:line="360" w:lineRule="auto"/>
              <w:jc w:val="right"/>
              <w:rPr>
                <w:bCs/>
                <w:szCs w:val="20"/>
              </w:rPr>
            </w:pPr>
            <w:r w:rsidRPr="003B2B91">
              <w:rPr>
                <w:bCs/>
                <w:szCs w:val="20"/>
              </w:rPr>
              <w:t>2010</w:t>
            </w:r>
          </w:p>
        </w:tc>
        <w:tc>
          <w:tcPr>
            <w:tcW w:w="587" w:type="dxa"/>
            <w:shd w:val="clear" w:color="auto" w:fill="C6D9F1" w:themeFill="text2" w:themeFillTint="33"/>
            <w:vAlign w:val="center"/>
          </w:tcPr>
          <w:p w14:paraId="2EE8E1F5" w14:textId="77777777" w:rsidR="00F679A2" w:rsidRPr="003B2B91" w:rsidRDefault="00F679A2" w:rsidP="00B97309">
            <w:pPr>
              <w:spacing w:line="360" w:lineRule="auto"/>
              <w:jc w:val="right"/>
              <w:rPr>
                <w:bCs/>
                <w:szCs w:val="20"/>
              </w:rPr>
            </w:pPr>
            <w:r w:rsidRPr="003B2B91">
              <w:rPr>
                <w:bCs/>
                <w:szCs w:val="20"/>
              </w:rPr>
              <w:t>2011</w:t>
            </w:r>
          </w:p>
        </w:tc>
        <w:tc>
          <w:tcPr>
            <w:tcW w:w="587" w:type="dxa"/>
            <w:shd w:val="clear" w:color="auto" w:fill="C6D9F1" w:themeFill="text2" w:themeFillTint="33"/>
            <w:vAlign w:val="center"/>
          </w:tcPr>
          <w:p w14:paraId="3731315F" w14:textId="77777777" w:rsidR="00F679A2" w:rsidRPr="003B2B91" w:rsidRDefault="00F679A2" w:rsidP="00B97309">
            <w:pPr>
              <w:spacing w:line="360" w:lineRule="auto"/>
              <w:jc w:val="right"/>
              <w:rPr>
                <w:bCs/>
                <w:szCs w:val="20"/>
              </w:rPr>
            </w:pPr>
            <w:r w:rsidRPr="003B2B91">
              <w:rPr>
                <w:bCs/>
                <w:szCs w:val="20"/>
              </w:rPr>
              <w:t>2012</w:t>
            </w:r>
          </w:p>
        </w:tc>
        <w:tc>
          <w:tcPr>
            <w:tcW w:w="587" w:type="dxa"/>
            <w:shd w:val="clear" w:color="auto" w:fill="C6D9F1" w:themeFill="text2" w:themeFillTint="33"/>
            <w:noWrap/>
            <w:vAlign w:val="center"/>
          </w:tcPr>
          <w:p w14:paraId="753FDA48" w14:textId="77777777" w:rsidR="00F679A2" w:rsidRPr="003B2B91" w:rsidRDefault="00F679A2" w:rsidP="00B97309">
            <w:pPr>
              <w:spacing w:line="360" w:lineRule="auto"/>
              <w:jc w:val="right"/>
              <w:rPr>
                <w:bCs/>
                <w:szCs w:val="20"/>
              </w:rPr>
            </w:pPr>
            <w:r w:rsidRPr="003B2B91">
              <w:rPr>
                <w:bCs/>
                <w:szCs w:val="20"/>
              </w:rPr>
              <w:t>2013</w:t>
            </w:r>
          </w:p>
        </w:tc>
        <w:tc>
          <w:tcPr>
            <w:tcW w:w="587" w:type="dxa"/>
            <w:shd w:val="clear" w:color="auto" w:fill="C6D9F1" w:themeFill="text2" w:themeFillTint="33"/>
            <w:noWrap/>
            <w:vAlign w:val="center"/>
          </w:tcPr>
          <w:p w14:paraId="2DA5F504" w14:textId="77777777" w:rsidR="00F679A2" w:rsidRPr="003B2B91" w:rsidRDefault="00F679A2" w:rsidP="00B97309">
            <w:pPr>
              <w:spacing w:line="360" w:lineRule="auto"/>
              <w:jc w:val="right"/>
              <w:rPr>
                <w:bCs/>
                <w:szCs w:val="20"/>
              </w:rPr>
            </w:pPr>
            <w:r w:rsidRPr="003B2B91">
              <w:rPr>
                <w:bCs/>
                <w:szCs w:val="20"/>
              </w:rPr>
              <w:t>2014</w:t>
            </w:r>
          </w:p>
        </w:tc>
        <w:tc>
          <w:tcPr>
            <w:tcW w:w="587" w:type="dxa"/>
            <w:shd w:val="clear" w:color="auto" w:fill="C6D9F1" w:themeFill="text2" w:themeFillTint="33"/>
            <w:noWrap/>
            <w:vAlign w:val="center"/>
          </w:tcPr>
          <w:p w14:paraId="52B573D7" w14:textId="77777777" w:rsidR="00F679A2" w:rsidRPr="003B2B91" w:rsidRDefault="00F679A2" w:rsidP="00B97309">
            <w:pPr>
              <w:spacing w:line="360" w:lineRule="auto"/>
              <w:jc w:val="right"/>
              <w:rPr>
                <w:bCs/>
                <w:szCs w:val="20"/>
              </w:rPr>
            </w:pPr>
            <w:r w:rsidRPr="003B2B91">
              <w:rPr>
                <w:bCs/>
                <w:szCs w:val="20"/>
              </w:rPr>
              <w:t>2015</w:t>
            </w:r>
          </w:p>
        </w:tc>
        <w:tc>
          <w:tcPr>
            <w:tcW w:w="587" w:type="dxa"/>
            <w:shd w:val="clear" w:color="auto" w:fill="C6D9F1" w:themeFill="text2" w:themeFillTint="33"/>
            <w:noWrap/>
            <w:vAlign w:val="center"/>
          </w:tcPr>
          <w:p w14:paraId="1629F3B2" w14:textId="77777777" w:rsidR="00F679A2" w:rsidRPr="003B2B91" w:rsidRDefault="00F679A2" w:rsidP="00B97309">
            <w:pPr>
              <w:spacing w:line="360" w:lineRule="auto"/>
              <w:jc w:val="right"/>
              <w:rPr>
                <w:bCs/>
                <w:szCs w:val="20"/>
              </w:rPr>
            </w:pPr>
            <w:r w:rsidRPr="003B2B91">
              <w:rPr>
                <w:bCs/>
                <w:szCs w:val="20"/>
              </w:rPr>
              <w:t>2016</w:t>
            </w:r>
          </w:p>
        </w:tc>
        <w:tc>
          <w:tcPr>
            <w:tcW w:w="629" w:type="dxa"/>
            <w:shd w:val="clear" w:color="auto" w:fill="C6D9F1" w:themeFill="text2" w:themeFillTint="33"/>
            <w:noWrap/>
            <w:vAlign w:val="center"/>
          </w:tcPr>
          <w:p w14:paraId="6276BF6A" w14:textId="77777777" w:rsidR="00F679A2" w:rsidRPr="003B2B91" w:rsidRDefault="00F679A2" w:rsidP="00B97309">
            <w:pPr>
              <w:spacing w:line="360" w:lineRule="auto"/>
              <w:jc w:val="right"/>
              <w:rPr>
                <w:bCs/>
                <w:szCs w:val="20"/>
              </w:rPr>
            </w:pPr>
            <w:r w:rsidRPr="003B2B91">
              <w:rPr>
                <w:bCs/>
                <w:szCs w:val="20"/>
              </w:rPr>
              <w:t>2017</w:t>
            </w:r>
          </w:p>
        </w:tc>
        <w:tc>
          <w:tcPr>
            <w:tcW w:w="585" w:type="dxa"/>
            <w:shd w:val="clear" w:color="auto" w:fill="C6D9F1" w:themeFill="text2" w:themeFillTint="33"/>
            <w:noWrap/>
            <w:vAlign w:val="center"/>
          </w:tcPr>
          <w:p w14:paraId="009A37DA" w14:textId="77777777" w:rsidR="00F679A2" w:rsidRPr="003B2B91" w:rsidRDefault="00F679A2" w:rsidP="00B97309">
            <w:pPr>
              <w:spacing w:line="360" w:lineRule="auto"/>
              <w:jc w:val="right"/>
              <w:rPr>
                <w:bCs/>
                <w:szCs w:val="20"/>
              </w:rPr>
            </w:pPr>
            <w:r w:rsidRPr="003B2B91">
              <w:rPr>
                <w:bCs/>
                <w:szCs w:val="20"/>
              </w:rPr>
              <w:t>2018</w:t>
            </w:r>
          </w:p>
        </w:tc>
        <w:tc>
          <w:tcPr>
            <w:tcW w:w="585" w:type="dxa"/>
            <w:shd w:val="clear" w:color="auto" w:fill="C6D9F1" w:themeFill="text2" w:themeFillTint="33"/>
            <w:vAlign w:val="center"/>
          </w:tcPr>
          <w:p w14:paraId="375D60B7" w14:textId="77777777" w:rsidR="00F679A2" w:rsidRPr="003B2B91" w:rsidRDefault="00F679A2" w:rsidP="00B97309">
            <w:pPr>
              <w:spacing w:line="360" w:lineRule="auto"/>
              <w:jc w:val="right"/>
              <w:rPr>
                <w:bCs/>
                <w:szCs w:val="20"/>
              </w:rPr>
            </w:pPr>
            <w:r w:rsidRPr="003B2B91">
              <w:rPr>
                <w:bCs/>
                <w:szCs w:val="20"/>
              </w:rPr>
              <w:t>2019</w:t>
            </w:r>
          </w:p>
        </w:tc>
      </w:tr>
      <w:tr w:rsidR="00F679A2" w:rsidRPr="003B2B91" w14:paraId="22D7190C" w14:textId="77777777" w:rsidTr="00B97309">
        <w:trPr>
          <w:trHeight w:val="300"/>
        </w:trPr>
        <w:tc>
          <w:tcPr>
            <w:tcW w:w="2191" w:type="dxa"/>
            <w:noWrap/>
            <w:vAlign w:val="bottom"/>
          </w:tcPr>
          <w:p w14:paraId="7A82DE1B" w14:textId="77777777" w:rsidR="00F679A2" w:rsidRPr="003B2B91" w:rsidRDefault="00F679A2" w:rsidP="00B97309">
            <w:pPr>
              <w:spacing w:line="360" w:lineRule="auto"/>
              <w:jc w:val="left"/>
              <w:rPr>
                <w:bCs/>
                <w:szCs w:val="20"/>
              </w:rPr>
            </w:pPr>
            <w:r w:rsidRPr="003B2B91">
              <w:rPr>
                <w:bCs/>
                <w:szCs w:val="20"/>
              </w:rPr>
              <w:t>Grozdje za predelavo</w:t>
            </w:r>
          </w:p>
        </w:tc>
        <w:tc>
          <w:tcPr>
            <w:tcW w:w="587" w:type="dxa"/>
            <w:vAlign w:val="center"/>
          </w:tcPr>
          <w:p w14:paraId="098F9B3D" w14:textId="77777777" w:rsidR="00F679A2" w:rsidRPr="003B2B91" w:rsidRDefault="00F679A2" w:rsidP="00B97309">
            <w:pPr>
              <w:spacing w:line="360" w:lineRule="auto"/>
              <w:jc w:val="right"/>
              <w:rPr>
                <w:szCs w:val="20"/>
              </w:rPr>
            </w:pPr>
            <w:r w:rsidRPr="003B2B91">
              <w:rPr>
                <w:szCs w:val="20"/>
              </w:rPr>
              <w:t>0,45</w:t>
            </w:r>
          </w:p>
        </w:tc>
        <w:tc>
          <w:tcPr>
            <w:tcW w:w="587" w:type="dxa"/>
            <w:vAlign w:val="center"/>
          </w:tcPr>
          <w:p w14:paraId="65431626" w14:textId="77777777" w:rsidR="00F679A2" w:rsidRPr="003B2B91" w:rsidRDefault="00F679A2" w:rsidP="00B97309">
            <w:pPr>
              <w:spacing w:line="360" w:lineRule="auto"/>
              <w:jc w:val="right"/>
              <w:rPr>
                <w:szCs w:val="20"/>
              </w:rPr>
            </w:pPr>
            <w:r w:rsidRPr="003B2B91">
              <w:rPr>
                <w:szCs w:val="20"/>
              </w:rPr>
              <w:t>0,43</w:t>
            </w:r>
          </w:p>
        </w:tc>
        <w:tc>
          <w:tcPr>
            <w:tcW w:w="587" w:type="dxa"/>
            <w:vAlign w:val="center"/>
          </w:tcPr>
          <w:p w14:paraId="59B5A956" w14:textId="77777777" w:rsidR="00F679A2" w:rsidRPr="003B2B91" w:rsidRDefault="00F679A2" w:rsidP="00B97309">
            <w:pPr>
              <w:spacing w:line="360" w:lineRule="auto"/>
              <w:jc w:val="right"/>
              <w:rPr>
                <w:szCs w:val="20"/>
              </w:rPr>
            </w:pPr>
            <w:r w:rsidRPr="003B2B91">
              <w:rPr>
                <w:szCs w:val="20"/>
              </w:rPr>
              <w:t>0,47</w:t>
            </w:r>
          </w:p>
        </w:tc>
        <w:tc>
          <w:tcPr>
            <w:tcW w:w="587" w:type="dxa"/>
            <w:noWrap/>
            <w:vAlign w:val="center"/>
          </w:tcPr>
          <w:p w14:paraId="292E39E9" w14:textId="77777777" w:rsidR="00F679A2" w:rsidRPr="003B2B91" w:rsidRDefault="00F679A2" w:rsidP="00B97309">
            <w:pPr>
              <w:spacing w:line="360" w:lineRule="auto"/>
              <w:jc w:val="right"/>
              <w:rPr>
                <w:szCs w:val="20"/>
              </w:rPr>
            </w:pPr>
            <w:r w:rsidRPr="003B2B91">
              <w:rPr>
                <w:szCs w:val="20"/>
              </w:rPr>
              <w:t>0,46</w:t>
            </w:r>
          </w:p>
        </w:tc>
        <w:tc>
          <w:tcPr>
            <w:tcW w:w="587" w:type="dxa"/>
            <w:noWrap/>
            <w:vAlign w:val="center"/>
          </w:tcPr>
          <w:p w14:paraId="6D70682C" w14:textId="77777777" w:rsidR="00F679A2" w:rsidRPr="003B2B91" w:rsidRDefault="00F679A2" w:rsidP="00B97309">
            <w:pPr>
              <w:spacing w:line="360" w:lineRule="auto"/>
              <w:jc w:val="right"/>
              <w:rPr>
                <w:szCs w:val="20"/>
              </w:rPr>
            </w:pPr>
            <w:r w:rsidRPr="003B2B91">
              <w:rPr>
                <w:szCs w:val="20"/>
              </w:rPr>
              <w:t>0,46</w:t>
            </w:r>
          </w:p>
        </w:tc>
        <w:tc>
          <w:tcPr>
            <w:tcW w:w="587" w:type="dxa"/>
            <w:noWrap/>
            <w:vAlign w:val="center"/>
          </w:tcPr>
          <w:p w14:paraId="0C595999" w14:textId="77777777" w:rsidR="00F679A2" w:rsidRPr="003B2B91" w:rsidRDefault="00F679A2" w:rsidP="00B97309">
            <w:pPr>
              <w:spacing w:line="360" w:lineRule="auto"/>
              <w:jc w:val="right"/>
              <w:rPr>
                <w:szCs w:val="20"/>
              </w:rPr>
            </w:pPr>
            <w:r w:rsidRPr="003B2B91">
              <w:rPr>
                <w:szCs w:val="20"/>
              </w:rPr>
              <w:t>0,50</w:t>
            </w:r>
          </w:p>
        </w:tc>
        <w:tc>
          <w:tcPr>
            <w:tcW w:w="587" w:type="dxa"/>
            <w:noWrap/>
            <w:vAlign w:val="center"/>
          </w:tcPr>
          <w:p w14:paraId="5ACEEE90" w14:textId="77777777" w:rsidR="00F679A2" w:rsidRPr="003B2B91" w:rsidRDefault="00F679A2" w:rsidP="00B97309">
            <w:pPr>
              <w:spacing w:line="360" w:lineRule="auto"/>
              <w:jc w:val="right"/>
              <w:rPr>
                <w:szCs w:val="20"/>
              </w:rPr>
            </w:pPr>
            <w:r w:rsidRPr="003B2B91">
              <w:rPr>
                <w:szCs w:val="20"/>
              </w:rPr>
              <w:t>0,55</w:t>
            </w:r>
          </w:p>
        </w:tc>
        <w:tc>
          <w:tcPr>
            <w:tcW w:w="629" w:type="dxa"/>
            <w:noWrap/>
            <w:vAlign w:val="center"/>
          </w:tcPr>
          <w:p w14:paraId="4FA2FC0E" w14:textId="77777777" w:rsidR="00F679A2" w:rsidRPr="003B2B91" w:rsidRDefault="00F679A2" w:rsidP="00B97309">
            <w:pPr>
              <w:spacing w:line="360" w:lineRule="auto"/>
              <w:jc w:val="right"/>
              <w:rPr>
                <w:szCs w:val="20"/>
              </w:rPr>
            </w:pPr>
            <w:r w:rsidRPr="003B2B91">
              <w:rPr>
                <w:szCs w:val="20"/>
              </w:rPr>
              <w:t>0,60</w:t>
            </w:r>
          </w:p>
        </w:tc>
        <w:tc>
          <w:tcPr>
            <w:tcW w:w="585" w:type="dxa"/>
            <w:noWrap/>
            <w:vAlign w:val="center"/>
          </w:tcPr>
          <w:p w14:paraId="3AAC7496" w14:textId="77777777" w:rsidR="00F679A2" w:rsidRPr="003B2B91" w:rsidRDefault="00F679A2" w:rsidP="00B97309">
            <w:pPr>
              <w:spacing w:line="360" w:lineRule="auto"/>
              <w:jc w:val="right"/>
              <w:rPr>
                <w:szCs w:val="20"/>
              </w:rPr>
            </w:pPr>
            <w:r w:rsidRPr="003B2B91">
              <w:rPr>
                <w:szCs w:val="20"/>
              </w:rPr>
              <w:t>0,57</w:t>
            </w:r>
          </w:p>
        </w:tc>
        <w:tc>
          <w:tcPr>
            <w:tcW w:w="585" w:type="dxa"/>
            <w:vAlign w:val="center"/>
          </w:tcPr>
          <w:p w14:paraId="05016D9F" w14:textId="77777777" w:rsidR="00F679A2" w:rsidRPr="003B2B91" w:rsidRDefault="00F679A2" w:rsidP="00B97309">
            <w:pPr>
              <w:spacing w:line="360" w:lineRule="auto"/>
              <w:jc w:val="right"/>
              <w:rPr>
                <w:szCs w:val="20"/>
              </w:rPr>
            </w:pPr>
            <w:r w:rsidRPr="003B2B91">
              <w:rPr>
                <w:szCs w:val="20"/>
              </w:rPr>
              <w:t>0,60</w:t>
            </w:r>
          </w:p>
        </w:tc>
      </w:tr>
    </w:tbl>
    <w:p w14:paraId="30E8A240" w14:textId="77777777" w:rsidR="00F679A2" w:rsidRPr="005718B1" w:rsidRDefault="00F679A2" w:rsidP="00F679A2">
      <w:pPr>
        <w:spacing w:line="360" w:lineRule="auto"/>
        <w:rPr>
          <w:sz w:val="16"/>
          <w:szCs w:val="16"/>
        </w:rPr>
      </w:pPr>
      <w:r w:rsidRPr="005718B1">
        <w:rPr>
          <w:sz w:val="16"/>
          <w:szCs w:val="16"/>
        </w:rPr>
        <w:t>Vir: SURS</w:t>
      </w:r>
      <w:r>
        <w:rPr>
          <w:sz w:val="16"/>
          <w:szCs w:val="16"/>
        </w:rPr>
        <w:t>-2020</w:t>
      </w:r>
    </w:p>
    <w:p w14:paraId="67A53043" w14:textId="292C0392" w:rsidR="00F679A2" w:rsidRPr="005B2A49" w:rsidRDefault="00F679A2" w:rsidP="005B2A49">
      <w:pPr>
        <w:spacing w:after="120" w:line="260" w:lineRule="atLeast"/>
        <w:rPr>
          <w:rFonts w:eastAsia="Calibri"/>
          <w:szCs w:val="20"/>
        </w:rPr>
      </w:pPr>
      <w:r w:rsidRPr="005B2A49">
        <w:rPr>
          <w:rFonts w:eastAsia="Calibri"/>
          <w:szCs w:val="20"/>
        </w:rPr>
        <w:t>V primerjavi z zadnjim petletnim obdobjem (2014–2018) so bile povprečne cene vina v letu 2019 višje za 17 %. Podatki ARSKTRP za leto 2019 tudi kažejo, da se je prodaja vina na slovenskem trgu kot tudi trgu EU nekoliko povečala.</w:t>
      </w:r>
      <w:r w:rsidR="003F5847">
        <w:rPr>
          <w:rFonts w:eastAsia="Calibri"/>
          <w:szCs w:val="20"/>
        </w:rPr>
        <w:t xml:space="preserve"> Zaradi posledic epidemije pa so se cene v letu 2020 ponovno znižale.</w:t>
      </w:r>
    </w:p>
    <w:p w14:paraId="47397153" w14:textId="4CC73CEB" w:rsidR="00F679A2" w:rsidRPr="005B2A49" w:rsidRDefault="00F679A2" w:rsidP="005B2A49">
      <w:pPr>
        <w:spacing w:after="120" w:line="260" w:lineRule="atLeast"/>
        <w:rPr>
          <w:rFonts w:eastAsia="Calibri"/>
          <w:szCs w:val="20"/>
        </w:rPr>
      </w:pPr>
      <w:r w:rsidRPr="005B2A49">
        <w:rPr>
          <w:rFonts w:eastAsia="Calibri"/>
          <w:szCs w:val="20"/>
        </w:rPr>
        <w:t>Od leta 2018 SURS vodi tudi povprečne letne drobnoprodajne cene za alkoholne pijače na podlagi podatkovnih baz trgovcev. Za leto 2018 po teh podatkih znaša povprečna drobnoprodajna cena za t.i. namizno vino 1,98 EUR/l in za kakovostno vino 4,85 EUR/l, za leto 2019 pa 2,04 EUR/l za namizno in 4,05 EUR/l za kakovostno vino.</w:t>
      </w:r>
    </w:p>
    <w:p w14:paraId="01BD6814" w14:textId="77777777" w:rsidR="00F679A2" w:rsidRPr="005B2A49" w:rsidRDefault="00F679A2" w:rsidP="005B2A49">
      <w:pPr>
        <w:spacing w:after="120" w:line="260" w:lineRule="atLeast"/>
        <w:rPr>
          <w:rFonts w:eastAsia="Calibri"/>
          <w:szCs w:val="20"/>
        </w:rPr>
      </w:pPr>
      <w:r w:rsidRPr="005B2A49">
        <w:rPr>
          <w:rFonts w:eastAsia="Calibri"/>
          <w:szCs w:val="20"/>
        </w:rPr>
        <w:t xml:space="preserve">Ekonomika pridelave grozdja je bila v letih 2016 in 2017 nekoliko boljša kot v letih prej, vendar so se z rekordnim pridelkom leta 2018 razmere na trgu z vinom ponovno poslabšale. Letina 2019 pa je bila dokaj povprečna. Višja predvidena rast odkupnih cen grozdja od zvišanja stroškov pridelave naj bi pozitivno vplivala na ekonomski položaj pridelovalcev grozdja, vendar je zaradi izredno zaostrenih razmer na trgu z vinom v prvi polovici leta 2020 (posledica epidemije koronavirusa) realizacija izplačila v jeseni leta 2019 statistično zabeleženih odkupnih cen grozdja zelo vprašljiva. </w:t>
      </w:r>
      <w:r w:rsidRPr="005B2A49">
        <w:rPr>
          <w:rFonts w:eastAsia="Calibri"/>
        </w:rPr>
        <w:t>Ekonomika pridelave grozdja za prodajo je z izjemo nekoliko ugodnejših let 2016 in 2017 na splošno že leta zelo slaba. Malce boljše ekonomske rezultate so imeli v zadnjih letih verjetno le pridelovalci grozdja, namenjenega za vina višje kakovosti, ki dosegajo višje odkupne cene. Boljši ekonomski položaj so imeli vinogradniki z lastno predelavo in uspešnejšim trženjem vina na domačem in tujih trgih, saj so bile cene vina zadnja leta večinoma v porastu.</w:t>
      </w:r>
    </w:p>
    <w:p w14:paraId="5A4E8275" w14:textId="77777777" w:rsidR="00F679A2" w:rsidRPr="005B2A49" w:rsidRDefault="00F679A2" w:rsidP="005B2A49">
      <w:pPr>
        <w:spacing w:after="120" w:line="260" w:lineRule="atLeast"/>
        <w:rPr>
          <w:rFonts w:eastAsia="Calibri"/>
          <w:szCs w:val="20"/>
        </w:rPr>
      </w:pPr>
      <w:r w:rsidRPr="005B2A49">
        <w:rPr>
          <w:rFonts w:eastAsia="Calibri"/>
          <w:szCs w:val="20"/>
        </w:rPr>
        <w:t>Glede na velikostno strukturo kmetijskih gospodarstev z vinogradi je nesorazmernost v dohodkih težko uravnavati z neposrednimi dohodkovnimi podporami, saj ima manj kot 10 % kmetijskih gospodarstev, ki obdelujejo vinograde, v uporabi več kot 1 ha KZU (obdelujejo 10.500 ha vinogradov).</w:t>
      </w:r>
    </w:p>
    <w:p w14:paraId="10EFAF61" w14:textId="77777777" w:rsidR="00F679A2" w:rsidRPr="005B2A49" w:rsidRDefault="00F679A2" w:rsidP="005B2A49">
      <w:pPr>
        <w:spacing w:after="120" w:line="260" w:lineRule="atLeast"/>
        <w:rPr>
          <w:rFonts w:eastAsia="Calibri"/>
          <w:szCs w:val="20"/>
        </w:rPr>
      </w:pPr>
      <w:r w:rsidRPr="005B2A49">
        <w:rPr>
          <w:rFonts w:eastAsia="Calibri"/>
          <w:szCs w:val="20"/>
        </w:rPr>
        <w:t xml:space="preserve">Ohranitev vinogradov na legah, ki za druge kulture niso primerne, je ključno za ohranjanje obdelanosti zemljišč. Težavo pri ohranjanju obsega vinogradov predstavlja splošen trend zmanjševanje vinogradov in porabe vina v Evropi, dodatno pa tudi nekonkurenčna pridelava slovenskih vin zaradi naravnih danosti in razne omejitve (npr. omejitve na območjih okoljsko občutljivega trajnega travinja na potencialnih vinogradniških legah).  </w:t>
      </w:r>
    </w:p>
    <w:p w14:paraId="5627E3CB" w14:textId="77777777" w:rsidR="00F679A2" w:rsidRPr="005B2A49" w:rsidRDefault="00F679A2" w:rsidP="005B2A49">
      <w:pPr>
        <w:spacing w:after="120" w:line="260" w:lineRule="atLeast"/>
        <w:rPr>
          <w:rFonts w:eastAsia="Calibri"/>
          <w:szCs w:val="20"/>
        </w:rPr>
      </w:pPr>
      <w:r w:rsidRPr="005B2A49">
        <w:rPr>
          <w:rFonts w:eastAsia="Calibri"/>
          <w:szCs w:val="20"/>
        </w:rPr>
        <w:t>Razvoj panoge ovira tudi majhnost kmetijskih gospodarstev in nerešena zemljiška vprašanja (razdrobljenost, zapuščena zemljišča, lastništvo), delno pa tudi zemljiška politika z neustreznim vrstnim redom za nakup kmetijskih zemljišč in spreminjanjem pravil zakupa s strani Sklada kmetijskih zemljišč in gozdov Republike Slovenije.</w:t>
      </w:r>
    </w:p>
    <w:p w14:paraId="535ACE7E" w14:textId="77777777" w:rsidR="00F679A2" w:rsidRPr="005B2A49" w:rsidRDefault="00F679A2" w:rsidP="005B2A49">
      <w:pPr>
        <w:spacing w:after="120" w:line="260" w:lineRule="atLeast"/>
        <w:rPr>
          <w:rFonts w:eastAsia="Calibri"/>
          <w:szCs w:val="20"/>
        </w:rPr>
      </w:pPr>
      <w:r w:rsidRPr="005B2A49">
        <w:rPr>
          <w:rFonts w:eastAsia="Calibri"/>
          <w:szCs w:val="20"/>
        </w:rPr>
        <w:t>Dodatno pridelavo otežujejo podnebne spremembe (ekstremni dogodki: toča, pozeba, dvig temperature, pojav novih škodljivcev, bolezni), večji del pridelovalcev pridelka ne zavaruje zaradi visokih zavarovalnih premij za škodo v vinogradih.</w:t>
      </w:r>
    </w:p>
    <w:p w14:paraId="5DB09941" w14:textId="77777777" w:rsidR="00F679A2" w:rsidRPr="005B2A49" w:rsidRDefault="00F679A2" w:rsidP="005B2A49">
      <w:pPr>
        <w:spacing w:after="120" w:line="260" w:lineRule="atLeast"/>
        <w:rPr>
          <w:rFonts w:eastAsia="Calibri"/>
          <w:szCs w:val="20"/>
        </w:rPr>
      </w:pPr>
      <w:r w:rsidRPr="005B2A49">
        <w:rPr>
          <w:rFonts w:eastAsia="Calibri"/>
          <w:szCs w:val="20"/>
        </w:rPr>
        <w:t>Vino ima pomembno vlogo v promociji turizma in gastronomije, ki pa bi jo bilo treba še okrepiti, kar je zaradi močne antialkoholne politike včasih oteženo. Dohodek na podeželju bi se lahko povečal preko diverzifikacije in neposredne prodaje vina.</w:t>
      </w:r>
    </w:p>
    <w:p w14:paraId="5AF43884" w14:textId="77777777" w:rsidR="00F679A2" w:rsidRPr="005B2A49" w:rsidRDefault="00F679A2" w:rsidP="005B2A49">
      <w:pPr>
        <w:spacing w:after="120" w:line="260" w:lineRule="atLeast"/>
        <w:rPr>
          <w:rFonts w:eastAsia="Calibri"/>
          <w:szCs w:val="20"/>
        </w:rPr>
      </w:pPr>
      <w:r w:rsidRPr="005B2A49">
        <w:rPr>
          <w:rFonts w:eastAsia="Calibri"/>
          <w:szCs w:val="20"/>
        </w:rPr>
        <w:t>Potrebnega bi bilo več izobraževanja in ozaveščanja potrošnikov o kulturi pitja vina in kakovosti vina, saj je zvestoba potrošnika na domačem trgu v upadu. Pri tem pa bo potrebno tudi večje razumevanje potreb trga s strani pridelovalcev.</w:t>
      </w:r>
    </w:p>
    <w:p w14:paraId="6628FAFD" w14:textId="77777777" w:rsidR="00F679A2" w:rsidRPr="005B2A49" w:rsidRDefault="00F679A2" w:rsidP="005B2A49">
      <w:pPr>
        <w:spacing w:after="120" w:line="260" w:lineRule="atLeast"/>
        <w:rPr>
          <w:rFonts w:eastAsia="Calibri"/>
          <w:szCs w:val="20"/>
        </w:rPr>
      </w:pPr>
      <w:r w:rsidRPr="005B2A49">
        <w:rPr>
          <w:rFonts w:eastAsia="Calibri"/>
          <w:szCs w:val="20"/>
        </w:rPr>
        <w:t>V Sloveniji deluje Javna služba na področju vinogradništva, v okviru katere se izvajajo strokovne naloge, kot je selekcija in introdukcija novih sort vinske trte, preizkušanje tehnologij ter strokovno-tehnična koordinacija v vinogradništvu. Slednja je pomembna za prenos znanja in rezultatov nalog javne službe do kmetijskih pridelovalcev, ki potekajo v sodelovanju z javno službo kmetijskega svetovanja. Pomembna pa je tudi za ustrezen prenos znanja med raziskovalnimi, izobraževalnimi in svetovalnimi ustanovami. Ohranjanje rastlinskih genskih virov vinske trte  poteka v okviru javne službe nalog rastlinske genske banke, kjer je shrajenih 340 akcesij.</w:t>
      </w:r>
    </w:p>
    <w:p w14:paraId="4D31B059"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Prenos znanja do pridelovalcev grozdja in vina poteka tudi preko pooblaščenih organizacij, ki spremljajo dozorevanje grozdja pred trgatvijo in analizirajo pridelek vina pred vstopom na trg, organizacij, ki izvajajo izotopske in druge analize vina in grozdja, izobražujejo pokuševalce vina in vinarske inšpektorje ter preko vsakoletnih strokovnih srečanj, organiziranih v okviru javnih služb. </w:t>
      </w:r>
    </w:p>
    <w:p w14:paraId="06472A84" w14:textId="77777777" w:rsidR="00F679A2" w:rsidRPr="005B2A49" w:rsidRDefault="00F679A2" w:rsidP="005B2A49">
      <w:pPr>
        <w:spacing w:after="120" w:line="260" w:lineRule="atLeast"/>
        <w:rPr>
          <w:rFonts w:eastAsia="Calibri"/>
          <w:szCs w:val="20"/>
        </w:rPr>
      </w:pPr>
      <w:r w:rsidRPr="005B2A49">
        <w:rPr>
          <w:rFonts w:eastAsia="Calibri"/>
          <w:szCs w:val="20"/>
        </w:rPr>
        <w:t>Od leta 2011 dalje sta bila področju vinogradništva ali vinarstva namenjena le dva ciljna raziskovalna programa (CRP). V letu 2019 je bil v okviru Evropskega partnerstva za inovacije (EIP) izbran projekt “Uvedba novih mehanskih in avtonomnih avtomatiziranih tehnologij za trajnostno pridelavo grozdja v vinogradih”.</w:t>
      </w:r>
    </w:p>
    <w:p w14:paraId="7336B7CE" w14:textId="2A80EC1C" w:rsidR="00F679A2" w:rsidRPr="005B2A49" w:rsidRDefault="00F679A2" w:rsidP="005B2A49">
      <w:pPr>
        <w:spacing w:after="120" w:line="260" w:lineRule="atLeast"/>
        <w:rPr>
          <w:rFonts w:eastAsia="Calibri"/>
          <w:szCs w:val="20"/>
        </w:rPr>
      </w:pPr>
      <w:r w:rsidRPr="005B2A49">
        <w:rPr>
          <w:rFonts w:eastAsia="Calibri"/>
          <w:szCs w:val="20"/>
        </w:rPr>
        <w:t xml:space="preserve">Pomemben vpliv na razvoj panoge ima tudi dostopnost brezplačnih storitev javnih služb za uporabnike ter vzpostavljen sistem napovedovanja bolezni in škodljivcev, potrebno pa </w:t>
      </w:r>
      <w:r w:rsidR="000314AD">
        <w:rPr>
          <w:rFonts w:eastAsia="Calibri"/>
          <w:szCs w:val="20"/>
        </w:rPr>
        <w:t xml:space="preserve">bi </w:t>
      </w:r>
      <w:r w:rsidRPr="005B2A49">
        <w:rPr>
          <w:rFonts w:eastAsia="Calibri"/>
          <w:szCs w:val="20"/>
        </w:rPr>
        <w:t>bilo financiranje več raziskovalnih in razvojnih nalog (CRP, EIP projekti in drugi projekti iz ukrepa »Sodelovanje«) za doseganje višje kakovosti in konkurenčnosti (izboljšanje tehnologije) ter okrepitev prenosa znanja.</w:t>
      </w:r>
    </w:p>
    <w:p w14:paraId="15366056" w14:textId="77777777" w:rsidR="00F679A2" w:rsidRPr="005B2A49" w:rsidRDefault="00F679A2" w:rsidP="005B2A49">
      <w:pPr>
        <w:spacing w:after="120" w:line="260" w:lineRule="atLeast"/>
        <w:rPr>
          <w:rFonts w:eastAsia="Calibri"/>
          <w:szCs w:val="20"/>
        </w:rPr>
      </w:pPr>
      <w:r w:rsidRPr="005B2A49">
        <w:rPr>
          <w:rFonts w:eastAsia="Calibri"/>
          <w:szCs w:val="20"/>
        </w:rPr>
        <w:t xml:space="preserve">Skupna evropska tržna ureditev za vino v okviru SKP 2014-2020 daje vinogradnikom možnost uveljavljanja podpor za različne ukrepe kmetijske politike. S spremembo skupne kmetijske politike v programskem obdobju 2014–2020 so vinogradi vključeni v shemo neposrednih plačil, zato lahko upravičenci na podlagi v letu 2015 na novo dodeljenih plačilnih pravic pridobijo osnovno plačilo in plačilo za zeleno komponento. </w:t>
      </w:r>
    </w:p>
    <w:p w14:paraId="621A7884" w14:textId="24025BF7" w:rsidR="00F679A2" w:rsidRPr="005B2A49" w:rsidRDefault="00F679A2" w:rsidP="005B2A49">
      <w:pPr>
        <w:spacing w:after="120" w:line="260" w:lineRule="atLeast"/>
        <w:rPr>
          <w:rFonts w:eastAsia="Calibri"/>
          <w:szCs w:val="20"/>
        </w:rPr>
      </w:pPr>
      <w:r w:rsidRPr="005B2A49">
        <w:rPr>
          <w:rFonts w:eastAsia="Calibri"/>
          <w:szCs w:val="20"/>
        </w:rPr>
        <w:t>Ključna prelomnica v EU tržni ureditvi za vino se je zgodila 1. avgusta 2008, ko se je kot rezultat t.i. vinske reforme spremenil način črpanja EU sredstev za ukrepe ureditve trga z vinom</w:t>
      </w:r>
      <w:r w:rsidR="00D00C2D">
        <w:rPr>
          <w:rFonts w:eastAsia="Calibri"/>
          <w:szCs w:val="20"/>
        </w:rPr>
        <w:t xml:space="preserve"> (t.i. nacionalne ovojnice za vino)</w:t>
      </w:r>
      <w:r w:rsidRPr="005B2A49">
        <w:rPr>
          <w:rFonts w:eastAsia="Calibri"/>
          <w:szCs w:val="20"/>
        </w:rPr>
        <w:t>. Program črpanja razpoložljivih sredstev, predložen EU Komisiji za obdobje 2009-2013, je vseboval naslednje ukrepe: prestrukturiranje vinogradov, promocija na tretjih trgih, podpora za uporabo zgoščenega grozdnega mošta in podpora za zeleno trgatev. Programa za obdobje 2014-2018 in 2019-2023 pa vsebujeta ukrepa za prestrukturiranje vinogradov in promocijo vina</w:t>
      </w:r>
      <w:r w:rsidR="00D00C2D">
        <w:rPr>
          <w:rFonts w:eastAsia="Calibri"/>
          <w:szCs w:val="20"/>
        </w:rPr>
        <w:t xml:space="preserve"> (izjemoma so se zaradi reševanja krize na trgu z vinom v letu 2020 in 2021 v program dodali tudi krizni ukrepi)</w:t>
      </w:r>
      <w:r w:rsidRPr="005B2A49">
        <w:rPr>
          <w:rFonts w:eastAsia="Calibri"/>
          <w:szCs w:val="20"/>
        </w:rPr>
        <w:t>.</w:t>
      </w:r>
    </w:p>
    <w:p w14:paraId="2C8E3F6A" w14:textId="77777777" w:rsidR="00F679A2" w:rsidRPr="005B2A49" w:rsidRDefault="00F679A2" w:rsidP="005B2A49">
      <w:pPr>
        <w:spacing w:after="120" w:line="260" w:lineRule="atLeast"/>
        <w:rPr>
          <w:rFonts w:eastAsia="Calibri"/>
          <w:szCs w:val="20"/>
        </w:rPr>
      </w:pPr>
      <w:r w:rsidRPr="005B2A49">
        <w:rPr>
          <w:rFonts w:eastAsia="Calibri"/>
          <w:szCs w:val="20"/>
        </w:rPr>
        <w:t>Dodatno se izvaja tudi nacionalni ukrep, namenjen podpiranju sejemskih in promocijskih dejavnosti na ciljnih trgih v obsegu 0,3 do 0,4 mio EUR letno.</w:t>
      </w:r>
    </w:p>
    <w:p w14:paraId="682388B7" w14:textId="77777777" w:rsidR="00F679A2" w:rsidRPr="005B2A49" w:rsidRDefault="00F679A2" w:rsidP="005B2A49">
      <w:pPr>
        <w:spacing w:after="120" w:line="260" w:lineRule="atLeast"/>
        <w:rPr>
          <w:rFonts w:eastAsia="Calibri"/>
          <w:szCs w:val="20"/>
        </w:rPr>
      </w:pPr>
      <w:r w:rsidRPr="005B2A49">
        <w:rPr>
          <w:rFonts w:eastAsia="Calibri"/>
          <w:szCs w:val="20"/>
        </w:rPr>
        <w:t>V preteklih letih je bilo v okviru ukrepov programa razvoja podeželja izvedenih precej investicij v tehnološko opremo kleti. Do konca avgusta 2019 je bilo v okviru ukrepa Naložbe v predelavo/trženje kmetijskih proizvodov (PRP 2014-2020) za sektor vina izplačanih 36 vlog v skupni višini 2,13 mio EUR. V okviru ukrepa naložbe na kmetijskih gospodarstvih je bilo za sektor vinogradništva izplačanih 30 vlog v višini 0,74 mio EUR, za sektor vino pa 10 vlog v višini 0,21 mio EUR. V okviru ukrepa KOPOP je v letu 2019 operacijo Vinogradništvo uveljavljalo 1079 kmetijskih gospodarstev za 6711 ha vinogradov. Za ekološko pridelavo pa je v letu 2019 podporo prejelo 607 ha vinogradov v višini 0,45 mio EUR.</w:t>
      </w:r>
    </w:p>
    <w:p w14:paraId="3640D210" w14:textId="4A9997C3" w:rsidR="00F679A2" w:rsidRPr="005B2A49" w:rsidRDefault="00F679A2" w:rsidP="005B2A49">
      <w:pPr>
        <w:spacing w:after="120" w:line="260" w:lineRule="atLeast"/>
        <w:rPr>
          <w:rFonts w:eastAsia="Calibri"/>
          <w:szCs w:val="20"/>
        </w:rPr>
      </w:pPr>
      <w:r w:rsidRPr="005B2A49">
        <w:rPr>
          <w:rFonts w:eastAsia="Calibri"/>
          <w:szCs w:val="20"/>
        </w:rPr>
        <w:t xml:space="preserve">Podobno kot drugje v rastlinski pridelavi so tudi vinogradniki upravičeni do </w:t>
      </w:r>
      <w:r w:rsidR="00146C50">
        <w:rPr>
          <w:rFonts w:eastAsia="Calibri"/>
          <w:szCs w:val="20"/>
        </w:rPr>
        <w:t>sofinanciranja zavarovalne premije</w:t>
      </w:r>
      <w:r w:rsidRPr="005B2A49">
        <w:rPr>
          <w:rFonts w:eastAsia="Calibri"/>
          <w:szCs w:val="20"/>
        </w:rPr>
        <w:t xml:space="preserve"> za zavarovanje pridelka, ki je leta 201</w:t>
      </w:r>
      <w:r w:rsidR="00146C50">
        <w:rPr>
          <w:rFonts w:eastAsia="Calibri"/>
          <w:szCs w:val="20"/>
        </w:rPr>
        <w:t>9</w:t>
      </w:r>
      <w:r w:rsidRPr="005B2A49">
        <w:rPr>
          <w:rFonts w:eastAsia="Calibri"/>
          <w:szCs w:val="20"/>
        </w:rPr>
        <w:t xml:space="preserve"> znašala </w:t>
      </w:r>
      <w:r w:rsidR="00146C50">
        <w:rPr>
          <w:rFonts w:eastAsia="Calibri"/>
          <w:szCs w:val="20"/>
        </w:rPr>
        <w:t>5</w:t>
      </w:r>
      <w:r w:rsidRPr="005B2A49">
        <w:rPr>
          <w:rFonts w:eastAsia="Calibri"/>
          <w:szCs w:val="20"/>
        </w:rPr>
        <w:t>0 % (</w:t>
      </w:r>
      <w:r w:rsidR="00146C50">
        <w:rPr>
          <w:rFonts w:eastAsia="Calibri"/>
          <w:szCs w:val="20"/>
        </w:rPr>
        <w:t xml:space="preserve">enako kot v letu 2018, ko se je dvignila iz 30 % </w:t>
      </w:r>
      <w:r w:rsidRPr="005B2A49">
        <w:rPr>
          <w:rFonts w:eastAsia="Calibri"/>
          <w:szCs w:val="20"/>
        </w:rPr>
        <w:t>v letu 201</w:t>
      </w:r>
      <w:r w:rsidR="00146C50">
        <w:rPr>
          <w:rFonts w:eastAsia="Calibri"/>
          <w:szCs w:val="20"/>
        </w:rPr>
        <w:t>7</w:t>
      </w:r>
      <w:r w:rsidRPr="005B2A49">
        <w:rPr>
          <w:rFonts w:eastAsia="Calibri"/>
          <w:szCs w:val="20"/>
        </w:rPr>
        <w:t>),</w:t>
      </w:r>
      <w:r w:rsidRPr="00D874C5">
        <w:rPr>
          <w:rFonts w:eastAsia="Calibri"/>
          <w:szCs w:val="20"/>
        </w:rPr>
        <w:t xml:space="preserve"> </w:t>
      </w:r>
      <w:r w:rsidRPr="005B2A49">
        <w:rPr>
          <w:rFonts w:eastAsia="Calibri"/>
          <w:szCs w:val="20"/>
        </w:rPr>
        <w:t xml:space="preserve">in vračila 70 % trošarine za porabljeno gorivo v kmetijske namene. </w:t>
      </w:r>
    </w:p>
    <w:p w14:paraId="6FC773C5" w14:textId="7FAAA5CE" w:rsidR="00F679A2" w:rsidRDefault="00F679A2" w:rsidP="005B2A49">
      <w:pPr>
        <w:spacing w:after="120" w:line="260" w:lineRule="atLeast"/>
        <w:rPr>
          <w:rFonts w:eastAsia="Calibri"/>
          <w:szCs w:val="20"/>
        </w:rPr>
      </w:pPr>
      <w:r w:rsidRPr="005B2A49">
        <w:rPr>
          <w:rFonts w:eastAsia="Calibri"/>
          <w:szCs w:val="20"/>
        </w:rPr>
        <w:t>V obdobju pandemije oziroma izrednih razmer zaradi Covid-19 v prvi polovici leta 2020 so bili slovenski vinogradniki in vinarji upravičeni tudi do naslednjih kriznih ukrepov v skupni višini 8,76 mio EUR, namenjenih posebej tej panogi: krizna destilacija vina (umik s trga 6,87 mio litrov vina), krizno skladiščenje vina (začasni umik 0,75 mio litrov vina), zelena trgatev (zmanjšanje pridelka na nič na 126 ha vinogradov) in finančna pomoč za izpad dohodka v proizvodnji vina (pomoč je prejelo 1624 vinarjev).</w:t>
      </w:r>
    </w:p>
    <w:p w14:paraId="50A7CCF7" w14:textId="77777777" w:rsidR="00C25531" w:rsidRPr="005B2A49" w:rsidRDefault="00C25531" w:rsidP="005B2A49">
      <w:pPr>
        <w:spacing w:after="120" w:line="260" w:lineRule="atLeast"/>
        <w:rPr>
          <w:rFonts w:eastAsia="Calibri"/>
          <w:szCs w:val="20"/>
        </w:rPr>
      </w:pPr>
    </w:p>
    <w:p w14:paraId="51B1431A" w14:textId="77777777" w:rsidR="00F679A2" w:rsidRPr="00271FF1" w:rsidRDefault="00F679A2" w:rsidP="00F679A2">
      <w:pPr>
        <w:pStyle w:val="Naslov3"/>
        <w:rPr>
          <w:rFonts w:eastAsia="Calibri"/>
        </w:rPr>
      </w:pPr>
      <w:bookmarkStart w:id="3200" w:name="_Toc90462276"/>
      <w:r w:rsidRPr="00271FF1">
        <w:rPr>
          <w:rFonts w:eastAsia="Calibri"/>
        </w:rPr>
        <w:t>Ključne ugotovitve</w:t>
      </w:r>
      <w:bookmarkEnd w:id="3200"/>
    </w:p>
    <w:p w14:paraId="6E3CA865" w14:textId="50914A3F" w:rsidR="00F679A2" w:rsidRPr="00271FF1" w:rsidRDefault="00F679A2" w:rsidP="005B2A49">
      <w:pPr>
        <w:pStyle w:val="Odstavekseznama"/>
        <w:numPr>
          <w:ilvl w:val="0"/>
          <w:numId w:val="189"/>
        </w:numPr>
        <w:tabs>
          <w:tab w:val="left" w:pos="2160"/>
        </w:tabs>
        <w:spacing w:after="120" w:line="260" w:lineRule="atLeast"/>
        <w:ind w:left="357" w:hanging="357"/>
        <w:rPr>
          <w:rFonts w:ascii="Arial" w:hAnsi="Arial"/>
          <w:sz w:val="22"/>
          <w:szCs w:val="22"/>
        </w:rPr>
      </w:pPr>
      <w:r w:rsidRPr="00271FF1">
        <w:rPr>
          <w:rFonts w:ascii="Arial" w:hAnsi="Arial"/>
          <w:sz w:val="22"/>
          <w:szCs w:val="22"/>
        </w:rPr>
        <w:t xml:space="preserve">Obseg površin vinogradov v Sloveniji se zmanjšuje, značilna je razdrobljena velikostna struktura, obnove vinogradov ne dosegajo enostavne reprodukcije, zato bi bilo potrebno okrepiti naložbe, zlasti v </w:t>
      </w:r>
      <w:r w:rsidR="00D00C2D">
        <w:rPr>
          <w:rFonts w:ascii="Arial" w:hAnsi="Arial"/>
          <w:sz w:val="22"/>
          <w:szCs w:val="22"/>
        </w:rPr>
        <w:t>prestrukturiranje vinogradov</w:t>
      </w:r>
      <w:r w:rsidRPr="00271FF1">
        <w:rPr>
          <w:rFonts w:ascii="Arial" w:hAnsi="Arial"/>
          <w:sz w:val="22"/>
          <w:szCs w:val="22"/>
        </w:rPr>
        <w:t xml:space="preserve"> in povečati velikostno strukturo vinogradov.</w:t>
      </w:r>
    </w:p>
    <w:p w14:paraId="28150D13"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Večina območij, na katerih ležijo vinogradi, je takih, ki so po talnih, reliefnih in podnebnih razmerah primerne predvsem za vinogradništvo, zato bi opustitev vinogradov na teh območjih potencialno pripeljala do zaraščanja.</w:t>
      </w:r>
    </w:p>
    <w:p w14:paraId="4AA35869"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Ekonomika pridelave grozdja se sicer nekoliko izboljšuje, vendar je zelo odvisna od letine, z rekordnim pridelkom leta 2018 pa so se razmere na trgu z vinom ponovno poslabšale, zato se pojavlja potreba po okrepitvi naložb in prilagoditvi tehnologije pridelave novim razmeram, kot tudi upravljanju in obvladovanju tveganj.</w:t>
      </w:r>
    </w:p>
    <w:p w14:paraId="77838B0F"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V panogi šepa združevanje pridelovalcev za skupni nastop na trgu in izboljšanje položaja  pridelovalcev v verigi, zato bi bilo potrebno spodbujati povezovanje pridelovalcev.</w:t>
      </w:r>
    </w:p>
    <w:p w14:paraId="0C7AB344"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 xml:space="preserve">Slovenska vina še niso dosegla ustrezne stopnje prepoznavnosti, zato je potrebno nadaljevati s promocijskimi aktivnostmi v okviru sektorskih intervencij in drugih podpor (tudi v sklopu turizma in gastronomije), z večjim poudarkom na generični promociji. </w:t>
      </w:r>
    </w:p>
    <w:p w14:paraId="5A3BF212" w14:textId="16272B33" w:rsidR="00F679A2"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Potreben bi bil tudi večji poudarek in spodbude pridelavi namiznega grozdja, kjer samooskrbe praktično ni.</w:t>
      </w:r>
    </w:p>
    <w:p w14:paraId="77B0FECB" w14:textId="77777777" w:rsidR="00C25531" w:rsidRPr="002E7B9B" w:rsidRDefault="00C25531" w:rsidP="005B2A49">
      <w:pPr>
        <w:pStyle w:val="Odstavekseznama"/>
        <w:tabs>
          <w:tab w:val="left" w:pos="2160"/>
        </w:tabs>
        <w:spacing w:after="120" w:line="260" w:lineRule="atLeast"/>
        <w:ind w:left="357"/>
        <w:rPr>
          <w:szCs w:val="22"/>
        </w:rPr>
      </w:pPr>
    </w:p>
    <w:p w14:paraId="48C2897C" w14:textId="77777777" w:rsidR="00F679A2" w:rsidRPr="00271FF1" w:rsidRDefault="00F679A2" w:rsidP="00F679A2">
      <w:pPr>
        <w:pStyle w:val="Naslov2"/>
      </w:pPr>
      <w:bookmarkStart w:id="3201" w:name="_Toc90462277"/>
      <w:r w:rsidRPr="00271FF1">
        <w:t>Sektor oljkarstva</w:t>
      </w:r>
      <w:bookmarkEnd w:id="3201"/>
      <w:r w:rsidRPr="00271FF1">
        <w:t xml:space="preserve">  </w:t>
      </w:r>
    </w:p>
    <w:p w14:paraId="6A2137EE" w14:textId="77777777" w:rsidR="00F679A2" w:rsidRPr="005B2A49" w:rsidRDefault="00F679A2" w:rsidP="005B2A49">
      <w:pPr>
        <w:spacing w:after="120" w:line="260" w:lineRule="atLeast"/>
        <w:rPr>
          <w:rFonts w:eastAsia="Calibri"/>
          <w:szCs w:val="20"/>
        </w:rPr>
      </w:pPr>
      <w:r w:rsidRPr="005B2A49">
        <w:rPr>
          <w:rFonts w:eastAsia="Calibri"/>
          <w:szCs w:val="20"/>
        </w:rPr>
        <w:t>Oljkarstvo je v Sloveniji omejeno na Slovensko Istro in na del Goriških Brd ter Goriškega, kjer je to tradicionalna kmetijska panoga, pomembna tako za trajnostni razvoj tega območja kot tudi za ohranjanje značilne sredozemske krajine in kulturne dediščine. K skupni vrednosti kmetijske pridelave po letu 2007 oljčno olje skupaj prispeva med 0,2 % in 0,7 %, k vrednosti rastlinske pridelave pa med 0,3 % in 1,2 %.</w:t>
      </w:r>
    </w:p>
    <w:p w14:paraId="156C3734" w14:textId="5EECD101" w:rsidR="00F679A2" w:rsidRDefault="00F679A2" w:rsidP="005B2A49">
      <w:pPr>
        <w:spacing w:after="120" w:line="260" w:lineRule="atLeast"/>
        <w:rPr>
          <w:rFonts w:eastAsia="Calibri"/>
          <w:szCs w:val="20"/>
        </w:rPr>
      </w:pPr>
      <w:r w:rsidRPr="005B2A49">
        <w:rPr>
          <w:rFonts w:eastAsia="Calibri"/>
          <w:szCs w:val="20"/>
        </w:rPr>
        <w:t xml:space="preserve">Oljčno olje ima vse večji pomen za zdravo prehranjevanje. Slovensko oljčno olje lahko ob primerni tehnologiji (ustrezna oskrba nasada, namakanje, ustrezne sorte in skrb za zdravstveno varstvo oljk) in ugodnih vremenskih razmerah, kot tudi ob pravočasnem obiranju in predelavi oljk ter skladiščenju oljčnega olja dosega visoko kakovost. Interes oljkarjev za proizvodnjo kakovostnega oljčnega olja se kaže v dolgoletni proizvodnji ekstra deviškega oljčnega olja z zaščiteno označbo porekla. Vendar pa je delež tržno usmerjenih oljkarjev majhen, saj se večina oljčnega olja proda na kmetiji in ne po evidentiranih tržnih poteh. </w:t>
      </w:r>
    </w:p>
    <w:p w14:paraId="3E1AEEDA" w14:textId="77777777" w:rsidR="00F25435" w:rsidRPr="00B00FAD" w:rsidRDefault="00F25435" w:rsidP="005B2A49">
      <w:pPr>
        <w:spacing w:after="120" w:line="260" w:lineRule="atLeast"/>
        <w:rPr>
          <w:rFonts w:eastAsia="Calibri"/>
          <w:szCs w:val="20"/>
        </w:rPr>
      </w:pPr>
    </w:p>
    <w:p w14:paraId="738E81FB" w14:textId="77777777" w:rsidR="00F679A2" w:rsidRPr="00271FF1" w:rsidRDefault="00F679A2" w:rsidP="00F679A2">
      <w:pPr>
        <w:pStyle w:val="Naslov3"/>
        <w:rPr>
          <w:rFonts w:eastAsia="Calibri"/>
        </w:rPr>
      </w:pPr>
      <w:bookmarkStart w:id="3202" w:name="_Toc90462278"/>
      <w:r w:rsidRPr="00271FF1">
        <w:rPr>
          <w:rFonts w:eastAsia="Calibri"/>
        </w:rPr>
        <w:t>Stanje v sektorju in osnovni ekonomski kazalniki</w:t>
      </w:r>
      <w:bookmarkEnd w:id="3202"/>
    </w:p>
    <w:p w14:paraId="3D1D6DF3" w14:textId="77777777" w:rsidR="00F679A2" w:rsidRPr="005B2A49" w:rsidRDefault="00F679A2" w:rsidP="005B2A49">
      <w:pPr>
        <w:spacing w:after="120" w:line="260" w:lineRule="atLeast"/>
        <w:rPr>
          <w:rFonts w:eastAsia="Calibri"/>
          <w:szCs w:val="20"/>
        </w:rPr>
      </w:pPr>
      <w:r w:rsidRPr="005B2A49">
        <w:rPr>
          <w:rFonts w:eastAsia="Calibri"/>
          <w:szCs w:val="20"/>
        </w:rPr>
        <w:t>Skupna površina oljčnikov v Sloveniji sicer predstavlja le 0,3 % vseh kmetijskih zemljišč in znaša 2.356 ha (dejanska raba). Oljčnike ima 2.808 kmetijskih gospodarstev. Večina oljčnikov je v Slovenski Istri (96 %), ostala območja so Goriško, Goriška Brda, Vipava in Kras. Prav na teh območjih se kaže trend in potreba po postavitvah novih nasadov oljk. Z redno obnovo oz. novimi zasaditvami oljčnikov bi se lahko skupna površina le-teh povečala do 3.000 ha. Trend naraščanja površin je spodbuden (v zadnjih petih letih v povprečju 94 ha na leto, od 2014 do 2018</w:t>
      </w:r>
      <w:r w:rsidRPr="005B2A49" w:rsidDel="006A3187">
        <w:rPr>
          <w:rFonts w:eastAsia="Calibri"/>
          <w:szCs w:val="20"/>
        </w:rPr>
        <w:t xml:space="preserve"> </w:t>
      </w:r>
      <w:r w:rsidRPr="005B2A49">
        <w:rPr>
          <w:rFonts w:eastAsia="Calibri"/>
          <w:szCs w:val="20"/>
        </w:rPr>
        <w:t>za 378 ha). Ponovna rast površin oljčnikov je zlasti visoka po letu 2012.</w:t>
      </w:r>
    </w:p>
    <w:p w14:paraId="2D0FCF2E" w14:textId="4CB802A5" w:rsidR="00F679A2" w:rsidRPr="001261F1" w:rsidRDefault="00F679A2" w:rsidP="00F679A2">
      <w:pPr>
        <w:pStyle w:val="SCSlika0"/>
      </w:pPr>
      <w:bookmarkStart w:id="3203" w:name="_Toc89851119"/>
      <w:r w:rsidRPr="001261F1">
        <w:t xml:space="preserve">Slika </w:t>
      </w:r>
      <w:r>
        <w:rPr>
          <w:noProof/>
        </w:rPr>
        <w:fldChar w:fldCharType="begin"/>
      </w:r>
      <w:r>
        <w:rPr>
          <w:noProof/>
        </w:rPr>
        <w:instrText xml:space="preserve"> SEQ Slika \* ARABIC </w:instrText>
      </w:r>
      <w:r>
        <w:rPr>
          <w:noProof/>
        </w:rPr>
        <w:fldChar w:fldCharType="separate"/>
      </w:r>
      <w:r w:rsidR="00F25435">
        <w:rPr>
          <w:noProof/>
        </w:rPr>
        <w:t>77</w:t>
      </w:r>
      <w:r>
        <w:rPr>
          <w:noProof/>
        </w:rPr>
        <w:fldChar w:fldCharType="end"/>
      </w:r>
      <w:r w:rsidRPr="001261F1">
        <w:t>: Površina oljčnikov in št. KMG</w:t>
      </w:r>
      <w:bookmarkEnd w:id="3203"/>
    </w:p>
    <w:p w14:paraId="528BF1A0"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9254E8F" wp14:editId="77438941">
            <wp:extent cx="5771072" cy="2222500"/>
            <wp:effectExtent l="0" t="0" r="1270" b="6350"/>
            <wp:docPr id="1631865347" name="Grafikon 1631865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DC15FC4" w14:textId="77777777" w:rsidR="00F679A2" w:rsidRPr="00306DB4" w:rsidRDefault="00F679A2" w:rsidP="00F679A2">
      <w:pPr>
        <w:spacing w:line="360" w:lineRule="auto"/>
        <w:rPr>
          <w:rFonts w:eastAsia="Arial"/>
          <w:szCs w:val="20"/>
        </w:rPr>
      </w:pPr>
      <w:r w:rsidRPr="005718B1">
        <w:rPr>
          <w:sz w:val="16"/>
          <w:szCs w:val="16"/>
        </w:rPr>
        <w:t>Vir: MKGP</w:t>
      </w:r>
      <w:r>
        <w:rPr>
          <w:sz w:val="16"/>
          <w:szCs w:val="16"/>
        </w:rPr>
        <w:t>-2020, SURS-2020</w:t>
      </w:r>
    </w:p>
    <w:p w14:paraId="5E83B778" w14:textId="77777777" w:rsidR="00F679A2" w:rsidRPr="005B2A49" w:rsidRDefault="00F679A2" w:rsidP="005B2A49">
      <w:pPr>
        <w:spacing w:after="120" w:line="260" w:lineRule="atLeast"/>
        <w:rPr>
          <w:rFonts w:eastAsia="Calibri"/>
          <w:szCs w:val="20"/>
        </w:rPr>
      </w:pPr>
      <w:r w:rsidRPr="005B2A49">
        <w:rPr>
          <w:rFonts w:eastAsia="Calibri"/>
          <w:szCs w:val="20"/>
        </w:rPr>
        <w:t>Za slovensko oljkarstvo so značilna majhna kmetijska gospodarstva (75 % kmetijskih gospodarstev ima manj kot 0,3 ha oljčnikov) in razdrobljenost oljčnikov (42 % je manjših od 0,1 ha, 82 % manj kot 0,3 ha oziroma le 2 % oljčnikov je velikih nad 1 ha). Ta majhnost kmetijskih gospodarstev in razdrobljenost ter težje pridobivanje zemljišč v najem iz Sklada kmetijskih zemljišč in gozdov Republike Slovenije predstavljajo omejujoče faktorje za razvoj oljkarstva.</w:t>
      </w:r>
    </w:p>
    <w:p w14:paraId="7E226B8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neugodnih zemljiških razmer, velikega deleža nasadov na pobočjih in zaradi prilagajanja posebnim podnebnim razmeram (pridelava oljk v Sloveniji je na najbolj severnih pridelovalnih območjih za oljko, zaradi česar so pozebe pogostejše), je tehnologija pridelave oljk v Sloveniji zahtevna. Stroški naložb so na takšni zemljiški strukturi višji (terase so na cca. 50 % površine oljčnikov oziroma 720 ha). 86,5% oljčnikov se nahaja v OMD (gorsko območje). </w:t>
      </w:r>
    </w:p>
    <w:p w14:paraId="0985152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podatkih MKGP Slovenija letno pridela od 1.000 do 2.200 ton oljk, iz katerih proizvede od 170 do 350 ton oljčnega olja, vendar ti podatki zaradi slabega vpisa oljkarjev v RKG in slabega poročanja količine oljk in oljčnega olja v RKG niso realni. Po oceni stroke znaša pridelek oljk od 4.000 do 6.000 ton in proizvodnja oljčnega olja od 300 do 900 ton. Slovenija je tudi v okviru EU majhna proizvajalka oljčnega olja in v celotni proizvodnji EU znaša le 0,02 %. Pridelek oljk zaradi vremenskih razmer med leti zelo niha. Najbolj slaba letina zadnjih 10 let je bila leta 2014, ko je bil zaradi precej deževnega poletja ekstremen napad oljčne muhe, v nadaljnjih letih od 2015 do 2017 podpovprečna zaradi suše, medtem ko je bila letina 2018 nadpovprečna, v 2019 pa ponovno slaba. Skladno s tem je bil manjši tudi hektarski pridelek oljk, ki je ob normalni letini 2,5 ton/ha. Hektarski pridelek je odvisen tudi od starosti oljk, saj oljka stopi pozno v rodnost (v 10 – 12 letu), rodna pa je lahko več 100 let. V Registru živilskih obratov je registriranih 34 oljarn, kar je glede na količine oljčnega olja veliko. Po ocenah je vsaj še enkrat toliko malih oljarn, uporabljenih predvsem za stiskanje oljčnega olja za lastno uporabo. </w:t>
      </w:r>
    </w:p>
    <w:p w14:paraId="518A6372" w14:textId="126241D5" w:rsidR="00F679A2" w:rsidRDefault="00F679A2" w:rsidP="00F679A2">
      <w:pPr>
        <w:pStyle w:val="SCSlika0"/>
      </w:pPr>
      <w:bookmarkStart w:id="3204" w:name="_Toc89851120"/>
      <w:r>
        <w:t xml:space="preserve">Slika </w:t>
      </w:r>
      <w:r>
        <w:rPr>
          <w:noProof/>
        </w:rPr>
        <w:fldChar w:fldCharType="begin"/>
      </w:r>
      <w:r>
        <w:rPr>
          <w:noProof/>
        </w:rPr>
        <w:instrText xml:space="preserve"> SEQ Slika \* ARABIC </w:instrText>
      </w:r>
      <w:r>
        <w:rPr>
          <w:noProof/>
        </w:rPr>
        <w:fldChar w:fldCharType="separate"/>
      </w:r>
      <w:r w:rsidR="00F25435">
        <w:rPr>
          <w:noProof/>
        </w:rPr>
        <w:t>78</w:t>
      </w:r>
      <w:r>
        <w:rPr>
          <w:noProof/>
        </w:rPr>
        <w:fldChar w:fldCharType="end"/>
      </w:r>
      <w:r>
        <w:t xml:space="preserve">: </w:t>
      </w:r>
      <w:r w:rsidRPr="00177AA3">
        <w:t>Pridelek oljk</w:t>
      </w:r>
      <w:bookmarkEnd w:id="3204"/>
    </w:p>
    <w:p w14:paraId="4515EF2B" w14:textId="77777777" w:rsidR="00F679A2" w:rsidRPr="003B2B91"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74F5837D" wp14:editId="09C23C70">
            <wp:extent cx="4314352" cy="2202643"/>
            <wp:effectExtent l="0" t="0" r="10160" b="7620"/>
            <wp:docPr id="1631865348" name="Grafikon 1631865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5852DE4" w14:textId="77777777" w:rsidR="00F679A2" w:rsidRPr="005718B1" w:rsidRDefault="00F679A2" w:rsidP="00F679A2">
      <w:pPr>
        <w:spacing w:line="360" w:lineRule="auto"/>
        <w:rPr>
          <w:sz w:val="16"/>
          <w:szCs w:val="16"/>
        </w:rPr>
      </w:pPr>
      <w:r w:rsidRPr="005718B1">
        <w:rPr>
          <w:sz w:val="16"/>
          <w:szCs w:val="16"/>
        </w:rPr>
        <w:t>Vir: MKGP</w:t>
      </w:r>
      <w:r>
        <w:rPr>
          <w:sz w:val="16"/>
          <w:szCs w:val="16"/>
        </w:rPr>
        <w:t>-2020</w:t>
      </w:r>
      <w:r w:rsidRPr="005718B1">
        <w:rPr>
          <w:sz w:val="16"/>
          <w:szCs w:val="16"/>
        </w:rPr>
        <w:t>, SURS</w:t>
      </w:r>
      <w:r>
        <w:rPr>
          <w:sz w:val="16"/>
          <w:szCs w:val="16"/>
        </w:rPr>
        <w:t>-2020</w:t>
      </w:r>
    </w:p>
    <w:p w14:paraId="113E8BE7" w14:textId="77777777" w:rsidR="00F679A2" w:rsidRDefault="00F679A2" w:rsidP="00F679A2">
      <w:pPr>
        <w:pStyle w:val="Napis"/>
      </w:pPr>
    </w:p>
    <w:p w14:paraId="2789CB00" w14:textId="59DD06E6" w:rsidR="00F679A2" w:rsidRDefault="00F679A2" w:rsidP="00F679A2">
      <w:pPr>
        <w:pStyle w:val="SCSlika0"/>
      </w:pPr>
      <w:bookmarkStart w:id="3205" w:name="_Toc89851121"/>
      <w:r>
        <w:t xml:space="preserve">Slika </w:t>
      </w:r>
      <w:r>
        <w:rPr>
          <w:noProof/>
        </w:rPr>
        <w:fldChar w:fldCharType="begin"/>
      </w:r>
      <w:r>
        <w:rPr>
          <w:noProof/>
        </w:rPr>
        <w:instrText xml:space="preserve"> SEQ Slika \* ARABIC </w:instrText>
      </w:r>
      <w:r>
        <w:rPr>
          <w:noProof/>
        </w:rPr>
        <w:fldChar w:fldCharType="separate"/>
      </w:r>
      <w:r w:rsidR="00F25435">
        <w:rPr>
          <w:noProof/>
        </w:rPr>
        <w:t>79</w:t>
      </w:r>
      <w:r>
        <w:rPr>
          <w:noProof/>
        </w:rPr>
        <w:fldChar w:fldCharType="end"/>
      </w:r>
      <w:r>
        <w:t xml:space="preserve">: </w:t>
      </w:r>
      <w:r w:rsidRPr="00177AA3">
        <w:t>Proizvodnja oljčnega olja</w:t>
      </w:r>
      <w:bookmarkEnd w:id="3205"/>
    </w:p>
    <w:p w14:paraId="6C3D8DAC" w14:textId="77777777" w:rsidR="00F679A2" w:rsidRPr="003B2B91"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7B95490F" wp14:editId="2920C361">
            <wp:extent cx="4319404" cy="2344098"/>
            <wp:effectExtent l="0" t="0" r="5080" b="18415"/>
            <wp:docPr id="1631865349" name="Grafikon 1631865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070F50D" w14:textId="77777777" w:rsidR="00F679A2" w:rsidRPr="003B2B91" w:rsidRDefault="00F679A2" w:rsidP="00F679A2">
      <w:pPr>
        <w:spacing w:line="360" w:lineRule="auto"/>
        <w:rPr>
          <w:szCs w:val="20"/>
        </w:rPr>
      </w:pPr>
      <w:r w:rsidRPr="005718B1">
        <w:rPr>
          <w:sz w:val="16"/>
          <w:szCs w:val="16"/>
        </w:rPr>
        <w:t>Vir: MKGP</w:t>
      </w:r>
      <w:r>
        <w:rPr>
          <w:sz w:val="16"/>
          <w:szCs w:val="16"/>
        </w:rPr>
        <w:t>-2020</w:t>
      </w:r>
    </w:p>
    <w:p w14:paraId="5875A70C" w14:textId="77777777" w:rsidR="00F679A2" w:rsidRPr="005B2A49" w:rsidRDefault="00F679A2" w:rsidP="005B2A49">
      <w:pPr>
        <w:spacing w:after="120" w:line="260" w:lineRule="atLeast"/>
        <w:rPr>
          <w:rFonts w:eastAsia="Calibri"/>
          <w:szCs w:val="20"/>
        </w:rPr>
      </w:pPr>
      <w:r w:rsidRPr="005B2A49">
        <w:rPr>
          <w:rFonts w:eastAsia="Calibri"/>
          <w:szCs w:val="20"/>
        </w:rPr>
        <w:t>Ekološka pridelava se povečuje, v letu 2010 je bilo v ekološko pridelavo vključenih 11 % oljčnikov, medtem ko je bila v letu 2019 takšna pridelava pri 196 KMG-jih na 278 ha oljčnikih ali 20 % oljčnikov.</w:t>
      </w:r>
    </w:p>
    <w:p w14:paraId="34966175" w14:textId="4BDA0A28" w:rsidR="00F679A2" w:rsidRDefault="00F679A2" w:rsidP="00F679A2">
      <w:pPr>
        <w:pStyle w:val="SCSlika0"/>
      </w:pPr>
      <w:bookmarkStart w:id="3206" w:name="_Toc89851122"/>
      <w:r>
        <w:t xml:space="preserve">Slika </w:t>
      </w:r>
      <w:r>
        <w:rPr>
          <w:noProof/>
        </w:rPr>
        <w:fldChar w:fldCharType="begin"/>
      </w:r>
      <w:r>
        <w:rPr>
          <w:noProof/>
        </w:rPr>
        <w:instrText xml:space="preserve"> SEQ Slika \* ARABIC </w:instrText>
      </w:r>
      <w:r>
        <w:rPr>
          <w:noProof/>
        </w:rPr>
        <w:fldChar w:fldCharType="separate"/>
      </w:r>
      <w:r w:rsidR="00F25435">
        <w:rPr>
          <w:noProof/>
        </w:rPr>
        <w:t>80</w:t>
      </w:r>
      <w:r>
        <w:rPr>
          <w:noProof/>
        </w:rPr>
        <w:fldChar w:fldCharType="end"/>
      </w:r>
      <w:r>
        <w:t xml:space="preserve">: </w:t>
      </w:r>
      <w:r w:rsidRPr="00177AA3">
        <w:t>Površina oljčnikov z ekološko pridelavo (ha)</w:t>
      </w:r>
      <w:bookmarkEnd w:id="3206"/>
    </w:p>
    <w:p w14:paraId="0825A724" w14:textId="77777777" w:rsidR="00F679A2"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68F42EB0" wp14:editId="7AAFF697">
            <wp:extent cx="4883848" cy="2637489"/>
            <wp:effectExtent l="0" t="0" r="12065" b="10795"/>
            <wp:docPr id="1631865350" name="Grafikon 1631865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789B731" w14:textId="77777777" w:rsidR="00F679A2" w:rsidRPr="005718B1" w:rsidRDefault="00F679A2" w:rsidP="00F679A2">
      <w:pPr>
        <w:autoSpaceDE w:val="0"/>
        <w:autoSpaceDN w:val="0"/>
        <w:adjustRightInd w:val="0"/>
        <w:spacing w:line="360" w:lineRule="auto"/>
        <w:rPr>
          <w:sz w:val="16"/>
          <w:szCs w:val="16"/>
        </w:rPr>
      </w:pPr>
      <w:r w:rsidRPr="005718B1">
        <w:rPr>
          <w:sz w:val="16"/>
          <w:szCs w:val="16"/>
        </w:rPr>
        <w:t xml:space="preserve">Vir: </w:t>
      </w:r>
      <w:r>
        <w:rPr>
          <w:sz w:val="16"/>
          <w:szCs w:val="16"/>
        </w:rPr>
        <w:t>MKGP-2020</w:t>
      </w:r>
    </w:p>
    <w:p w14:paraId="6945A598" w14:textId="77777777" w:rsidR="00F679A2" w:rsidRPr="005B2A49" w:rsidRDefault="00F679A2" w:rsidP="005B2A49">
      <w:pPr>
        <w:spacing w:after="120" w:line="260" w:lineRule="atLeast"/>
        <w:rPr>
          <w:rFonts w:eastAsia="Calibri"/>
          <w:szCs w:val="20"/>
        </w:rPr>
      </w:pPr>
      <w:r w:rsidRPr="005B2A49">
        <w:rPr>
          <w:rFonts w:eastAsia="Calibri"/>
          <w:szCs w:val="20"/>
        </w:rPr>
        <w:t>Predelava oljk v namizne oljke je omejena, vendar perspektivna dejavnost. Prijava pridelka v RKG kaže rahlo rast proizvodnje, ki v povprečju zadnjih 5 let znaša 6 ton.</w:t>
      </w:r>
    </w:p>
    <w:p w14:paraId="2FEEAD68" w14:textId="77777777" w:rsidR="00F679A2" w:rsidRPr="005B2A49" w:rsidRDefault="00F679A2" w:rsidP="005B2A49">
      <w:pPr>
        <w:spacing w:after="120" w:line="260" w:lineRule="atLeast"/>
        <w:rPr>
          <w:rFonts w:eastAsia="Calibri"/>
          <w:szCs w:val="20"/>
        </w:rPr>
      </w:pPr>
      <w:r w:rsidRPr="005B2A49">
        <w:rPr>
          <w:rFonts w:eastAsia="Calibri"/>
          <w:szCs w:val="20"/>
        </w:rPr>
        <w:t>Stopnja samooskrbe z oljčnim oljem je deficitarna in je odvisna predvsem od letne proizvodnje slovenskega oljčnega olja, medtem ko se poraba oljčnega olja povečuje. Stopnja samooskrbe se je v obdobju 2010–2019 gibala od 10% v letu 2014 do 32% v letu 2018, v povprečju pa 20%. Ocenjena poraba (proizvodnja + uvoz - izvoz) za sezono 2019 znaša 2.291 ton oljčnega olja, kar znaša 1,1 litra na prebivalca. Poraba oljčnega olja v zadnjih 20 letih sicer raste, a je v primerjavi z velikimi proizvajalkami oljčnega olja (Grčija 12 l, Španija 10 l, Italija 9 l) nizka. Slovensko oljčno olje se večinoma proda v Sloveniji. Potrošniki so pri izbiri oljčnega olja pozorni predvsem na kakovost, okus, državo porekla, označbe, proizvajalca. Zato je v Sloveniji perspektivna proizvodnja visoko kakovostnega oljčnega olja (iz shem kakovosti ZOP).</w:t>
      </w:r>
    </w:p>
    <w:p w14:paraId="727F4BEA"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Slovensko oljčno olje dosega visoke cene, 10 EUR/l pri pridelovalcih, olje vrhunske kakovosti = ZOP pa od 18 do 19 EUR/l oziroma precej več (odvisno tudi velikosti pakiranja). Ker na trg prihaja vse več kakovostnega, a cenejšega oljčnega olja iz tujine, obstaja nevarnost nekonkurenčnosti slovenskega olja. V trgovinah namreč prevaladuje oljčno olje neslovenskega porekla, slovensko oljčno olje pa je predvsem visoke kakovosti (ZOP), katerega cena je precej višja od tujega. Veliko tega oljčnega olja ZOP se proda v turizmu kot butični proizvod. Glede na majhno površino oljčnikov na kmetijsko gospodarstvo je večina slovenskih oljkarjev netržnih. Največ oljčnega olja se še vedno proda na kmetijah pri oljkarjih. </w:t>
      </w:r>
    </w:p>
    <w:p w14:paraId="189047BF" w14:textId="77777777" w:rsidR="00F679A2" w:rsidRPr="005B2A49" w:rsidRDefault="00F679A2" w:rsidP="005B2A49">
      <w:pPr>
        <w:spacing w:after="120" w:line="260" w:lineRule="atLeast"/>
        <w:rPr>
          <w:rFonts w:eastAsia="Calibri"/>
          <w:szCs w:val="20"/>
        </w:rPr>
      </w:pPr>
      <w:r w:rsidRPr="005B2A49">
        <w:rPr>
          <w:rFonts w:eastAsia="Calibri"/>
          <w:szCs w:val="20"/>
        </w:rPr>
        <w:t>Pri uvozu oljčnega olja beležimo hitro rast. Leta 2000 je uvoz znašal 714 ton, s postopno rastjo je v letu 2013 presegel 1.900 ton in se do leta 2019 giblje v tem obsegu (določen delež predstavlja uvoz zaradi izvoza). Izvoz v zadnjih desetih letih znaša v povprečju 43 ton letno (vendar gre v večini primerov za izvoz po uvozu), izvoz slovenskega oljčnega olja pa je količinsko zanemarljiv.</w:t>
      </w:r>
    </w:p>
    <w:p w14:paraId="721D280D" w14:textId="77777777" w:rsidR="00F679A2" w:rsidRPr="005B2A49" w:rsidRDefault="00F679A2" w:rsidP="005B2A49">
      <w:pPr>
        <w:spacing w:after="120" w:line="260" w:lineRule="atLeast"/>
        <w:rPr>
          <w:rFonts w:eastAsia="Calibri"/>
          <w:szCs w:val="20"/>
        </w:rPr>
      </w:pPr>
      <w:r w:rsidRPr="005B2A49">
        <w:rPr>
          <w:rFonts w:eastAsia="Calibri"/>
          <w:szCs w:val="20"/>
        </w:rPr>
        <w:t>Oljka kot tipična sredozemska kultura je za slovensko Primorje nepogrešljiva. Je del tradicionalne krajine in pomembna za trajnostno kmetijstvo. Zato urejeni oljčniki in samostojna stara drevesa oljk, vključno s starimi torklami za stiskanje oljčnega olja, predstavljajo bogato naravno in kulturno bogastvo Primorske. Oljčniki so območja s posebno ekološko vrednostjo, tudi zaradi malih oljkarjev, ki niso tržno usmerjeni, prispevajo pa k mozaični krajini in biotski raznovrstnosti ter razvoju turizma. Pomembno je spodbujanje trajnostnega razvoja z ozaveščanjem pridelovalcev o naravi prijaznih tehnologijah pridelave.</w:t>
      </w:r>
    </w:p>
    <w:p w14:paraId="6396675E" w14:textId="77777777" w:rsidR="00F679A2" w:rsidRPr="005B2A49" w:rsidRDefault="00F679A2" w:rsidP="005B2A49">
      <w:pPr>
        <w:spacing w:after="120" w:line="260" w:lineRule="atLeast"/>
        <w:rPr>
          <w:rFonts w:eastAsia="Calibri"/>
          <w:szCs w:val="20"/>
        </w:rPr>
      </w:pPr>
      <w:r w:rsidRPr="005B2A49">
        <w:rPr>
          <w:rFonts w:eastAsia="Calibri"/>
          <w:szCs w:val="20"/>
        </w:rPr>
        <w:t>Oljka je drevo, ki pozno vstopi v rodnost, rodna pa je lahko tudi več sto let. Zato je pomembno ohranjanje starih oljk in oljčnikov. Tudi z vidika porabe vode je oljka kot zimzelena rastlina z globokimi koreninami prilagojena na manjšo porabo vode, čeprav pogostejša sušna obdobja tudi pri oljki vplivajo na slabši pridelek. Podnebne spremembe, kot so daljša sušna obdobja, večje število ekstremnih pojavov, kot je zmrzal ali toča, neugodno vplivajo na pridelavo oljk in tudi na kakovost oljčnega olja. Zato je tudi v oljkarstvu potrebna prilagoditev tehnologije pridelave oljk, vključno s pridelovanjem primernih sort in varstva pred boleznimi in škodljivci. Ena od možnosti prilagoditve tehnologije temu pojavu je namakanje, saj so  ekstremna sušna obdobja na območjih pridelave oljk vedno bolj pogosta. Število namakalnih sistemov v oljčnikih se sicer povečuje, a je njihov delež še vedno zanemarljiv: skupaj 26 ha v 87 oljčnikih. Težave so tudi pri pridobivanju dovoljenj za postavitev namakalnih sistemov zaradi omejenost vodnih virov na Primorskem.</w:t>
      </w:r>
    </w:p>
    <w:p w14:paraId="1C0869AD"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večjega pojavljanja toče se tudi v oljkarstvu pojavlja potreba po mrežah proti toči. Svetuje se saditev lokalnih sort (preizkušanje sort in primernih podlag, zagotovitev sadilnega materiala), prilagojenih za razmere na območjih pridelave oljk v Sloveniji. Pomembna je učinkovita opazovalna napovedovalna dejavnost službe za varstvo rastlin za potrebe oljkarstva. </w:t>
      </w:r>
    </w:p>
    <w:p w14:paraId="09CAD43D" w14:textId="77777777" w:rsidR="00F679A2" w:rsidRPr="005B2A49" w:rsidRDefault="00F679A2" w:rsidP="005B2A49">
      <w:pPr>
        <w:spacing w:after="120" w:line="260" w:lineRule="atLeast"/>
        <w:rPr>
          <w:rFonts w:eastAsia="Calibri"/>
          <w:szCs w:val="20"/>
        </w:rPr>
      </w:pPr>
      <w:r w:rsidRPr="005B2A49">
        <w:rPr>
          <w:rFonts w:eastAsia="Calibri"/>
          <w:szCs w:val="20"/>
        </w:rPr>
        <w:t>Starostna struktura oljkarjev je glede na pogoje statusa 'mladi kmet' neugodna. Največji delež predstavljajo oljkarji, stari od 41 do 64 let (1397 kmetijskih gospodarstev ali 47 %), skoraj toliko je starejših od 64 let (1321 kmetijskih gospodarstev ali 46% ), le 230 kmetijskih gospodarstev ali 7% predstavlja oljkarje, mlajše od 41 let.</w:t>
      </w:r>
    </w:p>
    <w:p w14:paraId="453CD917" w14:textId="77777777" w:rsidR="00F679A2" w:rsidRPr="005B2A49" w:rsidRDefault="00F679A2" w:rsidP="005B2A49">
      <w:pPr>
        <w:spacing w:after="120" w:line="260" w:lineRule="atLeast"/>
        <w:rPr>
          <w:rFonts w:eastAsia="Calibri"/>
          <w:szCs w:val="20"/>
        </w:rPr>
      </w:pPr>
      <w:r w:rsidRPr="005B2A49">
        <w:rPr>
          <w:rFonts w:eastAsia="Calibri"/>
          <w:szCs w:val="20"/>
        </w:rPr>
        <w:t>Za podeželje na Primorskem je oljkarstvo pomembno tudi zaradi ohranjanja sredozemske kulturne krajine in tradicije oljkarstva v povezavi s turizmom in gastronomijo (oljčni turizem). Oljkarji uvajajo nove produkte oljk (poleg vlaganja oljk tudi namazi, oljčno olje z dodatki, ipd.). Predelava oljk daje možnost uporabe stranskih proizvodov oljk (oljčne tropine, rastlinska voda, koščice, listi). Zaradi neugodne starostne strukture oljkarjev obstaja nevarnost opuščanje oljkarstva, posledično pa negativni vpliv na sredozemsko kulturno krajino (zaraščanje) in na trajnostni razvoj ter na socialno-ekonomski položaj v regiji.</w:t>
      </w:r>
    </w:p>
    <w:p w14:paraId="4A611249" w14:textId="77777777" w:rsidR="00F679A2" w:rsidRPr="005B2A49" w:rsidRDefault="00F679A2" w:rsidP="005B2A49">
      <w:pPr>
        <w:spacing w:after="120" w:line="260" w:lineRule="atLeast"/>
        <w:rPr>
          <w:rFonts w:eastAsia="Calibri"/>
          <w:szCs w:val="20"/>
        </w:rPr>
      </w:pPr>
      <w:r w:rsidRPr="005B2A49">
        <w:rPr>
          <w:rFonts w:eastAsia="Calibri"/>
          <w:szCs w:val="20"/>
        </w:rPr>
        <w:t>V programskem obdobju SKP 2014–2020 lahko oljkarji na podlagi plačilnih pravic iz sheme neposrednih plačil pridobijo osnovno plačilo in plačilo za zeleno komponento. V letu 2019 je plačilne pravice za oljčnike prejelo 864 KMG v skupni vrednosti cca. 81.000 EUR. Oljkarji niso uspešni pri črpanju podpor iz PRP, zlasti pri podporah za naložbe v kmetijska gospodarstva, saj  je za slovensko oljkarstvo značilna razdrobljena in majhna posestna struktura, zato malo kmetijsko gospodarstvo težko dosega minimum za podporo iz razpisa. Del konvencionalne pridelave se je z uvedbo podpor za sonaravno kmetijstvo preusmeril v okolju prijaznejši način pridelave.</w:t>
      </w:r>
    </w:p>
    <w:p w14:paraId="09074693" w14:textId="77777777" w:rsidR="00F679A2" w:rsidRPr="005B2A49" w:rsidRDefault="00F679A2" w:rsidP="005B2A49">
      <w:pPr>
        <w:spacing w:after="120" w:line="260" w:lineRule="atLeast"/>
        <w:rPr>
          <w:rFonts w:eastAsia="Calibri"/>
          <w:szCs w:val="20"/>
        </w:rPr>
      </w:pPr>
      <w:r w:rsidRPr="005B2A49">
        <w:rPr>
          <w:rFonts w:eastAsia="Calibri"/>
          <w:szCs w:val="20"/>
        </w:rPr>
        <w:t>Oljkarji so organizirani na ravni društev, zveze društev ter dveh zadrug. V programskem obdobju PRP 2007 – 2013 so bili oljkarji z ZOP EDOOSI združeni v skupino proizvajalcev in prejemali podporo iz ukrepov podpore za skupine proizvajalcev (133, 134, 142), vezane na ZOP. V PRP 2014 – 2020 lahko oljkarji koristijo ukrep M3 za nove skupine proizvajalcev oz. nove člane v 'starih' skupinah proizvajalcev in ukrep M9 za priznavanje skupin proizvajalcev za namen trženja. Določene skupine oljkarjev so zainteresirane za povezovanje v organizacije proizvajalcev, vendar trenutno ni priznanih skupin proizvajalcev oziroma organizaciji proizvajalcev.</w:t>
      </w:r>
    </w:p>
    <w:p w14:paraId="772B36E3" w14:textId="77777777" w:rsidR="00F679A2" w:rsidRPr="005B2A49" w:rsidRDefault="00F679A2" w:rsidP="005B2A49">
      <w:pPr>
        <w:spacing w:after="120" w:line="260" w:lineRule="atLeast"/>
        <w:rPr>
          <w:rFonts w:eastAsia="Calibri"/>
          <w:szCs w:val="20"/>
        </w:rPr>
      </w:pPr>
      <w:r w:rsidRPr="005B2A49">
        <w:rPr>
          <w:rFonts w:eastAsia="Calibri"/>
          <w:szCs w:val="20"/>
        </w:rPr>
        <w:t>Za tehnološki napredek in izmenjavo znanj ima pomembno vlogo javna služba na področju oljkarstva, ki izvaja strokovne naloge s področja oljkarstva (selekcija oljk, introdukcija oljk, zagotavljanje matičnega sadilnega materiala oljke, tehnologija pridelave oljk, ugotavljanje vrednosti oljk za predelavo) in s tem prispeva k uresničevanju strateških usmeritev razvoja oljkarstva. V prenos znanja so vključene tudi javna služba kmetijskega svetovanja (1/2 svetovalca, KGZ NG) in služba za zdravstveno varstvo rastlin (KGZ NG).</w:t>
      </w:r>
    </w:p>
    <w:p w14:paraId="4FE5993A" w14:textId="07F2B9F5" w:rsidR="00F679A2" w:rsidRDefault="00F679A2" w:rsidP="005B2A49">
      <w:pPr>
        <w:spacing w:after="120" w:line="260" w:lineRule="atLeast"/>
        <w:rPr>
          <w:rFonts w:eastAsia="Calibri"/>
          <w:szCs w:val="20"/>
        </w:rPr>
      </w:pPr>
      <w:r w:rsidRPr="005B2A49">
        <w:rPr>
          <w:rFonts w:eastAsia="Calibri"/>
          <w:szCs w:val="20"/>
        </w:rPr>
        <w:t xml:space="preserve">Ministrstvo je v zadnjem obdobju financiralo tudi CRP projekte na področju oljkarstva za proučevanje namakanja oljk in uporabe oljčnih tropin za različne namene (gnojenje, prehranska dopolnila, kurjava). </w:t>
      </w:r>
    </w:p>
    <w:p w14:paraId="05D490F3" w14:textId="77777777" w:rsidR="00C25531" w:rsidRPr="005B2A49" w:rsidRDefault="00C25531" w:rsidP="005B2A49">
      <w:pPr>
        <w:spacing w:after="120" w:line="260" w:lineRule="atLeast"/>
        <w:rPr>
          <w:rFonts w:eastAsia="Calibri"/>
          <w:szCs w:val="20"/>
        </w:rPr>
      </w:pPr>
    </w:p>
    <w:p w14:paraId="36341C2A" w14:textId="77777777" w:rsidR="00F679A2" w:rsidRPr="001261F1" w:rsidRDefault="00F679A2" w:rsidP="00F679A2">
      <w:pPr>
        <w:pStyle w:val="Naslov3"/>
      </w:pPr>
      <w:bookmarkStart w:id="3207" w:name="_Toc90462279"/>
      <w:r w:rsidRPr="001261F1">
        <w:t>Ključne ugotovitve</w:t>
      </w:r>
      <w:bookmarkEnd w:id="3207"/>
    </w:p>
    <w:p w14:paraId="082945C9" w14:textId="77777777" w:rsidR="00F679A2" w:rsidRPr="003B2B91" w:rsidRDefault="00F679A2" w:rsidP="005B2A49">
      <w:pPr>
        <w:numPr>
          <w:ilvl w:val="0"/>
          <w:numId w:val="191"/>
        </w:numPr>
        <w:spacing w:after="120" w:line="260" w:lineRule="atLeast"/>
        <w:ind w:left="357" w:hanging="357"/>
        <w:rPr>
          <w:szCs w:val="20"/>
        </w:rPr>
      </w:pPr>
      <w:r w:rsidRPr="003B2B91">
        <w:rPr>
          <w:szCs w:val="20"/>
        </w:rPr>
        <w:t xml:space="preserve">Oljkarstvo ima v Sloveniji velik potencial, tako z vidika možnosti povečevanja površin oljčnikov, ohranjanja kulturne krajine, povezovanja s turizmom in povečevanja porabe oljčnega olja. </w:t>
      </w:r>
    </w:p>
    <w:p w14:paraId="3266F149" w14:textId="77777777" w:rsidR="00F679A2" w:rsidRPr="003B2B91" w:rsidRDefault="00F679A2" w:rsidP="005B2A49">
      <w:pPr>
        <w:numPr>
          <w:ilvl w:val="0"/>
          <w:numId w:val="191"/>
        </w:numPr>
        <w:spacing w:after="120" w:line="260" w:lineRule="atLeast"/>
        <w:ind w:left="357" w:hanging="357"/>
        <w:rPr>
          <w:szCs w:val="20"/>
        </w:rPr>
      </w:pPr>
      <w:r w:rsidRPr="003B2B91">
        <w:rPr>
          <w:szCs w:val="20"/>
        </w:rPr>
        <w:t xml:space="preserve">Pridelava oljk in s tem proizvodnja oljčnega olja v zadnjih letih precej niha, prevladujejo slabe letine, predvsem zaradi podnebnih sprememb (suša, ekstremni vremenski pojavi), izmenične rodnosti, slaba organiziranost za skupno trženje, značilni so razdrobljenost, majhnost oljčnikov, hriboviti relief in težave pri pridobivanju zemljišč v najem iz Sklada kmetijskih zemljišč in gozdov </w:t>
      </w:r>
      <w:r w:rsidRPr="00612A31">
        <w:rPr>
          <w:szCs w:val="20"/>
        </w:rPr>
        <w:t xml:space="preserve">Republike Slovenije </w:t>
      </w:r>
      <w:r w:rsidRPr="003B2B91">
        <w:rPr>
          <w:szCs w:val="20"/>
        </w:rPr>
        <w:t>ter pojavljanje bolezni in škodljivcev. Zaradi vsega naštetega je pridelava oljčnega olja nekonkurenčna, zato je v prihodnje potrebno okrepiti investicije v postavitev novih nasadov (izbor primernih sort in leg), izgradnjo namakalnih sistemov in spodbujati pridelovalce k povezovanju.</w:t>
      </w:r>
    </w:p>
    <w:p w14:paraId="32433904" w14:textId="77777777" w:rsidR="00F679A2" w:rsidRPr="003B2B91" w:rsidRDefault="00F679A2" w:rsidP="005B2A49">
      <w:pPr>
        <w:numPr>
          <w:ilvl w:val="0"/>
          <w:numId w:val="191"/>
        </w:numPr>
        <w:spacing w:after="120" w:line="260" w:lineRule="atLeast"/>
        <w:ind w:left="357" w:hanging="357"/>
        <w:rPr>
          <w:szCs w:val="20"/>
        </w:rPr>
      </w:pPr>
      <w:r w:rsidRPr="003B2B91">
        <w:rPr>
          <w:szCs w:val="20"/>
        </w:rPr>
        <w:t>V Sloveniji proizvajamo visoko kakovostno oljčno olje.</w:t>
      </w:r>
      <w:r w:rsidRPr="003B2B91">
        <w:rPr>
          <w:rFonts w:eastAsia="Arial"/>
          <w:szCs w:val="20"/>
        </w:rPr>
        <w:t xml:space="preserve"> Delež tržno usmerjenih oljkarjev je majhen, saj se večina oljčnega olja proda na kmetiji in ne po evidentiranih tržnih poteh. Za povečanje tržno usmerjenih oljkarjev je potrebno graditi na promociji slovenskega oljkarstva in oljčnega olja ter okrepiti povezovanje oljkarjev za boljši položaj in konkurenčnost na trgu, okrepiti naložbe in nameniti sredstva za </w:t>
      </w:r>
      <w:r w:rsidRPr="003B2B91">
        <w:rPr>
          <w:szCs w:val="20"/>
        </w:rPr>
        <w:t>ugotavljanje skladnosti oljčnega olja</w:t>
      </w:r>
      <w:r w:rsidRPr="003B2B91">
        <w:rPr>
          <w:rFonts w:eastAsia="Arial"/>
          <w:szCs w:val="20"/>
        </w:rPr>
        <w:t>.</w:t>
      </w:r>
    </w:p>
    <w:p w14:paraId="57EF0A78" w14:textId="5C1CE2B6" w:rsidR="00F679A2" w:rsidRDefault="00F679A2" w:rsidP="005B2A49">
      <w:pPr>
        <w:numPr>
          <w:ilvl w:val="0"/>
          <w:numId w:val="191"/>
        </w:numPr>
        <w:spacing w:after="120" w:line="260" w:lineRule="atLeast"/>
        <w:ind w:left="357" w:hanging="357"/>
        <w:rPr>
          <w:szCs w:val="20"/>
        </w:rPr>
      </w:pPr>
      <w:r w:rsidRPr="003B2B91">
        <w:rPr>
          <w:szCs w:val="20"/>
        </w:rPr>
        <w:t>Ne glede na to, da so za Slovenijo značilni manjši oljkarji, ki svoje olje tržijo predvsem na domu, imajo pomembno vlogo z vidika izboljševanja dohodkovnega položaja kmetijskih pridelovalcev, obdelanosti kmetijskih zemljišč in ohranjanja kulturne krajine</w:t>
      </w:r>
      <w:r>
        <w:rPr>
          <w:szCs w:val="20"/>
        </w:rPr>
        <w:t>.</w:t>
      </w:r>
    </w:p>
    <w:p w14:paraId="5B32396E" w14:textId="77777777" w:rsidR="00C25531" w:rsidRPr="003C4801" w:rsidRDefault="00C25531" w:rsidP="005B2A49">
      <w:pPr>
        <w:spacing w:after="120" w:line="260" w:lineRule="atLeast"/>
        <w:ind w:left="357"/>
        <w:rPr>
          <w:szCs w:val="20"/>
        </w:rPr>
      </w:pPr>
    </w:p>
    <w:p w14:paraId="08718A65" w14:textId="77777777" w:rsidR="00F679A2" w:rsidRPr="001261F1" w:rsidRDefault="00FB6BEC" w:rsidP="00F679A2">
      <w:pPr>
        <w:pStyle w:val="Naslov2"/>
      </w:pPr>
      <w:hyperlink r:id="rId113" w:history="1">
        <w:bookmarkStart w:id="3208" w:name="_Toc90462280"/>
        <w:r w:rsidR="00F679A2" w:rsidRPr="001261F1">
          <w:t>Hmeljarstvo</w:t>
        </w:r>
        <w:bookmarkEnd w:id="3208"/>
      </w:hyperlink>
    </w:p>
    <w:p w14:paraId="06D6EE48" w14:textId="77777777" w:rsidR="00F679A2" w:rsidRPr="005B2A49" w:rsidRDefault="00F679A2" w:rsidP="005B2A49">
      <w:pPr>
        <w:spacing w:after="120" w:line="260" w:lineRule="atLeast"/>
        <w:rPr>
          <w:rFonts w:eastAsia="Calibri"/>
          <w:szCs w:val="20"/>
        </w:rPr>
      </w:pPr>
      <w:r w:rsidRPr="005B2A49">
        <w:rPr>
          <w:rFonts w:eastAsia="Calibri"/>
          <w:szCs w:val="20"/>
        </w:rPr>
        <w:t>Hmeljarstvo</w:t>
      </w:r>
      <w:r w:rsidRPr="005B2A49" w:rsidDel="00B907D9">
        <w:rPr>
          <w:rFonts w:eastAsia="Calibri"/>
          <w:szCs w:val="20"/>
        </w:rPr>
        <w:t xml:space="preserve"> ima</w:t>
      </w:r>
      <w:r w:rsidRPr="005B2A49">
        <w:rPr>
          <w:rFonts w:eastAsia="Calibri"/>
          <w:szCs w:val="20"/>
        </w:rPr>
        <w:t xml:space="preserve"> v Sloveniji</w:t>
      </w:r>
      <w:r w:rsidRPr="005B2A49" w:rsidDel="00703221">
        <w:rPr>
          <w:rFonts w:eastAsia="Calibri"/>
          <w:szCs w:val="20"/>
        </w:rPr>
        <w:t xml:space="preserve"> </w:t>
      </w:r>
      <w:r w:rsidRPr="005B2A49">
        <w:rPr>
          <w:rFonts w:eastAsia="Calibri"/>
          <w:szCs w:val="20"/>
        </w:rPr>
        <w:t>dolgoletno</w:t>
      </w:r>
      <w:r w:rsidRPr="005B2A49" w:rsidDel="00B907D9">
        <w:rPr>
          <w:rFonts w:eastAsia="Calibri"/>
          <w:szCs w:val="20"/>
        </w:rPr>
        <w:t xml:space="preserve"> tradicijo in </w:t>
      </w:r>
      <w:r w:rsidRPr="005B2A49">
        <w:rPr>
          <w:rFonts w:eastAsia="Calibri"/>
          <w:szCs w:val="20"/>
        </w:rPr>
        <w:t xml:space="preserve">je ena od najbolj prepoznavnih pokrajinskih značilnosti in dejavnosti v Spodnji Savinjski dolini. Pridelava hmelja je omejena na območje Ptujskega polja, Koroške in Dravske doline. Specifična kombinacija predalpske klime in tal, kot naše naravne danosti, omogoča proizvodnjo aromatskih sort s svetovnim slovesom. </w:t>
      </w:r>
    </w:p>
    <w:p w14:paraId="7E7FEC5C"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letu 2007 predstavlja hmelj od 0,4 % do 2,6 % vrednosti kmetijske proizvodnje, v vrednosti rastlinske pridelave pa ta delež predstavlja od 0,7 % do 5,2 %.  </w:t>
      </w:r>
    </w:p>
    <w:p w14:paraId="0C9B8C12" w14:textId="64B05861" w:rsidR="00F679A2" w:rsidRDefault="00F679A2" w:rsidP="005B2A49">
      <w:pPr>
        <w:spacing w:after="120" w:line="260" w:lineRule="atLeast"/>
        <w:rPr>
          <w:rFonts w:eastAsia="Calibri"/>
          <w:szCs w:val="20"/>
        </w:rPr>
      </w:pPr>
      <w:r w:rsidRPr="005B2A49">
        <w:rPr>
          <w:rFonts w:eastAsia="Calibri"/>
          <w:szCs w:val="20"/>
        </w:rPr>
        <w:t xml:space="preserve">Strateški cilji Slovenije na področju hmeljarstva so: dosegati 3 % svetovni delež pridelave hmelja in stabilizirati proizvodnjo v smislu količinsko in kakovostno trajne ponudbe za trg, razviti nove sorte, ki bodo prilagojene na nove podnebne spremembe ter preprečevati širjenje karantenskih bolezni in škodljivcev. </w:t>
      </w:r>
    </w:p>
    <w:p w14:paraId="5C3B7946" w14:textId="77777777" w:rsidR="00C25531" w:rsidRPr="005B2A49" w:rsidRDefault="00C25531" w:rsidP="005B2A49">
      <w:pPr>
        <w:spacing w:after="120" w:line="260" w:lineRule="atLeast"/>
        <w:rPr>
          <w:rFonts w:eastAsia="Calibri"/>
          <w:szCs w:val="20"/>
        </w:rPr>
      </w:pPr>
    </w:p>
    <w:p w14:paraId="465951C0" w14:textId="77777777" w:rsidR="00F679A2" w:rsidRPr="001261F1" w:rsidRDefault="00F679A2" w:rsidP="00F679A2">
      <w:pPr>
        <w:pStyle w:val="Naslov3"/>
      </w:pPr>
      <w:bookmarkStart w:id="3209" w:name="_Toc90462281"/>
      <w:r w:rsidRPr="001261F1">
        <w:t>Stanje in osnovni ekonomski kazalniki</w:t>
      </w:r>
      <w:bookmarkEnd w:id="3209"/>
    </w:p>
    <w:p w14:paraId="6BA209F7" w14:textId="77777777" w:rsidR="00F679A2" w:rsidRPr="005B2A49" w:rsidRDefault="00F679A2" w:rsidP="005B2A49">
      <w:pPr>
        <w:spacing w:after="120" w:line="260" w:lineRule="atLeast"/>
        <w:rPr>
          <w:rFonts w:eastAsia="Calibri"/>
          <w:szCs w:val="20"/>
        </w:rPr>
      </w:pPr>
      <w:r w:rsidRPr="005B2A49">
        <w:rPr>
          <w:rFonts w:eastAsia="Calibri"/>
          <w:szCs w:val="20"/>
        </w:rPr>
        <w:t>Hmelj v Sloveniji zaseda okoli 1% njivskih površin. Od leta 2013 beležimo ponovno rast površin pod hmeljem. Leta 2013 se je hmelj prideloval na 1.166 ha, leta 2018 pa že na 1.667 ha. Vse do leta 2018 so se površine pod hmeljem povečevale, kar lahko pripišemo ugodni tržni situaciji. V letu 2019 so se  površine pod hmeljem zmanjšale na 1.616 ha, vendar niso padle pod dolgoletno poprečje.</w:t>
      </w:r>
    </w:p>
    <w:p w14:paraId="4265330E" w14:textId="53CAEF3D" w:rsidR="00F679A2" w:rsidRDefault="00F679A2" w:rsidP="00F679A2">
      <w:pPr>
        <w:pStyle w:val="SCSlika0"/>
      </w:pPr>
      <w:bookmarkStart w:id="3210" w:name="_Toc89851123"/>
      <w:r>
        <w:t xml:space="preserve">Slika </w:t>
      </w:r>
      <w:r>
        <w:rPr>
          <w:noProof/>
        </w:rPr>
        <w:fldChar w:fldCharType="begin"/>
      </w:r>
      <w:r>
        <w:rPr>
          <w:noProof/>
        </w:rPr>
        <w:instrText xml:space="preserve"> SEQ Slika \* ARABIC </w:instrText>
      </w:r>
      <w:r>
        <w:rPr>
          <w:noProof/>
        </w:rPr>
        <w:fldChar w:fldCharType="separate"/>
      </w:r>
      <w:r w:rsidR="00F25435">
        <w:rPr>
          <w:noProof/>
        </w:rPr>
        <w:t>81</w:t>
      </w:r>
      <w:r>
        <w:rPr>
          <w:noProof/>
        </w:rPr>
        <w:fldChar w:fldCharType="end"/>
      </w:r>
      <w:r>
        <w:t xml:space="preserve">: </w:t>
      </w:r>
      <w:r w:rsidRPr="00177AA3">
        <w:t>Površina in pridelek hmelja (2007–2019)</w:t>
      </w:r>
      <w:bookmarkEnd w:id="3210"/>
    </w:p>
    <w:p w14:paraId="3F647056"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4B940B32" wp14:editId="097E5F40">
            <wp:extent cx="5629275" cy="2218690"/>
            <wp:effectExtent l="0" t="0" r="9525" b="0"/>
            <wp:docPr id="1631865351" name="Slika 16318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9275" cy="2218690"/>
                    </a:xfrm>
                    <a:prstGeom prst="rect">
                      <a:avLst/>
                    </a:prstGeom>
                    <a:noFill/>
                    <a:ln>
                      <a:noFill/>
                    </a:ln>
                  </pic:spPr>
                </pic:pic>
              </a:graphicData>
            </a:graphic>
          </wp:inline>
        </w:drawing>
      </w:r>
    </w:p>
    <w:p w14:paraId="0B365B54" w14:textId="77777777" w:rsidR="00F679A2" w:rsidRPr="003B2B91" w:rsidRDefault="00F679A2" w:rsidP="00F679A2">
      <w:pPr>
        <w:spacing w:line="360" w:lineRule="auto"/>
        <w:rPr>
          <w:bCs/>
          <w:szCs w:val="20"/>
        </w:rPr>
      </w:pPr>
      <w:r w:rsidRPr="005718B1">
        <w:rPr>
          <w:rFonts w:eastAsia="Calibri"/>
          <w:sz w:val="16"/>
          <w:szCs w:val="16"/>
        </w:rPr>
        <w:t xml:space="preserve">Vir: </w:t>
      </w:r>
      <w:r>
        <w:rPr>
          <w:rFonts w:eastAsia="Calibri"/>
          <w:sz w:val="16"/>
          <w:szCs w:val="16"/>
        </w:rPr>
        <w:t>SURS (</w:t>
      </w:r>
      <w:r w:rsidRPr="005718B1">
        <w:rPr>
          <w:rFonts w:eastAsia="Calibri"/>
          <w:sz w:val="16"/>
          <w:szCs w:val="16"/>
        </w:rPr>
        <w:t>ZP-2019</w:t>
      </w:r>
      <w:r>
        <w:rPr>
          <w:rFonts w:eastAsia="Calibri"/>
          <w:sz w:val="16"/>
          <w:szCs w:val="16"/>
        </w:rPr>
        <w:t>)</w:t>
      </w:r>
    </w:p>
    <w:p w14:paraId="3F5A4EF4" w14:textId="77777777" w:rsidR="00F679A2" w:rsidRPr="005B2A49" w:rsidRDefault="00F679A2" w:rsidP="005B2A49">
      <w:pPr>
        <w:spacing w:after="120" w:line="260" w:lineRule="atLeast"/>
        <w:rPr>
          <w:rFonts w:eastAsia="Calibri"/>
          <w:szCs w:val="20"/>
        </w:rPr>
      </w:pPr>
      <w:r w:rsidRPr="005B2A49">
        <w:rPr>
          <w:rFonts w:eastAsia="Calibri"/>
          <w:szCs w:val="20"/>
        </w:rPr>
        <w:t>Glede na leto 2010 se je površina hmeljišč v starosti od 1-7 let v letu 2018 praktično podvojila. V letu 2018 in tudi še v letu 2019 površina nasadov v starosti od 1-7 let predstavlja več kot 50% vseh hmeljišč.</w:t>
      </w:r>
    </w:p>
    <w:p w14:paraId="0693AB47" w14:textId="77777777" w:rsidR="00F679A2" w:rsidRPr="005B2A49" w:rsidRDefault="00F679A2" w:rsidP="005B2A49">
      <w:pPr>
        <w:spacing w:after="120" w:line="260" w:lineRule="atLeast"/>
        <w:rPr>
          <w:rFonts w:eastAsia="Calibri"/>
          <w:szCs w:val="20"/>
        </w:rPr>
      </w:pPr>
      <w:r w:rsidRPr="005B2A49">
        <w:rPr>
          <w:rFonts w:eastAsia="Calibri"/>
          <w:szCs w:val="20"/>
        </w:rPr>
        <w:t>Zadnjih pet let je proizvodnja hmelja v Sloveniji naraščala, razen v letu 2019, ko se je proizvodnja hmelja zmanjšala na 2.572 ton. V letu 2015 je bilo v ekološko pridelavo hmelja vključenih 24,1 ha. V zadnjih dveh letih se ekološki hmelj prideluje le na 1,1 ha.</w:t>
      </w:r>
    </w:p>
    <w:p w14:paraId="6A1E84F4"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hmelja v Sloveniji obsega približno do 2 – 3 % svetovne pridelave hmelja, kar Slovenijo uvršča na 4. mesto v Evropi (za Nemčijo, Češko, in Poljsko) oz. 6. mesto med vsemi 20 državami na svetu, ki pridelujejo hmelj. </w:t>
      </w:r>
    </w:p>
    <w:p w14:paraId="2FDF6D64" w14:textId="77777777" w:rsidR="00F679A2" w:rsidRPr="005B2A49" w:rsidRDefault="00F679A2" w:rsidP="005B2A49">
      <w:pPr>
        <w:spacing w:after="120" w:line="260" w:lineRule="atLeast"/>
        <w:rPr>
          <w:rFonts w:eastAsia="Calibri"/>
          <w:szCs w:val="20"/>
        </w:rPr>
      </w:pPr>
      <w:r w:rsidRPr="005B2A49">
        <w:rPr>
          <w:rFonts w:eastAsia="Calibri"/>
          <w:szCs w:val="20"/>
        </w:rPr>
        <w:t>S pomočjo kontinuiranega procesa žlahtnjenja hmelja je bilo v Sloveniji v zadnjih 65 letih vzgojenih 20 sort hmelja, ki pokrivajo 98 % slovenskih hmeljišč, dodatna dva odstotka površine pa pokrivajo tuje sorte in sorte v preizkušanju. Izbor sort se je namreč samo od leta 2010 do 2019 povečal za 10 novih sort hmelja. V primerjavi z ostalimi kmetijskimi rastlinami je za hmeljarstvo namreč značilno, da je večina hmeljnih nasadov posajenih s slovenskimi sortami hmelja. Kljub novim trendom v pivovarski industriji je edina sorta, ki se je od samega začetka uvajanja hmelja na Slovenskem pa vse do danes obdržala, sorta hmelja Savinjski golding, ki je zaradi svoje prepoznavne fine hmeljske arome razširila sloves slovenskega hmelja širom po svetu. V Sloveniji se največ pridelujejo sorte hmelja kot so Celeia, Aurora in Savinjski Golding. Sorti hmelja Aurora so se površine zmanjšale v letu 2019, glede na leto 2010, povečale pa so se površine sorte hmelja Celeia, površine pod sorto Savinjski Golding pa ostaja v vseh teh letih na približno enaki ravni. Še vedno prevladujejo aromatične sorte hmelja.</w:t>
      </w:r>
    </w:p>
    <w:p w14:paraId="29746C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hmeljarstvu obstaja dolgoletni trend zmanjševanja števila pridelovalcev, ki pa postajajo vse večji in bolj specializirani, saj se pri pridelavi sledi vse strožjim standardom kakovosti, ki jo zahtevajo kupci. Število pridelovalcev hmeljarjev je od leta 1992, ko jih je bilo, po podatkih Inštituta za hmeljarstvo in pivovarstvo Slovenije (IHPS) največ (495), padalo vse do leta 2014, ko jih je bilo le še 110. Potem se je število spet nekoliko povečalo, v letu 2019 je bilo 119 pridelovalcev hmelja. </w:t>
      </w:r>
    </w:p>
    <w:p w14:paraId="7277DAB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tržnih ocenah potreb po hmelju zaznavamo prekomerne zaloge pri pivovarnah, ker realizacija proizvodnje ne dosega optimističnih načrtov iz preteklih let. Osemletno širjenje hmeljišč in signali pivovarske potrošnje hmelja v letu 2020 nakazujejo prelomno obdobje donosnosti hmeljarstva in spominjajo vse bolj na obdobje po letu 2008, ko je ponudba hmelja močno presegla povpraševanje po hmelju in hmeljnih proizvodih. Takrat so le pravočasno sklenjene pogodbe o prodaji hmelja omogočale stabilen dohodek in donosnost pridelave. </w:t>
      </w:r>
    </w:p>
    <w:p w14:paraId="7B0D845A" w14:textId="77777777" w:rsidR="00F679A2" w:rsidRPr="005B2A49" w:rsidRDefault="00F679A2" w:rsidP="005B2A49">
      <w:pPr>
        <w:spacing w:after="120" w:line="260" w:lineRule="atLeast"/>
        <w:rPr>
          <w:rFonts w:eastAsia="Calibri"/>
          <w:szCs w:val="20"/>
        </w:rPr>
      </w:pPr>
      <w:r w:rsidRPr="005B2A49">
        <w:rPr>
          <w:rFonts w:eastAsia="Calibri"/>
          <w:szCs w:val="20"/>
        </w:rPr>
        <w:t xml:space="preserve">Trenutno v Sloveniji deluje eno veliko pivovarsko podjetje Pivovarno Laško Union d.o.o., ki združuje Pivovarno Laško in Pivovarno Union. Poleg njiju pa je konec leta 2019 prisotnih še okoli 105 malih pivovarn, katerih tržni delež trenutno predstavlja okoli 1% proizvedenega piva (od 1,4 mio hl piva) v Sloveniji. </w:t>
      </w:r>
    </w:p>
    <w:p w14:paraId="509B58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Hmeljarstvo v Sloveniji je tradicionalno izvozno usmerjeno. 99 % pridelka hmelja se izvozi v različne evropske države in sicer največ v Nemčijo, Belgijo, Veliko Britanijo in Vietnam, pa tudi tretje države kot so Kitajska, Ukrajina, Rusija, ZDA in Japonska. 1 % pridelave pa se porabi doma za farmacijo, kozmetiko, čaje ter ostalo. </w:t>
      </w:r>
    </w:p>
    <w:p w14:paraId="72A3A333" w14:textId="77777777" w:rsidR="00F679A2" w:rsidRPr="005B2A49" w:rsidRDefault="00F679A2" w:rsidP="005B2A49">
      <w:pPr>
        <w:spacing w:after="120" w:line="260" w:lineRule="atLeast"/>
        <w:rPr>
          <w:rFonts w:eastAsia="Calibri"/>
          <w:szCs w:val="20"/>
        </w:rPr>
      </w:pPr>
      <w:r w:rsidRPr="005B2A49">
        <w:rPr>
          <w:rFonts w:eastAsia="Calibri"/>
          <w:szCs w:val="20"/>
        </w:rPr>
        <w:t>Hmeljarski sektor ima visok delež zavarovanih hmeljišč pred naravnimi nesrečami.</w:t>
      </w:r>
    </w:p>
    <w:p w14:paraId="0AB8DAC2" w14:textId="77777777" w:rsidR="00F679A2" w:rsidRPr="005B2A49" w:rsidRDefault="00F679A2" w:rsidP="005B2A49">
      <w:pPr>
        <w:spacing w:after="120" w:line="260" w:lineRule="atLeast"/>
        <w:rPr>
          <w:rFonts w:eastAsia="Calibri"/>
          <w:szCs w:val="20"/>
        </w:rPr>
      </w:pPr>
      <w:r w:rsidRPr="005B2A49">
        <w:rPr>
          <w:rFonts w:eastAsia="Calibri"/>
          <w:szCs w:val="20"/>
        </w:rPr>
        <w:t>Odkupne cene hmelja v Sloveniji so praktično v celoti odvisne od razmer na svetovnem trgu. Trend povečevanja odkupnih cen hmelja je opazen od leta 2011 dalje. Odkupne cene hmelja so v zadnjih letih narasle, v letih med 2010 in 2019 iz 3,38 na 7,54 EUR/kg. Tržna cena hmelja se sicer oblikuje glede na globalne tržne razmere oz. povpraševanje pivovarn – specifično pa še glede na sorto, provenienco, parametre pivovarske kakovosti kot npr. vsebnosti alfa-kislin in oceno bonitete kupcev.</w:t>
      </w:r>
    </w:p>
    <w:p w14:paraId="70AD086F" w14:textId="77777777" w:rsidR="00F679A2" w:rsidRPr="005B2A49" w:rsidRDefault="00F679A2" w:rsidP="005B2A49">
      <w:pPr>
        <w:spacing w:after="120" w:line="260" w:lineRule="atLeast"/>
        <w:rPr>
          <w:rFonts w:eastAsia="Calibri"/>
          <w:szCs w:val="20"/>
        </w:rPr>
      </w:pPr>
      <w:r w:rsidRPr="005B2A49">
        <w:rPr>
          <w:rFonts w:eastAsia="Calibri"/>
          <w:szCs w:val="20"/>
        </w:rPr>
        <w:t xml:space="preserve">Modelna kalkulacija neposrednih oz. variabilnih modelnih stroškov pridelave hmelja je po podatkih IHPS v letu 2019 znašala pri povprečno pričakovanem pridelku 1.800 kg/ha (ocenjen prag konkurenčnosti pridelave) 4,18 EUR/kg hmelja. Ta podatek lahko predstavlja izhodišče za kratkoročno določanje prodajne cene hmelja, saj nižja dosežena cena predstavlja pridelavo s kratkoročnim negativnim finančnim rezultatom. Modelni stroški pridelave hmelja so odvisni od sorte hmelja in hektarskega pridelka. Modelno izračunana lastna cena hmelja, oz. skupni stroški pridelave v Sloveniji  za leto 2019  znašajo 5,74 EUR/kg. </w:t>
      </w:r>
    </w:p>
    <w:p w14:paraId="392980DD" w14:textId="77777777" w:rsidR="00F679A2" w:rsidRPr="005B2A49" w:rsidRDefault="00F679A2" w:rsidP="005B2A49">
      <w:pPr>
        <w:spacing w:after="120" w:line="260" w:lineRule="atLeast"/>
        <w:rPr>
          <w:rFonts w:eastAsia="Calibri"/>
          <w:szCs w:val="20"/>
        </w:rPr>
      </w:pPr>
      <w:r w:rsidRPr="005B2A49">
        <w:rPr>
          <w:rFonts w:eastAsia="Calibri"/>
          <w:szCs w:val="20"/>
        </w:rPr>
        <w:t>Hmeljarji v okviru SKP 2014 – 2020 prejmejo na leto okoli 1,8 mio EUR neposrednih plačil, kar je povprečno okoli 12.500 EUR neposrednih plačil na hmeljarsko kmetijsko gospodarstvo, medtem ko je povprečen skupni znesek neposrednih plačil na kmetijsko gospodarstvo okoli 2.450 EUR. V velikostnem razponu od 10 do 50 ha je največ neposrednih plačil. Sektor hmeljarstva ima najvišjo vrednost plačilnih pravic glede na ostale sektorje in sicer povprečna vrednost plačilnih pravic je 209 EUR. 109 KMG ima nadpovprečno vrednost plačilnih pravic.</w:t>
      </w:r>
    </w:p>
    <w:p w14:paraId="08415F8D" w14:textId="77777777" w:rsidR="00F679A2" w:rsidRPr="005B2A49" w:rsidRDefault="00F679A2" w:rsidP="005B2A49">
      <w:pPr>
        <w:spacing w:after="120" w:line="260" w:lineRule="atLeast"/>
        <w:rPr>
          <w:rFonts w:eastAsia="Calibri"/>
          <w:szCs w:val="20"/>
        </w:rPr>
      </w:pPr>
      <w:r w:rsidRPr="005B2A49">
        <w:rPr>
          <w:rFonts w:eastAsia="Calibri"/>
          <w:szCs w:val="20"/>
        </w:rPr>
        <w:t>V okviru Programa razvoja podeželja 2014 – 2020 je bilo iz ukrepa M04.1 Naložbe v osnovna sredstva odobrenih 40 vlog, kar predstavlja 2,9 % odobrenih vlog v hmeljarstvu. Do 31. 12. 2019 je bilo izplačanih 32 vlog v skupni vrednosti 2 mio EUR. Kmetijska gospodarstva, ki so kandidirala na podukrepu M04.1 so imela v povprečju 23,3 ha hmeljišč ter 7,5 ha hmeljišč v premeni. V podukrep M04.2 Podpora za naložbe v predelavo in/ali razvoj kmetijskih proizvodov je bila odobrena in izplačana edina prispela vloga v skupni višini 135.550 EUR.  Na podukrep M06.1 Pomoč za zagon dejavnosti za mlade kmete se je javilo 8 mladih prevzemnikov, katerim so bile odobrene vloge in jim je bilo izplačanih 247.020 EUR. Na podukrepu M06.3 Pomoč za zagon dejavnosti, namenjena razvoju majhnih kmetij, je bila odobrena ena vloga v višini 5.000 EUR. Na podukrepu M10.1 Plačilo kmetijsko okoljskih podnebnih obveznosti je bilo za operacijo Hmeljarstvo izplačanih 535.705 EUR, na 651 ha.</w:t>
      </w:r>
    </w:p>
    <w:p w14:paraId="4EFB5FB7" w14:textId="77777777" w:rsidR="00F679A2" w:rsidRPr="005B2A49" w:rsidRDefault="00F679A2" w:rsidP="005B2A49">
      <w:pPr>
        <w:spacing w:after="120" w:line="260" w:lineRule="atLeast"/>
        <w:rPr>
          <w:rFonts w:eastAsia="Calibri"/>
          <w:szCs w:val="20"/>
        </w:rPr>
      </w:pPr>
      <w:r w:rsidRPr="005B2A49">
        <w:rPr>
          <w:rFonts w:eastAsia="Calibri"/>
          <w:szCs w:val="20"/>
        </w:rPr>
        <w:t xml:space="preserve">Od leta 2006 so tudi pridelovalci hmelja upravičeni do regresiranja zavarovanja, ki je bilo leta 2019 50-odstotno, uveljavljajo pa lahko tudi pravico do vračila dela trošarine za gorivo, porabljeno v kmetijstvu (70 % trošarine). </w:t>
      </w:r>
    </w:p>
    <w:p w14:paraId="1C93D1DD" w14:textId="77777777" w:rsidR="00F679A2" w:rsidRPr="005B2A49" w:rsidRDefault="00F679A2" w:rsidP="005B2A49">
      <w:pPr>
        <w:spacing w:after="120" w:line="260" w:lineRule="atLeast"/>
        <w:rPr>
          <w:rFonts w:eastAsia="Calibri"/>
          <w:szCs w:val="20"/>
        </w:rPr>
      </w:pPr>
      <w:r w:rsidRPr="005B2A49">
        <w:rPr>
          <w:rFonts w:eastAsia="Calibri"/>
          <w:szCs w:val="20"/>
        </w:rPr>
        <w:t>Hmeljarje združuje visoka profesionalnost in organiziranost. V organizacijo Združenje hmeljarjev Slovenije so vključeni vsi pridelovalci hmelja. K temu je pripomogel IHPS, danes javni zavod, ki so ga hmeljarji sami ustanovili pred 65 leti. Poleg tega je od leta 2017 Štajerski hmelj zaščitena geografska označba slovenskega hmelja v Evropski uniji. Dobra podlaga taki zaščiti je sistem certificiranja v hmeljarstvu, uveden že leta 1921, ki omogoča sledljivost hmelja, pridelanega v Sloveniji, po sortah do vsakega pridelovalca, z vso vključeno uporabljeno tehnologijo pridelave.</w:t>
      </w:r>
    </w:p>
    <w:p w14:paraId="6DE6D1B7" w14:textId="77777777" w:rsidR="00F679A2" w:rsidRPr="005B2A49" w:rsidRDefault="00F679A2" w:rsidP="005B2A49">
      <w:pPr>
        <w:spacing w:after="120" w:line="260" w:lineRule="atLeast"/>
        <w:rPr>
          <w:rFonts w:eastAsia="Calibri"/>
          <w:szCs w:val="20"/>
        </w:rPr>
      </w:pPr>
      <w:r w:rsidRPr="005B2A49">
        <w:rPr>
          <w:rFonts w:eastAsia="Calibri"/>
          <w:szCs w:val="20"/>
        </w:rPr>
        <w:t>Ministrstvo za kmetijstvo, gozdarstvo in prehrano se zaveda pomena lastnega žlahtniteljskega programa, zato finančno podpira razvoj novih sort hmelja. V Sloveniji je od leta 2010 vzpostavljena Javna služba v hmeljarstvu, ki jo izvaja IHPS, v okviru katere se izvajajo strokovne naloge, kot so žlahtnjenje hmelja, ocena letnika hmelja, tehnologija pridelave in predelave hmelja ter introdukcija novih in tujih sort hmelja. Ohranjanje rastlinskih genskih virov v hmeljarstvu poteka v okviru javne službe nalog rastlinske genske banke.</w:t>
      </w:r>
    </w:p>
    <w:p w14:paraId="4B084FC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letih 2010 in 2020 so bili na področju hmeljarstva podprti Ciljni raziskovalni programi (CRP) z naslovom Biofumigacija kot alternativa kemičnemu zatiranju talnih škodljivih organizmov, Uporaba hmelja kot alternativne funkcionalne sestavine v prehrani živali, Razvoj tehnologij za preprečevanje novih viroidnih obolenj hmelja, Zagotavljanje konkurenčnosti slovenskega hmeljarstva z izborom dišavnih sort hmelja ter Uporaba hmeljnih pripravkov za ekološko zatiranje varoje (Varroa destructor). </w:t>
      </w:r>
    </w:p>
    <w:p w14:paraId="18E9F165" w14:textId="77777777" w:rsidR="00F679A2" w:rsidRPr="005B2A49" w:rsidRDefault="00F679A2" w:rsidP="005B2A49">
      <w:pPr>
        <w:spacing w:after="120" w:line="260" w:lineRule="atLeast"/>
        <w:rPr>
          <w:rFonts w:eastAsia="Calibri"/>
          <w:szCs w:val="20"/>
        </w:rPr>
      </w:pPr>
      <w:r w:rsidRPr="005B2A49">
        <w:rPr>
          <w:rFonts w:eastAsia="Calibri"/>
          <w:szCs w:val="20"/>
        </w:rPr>
        <w:t>Pilotni projekt z naslovom Dvig konkurenčnosti slovenskega hmeljarstva z vpeljavo tržno zanimivih in odpornih sort hmelja poteka v obdobju 2019 – 2022.</w:t>
      </w:r>
    </w:p>
    <w:p w14:paraId="61DE7094" w14:textId="77777777" w:rsidR="00F679A2" w:rsidRPr="00177AA3" w:rsidRDefault="00F679A2" w:rsidP="00F679A2"/>
    <w:p w14:paraId="2D91C325" w14:textId="77777777" w:rsidR="00F679A2" w:rsidRDefault="00F679A2" w:rsidP="00F679A2">
      <w:pPr>
        <w:pStyle w:val="Naslov3"/>
      </w:pPr>
      <w:bookmarkStart w:id="3211" w:name="_Toc90462282"/>
      <w:r w:rsidRPr="001261F1">
        <w:t>Ključne ugotovitve</w:t>
      </w:r>
      <w:bookmarkEnd w:id="3211"/>
    </w:p>
    <w:p w14:paraId="4BF83310" w14:textId="77777777" w:rsidR="00F679A2" w:rsidRPr="001261F1" w:rsidRDefault="00F679A2" w:rsidP="00F679A2"/>
    <w:p w14:paraId="0BCBD7BD"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Za izboljšanje starostne in sortne strukture hmeljišč bi bilo potrebno v naslednjih treh letih, od leta 2019 do 2021 obnoviti približno 159 ha hmeljišč na leto.</w:t>
      </w:r>
    </w:p>
    <w:p w14:paraId="262028DB"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bCs/>
          <w:iCs/>
          <w:kern w:val="24"/>
          <w:sz w:val="22"/>
          <w:szCs w:val="22"/>
        </w:rPr>
        <w:t xml:space="preserve">Za izkoreninjenje hude viroidne zakrnelosti hmelja je poleg izvajanja fitosanitarnih ukrepov potrebno sajenje tolerantnih sort, ki so požlahtnjene v Sloveniji in prilagojene na </w:t>
      </w:r>
      <w:r w:rsidRPr="001261F1">
        <w:rPr>
          <w:rFonts w:ascii="Arial" w:hAnsi="Arial"/>
          <w:sz w:val="22"/>
          <w:szCs w:val="22"/>
        </w:rPr>
        <w:t>sušo ter bolezni in škodljivce.</w:t>
      </w:r>
    </w:p>
    <w:p w14:paraId="3ACC2011"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Podnebne spremembe imajo zadnja leta pomemben vpliv na panogo zato bo potrebno povečati namakanje na hmeljnih površinah in vpeljati nove odporne sorte.</w:t>
      </w:r>
    </w:p>
    <w:p w14:paraId="43F70318"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Za izboljšanje konkurenčnosti v pridelavi in trženju hmelja je potrebno spodbujati povezovanje ter zagotoviti sredstva za kolektivne naložbe v skladišča in sušilnice.</w:t>
      </w:r>
    </w:p>
    <w:p w14:paraId="763E7E2A" w14:textId="77777777" w:rsidR="00F679A2" w:rsidRPr="001261F1" w:rsidRDefault="00F679A2" w:rsidP="005B2A49">
      <w:pPr>
        <w:numPr>
          <w:ilvl w:val="0"/>
          <w:numId w:val="192"/>
        </w:numPr>
        <w:spacing w:before="0" w:line="260" w:lineRule="atLeast"/>
        <w:ind w:left="357" w:hanging="357"/>
        <w:rPr>
          <w:szCs w:val="22"/>
        </w:rPr>
      </w:pPr>
      <w:r w:rsidRPr="001261F1">
        <w:rPr>
          <w:szCs w:val="22"/>
        </w:rPr>
        <w:t>Slovenski hmelj, z geografsko označbo »Štajerski hmelj«, še ni dosegel optimalne stopnje prepoznavnosti na svetovnem trgu, zato je potrebno pristopiti k promocijskim aktivnostim.</w:t>
      </w:r>
    </w:p>
    <w:p w14:paraId="567B1847" w14:textId="77777777" w:rsidR="00F679A2" w:rsidRPr="00177AA3" w:rsidRDefault="00F679A2" w:rsidP="00F679A2"/>
    <w:p w14:paraId="4B5F41EB" w14:textId="77777777" w:rsidR="00F679A2" w:rsidRPr="001261F1" w:rsidRDefault="00F679A2" w:rsidP="00F679A2">
      <w:pPr>
        <w:pStyle w:val="Naslov2"/>
      </w:pPr>
      <w:bookmarkStart w:id="3212" w:name="_Toc90462283"/>
      <w:r w:rsidRPr="001261F1">
        <w:t>Semenarstvo</w:t>
      </w:r>
      <w:bookmarkEnd w:id="3212"/>
    </w:p>
    <w:p w14:paraId="2070C451" w14:textId="77777777" w:rsidR="00F679A2" w:rsidRPr="005B2A49" w:rsidRDefault="00F679A2" w:rsidP="005B2A49">
      <w:pPr>
        <w:spacing w:after="120" w:line="260" w:lineRule="atLeast"/>
        <w:rPr>
          <w:rFonts w:eastAsia="Calibri"/>
          <w:szCs w:val="20"/>
        </w:rPr>
      </w:pPr>
      <w:r w:rsidRPr="005B2A49">
        <w:rPr>
          <w:rFonts w:eastAsia="Calibri"/>
          <w:szCs w:val="20"/>
        </w:rPr>
        <w:t>Semenarstvo je kmetijska panoga, ki je temelj za uspešno in gospodarno tržno pridelavo hrane in krme. Obseg domačega semenarstva je pomemben za prehransko varnost, zlasti v času kriz, vpliva pa tudi na delež samooskrbe s semenom zlasti lokalnih sort in s tem na ohranjanje biotske raznovrstnosti v kmetijski pridelavi.</w:t>
      </w:r>
    </w:p>
    <w:p w14:paraId="21281924" w14:textId="77777777" w:rsidR="00F679A2" w:rsidRDefault="00F679A2" w:rsidP="00F679A2">
      <w:pPr>
        <w:rPr>
          <w:highlight w:val="green"/>
        </w:rPr>
      </w:pPr>
    </w:p>
    <w:p w14:paraId="1A593905" w14:textId="77777777" w:rsidR="00F679A2" w:rsidRPr="001261F1" w:rsidRDefault="00F679A2" w:rsidP="00F679A2">
      <w:pPr>
        <w:pStyle w:val="Naslov3"/>
      </w:pPr>
      <w:bookmarkStart w:id="3213" w:name="_Toc90462284"/>
      <w:r w:rsidRPr="001261F1">
        <w:t>Stanje v sektorju in osnovni ekonomski kazalniki</w:t>
      </w:r>
      <w:bookmarkEnd w:id="3213"/>
    </w:p>
    <w:p w14:paraId="078270A4" w14:textId="77777777" w:rsidR="00F679A2" w:rsidRPr="005B2A49" w:rsidDel="009E2FC3" w:rsidRDefault="00F679A2" w:rsidP="005B2A49">
      <w:pPr>
        <w:spacing w:after="120" w:line="260" w:lineRule="atLeast"/>
        <w:rPr>
          <w:rFonts w:eastAsia="Calibri"/>
          <w:szCs w:val="20"/>
        </w:rPr>
      </w:pPr>
      <w:r w:rsidRPr="005B2A49">
        <w:rPr>
          <w:rFonts w:eastAsia="Calibri"/>
          <w:szCs w:val="20"/>
        </w:rPr>
        <w:t xml:space="preserve">Semenarstvo pri nas stagnira že nekaj desetletij. Eden izmed glavnih vzrokov je zelo omejen program žlahtnjenja, zato imamo malo novih lokalnih sort, katerih seme bi lahko pridelovali, obseg pridelave semena tujih sort pa je omejen in je odvisen od dostopnosti najvišjih kategorij, ki se lahko naprej razmnožujejo. Od leta 2004 je bilo slovensko semenarstvo v razmerah prostega trga EU tudi vse manj konkurenčno, kar se odraža v občutnem zmanjševanju površin namenjenih semenski pridelavi. </w:t>
      </w:r>
    </w:p>
    <w:p w14:paraId="3227FE8C" w14:textId="2D555D4C" w:rsidR="00F679A2" w:rsidRDefault="00F679A2" w:rsidP="005B2A49">
      <w:pPr>
        <w:spacing w:after="120" w:line="260" w:lineRule="atLeast"/>
        <w:rPr>
          <w:rFonts w:eastAsia="Calibri"/>
          <w:szCs w:val="20"/>
        </w:rPr>
      </w:pPr>
      <w:r w:rsidRPr="005B2A49">
        <w:rPr>
          <w:rFonts w:eastAsia="Calibri"/>
          <w:szCs w:val="20"/>
        </w:rPr>
        <w:t>Pridelava uradno potrjenega semena je v Sloveniji upadla za več kot 50 %, iz 2.500 ha v letu 2000 na 1.410 ha v letu 2019. Najnižja je bila v letu 2017 (1084 ha).</w:t>
      </w:r>
    </w:p>
    <w:p w14:paraId="3EE8E4E2" w14:textId="77777777" w:rsidR="00DF2F71" w:rsidRPr="005B2A49" w:rsidRDefault="00DF2F71" w:rsidP="005B2A49">
      <w:pPr>
        <w:spacing w:after="120" w:line="260" w:lineRule="atLeast"/>
        <w:rPr>
          <w:rFonts w:eastAsia="Calibri"/>
          <w:szCs w:val="20"/>
        </w:rPr>
      </w:pPr>
    </w:p>
    <w:p w14:paraId="435D18D3" w14:textId="345C07FC" w:rsidR="00F679A2" w:rsidRDefault="00F679A2" w:rsidP="00F679A2">
      <w:pPr>
        <w:pStyle w:val="SCPreglednica"/>
      </w:pPr>
      <w:bookmarkStart w:id="3214" w:name="_Toc89861022"/>
      <w:r>
        <w:t xml:space="preserve">Tabela </w:t>
      </w:r>
      <w:r>
        <w:rPr>
          <w:noProof/>
        </w:rPr>
        <w:fldChar w:fldCharType="begin"/>
      </w:r>
      <w:r>
        <w:rPr>
          <w:noProof/>
        </w:rPr>
        <w:instrText xml:space="preserve"> SEQ Tabela \* ARABIC </w:instrText>
      </w:r>
      <w:r>
        <w:rPr>
          <w:noProof/>
        </w:rPr>
        <w:fldChar w:fldCharType="separate"/>
      </w:r>
      <w:r w:rsidR="002E0D2A">
        <w:rPr>
          <w:noProof/>
        </w:rPr>
        <w:t>30</w:t>
      </w:r>
      <w:r>
        <w:rPr>
          <w:noProof/>
        </w:rPr>
        <w:fldChar w:fldCharType="end"/>
      </w:r>
      <w:r>
        <w:t xml:space="preserve">: </w:t>
      </w:r>
      <w:r w:rsidRPr="0040635C">
        <w:t>Potrjene površine semenskih posevkov (v ha) od leta 2014 do 2019 po skupinah rastlin v primerjavi s povprečnimi površinami v obdobju 2000–2004 in 2009–2013</w:t>
      </w:r>
      <w:bookmarkEnd w:id="3214"/>
    </w:p>
    <w:tbl>
      <w:tblPr>
        <w:tblStyle w:val="Tabelamrea"/>
        <w:tblW w:w="0" w:type="auto"/>
        <w:tblInd w:w="108" w:type="dxa"/>
        <w:tblLook w:val="04A0" w:firstRow="1" w:lastRow="0" w:firstColumn="1" w:lastColumn="0" w:noHBand="0" w:noVBand="1"/>
      </w:tblPr>
      <w:tblGrid>
        <w:gridCol w:w="2155"/>
        <w:gridCol w:w="1134"/>
        <w:gridCol w:w="1081"/>
        <w:gridCol w:w="764"/>
        <w:gridCol w:w="764"/>
        <w:gridCol w:w="764"/>
        <w:gridCol w:w="764"/>
        <w:gridCol w:w="764"/>
        <w:gridCol w:w="764"/>
      </w:tblGrid>
      <w:tr w:rsidR="00F679A2" w:rsidRPr="00DF2F71" w14:paraId="6A3BFBFD" w14:textId="77777777" w:rsidTr="00E155C1">
        <w:trPr>
          <w:trHeight w:val="300"/>
        </w:trPr>
        <w:tc>
          <w:tcPr>
            <w:tcW w:w="2155" w:type="dxa"/>
            <w:shd w:val="clear" w:color="auto" w:fill="C6D9F1" w:themeFill="text2" w:themeFillTint="33"/>
            <w:noWrap/>
            <w:hideMark/>
          </w:tcPr>
          <w:p w14:paraId="658E39EE" w14:textId="77777777" w:rsidR="00F679A2" w:rsidRPr="00E155C1" w:rsidRDefault="00F679A2" w:rsidP="00E155C1">
            <w:pPr>
              <w:spacing w:line="240" w:lineRule="auto"/>
              <w:rPr>
                <w:sz w:val="16"/>
              </w:rPr>
            </w:pPr>
            <w:r w:rsidRPr="00E155C1">
              <w:rPr>
                <w:sz w:val="16"/>
              </w:rPr>
              <w:t> </w:t>
            </w:r>
          </w:p>
        </w:tc>
        <w:tc>
          <w:tcPr>
            <w:tcW w:w="1134" w:type="dxa"/>
            <w:shd w:val="clear" w:color="auto" w:fill="C6D9F1" w:themeFill="text2" w:themeFillTint="33"/>
            <w:noWrap/>
            <w:vAlign w:val="center"/>
            <w:hideMark/>
          </w:tcPr>
          <w:p w14:paraId="1C515327" w14:textId="77777777" w:rsidR="00F679A2" w:rsidRPr="00E155C1" w:rsidRDefault="00F679A2" w:rsidP="00E155C1">
            <w:pPr>
              <w:spacing w:line="240" w:lineRule="auto"/>
              <w:jc w:val="right"/>
              <w:rPr>
                <w:b/>
                <w:bCs/>
                <w:sz w:val="16"/>
              </w:rPr>
            </w:pPr>
            <w:r w:rsidRPr="00E155C1">
              <w:rPr>
                <w:b/>
                <w:bCs/>
                <w:sz w:val="16"/>
              </w:rPr>
              <w:t>2000-2004</w:t>
            </w:r>
          </w:p>
        </w:tc>
        <w:tc>
          <w:tcPr>
            <w:tcW w:w="1081" w:type="dxa"/>
            <w:shd w:val="clear" w:color="auto" w:fill="C6D9F1" w:themeFill="text2" w:themeFillTint="33"/>
            <w:noWrap/>
            <w:vAlign w:val="center"/>
            <w:hideMark/>
          </w:tcPr>
          <w:p w14:paraId="76EFC406" w14:textId="77777777" w:rsidR="00F679A2" w:rsidRPr="00E155C1" w:rsidRDefault="00F679A2" w:rsidP="00E155C1">
            <w:pPr>
              <w:spacing w:line="240" w:lineRule="auto"/>
              <w:jc w:val="right"/>
              <w:rPr>
                <w:b/>
                <w:bCs/>
                <w:sz w:val="16"/>
              </w:rPr>
            </w:pPr>
            <w:r w:rsidRPr="00E155C1">
              <w:rPr>
                <w:b/>
                <w:bCs/>
                <w:sz w:val="16"/>
              </w:rPr>
              <w:t>2009-2013</w:t>
            </w:r>
          </w:p>
        </w:tc>
        <w:tc>
          <w:tcPr>
            <w:tcW w:w="764" w:type="dxa"/>
            <w:shd w:val="clear" w:color="auto" w:fill="C6D9F1" w:themeFill="text2" w:themeFillTint="33"/>
            <w:noWrap/>
            <w:vAlign w:val="center"/>
            <w:hideMark/>
          </w:tcPr>
          <w:p w14:paraId="6740179C" w14:textId="77777777" w:rsidR="00F679A2" w:rsidRPr="00E155C1" w:rsidRDefault="00F679A2" w:rsidP="00E155C1">
            <w:pPr>
              <w:spacing w:line="240" w:lineRule="auto"/>
              <w:jc w:val="right"/>
              <w:rPr>
                <w:b/>
                <w:bCs/>
                <w:sz w:val="16"/>
              </w:rPr>
            </w:pPr>
            <w:r w:rsidRPr="00E155C1">
              <w:rPr>
                <w:b/>
                <w:bCs/>
                <w:sz w:val="16"/>
              </w:rPr>
              <w:t>2014</w:t>
            </w:r>
          </w:p>
        </w:tc>
        <w:tc>
          <w:tcPr>
            <w:tcW w:w="764" w:type="dxa"/>
            <w:shd w:val="clear" w:color="auto" w:fill="C6D9F1" w:themeFill="text2" w:themeFillTint="33"/>
            <w:noWrap/>
            <w:vAlign w:val="center"/>
            <w:hideMark/>
          </w:tcPr>
          <w:p w14:paraId="20D69836" w14:textId="77777777" w:rsidR="00F679A2" w:rsidRPr="00E155C1" w:rsidRDefault="00F679A2" w:rsidP="00E155C1">
            <w:pPr>
              <w:spacing w:line="240" w:lineRule="auto"/>
              <w:jc w:val="right"/>
              <w:rPr>
                <w:b/>
                <w:bCs/>
                <w:sz w:val="16"/>
              </w:rPr>
            </w:pPr>
            <w:r w:rsidRPr="00E155C1">
              <w:rPr>
                <w:b/>
                <w:bCs/>
                <w:sz w:val="16"/>
              </w:rPr>
              <w:t>2015</w:t>
            </w:r>
          </w:p>
        </w:tc>
        <w:tc>
          <w:tcPr>
            <w:tcW w:w="764" w:type="dxa"/>
            <w:shd w:val="clear" w:color="auto" w:fill="C6D9F1" w:themeFill="text2" w:themeFillTint="33"/>
            <w:noWrap/>
            <w:vAlign w:val="center"/>
            <w:hideMark/>
          </w:tcPr>
          <w:p w14:paraId="639A0F9B" w14:textId="77777777" w:rsidR="00F679A2" w:rsidRPr="00E155C1" w:rsidRDefault="00F679A2" w:rsidP="00E155C1">
            <w:pPr>
              <w:spacing w:line="240" w:lineRule="auto"/>
              <w:jc w:val="right"/>
              <w:rPr>
                <w:b/>
                <w:bCs/>
                <w:sz w:val="16"/>
              </w:rPr>
            </w:pPr>
            <w:r w:rsidRPr="00E155C1">
              <w:rPr>
                <w:b/>
                <w:bCs/>
                <w:sz w:val="16"/>
              </w:rPr>
              <w:t>2016</w:t>
            </w:r>
          </w:p>
        </w:tc>
        <w:tc>
          <w:tcPr>
            <w:tcW w:w="764" w:type="dxa"/>
            <w:shd w:val="clear" w:color="auto" w:fill="C6D9F1" w:themeFill="text2" w:themeFillTint="33"/>
            <w:noWrap/>
            <w:vAlign w:val="center"/>
            <w:hideMark/>
          </w:tcPr>
          <w:p w14:paraId="28558BCC" w14:textId="77777777" w:rsidR="00F679A2" w:rsidRPr="00E155C1" w:rsidRDefault="00F679A2" w:rsidP="00E155C1">
            <w:pPr>
              <w:spacing w:line="240" w:lineRule="auto"/>
              <w:jc w:val="right"/>
              <w:rPr>
                <w:b/>
                <w:bCs/>
                <w:sz w:val="16"/>
              </w:rPr>
            </w:pPr>
            <w:r w:rsidRPr="00E155C1">
              <w:rPr>
                <w:b/>
                <w:bCs/>
                <w:sz w:val="16"/>
              </w:rPr>
              <w:t>2017</w:t>
            </w:r>
          </w:p>
        </w:tc>
        <w:tc>
          <w:tcPr>
            <w:tcW w:w="764" w:type="dxa"/>
            <w:shd w:val="clear" w:color="auto" w:fill="C6D9F1" w:themeFill="text2" w:themeFillTint="33"/>
            <w:noWrap/>
            <w:vAlign w:val="center"/>
            <w:hideMark/>
          </w:tcPr>
          <w:p w14:paraId="74E0C675" w14:textId="77777777" w:rsidR="00F679A2" w:rsidRPr="00E155C1" w:rsidRDefault="00F679A2" w:rsidP="00E155C1">
            <w:pPr>
              <w:spacing w:line="240" w:lineRule="auto"/>
              <w:jc w:val="right"/>
              <w:rPr>
                <w:b/>
                <w:bCs/>
                <w:sz w:val="16"/>
              </w:rPr>
            </w:pPr>
            <w:r w:rsidRPr="00E155C1">
              <w:rPr>
                <w:b/>
                <w:bCs/>
                <w:sz w:val="16"/>
              </w:rPr>
              <w:t>2018</w:t>
            </w:r>
          </w:p>
        </w:tc>
        <w:tc>
          <w:tcPr>
            <w:tcW w:w="764" w:type="dxa"/>
            <w:shd w:val="clear" w:color="auto" w:fill="C6D9F1" w:themeFill="text2" w:themeFillTint="33"/>
            <w:noWrap/>
            <w:vAlign w:val="center"/>
            <w:hideMark/>
          </w:tcPr>
          <w:p w14:paraId="6E2A5CEE" w14:textId="77777777" w:rsidR="00F679A2" w:rsidRPr="00E155C1" w:rsidRDefault="00F679A2" w:rsidP="00E155C1">
            <w:pPr>
              <w:spacing w:line="240" w:lineRule="auto"/>
              <w:jc w:val="right"/>
              <w:rPr>
                <w:b/>
                <w:bCs/>
                <w:sz w:val="16"/>
              </w:rPr>
            </w:pPr>
            <w:r w:rsidRPr="00E155C1">
              <w:rPr>
                <w:b/>
                <w:bCs/>
                <w:sz w:val="16"/>
              </w:rPr>
              <w:t>2019</w:t>
            </w:r>
          </w:p>
        </w:tc>
      </w:tr>
      <w:tr w:rsidR="00F679A2" w:rsidRPr="00DF2F71" w14:paraId="0F44BB03" w14:textId="77777777" w:rsidTr="00E155C1">
        <w:trPr>
          <w:trHeight w:val="315"/>
        </w:trPr>
        <w:tc>
          <w:tcPr>
            <w:tcW w:w="2155" w:type="dxa"/>
            <w:noWrap/>
            <w:hideMark/>
          </w:tcPr>
          <w:p w14:paraId="1A3EF78C" w14:textId="77777777" w:rsidR="00F679A2" w:rsidRPr="00E155C1" w:rsidRDefault="00F679A2" w:rsidP="00E155C1">
            <w:pPr>
              <w:spacing w:line="240" w:lineRule="auto"/>
              <w:jc w:val="left"/>
              <w:rPr>
                <w:b/>
                <w:bCs/>
                <w:sz w:val="16"/>
              </w:rPr>
            </w:pPr>
            <w:r w:rsidRPr="00E155C1">
              <w:rPr>
                <w:b/>
                <w:bCs/>
                <w:sz w:val="16"/>
              </w:rPr>
              <w:t>ŽITA (brez koruze)</w:t>
            </w:r>
          </w:p>
        </w:tc>
        <w:tc>
          <w:tcPr>
            <w:tcW w:w="1134" w:type="dxa"/>
            <w:noWrap/>
            <w:vAlign w:val="center"/>
            <w:hideMark/>
          </w:tcPr>
          <w:p w14:paraId="7CAB7924" w14:textId="77777777" w:rsidR="00F679A2" w:rsidRPr="00E155C1" w:rsidRDefault="00F679A2" w:rsidP="00E155C1">
            <w:pPr>
              <w:spacing w:line="240" w:lineRule="auto"/>
              <w:jc w:val="right"/>
              <w:rPr>
                <w:sz w:val="16"/>
              </w:rPr>
            </w:pPr>
            <w:r w:rsidRPr="00E155C1">
              <w:rPr>
                <w:sz w:val="16"/>
              </w:rPr>
              <w:t>2065</w:t>
            </w:r>
          </w:p>
        </w:tc>
        <w:tc>
          <w:tcPr>
            <w:tcW w:w="1081" w:type="dxa"/>
            <w:noWrap/>
            <w:vAlign w:val="center"/>
            <w:hideMark/>
          </w:tcPr>
          <w:p w14:paraId="59535EA0" w14:textId="77777777" w:rsidR="00F679A2" w:rsidRPr="00E155C1" w:rsidRDefault="00F679A2" w:rsidP="00E155C1">
            <w:pPr>
              <w:spacing w:line="240" w:lineRule="auto"/>
              <w:jc w:val="right"/>
              <w:rPr>
                <w:sz w:val="16"/>
              </w:rPr>
            </w:pPr>
            <w:r w:rsidRPr="00E155C1">
              <w:rPr>
                <w:sz w:val="16"/>
              </w:rPr>
              <w:t>1371</w:t>
            </w:r>
          </w:p>
        </w:tc>
        <w:tc>
          <w:tcPr>
            <w:tcW w:w="764" w:type="dxa"/>
            <w:noWrap/>
            <w:vAlign w:val="center"/>
            <w:hideMark/>
          </w:tcPr>
          <w:p w14:paraId="6E620666" w14:textId="77777777" w:rsidR="00F679A2" w:rsidRPr="00E155C1" w:rsidRDefault="00F679A2" w:rsidP="00E155C1">
            <w:pPr>
              <w:spacing w:line="240" w:lineRule="auto"/>
              <w:jc w:val="right"/>
              <w:rPr>
                <w:sz w:val="16"/>
              </w:rPr>
            </w:pPr>
            <w:r w:rsidRPr="00E155C1">
              <w:rPr>
                <w:sz w:val="16"/>
              </w:rPr>
              <w:t>1109</w:t>
            </w:r>
          </w:p>
        </w:tc>
        <w:tc>
          <w:tcPr>
            <w:tcW w:w="764" w:type="dxa"/>
            <w:noWrap/>
            <w:vAlign w:val="center"/>
            <w:hideMark/>
          </w:tcPr>
          <w:p w14:paraId="419C74EF" w14:textId="77777777" w:rsidR="00F679A2" w:rsidRPr="00E155C1" w:rsidRDefault="00F679A2" w:rsidP="00E155C1">
            <w:pPr>
              <w:spacing w:line="240" w:lineRule="auto"/>
              <w:jc w:val="right"/>
              <w:rPr>
                <w:sz w:val="16"/>
              </w:rPr>
            </w:pPr>
            <w:r w:rsidRPr="00E155C1">
              <w:rPr>
                <w:sz w:val="16"/>
              </w:rPr>
              <w:t>1027</w:t>
            </w:r>
          </w:p>
        </w:tc>
        <w:tc>
          <w:tcPr>
            <w:tcW w:w="764" w:type="dxa"/>
            <w:noWrap/>
            <w:vAlign w:val="center"/>
            <w:hideMark/>
          </w:tcPr>
          <w:p w14:paraId="2A3ED4A9" w14:textId="77777777" w:rsidR="00F679A2" w:rsidRPr="00E155C1" w:rsidRDefault="00F679A2" w:rsidP="00E155C1">
            <w:pPr>
              <w:spacing w:line="240" w:lineRule="auto"/>
              <w:jc w:val="right"/>
              <w:rPr>
                <w:sz w:val="16"/>
              </w:rPr>
            </w:pPr>
            <w:r w:rsidRPr="00E155C1">
              <w:rPr>
                <w:sz w:val="16"/>
              </w:rPr>
              <w:t>938</w:t>
            </w:r>
          </w:p>
        </w:tc>
        <w:tc>
          <w:tcPr>
            <w:tcW w:w="764" w:type="dxa"/>
            <w:noWrap/>
            <w:vAlign w:val="center"/>
            <w:hideMark/>
          </w:tcPr>
          <w:p w14:paraId="47711715" w14:textId="77777777" w:rsidR="00F679A2" w:rsidRPr="00E155C1" w:rsidRDefault="00F679A2" w:rsidP="00E155C1">
            <w:pPr>
              <w:spacing w:line="240" w:lineRule="auto"/>
              <w:jc w:val="right"/>
              <w:rPr>
                <w:sz w:val="16"/>
              </w:rPr>
            </w:pPr>
            <w:r w:rsidRPr="00E155C1">
              <w:rPr>
                <w:sz w:val="16"/>
              </w:rPr>
              <w:t>771</w:t>
            </w:r>
          </w:p>
        </w:tc>
        <w:tc>
          <w:tcPr>
            <w:tcW w:w="764" w:type="dxa"/>
            <w:noWrap/>
            <w:vAlign w:val="center"/>
            <w:hideMark/>
          </w:tcPr>
          <w:p w14:paraId="588F699A" w14:textId="77777777" w:rsidR="00F679A2" w:rsidRPr="00E155C1" w:rsidRDefault="00F679A2" w:rsidP="00E155C1">
            <w:pPr>
              <w:spacing w:line="240" w:lineRule="auto"/>
              <w:jc w:val="right"/>
              <w:rPr>
                <w:sz w:val="16"/>
              </w:rPr>
            </w:pPr>
            <w:r w:rsidRPr="00E155C1">
              <w:rPr>
                <w:sz w:val="16"/>
              </w:rPr>
              <w:t>866</w:t>
            </w:r>
          </w:p>
        </w:tc>
        <w:tc>
          <w:tcPr>
            <w:tcW w:w="764" w:type="dxa"/>
            <w:noWrap/>
            <w:vAlign w:val="center"/>
            <w:hideMark/>
          </w:tcPr>
          <w:p w14:paraId="10D32525" w14:textId="77777777" w:rsidR="00F679A2" w:rsidRPr="00E155C1" w:rsidRDefault="00F679A2" w:rsidP="00E155C1">
            <w:pPr>
              <w:spacing w:line="240" w:lineRule="auto"/>
              <w:jc w:val="right"/>
              <w:rPr>
                <w:sz w:val="16"/>
              </w:rPr>
            </w:pPr>
            <w:r w:rsidRPr="00E155C1">
              <w:rPr>
                <w:sz w:val="16"/>
              </w:rPr>
              <w:t>905</w:t>
            </w:r>
          </w:p>
        </w:tc>
      </w:tr>
      <w:tr w:rsidR="00F679A2" w:rsidRPr="00DF2F71" w14:paraId="6D02F821" w14:textId="77777777" w:rsidTr="00E155C1">
        <w:trPr>
          <w:trHeight w:val="300"/>
        </w:trPr>
        <w:tc>
          <w:tcPr>
            <w:tcW w:w="2155" w:type="dxa"/>
            <w:noWrap/>
            <w:hideMark/>
          </w:tcPr>
          <w:p w14:paraId="5AC708E7" w14:textId="77777777" w:rsidR="00F679A2" w:rsidRPr="00E155C1" w:rsidRDefault="00F679A2" w:rsidP="00E155C1">
            <w:pPr>
              <w:spacing w:line="240" w:lineRule="auto"/>
              <w:jc w:val="left"/>
              <w:rPr>
                <w:b/>
                <w:bCs/>
                <w:sz w:val="16"/>
              </w:rPr>
            </w:pPr>
            <w:r w:rsidRPr="00E155C1">
              <w:rPr>
                <w:b/>
                <w:bCs/>
                <w:sz w:val="16"/>
              </w:rPr>
              <w:t>KORUZA</w:t>
            </w:r>
          </w:p>
        </w:tc>
        <w:tc>
          <w:tcPr>
            <w:tcW w:w="1134" w:type="dxa"/>
            <w:noWrap/>
            <w:vAlign w:val="center"/>
            <w:hideMark/>
          </w:tcPr>
          <w:p w14:paraId="20AD6335" w14:textId="77777777" w:rsidR="00F679A2" w:rsidRPr="00E155C1" w:rsidRDefault="00F679A2" w:rsidP="00E155C1">
            <w:pPr>
              <w:spacing w:line="240" w:lineRule="auto"/>
              <w:jc w:val="right"/>
              <w:rPr>
                <w:sz w:val="16"/>
              </w:rPr>
            </w:pPr>
            <w:r w:rsidRPr="00E155C1">
              <w:rPr>
                <w:sz w:val="16"/>
              </w:rPr>
              <w:t>198</w:t>
            </w:r>
          </w:p>
        </w:tc>
        <w:tc>
          <w:tcPr>
            <w:tcW w:w="1081" w:type="dxa"/>
            <w:noWrap/>
            <w:vAlign w:val="center"/>
            <w:hideMark/>
          </w:tcPr>
          <w:p w14:paraId="36C3A133" w14:textId="77777777" w:rsidR="00F679A2" w:rsidRPr="00E155C1" w:rsidRDefault="00F679A2" w:rsidP="00E155C1">
            <w:pPr>
              <w:spacing w:line="240" w:lineRule="auto"/>
              <w:jc w:val="right"/>
              <w:rPr>
                <w:sz w:val="16"/>
              </w:rPr>
            </w:pPr>
            <w:r w:rsidRPr="00E155C1">
              <w:rPr>
                <w:sz w:val="16"/>
              </w:rPr>
              <w:t>34</w:t>
            </w:r>
          </w:p>
        </w:tc>
        <w:tc>
          <w:tcPr>
            <w:tcW w:w="764" w:type="dxa"/>
            <w:noWrap/>
            <w:vAlign w:val="center"/>
            <w:hideMark/>
          </w:tcPr>
          <w:p w14:paraId="0A0BFD2B" w14:textId="77777777" w:rsidR="00F679A2" w:rsidRPr="00E155C1" w:rsidRDefault="00F679A2" w:rsidP="00E155C1">
            <w:pPr>
              <w:spacing w:line="240" w:lineRule="auto"/>
              <w:jc w:val="right"/>
              <w:rPr>
                <w:sz w:val="16"/>
              </w:rPr>
            </w:pPr>
            <w:r w:rsidRPr="00E155C1">
              <w:rPr>
                <w:sz w:val="16"/>
              </w:rPr>
              <w:t>23</w:t>
            </w:r>
          </w:p>
        </w:tc>
        <w:tc>
          <w:tcPr>
            <w:tcW w:w="764" w:type="dxa"/>
            <w:noWrap/>
            <w:vAlign w:val="center"/>
            <w:hideMark/>
          </w:tcPr>
          <w:p w14:paraId="08FC13B8" w14:textId="77777777" w:rsidR="00F679A2" w:rsidRPr="00E155C1" w:rsidRDefault="00F679A2" w:rsidP="00E155C1">
            <w:pPr>
              <w:spacing w:line="240" w:lineRule="auto"/>
              <w:jc w:val="right"/>
              <w:rPr>
                <w:sz w:val="16"/>
              </w:rPr>
            </w:pPr>
            <w:r w:rsidRPr="00E155C1">
              <w:rPr>
                <w:sz w:val="16"/>
              </w:rPr>
              <w:t>9</w:t>
            </w:r>
          </w:p>
        </w:tc>
        <w:tc>
          <w:tcPr>
            <w:tcW w:w="764" w:type="dxa"/>
            <w:noWrap/>
            <w:vAlign w:val="center"/>
            <w:hideMark/>
          </w:tcPr>
          <w:p w14:paraId="498D3D0E" w14:textId="77777777" w:rsidR="00F679A2" w:rsidRPr="00E155C1" w:rsidRDefault="00F679A2" w:rsidP="00E155C1">
            <w:pPr>
              <w:spacing w:line="240" w:lineRule="auto"/>
              <w:jc w:val="right"/>
              <w:rPr>
                <w:sz w:val="16"/>
              </w:rPr>
            </w:pPr>
            <w:r w:rsidRPr="00E155C1">
              <w:rPr>
                <w:sz w:val="16"/>
              </w:rPr>
              <w:t>21</w:t>
            </w:r>
          </w:p>
        </w:tc>
        <w:tc>
          <w:tcPr>
            <w:tcW w:w="764" w:type="dxa"/>
            <w:noWrap/>
            <w:vAlign w:val="center"/>
            <w:hideMark/>
          </w:tcPr>
          <w:p w14:paraId="4A6C194D" w14:textId="77777777" w:rsidR="00F679A2" w:rsidRPr="00E155C1" w:rsidRDefault="00F679A2" w:rsidP="00E155C1">
            <w:pPr>
              <w:spacing w:line="240" w:lineRule="auto"/>
              <w:jc w:val="right"/>
              <w:rPr>
                <w:sz w:val="16"/>
              </w:rPr>
            </w:pPr>
            <w:r w:rsidRPr="00E155C1">
              <w:rPr>
                <w:sz w:val="16"/>
              </w:rPr>
              <w:t>17</w:t>
            </w:r>
          </w:p>
        </w:tc>
        <w:tc>
          <w:tcPr>
            <w:tcW w:w="764" w:type="dxa"/>
            <w:noWrap/>
            <w:vAlign w:val="center"/>
            <w:hideMark/>
          </w:tcPr>
          <w:p w14:paraId="3013894C" w14:textId="77777777" w:rsidR="00F679A2" w:rsidRPr="00E155C1" w:rsidRDefault="00F679A2" w:rsidP="00E155C1">
            <w:pPr>
              <w:spacing w:line="240" w:lineRule="auto"/>
              <w:jc w:val="right"/>
              <w:rPr>
                <w:sz w:val="16"/>
              </w:rPr>
            </w:pPr>
            <w:r w:rsidRPr="00E155C1">
              <w:rPr>
                <w:sz w:val="16"/>
              </w:rPr>
              <w:t>15</w:t>
            </w:r>
          </w:p>
        </w:tc>
        <w:tc>
          <w:tcPr>
            <w:tcW w:w="764" w:type="dxa"/>
            <w:noWrap/>
            <w:vAlign w:val="center"/>
            <w:hideMark/>
          </w:tcPr>
          <w:p w14:paraId="7886F8C8" w14:textId="77777777" w:rsidR="00F679A2" w:rsidRPr="00E155C1" w:rsidRDefault="00F679A2" w:rsidP="00E155C1">
            <w:pPr>
              <w:spacing w:line="240" w:lineRule="auto"/>
              <w:jc w:val="right"/>
              <w:rPr>
                <w:sz w:val="16"/>
              </w:rPr>
            </w:pPr>
            <w:r w:rsidRPr="00E155C1">
              <w:rPr>
                <w:sz w:val="16"/>
              </w:rPr>
              <w:t>19</w:t>
            </w:r>
          </w:p>
        </w:tc>
      </w:tr>
      <w:tr w:rsidR="00F679A2" w:rsidRPr="00DF2F71" w14:paraId="03CFAE0F" w14:textId="77777777" w:rsidTr="00E155C1">
        <w:trPr>
          <w:trHeight w:val="300"/>
        </w:trPr>
        <w:tc>
          <w:tcPr>
            <w:tcW w:w="2155" w:type="dxa"/>
            <w:noWrap/>
            <w:hideMark/>
          </w:tcPr>
          <w:p w14:paraId="25F60459" w14:textId="77777777" w:rsidR="00F679A2" w:rsidRPr="00E155C1" w:rsidRDefault="00F679A2" w:rsidP="00E155C1">
            <w:pPr>
              <w:spacing w:line="240" w:lineRule="auto"/>
              <w:jc w:val="left"/>
              <w:rPr>
                <w:b/>
                <w:bCs/>
                <w:sz w:val="16"/>
              </w:rPr>
            </w:pPr>
            <w:r w:rsidRPr="00E155C1">
              <w:rPr>
                <w:b/>
                <w:bCs/>
                <w:sz w:val="16"/>
              </w:rPr>
              <w:t>KRMNE RASTLINE</w:t>
            </w:r>
          </w:p>
        </w:tc>
        <w:tc>
          <w:tcPr>
            <w:tcW w:w="1134" w:type="dxa"/>
            <w:noWrap/>
            <w:vAlign w:val="center"/>
            <w:hideMark/>
          </w:tcPr>
          <w:p w14:paraId="6A1195A2" w14:textId="77777777" w:rsidR="00F679A2" w:rsidRPr="00E155C1" w:rsidRDefault="00F679A2" w:rsidP="00E155C1">
            <w:pPr>
              <w:spacing w:line="240" w:lineRule="auto"/>
              <w:jc w:val="right"/>
              <w:rPr>
                <w:sz w:val="16"/>
              </w:rPr>
            </w:pPr>
            <w:r w:rsidRPr="00E155C1">
              <w:rPr>
                <w:sz w:val="16"/>
              </w:rPr>
              <w:t>205</w:t>
            </w:r>
          </w:p>
        </w:tc>
        <w:tc>
          <w:tcPr>
            <w:tcW w:w="1081" w:type="dxa"/>
            <w:noWrap/>
            <w:vAlign w:val="center"/>
            <w:hideMark/>
          </w:tcPr>
          <w:p w14:paraId="3FA656BF" w14:textId="77777777" w:rsidR="00F679A2" w:rsidRPr="00E155C1" w:rsidRDefault="00F679A2" w:rsidP="00E155C1">
            <w:pPr>
              <w:spacing w:line="240" w:lineRule="auto"/>
              <w:jc w:val="right"/>
              <w:rPr>
                <w:sz w:val="16"/>
              </w:rPr>
            </w:pPr>
            <w:r w:rsidRPr="00E155C1">
              <w:rPr>
                <w:sz w:val="16"/>
              </w:rPr>
              <w:t>106</w:t>
            </w:r>
          </w:p>
        </w:tc>
        <w:tc>
          <w:tcPr>
            <w:tcW w:w="764" w:type="dxa"/>
            <w:noWrap/>
            <w:vAlign w:val="center"/>
            <w:hideMark/>
          </w:tcPr>
          <w:p w14:paraId="6B5AB0A1" w14:textId="77777777" w:rsidR="00F679A2" w:rsidRPr="00E155C1" w:rsidRDefault="00F679A2" w:rsidP="00E155C1">
            <w:pPr>
              <w:spacing w:line="240" w:lineRule="auto"/>
              <w:jc w:val="right"/>
              <w:rPr>
                <w:sz w:val="16"/>
              </w:rPr>
            </w:pPr>
            <w:r w:rsidRPr="00E155C1">
              <w:rPr>
                <w:sz w:val="16"/>
              </w:rPr>
              <w:t>90</w:t>
            </w:r>
          </w:p>
        </w:tc>
        <w:tc>
          <w:tcPr>
            <w:tcW w:w="764" w:type="dxa"/>
            <w:noWrap/>
            <w:vAlign w:val="center"/>
            <w:hideMark/>
          </w:tcPr>
          <w:p w14:paraId="11370920" w14:textId="77777777" w:rsidR="00F679A2" w:rsidRPr="00E155C1" w:rsidRDefault="00F679A2" w:rsidP="00E155C1">
            <w:pPr>
              <w:spacing w:line="240" w:lineRule="auto"/>
              <w:jc w:val="right"/>
              <w:rPr>
                <w:sz w:val="16"/>
              </w:rPr>
            </w:pPr>
            <w:r w:rsidRPr="00E155C1">
              <w:rPr>
                <w:sz w:val="16"/>
              </w:rPr>
              <w:t>92</w:t>
            </w:r>
          </w:p>
        </w:tc>
        <w:tc>
          <w:tcPr>
            <w:tcW w:w="764" w:type="dxa"/>
            <w:noWrap/>
            <w:vAlign w:val="center"/>
            <w:hideMark/>
          </w:tcPr>
          <w:p w14:paraId="0765D530" w14:textId="77777777" w:rsidR="00F679A2" w:rsidRPr="00E155C1" w:rsidRDefault="00F679A2" w:rsidP="00E155C1">
            <w:pPr>
              <w:spacing w:line="240" w:lineRule="auto"/>
              <w:jc w:val="right"/>
              <w:rPr>
                <w:sz w:val="16"/>
              </w:rPr>
            </w:pPr>
            <w:r w:rsidRPr="00E155C1">
              <w:rPr>
                <w:sz w:val="16"/>
              </w:rPr>
              <w:t>131</w:t>
            </w:r>
          </w:p>
        </w:tc>
        <w:tc>
          <w:tcPr>
            <w:tcW w:w="764" w:type="dxa"/>
            <w:noWrap/>
            <w:vAlign w:val="center"/>
            <w:hideMark/>
          </w:tcPr>
          <w:p w14:paraId="68B04DA1" w14:textId="77777777" w:rsidR="00F679A2" w:rsidRPr="00E155C1" w:rsidRDefault="00F679A2" w:rsidP="00E155C1">
            <w:pPr>
              <w:spacing w:line="240" w:lineRule="auto"/>
              <w:jc w:val="right"/>
              <w:rPr>
                <w:sz w:val="16"/>
              </w:rPr>
            </w:pPr>
            <w:r w:rsidRPr="00E155C1">
              <w:rPr>
                <w:sz w:val="16"/>
              </w:rPr>
              <w:t>80</w:t>
            </w:r>
          </w:p>
        </w:tc>
        <w:tc>
          <w:tcPr>
            <w:tcW w:w="764" w:type="dxa"/>
            <w:noWrap/>
            <w:vAlign w:val="center"/>
            <w:hideMark/>
          </w:tcPr>
          <w:p w14:paraId="4E9F065C" w14:textId="77777777" w:rsidR="00F679A2" w:rsidRPr="00E155C1" w:rsidRDefault="00F679A2" w:rsidP="00E155C1">
            <w:pPr>
              <w:spacing w:line="240" w:lineRule="auto"/>
              <w:jc w:val="right"/>
              <w:rPr>
                <w:sz w:val="16"/>
              </w:rPr>
            </w:pPr>
            <w:r w:rsidRPr="00E155C1">
              <w:rPr>
                <w:sz w:val="16"/>
              </w:rPr>
              <w:t>85</w:t>
            </w:r>
          </w:p>
        </w:tc>
        <w:tc>
          <w:tcPr>
            <w:tcW w:w="764" w:type="dxa"/>
            <w:noWrap/>
            <w:vAlign w:val="center"/>
            <w:hideMark/>
          </w:tcPr>
          <w:p w14:paraId="45C3CE57" w14:textId="77777777" w:rsidR="00F679A2" w:rsidRPr="00E155C1" w:rsidRDefault="00F679A2" w:rsidP="00E155C1">
            <w:pPr>
              <w:spacing w:line="240" w:lineRule="auto"/>
              <w:jc w:val="right"/>
              <w:rPr>
                <w:sz w:val="16"/>
              </w:rPr>
            </w:pPr>
            <w:r w:rsidRPr="00E155C1">
              <w:rPr>
                <w:sz w:val="16"/>
              </w:rPr>
              <w:t>171</w:t>
            </w:r>
          </w:p>
        </w:tc>
      </w:tr>
      <w:tr w:rsidR="00F679A2" w:rsidRPr="00DF2F71" w14:paraId="2DAA8C08" w14:textId="77777777" w:rsidTr="00E155C1">
        <w:trPr>
          <w:trHeight w:val="300"/>
        </w:trPr>
        <w:tc>
          <w:tcPr>
            <w:tcW w:w="2155" w:type="dxa"/>
            <w:noWrap/>
            <w:hideMark/>
          </w:tcPr>
          <w:p w14:paraId="51552FBE" w14:textId="77777777" w:rsidR="00F679A2" w:rsidRPr="00E155C1" w:rsidRDefault="00F679A2" w:rsidP="00E155C1">
            <w:pPr>
              <w:spacing w:line="240" w:lineRule="auto"/>
              <w:jc w:val="left"/>
              <w:rPr>
                <w:b/>
                <w:bCs/>
                <w:sz w:val="16"/>
              </w:rPr>
            </w:pPr>
            <w:r w:rsidRPr="00E155C1">
              <w:rPr>
                <w:b/>
                <w:bCs/>
                <w:sz w:val="16"/>
              </w:rPr>
              <w:t>OLJNICE IN PREDIVNICE</w:t>
            </w:r>
          </w:p>
        </w:tc>
        <w:tc>
          <w:tcPr>
            <w:tcW w:w="1134" w:type="dxa"/>
            <w:noWrap/>
            <w:vAlign w:val="center"/>
            <w:hideMark/>
          </w:tcPr>
          <w:p w14:paraId="4C157200" w14:textId="77777777" w:rsidR="00F679A2" w:rsidRPr="00E155C1" w:rsidRDefault="00F679A2" w:rsidP="00E155C1">
            <w:pPr>
              <w:spacing w:line="240" w:lineRule="auto"/>
              <w:jc w:val="right"/>
              <w:rPr>
                <w:sz w:val="16"/>
              </w:rPr>
            </w:pPr>
            <w:r w:rsidRPr="00E155C1">
              <w:rPr>
                <w:sz w:val="16"/>
              </w:rPr>
              <w:t>128</w:t>
            </w:r>
          </w:p>
        </w:tc>
        <w:tc>
          <w:tcPr>
            <w:tcW w:w="1081" w:type="dxa"/>
            <w:noWrap/>
            <w:vAlign w:val="center"/>
            <w:hideMark/>
          </w:tcPr>
          <w:p w14:paraId="6DC34C01" w14:textId="77777777" w:rsidR="00F679A2" w:rsidRPr="00E155C1" w:rsidRDefault="00F679A2" w:rsidP="00E155C1">
            <w:pPr>
              <w:spacing w:line="240" w:lineRule="auto"/>
              <w:jc w:val="right"/>
              <w:rPr>
                <w:sz w:val="16"/>
              </w:rPr>
            </w:pPr>
            <w:r w:rsidRPr="00E155C1">
              <w:rPr>
                <w:sz w:val="16"/>
              </w:rPr>
              <w:t>54</w:t>
            </w:r>
          </w:p>
        </w:tc>
        <w:tc>
          <w:tcPr>
            <w:tcW w:w="764" w:type="dxa"/>
            <w:noWrap/>
            <w:vAlign w:val="center"/>
            <w:hideMark/>
          </w:tcPr>
          <w:p w14:paraId="7847B2AD" w14:textId="77777777" w:rsidR="00F679A2" w:rsidRPr="00E155C1" w:rsidRDefault="00F679A2" w:rsidP="00E155C1">
            <w:pPr>
              <w:spacing w:line="240" w:lineRule="auto"/>
              <w:jc w:val="right"/>
              <w:rPr>
                <w:sz w:val="16"/>
              </w:rPr>
            </w:pPr>
            <w:r w:rsidRPr="00E155C1">
              <w:rPr>
                <w:sz w:val="16"/>
              </w:rPr>
              <w:t>134</w:t>
            </w:r>
          </w:p>
        </w:tc>
        <w:tc>
          <w:tcPr>
            <w:tcW w:w="764" w:type="dxa"/>
            <w:noWrap/>
            <w:vAlign w:val="center"/>
            <w:hideMark/>
          </w:tcPr>
          <w:p w14:paraId="719EA1D6" w14:textId="77777777" w:rsidR="00F679A2" w:rsidRPr="00E155C1" w:rsidRDefault="00F679A2" w:rsidP="00E155C1">
            <w:pPr>
              <w:spacing w:line="240" w:lineRule="auto"/>
              <w:jc w:val="right"/>
              <w:rPr>
                <w:sz w:val="16"/>
              </w:rPr>
            </w:pPr>
            <w:r w:rsidRPr="00E155C1">
              <w:rPr>
                <w:sz w:val="16"/>
              </w:rPr>
              <w:t>135</w:t>
            </w:r>
          </w:p>
        </w:tc>
        <w:tc>
          <w:tcPr>
            <w:tcW w:w="764" w:type="dxa"/>
            <w:noWrap/>
            <w:vAlign w:val="center"/>
            <w:hideMark/>
          </w:tcPr>
          <w:p w14:paraId="6DB38CD8" w14:textId="77777777" w:rsidR="00F679A2" w:rsidRPr="00E155C1" w:rsidRDefault="00F679A2" w:rsidP="00E155C1">
            <w:pPr>
              <w:spacing w:line="240" w:lineRule="auto"/>
              <w:jc w:val="right"/>
              <w:rPr>
                <w:sz w:val="16"/>
              </w:rPr>
            </w:pPr>
            <w:r w:rsidRPr="00E155C1">
              <w:rPr>
                <w:sz w:val="16"/>
              </w:rPr>
              <w:t>211</w:t>
            </w:r>
          </w:p>
        </w:tc>
        <w:tc>
          <w:tcPr>
            <w:tcW w:w="764" w:type="dxa"/>
            <w:noWrap/>
            <w:vAlign w:val="center"/>
            <w:hideMark/>
          </w:tcPr>
          <w:p w14:paraId="1C2F2F49" w14:textId="77777777" w:rsidR="00F679A2" w:rsidRPr="00E155C1" w:rsidRDefault="00F679A2" w:rsidP="00E155C1">
            <w:pPr>
              <w:spacing w:line="240" w:lineRule="auto"/>
              <w:jc w:val="right"/>
              <w:rPr>
                <w:sz w:val="16"/>
              </w:rPr>
            </w:pPr>
            <w:r w:rsidRPr="00E155C1">
              <w:rPr>
                <w:sz w:val="16"/>
              </w:rPr>
              <w:t>181</w:t>
            </w:r>
          </w:p>
        </w:tc>
        <w:tc>
          <w:tcPr>
            <w:tcW w:w="764" w:type="dxa"/>
            <w:noWrap/>
            <w:vAlign w:val="center"/>
            <w:hideMark/>
          </w:tcPr>
          <w:p w14:paraId="5935BDE3" w14:textId="77777777" w:rsidR="00F679A2" w:rsidRPr="00E155C1" w:rsidRDefault="00F679A2" w:rsidP="00E155C1">
            <w:pPr>
              <w:spacing w:line="240" w:lineRule="auto"/>
              <w:jc w:val="right"/>
              <w:rPr>
                <w:sz w:val="16"/>
              </w:rPr>
            </w:pPr>
            <w:r w:rsidRPr="00E155C1">
              <w:rPr>
                <w:sz w:val="16"/>
              </w:rPr>
              <w:t>203</w:t>
            </w:r>
          </w:p>
        </w:tc>
        <w:tc>
          <w:tcPr>
            <w:tcW w:w="764" w:type="dxa"/>
            <w:noWrap/>
            <w:vAlign w:val="center"/>
            <w:hideMark/>
          </w:tcPr>
          <w:p w14:paraId="7DC29A68" w14:textId="77777777" w:rsidR="00F679A2" w:rsidRPr="00E155C1" w:rsidRDefault="00F679A2" w:rsidP="00E155C1">
            <w:pPr>
              <w:spacing w:line="240" w:lineRule="auto"/>
              <w:jc w:val="right"/>
              <w:rPr>
                <w:sz w:val="16"/>
              </w:rPr>
            </w:pPr>
            <w:r w:rsidRPr="00E155C1">
              <w:rPr>
                <w:sz w:val="16"/>
              </w:rPr>
              <w:t>283</w:t>
            </w:r>
          </w:p>
        </w:tc>
      </w:tr>
      <w:tr w:rsidR="00F679A2" w:rsidRPr="00DF2F71" w14:paraId="23428A54" w14:textId="77777777" w:rsidTr="00E155C1">
        <w:trPr>
          <w:trHeight w:val="300"/>
        </w:trPr>
        <w:tc>
          <w:tcPr>
            <w:tcW w:w="2155" w:type="dxa"/>
            <w:noWrap/>
            <w:hideMark/>
          </w:tcPr>
          <w:p w14:paraId="02CAD950" w14:textId="77777777" w:rsidR="00F679A2" w:rsidRPr="00E155C1" w:rsidRDefault="00F679A2" w:rsidP="00E155C1">
            <w:pPr>
              <w:spacing w:line="240" w:lineRule="auto"/>
              <w:jc w:val="left"/>
              <w:rPr>
                <w:b/>
                <w:bCs/>
                <w:sz w:val="16"/>
              </w:rPr>
            </w:pPr>
            <w:r w:rsidRPr="00E155C1">
              <w:rPr>
                <w:b/>
                <w:bCs/>
                <w:sz w:val="16"/>
              </w:rPr>
              <w:t xml:space="preserve">KROMPIR </w:t>
            </w:r>
          </w:p>
        </w:tc>
        <w:tc>
          <w:tcPr>
            <w:tcW w:w="1134" w:type="dxa"/>
            <w:noWrap/>
            <w:vAlign w:val="center"/>
            <w:hideMark/>
          </w:tcPr>
          <w:p w14:paraId="3AFF93B3" w14:textId="77777777" w:rsidR="00F679A2" w:rsidRPr="00E155C1" w:rsidRDefault="00F679A2" w:rsidP="00E155C1">
            <w:pPr>
              <w:spacing w:line="240" w:lineRule="auto"/>
              <w:jc w:val="right"/>
              <w:rPr>
                <w:sz w:val="16"/>
              </w:rPr>
            </w:pPr>
            <w:r w:rsidRPr="00E155C1">
              <w:rPr>
                <w:sz w:val="16"/>
              </w:rPr>
              <w:t>85</w:t>
            </w:r>
          </w:p>
        </w:tc>
        <w:tc>
          <w:tcPr>
            <w:tcW w:w="1081" w:type="dxa"/>
            <w:noWrap/>
            <w:vAlign w:val="center"/>
            <w:hideMark/>
          </w:tcPr>
          <w:p w14:paraId="79D2185C" w14:textId="77777777" w:rsidR="00F679A2" w:rsidRPr="00E155C1" w:rsidRDefault="00F679A2" w:rsidP="00E155C1">
            <w:pPr>
              <w:spacing w:line="240" w:lineRule="auto"/>
              <w:jc w:val="right"/>
              <w:rPr>
                <w:sz w:val="16"/>
              </w:rPr>
            </w:pPr>
            <w:r w:rsidRPr="00E155C1">
              <w:rPr>
                <w:sz w:val="16"/>
              </w:rPr>
              <w:t>41</w:t>
            </w:r>
          </w:p>
        </w:tc>
        <w:tc>
          <w:tcPr>
            <w:tcW w:w="764" w:type="dxa"/>
            <w:noWrap/>
            <w:vAlign w:val="center"/>
            <w:hideMark/>
          </w:tcPr>
          <w:p w14:paraId="0BFD8C91" w14:textId="77777777" w:rsidR="00F679A2" w:rsidRPr="00E155C1" w:rsidRDefault="00F679A2" w:rsidP="00E155C1">
            <w:pPr>
              <w:spacing w:line="240" w:lineRule="auto"/>
              <w:jc w:val="right"/>
              <w:rPr>
                <w:sz w:val="16"/>
              </w:rPr>
            </w:pPr>
            <w:r w:rsidRPr="00E155C1">
              <w:rPr>
                <w:sz w:val="16"/>
              </w:rPr>
              <w:t>29</w:t>
            </w:r>
          </w:p>
        </w:tc>
        <w:tc>
          <w:tcPr>
            <w:tcW w:w="764" w:type="dxa"/>
            <w:noWrap/>
            <w:vAlign w:val="center"/>
            <w:hideMark/>
          </w:tcPr>
          <w:p w14:paraId="190655FE" w14:textId="77777777" w:rsidR="00F679A2" w:rsidRPr="00E155C1" w:rsidRDefault="00F679A2" w:rsidP="00E155C1">
            <w:pPr>
              <w:spacing w:line="240" w:lineRule="auto"/>
              <w:jc w:val="right"/>
              <w:rPr>
                <w:sz w:val="16"/>
              </w:rPr>
            </w:pPr>
            <w:r w:rsidRPr="00E155C1">
              <w:rPr>
                <w:sz w:val="16"/>
              </w:rPr>
              <w:t>30</w:t>
            </w:r>
          </w:p>
        </w:tc>
        <w:tc>
          <w:tcPr>
            <w:tcW w:w="764" w:type="dxa"/>
            <w:noWrap/>
            <w:vAlign w:val="center"/>
            <w:hideMark/>
          </w:tcPr>
          <w:p w14:paraId="231DB769" w14:textId="77777777" w:rsidR="00F679A2" w:rsidRPr="00E155C1" w:rsidRDefault="00F679A2" w:rsidP="00E155C1">
            <w:pPr>
              <w:spacing w:line="240" w:lineRule="auto"/>
              <w:jc w:val="right"/>
              <w:rPr>
                <w:sz w:val="16"/>
              </w:rPr>
            </w:pPr>
            <w:r w:rsidRPr="00E155C1">
              <w:rPr>
                <w:sz w:val="16"/>
              </w:rPr>
              <w:t>30</w:t>
            </w:r>
          </w:p>
        </w:tc>
        <w:tc>
          <w:tcPr>
            <w:tcW w:w="764" w:type="dxa"/>
            <w:noWrap/>
            <w:vAlign w:val="center"/>
            <w:hideMark/>
          </w:tcPr>
          <w:p w14:paraId="4611EB38" w14:textId="77777777" w:rsidR="00F679A2" w:rsidRPr="00E155C1" w:rsidRDefault="00F679A2" w:rsidP="00E155C1">
            <w:pPr>
              <w:spacing w:line="240" w:lineRule="auto"/>
              <w:jc w:val="right"/>
              <w:rPr>
                <w:sz w:val="16"/>
              </w:rPr>
            </w:pPr>
            <w:r w:rsidRPr="00E155C1">
              <w:rPr>
                <w:sz w:val="16"/>
              </w:rPr>
              <w:t>30</w:t>
            </w:r>
          </w:p>
        </w:tc>
        <w:tc>
          <w:tcPr>
            <w:tcW w:w="764" w:type="dxa"/>
            <w:noWrap/>
            <w:vAlign w:val="center"/>
            <w:hideMark/>
          </w:tcPr>
          <w:p w14:paraId="3879A666" w14:textId="77777777" w:rsidR="00F679A2" w:rsidRPr="00E155C1" w:rsidRDefault="00F679A2" w:rsidP="00E155C1">
            <w:pPr>
              <w:spacing w:line="240" w:lineRule="auto"/>
              <w:jc w:val="right"/>
              <w:rPr>
                <w:sz w:val="16"/>
              </w:rPr>
            </w:pPr>
            <w:r w:rsidRPr="00E155C1">
              <w:rPr>
                <w:sz w:val="16"/>
              </w:rPr>
              <w:t>31</w:t>
            </w:r>
          </w:p>
        </w:tc>
        <w:tc>
          <w:tcPr>
            <w:tcW w:w="764" w:type="dxa"/>
            <w:noWrap/>
            <w:vAlign w:val="center"/>
            <w:hideMark/>
          </w:tcPr>
          <w:p w14:paraId="2DF175D7" w14:textId="77777777" w:rsidR="00F679A2" w:rsidRPr="00E155C1" w:rsidRDefault="00F679A2" w:rsidP="00E155C1">
            <w:pPr>
              <w:spacing w:line="240" w:lineRule="auto"/>
              <w:jc w:val="right"/>
              <w:rPr>
                <w:sz w:val="16"/>
              </w:rPr>
            </w:pPr>
            <w:r w:rsidRPr="00E155C1">
              <w:rPr>
                <w:sz w:val="16"/>
              </w:rPr>
              <w:t>27</w:t>
            </w:r>
          </w:p>
        </w:tc>
      </w:tr>
      <w:tr w:rsidR="00F679A2" w:rsidRPr="00DF2F71" w14:paraId="21210A8B" w14:textId="77777777" w:rsidTr="00E155C1">
        <w:trPr>
          <w:trHeight w:val="300"/>
        </w:trPr>
        <w:tc>
          <w:tcPr>
            <w:tcW w:w="2155" w:type="dxa"/>
            <w:noWrap/>
            <w:hideMark/>
          </w:tcPr>
          <w:p w14:paraId="4AC18E75" w14:textId="77777777" w:rsidR="00F679A2" w:rsidRPr="00E155C1" w:rsidRDefault="00F679A2" w:rsidP="00E155C1">
            <w:pPr>
              <w:spacing w:line="240" w:lineRule="auto"/>
              <w:jc w:val="left"/>
              <w:rPr>
                <w:b/>
                <w:bCs/>
                <w:sz w:val="16"/>
              </w:rPr>
            </w:pPr>
            <w:r w:rsidRPr="00E155C1">
              <w:rPr>
                <w:b/>
                <w:bCs/>
                <w:sz w:val="16"/>
              </w:rPr>
              <w:t>ZELENJADNICE</w:t>
            </w:r>
          </w:p>
        </w:tc>
        <w:tc>
          <w:tcPr>
            <w:tcW w:w="1134" w:type="dxa"/>
            <w:noWrap/>
            <w:vAlign w:val="center"/>
            <w:hideMark/>
          </w:tcPr>
          <w:p w14:paraId="7E830574" w14:textId="77777777" w:rsidR="00F679A2" w:rsidRPr="00E155C1" w:rsidRDefault="00F679A2" w:rsidP="00E155C1">
            <w:pPr>
              <w:spacing w:line="240" w:lineRule="auto"/>
              <w:jc w:val="right"/>
              <w:rPr>
                <w:sz w:val="16"/>
              </w:rPr>
            </w:pPr>
            <w:r w:rsidRPr="00E155C1">
              <w:rPr>
                <w:sz w:val="16"/>
              </w:rPr>
              <w:t>22</w:t>
            </w:r>
          </w:p>
        </w:tc>
        <w:tc>
          <w:tcPr>
            <w:tcW w:w="1081" w:type="dxa"/>
            <w:noWrap/>
            <w:vAlign w:val="center"/>
            <w:hideMark/>
          </w:tcPr>
          <w:p w14:paraId="03752303" w14:textId="77777777" w:rsidR="00F679A2" w:rsidRPr="00E155C1" w:rsidRDefault="00F679A2" w:rsidP="00E155C1">
            <w:pPr>
              <w:spacing w:line="240" w:lineRule="auto"/>
              <w:jc w:val="right"/>
              <w:rPr>
                <w:sz w:val="16"/>
              </w:rPr>
            </w:pPr>
            <w:r w:rsidRPr="00E155C1">
              <w:rPr>
                <w:sz w:val="16"/>
              </w:rPr>
              <w:t>6</w:t>
            </w:r>
          </w:p>
        </w:tc>
        <w:tc>
          <w:tcPr>
            <w:tcW w:w="764" w:type="dxa"/>
            <w:noWrap/>
            <w:vAlign w:val="center"/>
            <w:hideMark/>
          </w:tcPr>
          <w:p w14:paraId="3FCCE4E9" w14:textId="77777777" w:rsidR="00F679A2" w:rsidRPr="00E155C1" w:rsidRDefault="00F679A2" w:rsidP="00E155C1">
            <w:pPr>
              <w:spacing w:line="240" w:lineRule="auto"/>
              <w:jc w:val="right"/>
              <w:rPr>
                <w:sz w:val="16"/>
              </w:rPr>
            </w:pPr>
            <w:r w:rsidRPr="00E155C1">
              <w:rPr>
                <w:sz w:val="16"/>
              </w:rPr>
              <w:t>2</w:t>
            </w:r>
          </w:p>
        </w:tc>
        <w:tc>
          <w:tcPr>
            <w:tcW w:w="764" w:type="dxa"/>
            <w:noWrap/>
            <w:vAlign w:val="center"/>
            <w:hideMark/>
          </w:tcPr>
          <w:p w14:paraId="327688AD" w14:textId="77777777" w:rsidR="00F679A2" w:rsidRPr="00E155C1" w:rsidRDefault="00F679A2" w:rsidP="00E155C1">
            <w:pPr>
              <w:spacing w:line="240" w:lineRule="auto"/>
              <w:jc w:val="right"/>
              <w:rPr>
                <w:sz w:val="16"/>
              </w:rPr>
            </w:pPr>
            <w:r w:rsidRPr="00E155C1">
              <w:rPr>
                <w:sz w:val="16"/>
              </w:rPr>
              <w:t>4</w:t>
            </w:r>
          </w:p>
        </w:tc>
        <w:tc>
          <w:tcPr>
            <w:tcW w:w="764" w:type="dxa"/>
            <w:noWrap/>
            <w:vAlign w:val="center"/>
            <w:hideMark/>
          </w:tcPr>
          <w:p w14:paraId="08661A03" w14:textId="77777777" w:rsidR="00F679A2" w:rsidRPr="00E155C1" w:rsidRDefault="00F679A2" w:rsidP="00E155C1">
            <w:pPr>
              <w:spacing w:line="240" w:lineRule="auto"/>
              <w:jc w:val="right"/>
              <w:rPr>
                <w:sz w:val="16"/>
              </w:rPr>
            </w:pPr>
            <w:r w:rsidRPr="00E155C1">
              <w:rPr>
                <w:sz w:val="16"/>
              </w:rPr>
              <w:t>9</w:t>
            </w:r>
          </w:p>
        </w:tc>
        <w:tc>
          <w:tcPr>
            <w:tcW w:w="764" w:type="dxa"/>
            <w:noWrap/>
            <w:vAlign w:val="center"/>
            <w:hideMark/>
          </w:tcPr>
          <w:p w14:paraId="50008B4D" w14:textId="77777777" w:rsidR="00F679A2" w:rsidRPr="00E155C1" w:rsidRDefault="00F679A2" w:rsidP="00E155C1">
            <w:pPr>
              <w:spacing w:line="240" w:lineRule="auto"/>
              <w:jc w:val="right"/>
              <w:rPr>
                <w:sz w:val="16"/>
              </w:rPr>
            </w:pPr>
            <w:r w:rsidRPr="00E155C1">
              <w:rPr>
                <w:sz w:val="16"/>
              </w:rPr>
              <w:t>4</w:t>
            </w:r>
          </w:p>
        </w:tc>
        <w:tc>
          <w:tcPr>
            <w:tcW w:w="764" w:type="dxa"/>
            <w:noWrap/>
            <w:vAlign w:val="center"/>
            <w:hideMark/>
          </w:tcPr>
          <w:p w14:paraId="3FECFB3D" w14:textId="77777777" w:rsidR="00F679A2" w:rsidRPr="00E155C1" w:rsidRDefault="00F679A2" w:rsidP="00E155C1">
            <w:pPr>
              <w:spacing w:line="240" w:lineRule="auto"/>
              <w:jc w:val="right"/>
              <w:rPr>
                <w:sz w:val="16"/>
              </w:rPr>
            </w:pPr>
            <w:r w:rsidRPr="00E155C1">
              <w:rPr>
                <w:sz w:val="16"/>
              </w:rPr>
              <w:t>5</w:t>
            </w:r>
          </w:p>
        </w:tc>
        <w:tc>
          <w:tcPr>
            <w:tcW w:w="764" w:type="dxa"/>
            <w:noWrap/>
            <w:vAlign w:val="center"/>
            <w:hideMark/>
          </w:tcPr>
          <w:p w14:paraId="016F2D14" w14:textId="77777777" w:rsidR="00F679A2" w:rsidRPr="00E155C1" w:rsidRDefault="00F679A2" w:rsidP="00E155C1">
            <w:pPr>
              <w:spacing w:line="240" w:lineRule="auto"/>
              <w:jc w:val="right"/>
              <w:rPr>
                <w:sz w:val="16"/>
              </w:rPr>
            </w:pPr>
            <w:r w:rsidRPr="00E155C1">
              <w:rPr>
                <w:sz w:val="16"/>
              </w:rPr>
              <w:t>4</w:t>
            </w:r>
          </w:p>
        </w:tc>
      </w:tr>
      <w:tr w:rsidR="00F679A2" w:rsidRPr="00DF2F71" w14:paraId="071A4F90" w14:textId="77777777" w:rsidTr="00E155C1">
        <w:trPr>
          <w:trHeight w:val="315"/>
        </w:trPr>
        <w:tc>
          <w:tcPr>
            <w:tcW w:w="2155" w:type="dxa"/>
            <w:shd w:val="clear" w:color="auto" w:fill="C6D9F1" w:themeFill="text2" w:themeFillTint="33"/>
            <w:noWrap/>
            <w:hideMark/>
          </w:tcPr>
          <w:p w14:paraId="0B9E4BC5" w14:textId="77777777" w:rsidR="00F679A2" w:rsidRPr="00E155C1" w:rsidRDefault="00F679A2" w:rsidP="00E155C1">
            <w:pPr>
              <w:spacing w:line="240" w:lineRule="auto"/>
              <w:rPr>
                <w:b/>
                <w:bCs/>
                <w:sz w:val="16"/>
              </w:rPr>
            </w:pPr>
            <w:r w:rsidRPr="00E155C1">
              <w:rPr>
                <w:b/>
                <w:bCs/>
                <w:sz w:val="16"/>
              </w:rPr>
              <w:t>Skupaj (ha)</w:t>
            </w:r>
          </w:p>
        </w:tc>
        <w:tc>
          <w:tcPr>
            <w:tcW w:w="1134" w:type="dxa"/>
            <w:shd w:val="clear" w:color="auto" w:fill="C6D9F1" w:themeFill="text2" w:themeFillTint="33"/>
            <w:noWrap/>
            <w:vAlign w:val="center"/>
            <w:hideMark/>
          </w:tcPr>
          <w:p w14:paraId="52CD784E" w14:textId="77777777" w:rsidR="00F679A2" w:rsidRPr="00E155C1" w:rsidRDefault="00F679A2" w:rsidP="00E155C1">
            <w:pPr>
              <w:spacing w:line="240" w:lineRule="auto"/>
              <w:jc w:val="right"/>
              <w:rPr>
                <w:sz w:val="16"/>
              </w:rPr>
            </w:pPr>
            <w:r w:rsidRPr="00E155C1">
              <w:rPr>
                <w:sz w:val="16"/>
              </w:rPr>
              <w:t>2540</w:t>
            </w:r>
          </w:p>
        </w:tc>
        <w:tc>
          <w:tcPr>
            <w:tcW w:w="1081" w:type="dxa"/>
            <w:shd w:val="clear" w:color="auto" w:fill="C6D9F1" w:themeFill="text2" w:themeFillTint="33"/>
            <w:noWrap/>
            <w:vAlign w:val="center"/>
            <w:hideMark/>
          </w:tcPr>
          <w:p w14:paraId="2F8D1F37" w14:textId="77777777" w:rsidR="00F679A2" w:rsidRPr="00E155C1" w:rsidRDefault="00F679A2" w:rsidP="00E155C1">
            <w:pPr>
              <w:spacing w:line="240" w:lineRule="auto"/>
              <w:jc w:val="right"/>
              <w:rPr>
                <w:sz w:val="16"/>
              </w:rPr>
            </w:pPr>
            <w:r w:rsidRPr="00E155C1">
              <w:rPr>
                <w:sz w:val="16"/>
              </w:rPr>
              <w:t>1613</w:t>
            </w:r>
          </w:p>
        </w:tc>
        <w:tc>
          <w:tcPr>
            <w:tcW w:w="764" w:type="dxa"/>
            <w:shd w:val="clear" w:color="auto" w:fill="C6D9F1" w:themeFill="text2" w:themeFillTint="33"/>
            <w:noWrap/>
            <w:vAlign w:val="center"/>
            <w:hideMark/>
          </w:tcPr>
          <w:p w14:paraId="53F35F17" w14:textId="77777777" w:rsidR="00F679A2" w:rsidRPr="00E155C1" w:rsidRDefault="00F679A2" w:rsidP="00E155C1">
            <w:pPr>
              <w:spacing w:line="240" w:lineRule="auto"/>
              <w:jc w:val="right"/>
              <w:rPr>
                <w:sz w:val="16"/>
              </w:rPr>
            </w:pPr>
            <w:r w:rsidRPr="00E155C1">
              <w:rPr>
                <w:sz w:val="16"/>
              </w:rPr>
              <w:t>1386</w:t>
            </w:r>
          </w:p>
        </w:tc>
        <w:tc>
          <w:tcPr>
            <w:tcW w:w="764" w:type="dxa"/>
            <w:shd w:val="clear" w:color="auto" w:fill="C6D9F1" w:themeFill="text2" w:themeFillTint="33"/>
            <w:noWrap/>
            <w:vAlign w:val="center"/>
            <w:hideMark/>
          </w:tcPr>
          <w:p w14:paraId="3A93D497" w14:textId="77777777" w:rsidR="00F679A2" w:rsidRPr="00E155C1" w:rsidRDefault="00F679A2" w:rsidP="00E155C1">
            <w:pPr>
              <w:spacing w:line="240" w:lineRule="auto"/>
              <w:jc w:val="right"/>
              <w:rPr>
                <w:sz w:val="16"/>
              </w:rPr>
            </w:pPr>
            <w:r w:rsidRPr="00E155C1">
              <w:rPr>
                <w:sz w:val="16"/>
              </w:rPr>
              <w:t>1297</w:t>
            </w:r>
          </w:p>
        </w:tc>
        <w:tc>
          <w:tcPr>
            <w:tcW w:w="764" w:type="dxa"/>
            <w:shd w:val="clear" w:color="auto" w:fill="C6D9F1" w:themeFill="text2" w:themeFillTint="33"/>
            <w:noWrap/>
            <w:vAlign w:val="center"/>
            <w:hideMark/>
          </w:tcPr>
          <w:p w14:paraId="544F7986" w14:textId="77777777" w:rsidR="00F679A2" w:rsidRPr="00E155C1" w:rsidRDefault="00F679A2" w:rsidP="00E155C1">
            <w:pPr>
              <w:spacing w:line="240" w:lineRule="auto"/>
              <w:jc w:val="right"/>
              <w:rPr>
                <w:sz w:val="16"/>
              </w:rPr>
            </w:pPr>
            <w:r w:rsidRPr="00E155C1">
              <w:rPr>
                <w:sz w:val="16"/>
              </w:rPr>
              <w:t>1339</w:t>
            </w:r>
          </w:p>
        </w:tc>
        <w:tc>
          <w:tcPr>
            <w:tcW w:w="764" w:type="dxa"/>
            <w:shd w:val="clear" w:color="auto" w:fill="C6D9F1" w:themeFill="text2" w:themeFillTint="33"/>
            <w:noWrap/>
            <w:vAlign w:val="center"/>
            <w:hideMark/>
          </w:tcPr>
          <w:p w14:paraId="07F5ED43" w14:textId="77777777" w:rsidR="00F679A2" w:rsidRPr="00E155C1" w:rsidRDefault="00F679A2" w:rsidP="00E155C1">
            <w:pPr>
              <w:spacing w:line="240" w:lineRule="auto"/>
              <w:jc w:val="right"/>
              <w:rPr>
                <w:sz w:val="16"/>
              </w:rPr>
            </w:pPr>
            <w:r w:rsidRPr="00E155C1">
              <w:rPr>
                <w:sz w:val="16"/>
              </w:rPr>
              <w:t>1084</w:t>
            </w:r>
          </w:p>
        </w:tc>
        <w:tc>
          <w:tcPr>
            <w:tcW w:w="764" w:type="dxa"/>
            <w:shd w:val="clear" w:color="auto" w:fill="C6D9F1" w:themeFill="text2" w:themeFillTint="33"/>
            <w:noWrap/>
            <w:vAlign w:val="center"/>
            <w:hideMark/>
          </w:tcPr>
          <w:p w14:paraId="009BE62E" w14:textId="77777777" w:rsidR="00F679A2" w:rsidRPr="00E155C1" w:rsidRDefault="00F679A2" w:rsidP="00E155C1">
            <w:pPr>
              <w:spacing w:line="240" w:lineRule="auto"/>
              <w:jc w:val="right"/>
              <w:rPr>
                <w:sz w:val="16"/>
              </w:rPr>
            </w:pPr>
            <w:r w:rsidRPr="00E155C1">
              <w:rPr>
                <w:sz w:val="16"/>
              </w:rPr>
              <w:t>1205</w:t>
            </w:r>
          </w:p>
        </w:tc>
        <w:tc>
          <w:tcPr>
            <w:tcW w:w="764" w:type="dxa"/>
            <w:shd w:val="clear" w:color="auto" w:fill="C6D9F1" w:themeFill="text2" w:themeFillTint="33"/>
            <w:noWrap/>
            <w:vAlign w:val="center"/>
            <w:hideMark/>
          </w:tcPr>
          <w:p w14:paraId="77DA2715" w14:textId="77777777" w:rsidR="00F679A2" w:rsidRPr="00E155C1" w:rsidRDefault="00F679A2" w:rsidP="00E155C1">
            <w:pPr>
              <w:spacing w:line="240" w:lineRule="auto"/>
              <w:jc w:val="right"/>
              <w:rPr>
                <w:sz w:val="16"/>
              </w:rPr>
            </w:pPr>
            <w:r w:rsidRPr="00E155C1">
              <w:rPr>
                <w:sz w:val="16"/>
              </w:rPr>
              <w:t>1410</w:t>
            </w:r>
          </w:p>
        </w:tc>
      </w:tr>
    </w:tbl>
    <w:p w14:paraId="176AFACB" w14:textId="77777777" w:rsidR="00F679A2" w:rsidRDefault="00F679A2" w:rsidP="00F679A2">
      <w:pPr>
        <w:spacing w:line="360" w:lineRule="auto"/>
        <w:rPr>
          <w:sz w:val="16"/>
          <w:szCs w:val="16"/>
        </w:rPr>
      </w:pPr>
      <w:r w:rsidRPr="005718B1">
        <w:rPr>
          <w:sz w:val="16"/>
          <w:szCs w:val="16"/>
        </w:rPr>
        <w:t>Vir: UVHVVR</w:t>
      </w:r>
      <w:r>
        <w:rPr>
          <w:sz w:val="16"/>
          <w:szCs w:val="16"/>
        </w:rPr>
        <w:t>-2020</w:t>
      </w:r>
    </w:p>
    <w:p w14:paraId="7E23E90D" w14:textId="77777777" w:rsidR="00F679A2" w:rsidRDefault="00F679A2" w:rsidP="00F679A2">
      <w:pPr>
        <w:spacing w:line="360" w:lineRule="auto"/>
        <w:rPr>
          <w:szCs w:val="20"/>
        </w:rPr>
      </w:pPr>
    </w:p>
    <w:p w14:paraId="42B0977A" w14:textId="39E622BF" w:rsidR="00F679A2" w:rsidRDefault="00F679A2" w:rsidP="00F679A2">
      <w:pPr>
        <w:pStyle w:val="SCSlika0"/>
      </w:pPr>
      <w:bookmarkStart w:id="3215" w:name="_Toc89851124"/>
      <w:r>
        <w:t xml:space="preserve">Slika </w:t>
      </w:r>
      <w:r>
        <w:rPr>
          <w:noProof/>
        </w:rPr>
        <w:fldChar w:fldCharType="begin"/>
      </w:r>
      <w:r>
        <w:rPr>
          <w:noProof/>
        </w:rPr>
        <w:instrText xml:space="preserve"> SEQ Slika \* ARABIC </w:instrText>
      </w:r>
      <w:r>
        <w:rPr>
          <w:noProof/>
        </w:rPr>
        <w:fldChar w:fldCharType="separate"/>
      </w:r>
      <w:r w:rsidR="00F25435">
        <w:rPr>
          <w:noProof/>
        </w:rPr>
        <w:t>82</w:t>
      </w:r>
      <w:r>
        <w:rPr>
          <w:noProof/>
        </w:rPr>
        <w:fldChar w:fldCharType="end"/>
      </w:r>
      <w:r>
        <w:t xml:space="preserve">: </w:t>
      </w:r>
      <w:r w:rsidRPr="0040635C">
        <w:t>Delež površin semenskih posevkov po skupinah rastlin od 2014–2019 v primerjavi z obdobjem 2009–2013</w:t>
      </w:r>
      <w:bookmarkEnd w:id="3215"/>
    </w:p>
    <w:p w14:paraId="0BAFF1A0"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5018C4CF" wp14:editId="614319A1">
            <wp:extent cx="5123019" cy="2552131"/>
            <wp:effectExtent l="0" t="0" r="1905" b="635"/>
            <wp:docPr id="1631865352" name="Slika 16318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4393" cy="2557797"/>
                    </a:xfrm>
                    <a:prstGeom prst="rect">
                      <a:avLst/>
                    </a:prstGeom>
                    <a:noFill/>
                  </pic:spPr>
                </pic:pic>
              </a:graphicData>
            </a:graphic>
          </wp:inline>
        </w:drawing>
      </w:r>
    </w:p>
    <w:p w14:paraId="77D5337B" w14:textId="77777777" w:rsidR="00F679A2" w:rsidRPr="003B2B91" w:rsidRDefault="00F679A2" w:rsidP="00F679A2">
      <w:pPr>
        <w:keepNext/>
        <w:keepLines/>
        <w:spacing w:line="360" w:lineRule="auto"/>
        <w:rPr>
          <w:szCs w:val="20"/>
        </w:rPr>
      </w:pPr>
      <w:r w:rsidRPr="00FF4B40">
        <w:rPr>
          <w:sz w:val="16"/>
          <w:szCs w:val="16"/>
        </w:rPr>
        <w:t>Vir: UVHVVR</w:t>
      </w:r>
      <w:r>
        <w:rPr>
          <w:sz w:val="16"/>
          <w:szCs w:val="16"/>
        </w:rPr>
        <w:t>-2020</w:t>
      </w:r>
    </w:p>
    <w:p w14:paraId="4924E3E7" w14:textId="77777777" w:rsidR="00F679A2" w:rsidRPr="005B2A49" w:rsidRDefault="00F679A2" w:rsidP="005B2A49">
      <w:pPr>
        <w:spacing w:after="120" w:line="260" w:lineRule="atLeast"/>
        <w:rPr>
          <w:rFonts w:eastAsia="Calibri"/>
          <w:szCs w:val="20"/>
        </w:rPr>
      </w:pPr>
      <w:r w:rsidRPr="005B2A49">
        <w:rPr>
          <w:rFonts w:eastAsia="Calibri"/>
          <w:szCs w:val="20"/>
        </w:rPr>
        <w:t>V Sloveniji se v največjem obsegu pridelujejo semena žit, čeprav se je njihov delež v celotni semenski pridelavi zmanjšal na okoli 60 %, pred letom 2014 pa je bil ta delež več kot 85 %. Med žiti se je najbolj zmanjšal obseg pridelave semena koruze (za 90 % glede na povprečno pridelavo obdobja 2000-2004) in pšenice (za več kot 50 % glede na pridelavo obdobja 2000-2004), čeprav ti dve kmetijski rastlini še vedno zasedata več kot polovico vseh njivskih površin v Sloveniji. Močno se je zmanjšala tudi pridelava semenskega krompirja, saj predstavlja trenutni obseg pridelave manj kot 30 % v primerjavi z obdobjem 2000-2004, ko je bilo 85 ha potrjenih površin s krompirjem.</w:t>
      </w:r>
    </w:p>
    <w:p w14:paraId="2747F640" w14:textId="77777777" w:rsidR="00F679A2" w:rsidRPr="005B2A49" w:rsidRDefault="00F679A2" w:rsidP="005B2A49">
      <w:pPr>
        <w:spacing w:after="120" w:line="260" w:lineRule="atLeast"/>
        <w:rPr>
          <w:rFonts w:eastAsia="Calibri"/>
          <w:szCs w:val="20"/>
        </w:rPr>
      </w:pPr>
      <w:r w:rsidRPr="005B2A49">
        <w:rPr>
          <w:rFonts w:eastAsia="Calibri"/>
          <w:szCs w:val="20"/>
        </w:rPr>
        <w:t>V letu 2019 smo beleži pozitivni trend v pridelavi uradno potrjenega semena pri pšenici, ječmenu, koruzi, soji, inkarnatki, ovsu, oljni repici ter konoplji. Zmanjšale</w:t>
      </w:r>
      <w:r w:rsidRPr="005B2A49" w:rsidDel="00AF7459">
        <w:rPr>
          <w:rFonts w:eastAsia="Calibri"/>
          <w:szCs w:val="20"/>
        </w:rPr>
        <w:t xml:space="preserve"> </w:t>
      </w:r>
      <w:r w:rsidRPr="005B2A49">
        <w:rPr>
          <w:rFonts w:eastAsia="Calibri"/>
          <w:szCs w:val="20"/>
        </w:rPr>
        <w:t xml:space="preserve">so se površine posejane z ajdo, ogrščico, tritikalo, ržjo, piro, deteljo in ljuljko. Za pridelavo semena žit je v zadnjem času značilna velika razdrobljenost v sortni strukturi. </w:t>
      </w:r>
    </w:p>
    <w:p w14:paraId="0EBECD38" w14:textId="738A6918" w:rsidR="00F679A2" w:rsidRDefault="00F679A2" w:rsidP="00F679A2">
      <w:pPr>
        <w:pStyle w:val="SCSlika0"/>
      </w:pPr>
      <w:bookmarkStart w:id="3216" w:name="_Toc89851125"/>
      <w:r>
        <w:t xml:space="preserve">Slika </w:t>
      </w:r>
      <w:r>
        <w:rPr>
          <w:noProof/>
        </w:rPr>
        <w:fldChar w:fldCharType="begin"/>
      </w:r>
      <w:r>
        <w:rPr>
          <w:noProof/>
        </w:rPr>
        <w:instrText xml:space="preserve"> SEQ Slika \* ARABIC </w:instrText>
      </w:r>
      <w:r>
        <w:rPr>
          <w:noProof/>
        </w:rPr>
        <w:fldChar w:fldCharType="separate"/>
      </w:r>
      <w:r w:rsidR="00F25435">
        <w:rPr>
          <w:noProof/>
        </w:rPr>
        <w:t>83</w:t>
      </w:r>
      <w:r>
        <w:rPr>
          <w:noProof/>
        </w:rPr>
        <w:fldChar w:fldCharType="end"/>
      </w:r>
      <w:r>
        <w:t xml:space="preserve">: </w:t>
      </w:r>
      <w:r w:rsidRPr="0040635C">
        <w:t>Obseg pridelave semena žit (2014–2019)</w:t>
      </w:r>
      <w:bookmarkEnd w:id="3216"/>
    </w:p>
    <w:p w14:paraId="48D39A43"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663B2CEC" wp14:editId="0737481C">
            <wp:extent cx="4358640" cy="2049780"/>
            <wp:effectExtent l="0" t="0" r="3810" b="7620"/>
            <wp:docPr id="1631865353" name="Grafikon 1631865353">
              <a:extLst xmlns:a="http://schemas.openxmlformats.org/drawingml/2006/main">
                <a:ext uri="{FF2B5EF4-FFF2-40B4-BE49-F238E27FC236}">
                  <a16:creationId xmlns:a16="http://schemas.microsoft.com/office/drawing/2014/main" id="{EDF2134F-289F-47F8-92F4-5410BFA36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8D1C9AA" w14:textId="77777777" w:rsidR="00F679A2" w:rsidRDefault="00F679A2" w:rsidP="00F679A2">
      <w:pPr>
        <w:keepNext/>
        <w:keepLines/>
        <w:spacing w:line="360" w:lineRule="auto"/>
        <w:rPr>
          <w:sz w:val="16"/>
          <w:szCs w:val="16"/>
        </w:rPr>
      </w:pPr>
      <w:r w:rsidRPr="005718B1">
        <w:rPr>
          <w:sz w:val="16"/>
          <w:szCs w:val="16"/>
        </w:rPr>
        <w:t>Vir: UVHVVR</w:t>
      </w:r>
      <w:r>
        <w:rPr>
          <w:sz w:val="16"/>
          <w:szCs w:val="16"/>
        </w:rPr>
        <w:t>-2020</w:t>
      </w:r>
    </w:p>
    <w:p w14:paraId="233269F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letu 2019 smo beležili pozitivni trend v pridelavi uradno potrjenega semena tudi pri krmnih rastlinah (več kot 2- krat glede na prejšnje leto). Semenski posevki krmnih rastlin so tako v letu 2019 predstavljali že 12,1 % celotne semenske pridelave. Povečala se je tudi pridelava semena oljnic in predivnic, za 29 % glede na leto 2018. V letu 2019 je bila na novo zasnovana semenska pridelava bele gorjušice na 55 ha površin. Površine namenjene pridelavi semenskega krompirja so se v letu 2019 zmanjšale na 27 ha, kar predstavlja komaj 1,9 % površin celotne semenske pridelave. Pridelava uradno potrjenega semena zelenjadnic že od leta 2000 drastično pada, v letu 2019 je bilo zelenjadnicam namenjenih le 3,9 ha oz. samo 0,3 % površin celotne semenske pridelave, od tega pa je bilo 1,2 ha površin namenjenih za sajenje oljnih buč. </w:t>
      </w:r>
    </w:p>
    <w:p w14:paraId="60189953" w14:textId="77777777" w:rsidR="00F679A2" w:rsidRPr="005B2A49" w:rsidRDefault="00F679A2" w:rsidP="005B2A49">
      <w:pPr>
        <w:spacing w:after="120" w:line="260" w:lineRule="atLeast"/>
        <w:rPr>
          <w:rFonts w:eastAsia="Calibri"/>
          <w:szCs w:val="20"/>
        </w:rPr>
      </w:pPr>
      <w:r w:rsidRPr="005B2A49">
        <w:rPr>
          <w:rFonts w:eastAsia="Calibri"/>
          <w:szCs w:val="20"/>
        </w:rPr>
        <w:t>Glede na posejane površine poljščin v Sloveniji in obseg uradno pridelanega domačega semena, pridelamo dovolj potrebnih količin za setev le semena konoplje, oljne ogrščice, repice ter soje. Pri žitih s pridelavo semena prosa pokrijemo 75 % potreb, medtem ko pridelano domače seme ječmena, ovsa, tritikale, ajde in pšenice ne zadošča niti za 50 % pokritje posejanih površin. Z domačo pridelavo semena koruze lahko posadimo le 2 % njiv namenjenih pridelavi te poljščine. S pridelava semenskega krompirja lahko pokrijemo le 9 % slovenskih potreb. Površine za pridelavo semena zelenjadnic se zadnjih šest let gibljejo okoli 4 ha, kar je za slovenske potrebe zelo malo.</w:t>
      </w:r>
    </w:p>
    <w:p w14:paraId="2ABEE882" w14:textId="7ED01A7F" w:rsidR="00F679A2" w:rsidRDefault="00F679A2" w:rsidP="00F679A2">
      <w:pPr>
        <w:pStyle w:val="SCSlika0"/>
      </w:pPr>
      <w:bookmarkStart w:id="3217" w:name="_Toc89851126"/>
      <w:r>
        <w:t xml:space="preserve">Slika </w:t>
      </w:r>
      <w:r>
        <w:rPr>
          <w:noProof/>
        </w:rPr>
        <w:fldChar w:fldCharType="begin"/>
      </w:r>
      <w:r>
        <w:rPr>
          <w:noProof/>
        </w:rPr>
        <w:instrText xml:space="preserve"> SEQ Slika \* ARABIC </w:instrText>
      </w:r>
      <w:r>
        <w:rPr>
          <w:noProof/>
        </w:rPr>
        <w:fldChar w:fldCharType="separate"/>
      </w:r>
      <w:r w:rsidR="00F25435">
        <w:rPr>
          <w:noProof/>
        </w:rPr>
        <w:t>84</w:t>
      </w:r>
      <w:r>
        <w:rPr>
          <w:noProof/>
        </w:rPr>
        <w:fldChar w:fldCharType="end"/>
      </w:r>
      <w:r>
        <w:t xml:space="preserve">: </w:t>
      </w:r>
      <w:r w:rsidRPr="0040635C">
        <w:t>Potrjeni pridelki semena (v t)</w:t>
      </w:r>
      <w:bookmarkEnd w:id="3217"/>
    </w:p>
    <w:p w14:paraId="78EA9785"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6ED5FCA3" wp14:editId="2249E856">
            <wp:extent cx="5667555" cy="2260600"/>
            <wp:effectExtent l="0" t="0" r="9525" b="6350"/>
            <wp:docPr id="1631865354" name="Grafikon 1631865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AC3B06B" w14:textId="77777777" w:rsidR="00F679A2" w:rsidRDefault="00F679A2" w:rsidP="00F679A2">
      <w:pPr>
        <w:spacing w:line="360" w:lineRule="auto"/>
        <w:rPr>
          <w:sz w:val="16"/>
          <w:szCs w:val="16"/>
        </w:rPr>
      </w:pPr>
      <w:r w:rsidRPr="005718B1">
        <w:rPr>
          <w:sz w:val="16"/>
          <w:szCs w:val="16"/>
        </w:rPr>
        <w:t>Vir: MKGP</w:t>
      </w:r>
      <w:r>
        <w:rPr>
          <w:sz w:val="16"/>
          <w:szCs w:val="16"/>
        </w:rPr>
        <w:t>-2020</w:t>
      </w:r>
      <w:r w:rsidRPr="005718B1">
        <w:rPr>
          <w:sz w:val="16"/>
          <w:szCs w:val="16"/>
        </w:rPr>
        <w:t>, UVHVV</w:t>
      </w:r>
      <w:r>
        <w:rPr>
          <w:sz w:val="16"/>
          <w:szCs w:val="16"/>
        </w:rPr>
        <w:t>R-2020</w:t>
      </w:r>
      <w:r w:rsidRPr="005718B1">
        <w:rPr>
          <w:sz w:val="16"/>
          <w:szCs w:val="16"/>
        </w:rPr>
        <w:t>, ZP</w:t>
      </w:r>
      <w:r>
        <w:rPr>
          <w:sz w:val="16"/>
          <w:szCs w:val="16"/>
        </w:rPr>
        <w:t>-2019</w:t>
      </w:r>
    </w:p>
    <w:p w14:paraId="2053D051" w14:textId="7BBEE788" w:rsidR="00F679A2" w:rsidRDefault="00F679A2" w:rsidP="00F679A2">
      <w:pPr>
        <w:pStyle w:val="SCPreglednica"/>
      </w:pPr>
      <w:bookmarkStart w:id="3218" w:name="_Toc89861023"/>
      <w:r>
        <w:t xml:space="preserve">Tabela </w:t>
      </w:r>
      <w:r>
        <w:rPr>
          <w:noProof/>
        </w:rPr>
        <w:fldChar w:fldCharType="begin"/>
      </w:r>
      <w:r>
        <w:rPr>
          <w:noProof/>
        </w:rPr>
        <w:instrText xml:space="preserve"> SEQ Tabela \* ARABIC </w:instrText>
      </w:r>
      <w:r>
        <w:rPr>
          <w:noProof/>
        </w:rPr>
        <w:fldChar w:fldCharType="separate"/>
      </w:r>
      <w:r w:rsidR="002E0D2A">
        <w:rPr>
          <w:noProof/>
        </w:rPr>
        <w:t>31</w:t>
      </w:r>
      <w:r>
        <w:rPr>
          <w:noProof/>
        </w:rPr>
        <w:fldChar w:fldCharType="end"/>
      </w:r>
      <w:r>
        <w:t xml:space="preserve">: </w:t>
      </w:r>
      <w:r w:rsidRPr="0040635C">
        <w:t>Delež uradno pridelanega domačega semena v Sloveniji</w:t>
      </w:r>
      <w:bookmarkEnd w:id="3218"/>
    </w:p>
    <w:p w14:paraId="4A6B65ED"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862ED1C" wp14:editId="562EF1AF">
            <wp:extent cx="4399830" cy="2769079"/>
            <wp:effectExtent l="0" t="0" r="1270" b="0"/>
            <wp:docPr id="1631865355" name="Slika 163186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09502" cy="2775166"/>
                    </a:xfrm>
                    <a:prstGeom prst="rect">
                      <a:avLst/>
                    </a:prstGeom>
                    <a:noFill/>
                    <a:ln>
                      <a:noFill/>
                    </a:ln>
                  </pic:spPr>
                </pic:pic>
              </a:graphicData>
            </a:graphic>
          </wp:inline>
        </w:drawing>
      </w:r>
    </w:p>
    <w:p w14:paraId="15321F46" w14:textId="77777777" w:rsidR="00F679A2" w:rsidRPr="003B2B91" w:rsidRDefault="00F679A2" w:rsidP="00F679A2">
      <w:pPr>
        <w:spacing w:line="360" w:lineRule="auto"/>
        <w:rPr>
          <w:szCs w:val="20"/>
        </w:rPr>
      </w:pPr>
      <w:r w:rsidRPr="00FF4B40">
        <w:rPr>
          <w:sz w:val="16"/>
          <w:szCs w:val="16"/>
        </w:rPr>
        <w:t>Vir: MKGP</w:t>
      </w:r>
      <w:r>
        <w:rPr>
          <w:sz w:val="16"/>
          <w:szCs w:val="16"/>
        </w:rPr>
        <w:t>-2020</w:t>
      </w:r>
      <w:r w:rsidRPr="00FF4B40">
        <w:rPr>
          <w:sz w:val="16"/>
          <w:szCs w:val="16"/>
        </w:rPr>
        <w:t>, UVHVVR</w:t>
      </w:r>
      <w:r>
        <w:rPr>
          <w:sz w:val="16"/>
          <w:szCs w:val="16"/>
        </w:rPr>
        <w:t>-2020</w:t>
      </w:r>
      <w:r w:rsidRPr="00FF4B40">
        <w:rPr>
          <w:sz w:val="16"/>
          <w:szCs w:val="16"/>
        </w:rPr>
        <w:t>, ZP</w:t>
      </w:r>
      <w:r>
        <w:rPr>
          <w:sz w:val="16"/>
          <w:szCs w:val="16"/>
        </w:rPr>
        <w:t>-2019</w:t>
      </w:r>
    </w:p>
    <w:p w14:paraId="3EE682AB" w14:textId="77777777" w:rsidR="00F679A2" w:rsidRPr="005B2A49" w:rsidRDefault="00F679A2" w:rsidP="005B2A49">
      <w:pPr>
        <w:spacing w:after="120" w:line="260" w:lineRule="atLeast"/>
        <w:rPr>
          <w:rFonts w:eastAsia="Calibri"/>
          <w:szCs w:val="20"/>
        </w:rPr>
      </w:pPr>
      <w:r w:rsidRPr="005B2A49">
        <w:rPr>
          <w:rFonts w:eastAsia="Calibri"/>
          <w:szCs w:val="20"/>
        </w:rPr>
        <w:t>Podatkov o ekonomskih kazalnikih v semenarstvu ni, ker semenarstvo v Sloveniji zajema zelo majhen delež celotne kmetijske proizvodnje. Za namen pridobitve podatkov o ekonomskih kazalcih semenske pridelave na primeru zelenjadnic (stroški in prihodki) je v načrtu izvedba CRP projekta. Rezultati bodo podali modelno oceno prihodkov pri pridelavi semena, ki jo potrebujemo za spodbujanje večjega zanimanja za pridelavo semena v Sloveniji.</w:t>
      </w:r>
    </w:p>
    <w:p w14:paraId="2C2FA37A"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Slovensko krajinsko in vrstno pestrost pogojujejo različne podnebne, talne, geografske in zgodovinske razmere. Spremembe v okolju, načinu izrabe prostora in v pridelovanju so povzročile zmanjševanje biotske raznovrstnosti, kar je očitno tako v naravnem okolju kot tudi v kmetijstvu, saj se je v preteklosti zmanjšalo pridelovanje lokalnih sort in populacij, zmanjšalo se je tudi število vrst kmetijskih rastlin v pridelavi. </w:t>
      </w:r>
    </w:p>
    <w:p w14:paraId="3A9F527E"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Slovenija je v preteklosti tradicionalno veljala za deželo z dobro razvitim semenarstvom, ki pa se je v zadnjih desetletjih pri marsikateri vrsti kmetijskih rastlin močno skrčilo, tudi zaradi omejenih žlahtniteljskih programov. </w:t>
      </w:r>
    </w:p>
    <w:p w14:paraId="0D2C7714" w14:textId="77777777" w:rsidR="00F679A2" w:rsidRPr="005B2A49" w:rsidRDefault="00F679A2" w:rsidP="005B2A49">
      <w:pPr>
        <w:spacing w:after="120" w:line="260" w:lineRule="atLeast"/>
        <w:rPr>
          <w:rFonts w:eastAsia="Calibri"/>
          <w:szCs w:val="20"/>
        </w:rPr>
      </w:pPr>
      <w:r w:rsidRPr="005B2A49">
        <w:rPr>
          <w:rFonts w:eastAsia="Calibri"/>
          <w:szCs w:val="20"/>
        </w:rPr>
        <w:t>Žlahtniteljski programi so se vnovič okrepili od leta 2014, ko je Ministrstvo za kmetijstvo, gozdarstvo in prehrano zagotovilo dodatna sredstva tudi za uvedbo ali nadaljevanje javnih programov žlahtnjenja (poleg že utečenega tovrstnega financiranja na področju hmeljarstva), in sicer žlahtnjenja krompirja, krmnih rastlin (izbranih vrst trav in metuljnic), zrnatih stročnic, ajde in zelja. Dolgoročni cilji in predvideni pozitivni učinki programov žlahtnjenja so primernost novih sort za potrebe slovenske rastlinske pridelave, odziv na podnebne spremembe in reševanje aktualnih težav pri rastlinski pridelavi, razvoj domačega semenarstva, zmanjšanje odvisnosti od tujine in večja dodana vrednost za pridelovalce semenskega materiala. Med cilji žlahtnjenja pa je tudi povečanje oziroma ohranjanje biotske raznovrstnosti z uporabo avtohtonih genskih virov v žlahtnjenju.</w:t>
      </w:r>
    </w:p>
    <w:p w14:paraId="7DE102CB" w14:textId="77777777" w:rsidR="00F679A2" w:rsidRPr="005B2A49" w:rsidRDefault="00F679A2" w:rsidP="005B2A49">
      <w:pPr>
        <w:spacing w:after="120" w:line="260" w:lineRule="atLeast"/>
        <w:rPr>
          <w:rFonts w:eastAsia="Calibri"/>
          <w:szCs w:val="20"/>
        </w:rPr>
      </w:pPr>
      <w:r w:rsidRPr="005B2A49">
        <w:rPr>
          <w:rFonts w:eastAsia="Calibri"/>
          <w:szCs w:val="20"/>
        </w:rPr>
        <w:t>Za spodbujanje večjega zanimanja pridelave semena v Sloveniji je potrebna modelna ocena prihodkov pri pridelavi semena in rajonizacija pridelave ter dobro organizirana veriga semenske pridelave. S povečanjem semenske pridelave na podeželju bi vplivali na dodatno zaposlovanje na podeželskem območju, saj bi prinesla dodano vrednost manjšim kmetovalcem.</w:t>
      </w:r>
    </w:p>
    <w:p w14:paraId="3C351F5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PRP-KOPOP podpore 2014-2020 za setev lokalnih sort sta od leta 2017 v program vključeni dve kmetijski gospodarstvi (2 KMG) na skupno 7 ha. </w:t>
      </w:r>
    </w:p>
    <w:p w14:paraId="5D00B867" w14:textId="77777777" w:rsidR="00F679A2" w:rsidRPr="005B2A49" w:rsidRDefault="00F679A2" w:rsidP="005B2A49">
      <w:pPr>
        <w:spacing w:after="120" w:line="260" w:lineRule="atLeast"/>
        <w:rPr>
          <w:rFonts w:eastAsia="Calibri"/>
          <w:szCs w:val="20"/>
        </w:rPr>
      </w:pPr>
      <w:r w:rsidRPr="005B2A49">
        <w:rPr>
          <w:rFonts w:eastAsia="Calibri"/>
          <w:szCs w:val="20"/>
        </w:rPr>
        <w:t>Pridelave semena v Sloveniji že nekaj časa stagnira, kar se odraža tudi v tehnološkem napredku njene pridelave. Z opuščanjem panoge se je izgubljalo tudi znanje in izkušnje. Za uspešno semenarstvo je zato nujno potrebno okrepiti strokovno znanje (npr. optimizirati postopke pridelave in dodelave posameznih vrst v naših agroekoloških razmerah in pri naših sortah). V načrtu je tudi izvedba CRP projekta, kateri rezultati bodo prispevali k povečanju znanja in k izmenjavi znanja na tem področju.</w:t>
      </w:r>
    </w:p>
    <w:p w14:paraId="0030A966" w14:textId="77777777" w:rsidR="00F679A2" w:rsidRPr="0040635C" w:rsidRDefault="00F679A2" w:rsidP="00F679A2">
      <w:pPr>
        <w:autoSpaceDE w:val="0"/>
        <w:autoSpaceDN w:val="0"/>
        <w:adjustRightInd w:val="0"/>
        <w:spacing w:before="200" w:line="360" w:lineRule="auto"/>
        <w:rPr>
          <w:szCs w:val="20"/>
        </w:rPr>
      </w:pPr>
    </w:p>
    <w:p w14:paraId="65DF56E3" w14:textId="77777777" w:rsidR="00F679A2" w:rsidRPr="001261F1" w:rsidRDefault="00F679A2" w:rsidP="00F679A2">
      <w:pPr>
        <w:pStyle w:val="Naslov3"/>
      </w:pPr>
      <w:bookmarkStart w:id="3219" w:name="_Toc90462285"/>
      <w:r w:rsidRPr="001261F1">
        <w:t>Ključne ugotovitve</w:t>
      </w:r>
      <w:bookmarkEnd w:id="3219"/>
    </w:p>
    <w:p w14:paraId="44154272" w14:textId="77777777" w:rsidR="00F679A2" w:rsidRDefault="00F679A2" w:rsidP="00F679A2"/>
    <w:p w14:paraId="7EA2DA90" w14:textId="77777777" w:rsidR="00F679A2" w:rsidRPr="003B2B91" w:rsidRDefault="00F679A2" w:rsidP="005B2A49">
      <w:pPr>
        <w:numPr>
          <w:ilvl w:val="0"/>
          <w:numId w:val="193"/>
        </w:numPr>
        <w:spacing w:after="120" w:line="260" w:lineRule="atLeast"/>
        <w:ind w:left="357" w:hanging="357"/>
        <w:rPr>
          <w:szCs w:val="20"/>
        </w:rPr>
      </w:pPr>
      <w:r w:rsidRPr="003B2B91">
        <w:rPr>
          <w:szCs w:val="20"/>
        </w:rPr>
        <w:t xml:space="preserve">Pridelava uradno potrjenega semena je upadla za več kot 50 %, iz 2.500 ha v letu 2000 na 1.410 ha v letu 2019. </w:t>
      </w:r>
    </w:p>
    <w:p w14:paraId="48A7CDA2" w14:textId="77777777" w:rsidR="00F679A2" w:rsidRDefault="00F679A2" w:rsidP="005B2A49">
      <w:pPr>
        <w:numPr>
          <w:ilvl w:val="0"/>
          <w:numId w:val="193"/>
        </w:numPr>
        <w:spacing w:after="120" w:line="260" w:lineRule="atLeast"/>
        <w:ind w:left="357" w:hanging="357"/>
        <w:rPr>
          <w:szCs w:val="20"/>
        </w:rPr>
      </w:pPr>
      <w:r w:rsidRPr="003B2B91">
        <w:rPr>
          <w:szCs w:val="20"/>
        </w:rPr>
        <w:t xml:space="preserve">Največ se pridelujejo semena žit, njihov delež v celotni semenski pridelavi je 60 %. </w:t>
      </w:r>
    </w:p>
    <w:p w14:paraId="68889B7D" w14:textId="77777777" w:rsidR="00F679A2" w:rsidRPr="003B2B91" w:rsidRDefault="00F679A2" w:rsidP="005B2A49">
      <w:pPr>
        <w:numPr>
          <w:ilvl w:val="0"/>
          <w:numId w:val="193"/>
        </w:numPr>
        <w:spacing w:after="120" w:line="260" w:lineRule="atLeast"/>
        <w:ind w:left="357" w:hanging="357"/>
        <w:rPr>
          <w:szCs w:val="20"/>
        </w:rPr>
      </w:pPr>
      <w:r>
        <w:rPr>
          <w:szCs w:val="20"/>
        </w:rPr>
        <w:t>V Sloveniji nimamo pridelave travniškega semenskega materiala.</w:t>
      </w:r>
    </w:p>
    <w:p w14:paraId="5BC1E9DE" w14:textId="77777777" w:rsidR="00F679A2" w:rsidRPr="003B2B91" w:rsidRDefault="00F679A2" w:rsidP="005B2A49">
      <w:pPr>
        <w:numPr>
          <w:ilvl w:val="0"/>
          <w:numId w:val="193"/>
        </w:numPr>
        <w:spacing w:after="120" w:line="260" w:lineRule="atLeast"/>
        <w:ind w:left="357" w:hanging="357"/>
        <w:rPr>
          <w:szCs w:val="20"/>
        </w:rPr>
      </w:pPr>
      <w:r w:rsidRPr="003B2B91">
        <w:rPr>
          <w:szCs w:val="20"/>
        </w:rPr>
        <w:t>Za slovenski trg pridelamo dovolj semena konoplje, oljne ogrščice, repice ter soje. Samooskrba domačega semena ječmena, ovsa, tritikale, ajde in pšenice ne zadošča niti za 50 % pokritje posejanih površin. Z domačo pridelavo semena koruze lahko posadimo le 2 % njiv namenjenih pridelavi te poljščine. S pridelava semenskega krompirja pokrijemo le 9 % potreb po tem semenu.</w:t>
      </w:r>
    </w:p>
    <w:p w14:paraId="3935D339" w14:textId="77777777" w:rsidR="00F679A2" w:rsidRPr="003B2B91" w:rsidRDefault="00F679A2" w:rsidP="005B2A49">
      <w:pPr>
        <w:numPr>
          <w:ilvl w:val="0"/>
          <w:numId w:val="193"/>
        </w:numPr>
        <w:spacing w:after="120" w:line="260" w:lineRule="atLeast"/>
        <w:ind w:left="357" w:hanging="357"/>
        <w:rPr>
          <w:szCs w:val="20"/>
        </w:rPr>
      </w:pPr>
      <w:r w:rsidRPr="003B2B91">
        <w:rPr>
          <w:szCs w:val="20"/>
        </w:rPr>
        <w:t xml:space="preserve">Pridelava semena v Sloveniji se zmanjšuje tudi zaradi pomanjkanja znanja in njegovega prenosa v prakso. </w:t>
      </w:r>
    </w:p>
    <w:p w14:paraId="60F508EC" w14:textId="5985E0D8" w:rsidR="00F679A2" w:rsidRDefault="00F679A2" w:rsidP="005B2A49">
      <w:pPr>
        <w:numPr>
          <w:ilvl w:val="0"/>
          <w:numId w:val="193"/>
        </w:numPr>
        <w:spacing w:after="120" w:line="260" w:lineRule="atLeast"/>
        <w:ind w:left="357" w:hanging="357"/>
        <w:rPr>
          <w:szCs w:val="20"/>
        </w:rPr>
      </w:pPr>
      <w:r w:rsidRPr="003B2B91">
        <w:rPr>
          <w:szCs w:val="20"/>
        </w:rPr>
        <w:t>V Sloveniji beležimo večjo uporabo lastnega pridelka za setev s čimer pridelovalci skušajo zniževali stroške kmetijske pridelave s tem pa zmanjšujejo hektarske donose kmetijskih rastlin in vplivajo negativno na pojav in širitev škodljivih organizmov.</w:t>
      </w:r>
    </w:p>
    <w:p w14:paraId="000FA20D" w14:textId="77777777" w:rsidR="00C25531" w:rsidRPr="00E65683" w:rsidRDefault="00C25531" w:rsidP="005B2A49">
      <w:pPr>
        <w:spacing w:after="120" w:line="260" w:lineRule="atLeast"/>
        <w:ind w:left="357"/>
        <w:rPr>
          <w:szCs w:val="20"/>
        </w:rPr>
      </w:pPr>
    </w:p>
    <w:p w14:paraId="3364300F" w14:textId="77777777" w:rsidR="00F679A2" w:rsidRPr="001261F1" w:rsidRDefault="00F679A2" w:rsidP="00F679A2">
      <w:pPr>
        <w:pStyle w:val="Naslov2"/>
      </w:pPr>
      <w:bookmarkStart w:id="3220" w:name="_Toc90462286"/>
      <w:r w:rsidRPr="001261F1">
        <w:t>Poljedelstvo</w:t>
      </w:r>
      <w:bookmarkEnd w:id="3220"/>
    </w:p>
    <w:p w14:paraId="25947FA0"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Slovenijo so značilne majhne in razdrobljene obdelovalne površine, kar neugodno vpliva na intenzivnost in produktivnost pridelave, daje pa videz velike pestrosti in ohranja optično podobo kulturne krajine. Tako stanje je morda ugodno s socialnega in naravovarstvenega vidika, izrazito neugodno pa s tržno ekonomskega. </w:t>
      </w:r>
    </w:p>
    <w:p w14:paraId="4CF0DE3D" w14:textId="525DD504" w:rsidR="00F679A2" w:rsidRDefault="00F679A2" w:rsidP="005B2A49">
      <w:pPr>
        <w:spacing w:after="120" w:line="260" w:lineRule="atLeast"/>
        <w:rPr>
          <w:rFonts w:eastAsia="Calibri"/>
          <w:szCs w:val="20"/>
        </w:rPr>
      </w:pPr>
      <w:r w:rsidRPr="005B2A49">
        <w:rPr>
          <w:rFonts w:eastAsia="Calibri"/>
          <w:szCs w:val="20"/>
        </w:rPr>
        <w:t>Na področju poljedelstva je zaznati vedno večjo potrebo po prilagoditvi tehnologije rastlinske pridelave novim razmeram s poudarkom na povečanju produktivnosti ter upravljanju in obvladovanju tveganj zaradi pojavljanja podnebnih sprememb.</w:t>
      </w:r>
    </w:p>
    <w:p w14:paraId="74C1DDCE" w14:textId="77777777" w:rsidR="00C25531" w:rsidRPr="005B2A49" w:rsidRDefault="00C25531" w:rsidP="005B2A49">
      <w:pPr>
        <w:spacing w:after="120" w:line="260" w:lineRule="atLeast"/>
        <w:rPr>
          <w:rFonts w:eastAsia="Calibri"/>
          <w:szCs w:val="20"/>
        </w:rPr>
      </w:pPr>
    </w:p>
    <w:p w14:paraId="4F8A9E14" w14:textId="77777777" w:rsidR="00F679A2" w:rsidRPr="001261F1" w:rsidRDefault="00F679A2" w:rsidP="00F679A2">
      <w:pPr>
        <w:pStyle w:val="Naslov3"/>
      </w:pPr>
      <w:bookmarkStart w:id="3221" w:name="_Toc90462287"/>
      <w:r w:rsidRPr="001261F1">
        <w:t>Stanje v sektorju in osnovni ekonomski kazalniki</w:t>
      </w:r>
      <w:bookmarkEnd w:id="3221"/>
    </w:p>
    <w:p w14:paraId="7908A382"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žita je k skupni vrednosti kmetijske proizvodnje v letu 2019 prispevalo 6,1 %, kar je manj kot v letu prej in manj kot v povprečju zadnjih petih let (6,8 %). V vrednosti rastlinske pridelave je imelo 11,0 % delež, kar je manj kot v letu 2018 in tudi manj kot v zadnjih petih letih (12,4 %). Delež oljnic se je po letu 2007 gibal med 0,8 % in 1,5 % ter je v letu 2019 ostal na ravni leta prej ( 0,8 % skupne kmetijske vrednosti). Prispevek oljnic k vrednosti rastlinske pridelave se je povečal z 1,3 % na 1,4 %. Večji delež k vrednosti rastlinske pridelave je imel krompir, 3,4 % (leta 2018: 2,4 %). Pridelava krompirja je v letu 2019 k vrednosti kmetijstva prispevala 1,9 %, kar je 0,5 odstotne točke več kot v letu prej. </w:t>
      </w:r>
    </w:p>
    <w:p w14:paraId="5B75AF95" w14:textId="77777777" w:rsidR="00F679A2" w:rsidRPr="005B2A49" w:rsidRDefault="00F679A2" w:rsidP="005B2A49">
      <w:pPr>
        <w:spacing w:after="120" w:line="260" w:lineRule="atLeast"/>
        <w:rPr>
          <w:rFonts w:eastAsia="Calibri"/>
          <w:szCs w:val="20"/>
        </w:rPr>
      </w:pPr>
      <w:r w:rsidRPr="005B2A49">
        <w:rPr>
          <w:rFonts w:eastAsia="Calibri"/>
          <w:szCs w:val="20"/>
        </w:rPr>
        <w:t xml:space="preserve">Strukturne spremembe pri pridelavi žita se kažejo v znatno manjšem številu kmetijskih gospodarstev, ki se ukvarjajo s pridelavo žita in v večji povprečni površini žita na kmetijsko gospodarstvo. V Sloveniji se je v letu 2016 s pridelavo žita ukvarjalo dobrih 33 tisoč kmetijskih gospodarstev oziroma 7 % manj kot v letu 2013. </w:t>
      </w:r>
    </w:p>
    <w:p w14:paraId="4CDDBC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Pridelovalna površina žita je v letu 2019 ostala skoraj na ravni iz leta 2018 in je s slabimi 99 tisoč hektarji malce pod ravnijo povprečja zadnjih petih let (2014–2018). V teh letih je bilo z žitom v povprečju zasejanih okoli 57 % njiv. </w:t>
      </w:r>
    </w:p>
    <w:p w14:paraId="719A0344" w14:textId="77777777" w:rsidR="00F679A2" w:rsidRPr="005B2A49" w:rsidRDefault="00F679A2" w:rsidP="005B2A49">
      <w:pPr>
        <w:spacing w:after="120" w:line="260" w:lineRule="atLeast"/>
        <w:rPr>
          <w:rFonts w:eastAsia="Calibri"/>
          <w:szCs w:val="20"/>
        </w:rPr>
      </w:pPr>
      <w:r w:rsidRPr="005B2A49">
        <w:rPr>
          <w:rFonts w:eastAsia="Calibri"/>
          <w:szCs w:val="20"/>
        </w:rPr>
        <w:t>Skupni pridelek žita se je leta 2019 povečal za 8 % in je bil za 5 % nad povprečjem pridelka v zadnjem petletnem obdobju. K dobremu pridelku žita so prispevali tako večji hektarski pridelki strnega žita, ki so bili v letu 2019 pomembno večji od skromnih v letu 2018, kot tudi letina koruze za zrnje 2019, ki je bila nekoliko slabša kot v letu prej (–2 %), vendar še vedno nadpovprečna (+5 %).</w:t>
      </w:r>
    </w:p>
    <w:p w14:paraId="3C7C29EF" w14:textId="0CA3669D" w:rsidR="00F679A2" w:rsidRDefault="00F679A2" w:rsidP="00F679A2">
      <w:pPr>
        <w:pStyle w:val="SCSlika0"/>
      </w:pPr>
      <w:bookmarkStart w:id="3222" w:name="_Toc89851127"/>
      <w:r>
        <w:t xml:space="preserve">Slika </w:t>
      </w:r>
      <w:r>
        <w:rPr>
          <w:noProof/>
        </w:rPr>
        <w:fldChar w:fldCharType="begin"/>
      </w:r>
      <w:r>
        <w:rPr>
          <w:noProof/>
        </w:rPr>
        <w:instrText xml:space="preserve"> SEQ Slika \* ARABIC </w:instrText>
      </w:r>
      <w:r>
        <w:rPr>
          <w:noProof/>
        </w:rPr>
        <w:fldChar w:fldCharType="separate"/>
      </w:r>
      <w:r w:rsidR="00F25435">
        <w:rPr>
          <w:noProof/>
        </w:rPr>
        <w:t>85</w:t>
      </w:r>
      <w:r>
        <w:rPr>
          <w:noProof/>
        </w:rPr>
        <w:fldChar w:fldCharType="end"/>
      </w:r>
      <w:r>
        <w:t xml:space="preserve">: </w:t>
      </w:r>
      <w:r w:rsidRPr="0040635C">
        <w:t>Površine in hektarski pridelki žita (2007–2019)</w:t>
      </w:r>
      <w:bookmarkEnd w:id="3222"/>
    </w:p>
    <w:p w14:paraId="026194C3" w14:textId="77777777" w:rsidR="00F679A2" w:rsidRPr="00D628DB" w:rsidRDefault="00F679A2" w:rsidP="00F679A2">
      <w:pPr>
        <w:keepNext/>
        <w:keepLines/>
        <w:spacing w:line="360" w:lineRule="auto"/>
        <w:rPr>
          <w:szCs w:val="20"/>
        </w:rPr>
      </w:pPr>
      <w:r w:rsidRPr="0063516C">
        <w:rPr>
          <w:noProof/>
          <w:szCs w:val="20"/>
          <w:lang w:eastAsia="sl-SI"/>
        </w:rPr>
        <w:drawing>
          <wp:inline distT="0" distB="0" distL="0" distR="0" wp14:anchorId="61FAAE59" wp14:editId="68FF7C1F">
            <wp:extent cx="5708376" cy="1761734"/>
            <wp:effectExtent l="0" t="0" r="6985" b="0"/>
            <wp:docPr id="1631865357" name="Slika 163186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7807" cy="1767731"/>
                    </a:xfrm>
                    <a:prstGeom prst="rect">
                      <a:avLst/>
                    </a:prstGeom>
                    <a:noFill/>
                    <a:ln>
                      <a:noFill/>
                    </a:ln>
                  </pic:spPr>
                </pic:pic>
              </a:graphicData>
            </a:graphic>
          </wp:inline>
        </w:drawing>
      </w:r>
    </w:p>
    <w:p w14:paraId="7494B5A2" w14:textId="77777777" w:rsidR="00F679A2" w:rsidRPr="005718B1" w:rsidRDefault="00F679A2" w:rsidP="00F679A2">
      <w:pPr>
        <w:keepNext/>
        <w:keepLines/>
        <w:spacing w:line="360" w:lineRule="auto"/>
        <w:rPr>
          <w:sz w:val="16"/>
          <w:szCs w:val="16"/>
        </w:rPr>
      </w:pPr>
      <w:r w:rsidRPr="005718B1">
        <w:rPr>
          <w:sz w:val="16"/>
          <w:szCs w:val="16"/>
        </w:rPr>
        <w:t>Vir:</w:t>
      </w:r>
      <w:r>
        <w:rPr>
          <w:sz w:val="16"/>
          <w:szCs w:val="16"/>
        </w:rPr>
        <w:t>SURS (ZP-2019)</w:t>
      </w:r>
    </w:p>
    <w:p w14:paraId="0808FBEC" w14:textId="77777777" w:rsidR="00F679A2" w:rsidRPr="005B2A49" w:rsidRDefault="00F679A2" w:rsidP="005B2A49">
      <w:pPr>
        <w:spacing w:after="120" w:line="260" w:lineRule="atLeast"/>
        <w:rPr>
          <w:rFonts w:eastAsia="Calibri"/>
          <w:szCs w:val="20"/>
        </w:rPr>
      </w:pPr>
      <w:r w:rsidRPr="005B2A49">
        <w:rPr>
          <w:rFonts w:eastAsia="Calibri"/>
          <w:szCs w:val="20"/>
        </w:rPr>
        <w:t>Pridelovalna površina oljnic se zadnja tri leta zmanjšuje, pri tem so bile smeri sprememb posameznih oljnic v letu 2019 dvosmerne. Najbolj se je zmanjšala pridelovalna površina soje (–18 %) in oljnih buč (–10 %), nekoliko manj je bilo tudi površin oljne ogrščice (–4 %), pomembno več je bilo le sončnic (+16 %) in drugih oljnic (+16 %).</w:t>
      </w:r>
    </w:p>
    <w:p w14:paraId="5BB53EB6" w14:textId="77777777" w:rsidR="00F679A2" w:rsidRPr="005B2A49" w:rsidRDefault="00F679A2" w:rsidP="005B2A49">
      <w:pPr>
        <w:spacing w:after="120" w:line="260" w:lineRule="atLeast"/>
        <w:rPr>
          <w:rFonts w:eastAsia="Calibri"/>
          <w:szCs w:val="20"/>
        </w:rPr>
      </w:pPr>
      <w:r w:rsidRPr="005B2A49">
        <w:rPr>
          <w:rFonts w:eastAsia="Calibri"/>
          <w:szCs w:val="20"/>
        </w:rPr>
        <w:t>V obdobju 2015–2019 je bilo med oljnicami na njivah v povprečju 43 % oljnih buč, 30 % oljne ogrščice in 20 % soje. Hektarski pridelek oljne ogrščice je bil v letu 2019 2,9 t/ha, kar je za 29 % več kot v letu prej in za 9 % nad povprečjem zadnjih pet let. Hektarski pridelek oljnih buč je bil v primerjavi z letom 2018 manjši za 20 % in za 10 % pod povprečjem 2014–2018.</w:t>
      </w:r>
    </w:p>
    <w:p w14:paraId="5333ABE0" w14:textId="77777777" w:rsidR="00F679A2" w:rsidRPr="005B2A49" w:rsidRDefault="00F679A2" w:rsidP="005B2A49">
      <w:pPr>
        <w:spacing w:after="120" w:line="260" w:lineRule="atLeast"/>
        <w:rPr>
          <w:rFonts w:eastAsia="Calibri"/>
          <w:szCs w:val="20"/>
        </w:rPr>
      </w:pPr>
      <w:r w:rsidRPr="005B2A49">
        <w:rPr>
          <w:rFonts w:eastAsia="Calibri"/>
          <w:szCs w:val="20"/>
        </w:rPr>
        <w:t>Od leta 2000 je opazen trend zmanjševanja deleža krompirja v setveni sestavi njiv. V letih 2018 in 2019 je bil krompir prisoten le na 1,6 % njiv, kar pomeni približno 2,8 tisoč hektarjev. V letu 2019 je bila letina krompirja s 23,6 t/ha za 9 % manjši kot v letu prej in za desetino pod povprečjem obdobja 2014–2018. Skupna pridelana količina krompirja je bila predvsem zaradi slabe letine za 10 % manjša kot v letu prej (leta 2019: 66 tisoč ton, leta 2018: 73 tisoč ton) in za 22 % pod povprečjem zadnjih petih let.</w:t>
      </w:r>
    </w:p>
    <w:p w14:paraId="00558F77" w14:textId="77777777" w:rsidR="00F679A2" w:rsidRPr="005B2A49" w:rsidRDefault="00F679A2" w:rsidP="005B2A49">
      <w:pPr>
        <w:spacing w:after="120" w:line="260" w:lineRule="atLeast"/>
        <w:rPr>
          <w:rFonts w:eastAsia="Calibri"/>
          <w:szCs w:val="20"/>
        </w:rPr>
      </w:pPr>
      <w:r w:rsidRPr="005B2A49">
        <w:rPr>
          <w:rFonts w:eastAsia="Calibri"/>
          <w:szCs w:val="20"/>
        </w:rPr>
        <w:t xml:space="preserve">Krmne rastline so bile v letu 2019 pospravljene s približno 64 tisoč hektarjev njiv, kar je za 2 % manj kot leto prej in malce več kot v povprečju zadnjih petih let (+1 %). Med krmnimi rastlinami na njivah s približno 99 % prevladuje zelena krma. Med zeleno krmo prevladujejo koruza za siliranje ter trave, travne, travno-deteljne in deteljno-travne mešanice (v nadaljevanju: trave in mešanice), manjši delež pa imajo čisti posevki detelj in lucerne. </w:t>
      </w:r>
    </w:p>
    <w:p w14:paraId="6D6D6899" w14:textId="77777777" w:rsidR="00F679A2" w:rsidRPr="005B2A49" w:rsidRDefault="00F679A2" w:rsidP="005B2A49">
      <w:pPr>
        <w:spacing w:after="120" w:line="260" w:lineRule="atLeast"/>
        <w:rPr>
          <w:rFonts w:eastAsia="Calibri"/>
          <w:szCs w:val="20"/>
        </w:rPr>
      </w:pPr>
      <w:r w:rsidRPr="005B2A49">
        <w:rPr>
          <w:rFonts w:eastAsia="Calibri"/>
          <w:szCs w:val="20"/>
        </w:rPr>
        <w:t>Pridelava žita je v Sloveniji manjša od domače porabe, ki je bila po letu 2007 med 0,8 do enega mio ton na leto. V zadnjih petih letih se je v povprečju 60 % žita porabilo za krmo, od tega je bilo največ koruze (63 %). Za prehrano se je v enakem obdobju v povprečju porabilo 29 % žita, v strukturi porabe za prehrano s 85 % prevladuje pšenica. Po analizah je bila v letu 2019 domača poraba žita 866 tisoč ton, kar je blizu ravni leta 2018 in povprečja zadnjih petih let. Poraba pšenice in koruze se je zmanjšala za približno 2 %, medtem ko se je ječmena porabilo za desetino več. Poraba žita za krmo je bila večja za slaba 2 % odstotka, poraba za prehrano pa se je za 3 % zmanjšala. Na večjo porabo žita za krmo je najbolj vplivala večja poraba ječmena, ki je zelo verjetno posledica večje razpoložljivosti ječmena na domačem trgu.</w:t>
      </w:r>
    </w:p>
    <w:p w14:paraId="1952A168" w14:textId="77777777" w:rsidR="00F679A2" w:rsidRPr="005B2A49" w:rsidRDefault="00F679A2" w:rsidP="005B2A49">
      <w:pPr>
        <w:spacing w:after="120" w:line="260" w:lineRule="atLeast"/>
        <w:rPr>
          <w:rFonts w:eastAsia="Calibri"/>
          <w:szCs w:val="20"/>
        </w:rPr>
      </w:pPr>
      <w:r w:rsidRPr="005B2A49">
        <w:rPr>
          <w:rFonts w:eastAsia="Calibri"/>
          <w:szCs w:val="20"/>
        </w:rPr>
        <w:t xml:space="preserve">Stopnja samooskrbe z žitom je bila leta 2019 74-odstotna, kar je za 5 odstotnih točk več kot leto prej in nekoliko nad povprečjem zadnjega petletnega obdobja (za 4 odstotne točke). Poraba pšenice za prehrano na prebivalca je bila leta 2019 s 73 kg za 5 % manjša kot v letu prej in za 4 % pod povprečjem zadnjega petletnega obdobja. </w:t>
      </w:r>
    </w:p>
    <w:p w14:paraId="1206E355"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 krompirju je bila v letu 2019 stopnja samooskrbe najnižja od začetka 1990-ih in se je v primerjavi s prejšnjim letom znižala iz 48 % na 45 % ter je bila 11 odstotnih točk pod ravnijo povprečja zadnjih petih let. Stopnja samooskrbe s krompirjem med leti precej niha in se je v letih od 2007 do 2018 gibala med 46 % in 70 %. Na nižjo stopnjo samooskrbe s krompirjem (svežega in predelanega) je vplivala tako manjša pridelava, kot tudi povečanje negativne zunanjetrgovinske bilance s krompirjem. Poraba krompirja za prehrano med leti nekoliko niha in ima zaradi padanja porabe svežega krompirja trend zmanjševanja. V primerjavi z začetkom tega stoletja (2001–2005) se je za prehrano v letih 2015–2019 porabila v povprečju desetina manj krompirja, pri čemer je bila poraba svežega krompirja za četrtino manjša, poraba predelanega krompirja pa se je povečala za skoraj tri četrtine. Prebivalec Slovenije je v letu 2019 v povprečju porabil 64 kg krompirja (–4 %), od tega 41 kg svežega (–4 %). </w:t>
      </w:r>
    </w:p>
    <w:p w14:paraId="2D4BF179" w14:textId="77777777" w:rsidR="00F679A2" w:rsidRPr="005B2A49" w:rsidRDefault="00F679A2" w:rsidP="005B2A49">
      <w:pPr>
        <w:spacing w:after="120" w:line="260" w:lineRule="atLeast"/>
        <w:rPr>
          <w:rFonts w:eastAsia="Calibri"/>
          <w:szCs w:val="20"/>
        </w:rPr>
      </w:pPr>
      <w:r w:rsidRPr="005B2A49">
        <w:rPr>
          <w:rFonts w:eastAsia="Calibri"/>
          <w:szCs w:val="20"/>
        </w:rPr>
        <w:t xml:space="preserve">Žita: Slovenija je v zadnjih petih letih v obliki zrnja, moke in predelanih proizvodov na leto uvozila v povprečju 528 tisoč ton žita, od tega od 70 % do 75 % v obliki zrnja. V letu 2019 je bilo uvoženih 546 tisoč ton žita.. Izvoz žita, ki se zadnja leta povečuje, se je povečal tudi v letu 2019 (+12 %), povprečje zadnjih petih let pa je presegel kar za 40 %. </w:t>
      </w:r>
    </w:p>
    <w:p w14:paraId="557B6E45" w14:textId="512839F1" w:rsidR="00F679A2" w:rsidRDefault="00F679A2" w:rsidP="00F679A2">
      <w:pPr>
        <w:pStyle w:val="SCPreglednica"/>
      </w:pPr>
      <w:bookmarkStart w:id="3223" w:name="_Toc89861024"/>
      <w:r>
        <w:t xml:space="preserve">Tabela </w:t>
      </w:r>
      <w:r>
        <w:rPr>
          <w:noProof/>
        </w:rPr>
        <w:fldChar w:fldCharType="begin"/>
      </w:r>
      <w:r>
        <w:rPr>
          <w:noProof/>
        </w:rPr>
        <w:instrText xml:space="preserve"> SEQ Tabela \* ARABIC </w:instrText>
      </w:r>
      <w:r>
        <w:rPr>
          <w:noProof/>
        </w:rPr>
        <w:fldChar w:fldCharType="separate"/>
      </w:r>
      <w:r w:rsidR="002E0D2A">
        <w:rPr>
          <w:noProof/>
        </w:rPr>
        <w:t>32</w:t>
      </w:r>
      <w:r>
        <w:rPr>
          <w:noProof/>
        </w:rPr>
        <w:fldChar w:fldCharType="end"/>
      </w:r>
      <w:r>
        <w:t xml:space="preserve">: </w:t>
      </w:r>
      <w:r w:rsidRPr="0040635C">
        <w:t>Izvoz in uvoz žita v obliki zrnja (2015–2019)</w:t>
      </w:r>
      <w:bookmarkEnd w:id="3223"/>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9"/>
        <w:gridCol w:w="730"/>
        <w:gridCol w:w="730"/>
        <w:gridCol w:w="730"/>
        <w:gridCol w:w="731"/>
        <w:gridCol w:w="731"/>
        <w:gridCol w:w="731"/>
        <w:gridCol w:w="731"/>
        <w:gridCol w:w="731"/>
        <w:gridCol w:w="731"/>
        <w:gridCol w:w="727"/>
      </w:tblGrid>
      <w:tr w:rsidR="00F679A2" w:rsidRPr="00AA618D" w14:paraId="1352207E" w14:textId="77777777" w:rsidTr="00B97309">
        <w:trPr>
          <w:trHeight w:val="225"/>
        </w:trPr>
        <w:tc>
          <w:tcPr>
            <w:tcW w:w="962" w:type="pct"/>
            <w:tcBorders>
              <w:top w:val="single" w:sz="12" w:space="0" w:color="008000"/>
              <w:bottom w:val="nil"/>
            </w:tcBorders>
            <w:shd w:val="clear" w:color="auto" w:fill="D9D9D9"/>
            <w:noWrap/>
            <w:vAlign w:val="bottom"/>
          </w:tcPr>
          <w:p w14:paraId="7B42398F" w14:textId="77777777" w:rsidR="00F679A2" w:rsidRPr="00DB3AEC" w:rsidRDefault="00F679A2" w:rsidP="00B97309">
            <w:pPr>
              <w:rPr>
                <w:sz w:val="16"/>
                <w:szCs w:val="16"/>
              </w:rPr>
            </w:pPr>
          </w:p>
        </w:tc>
        <w:tc>
          <w:tcPr>
            <w:tcW w:w="2019" w:type="pct"/>
            <w:gridSpan w:val="5"/>
            <w:tcBorders>
              <w:top w:val="single" w:sz="12" w:space="0" w:color="008000"/>
              <w:bottom w:val="single" w:sz="6" w:space="0" w:color="008000"/>
            </w:tcBorders>
            <w:shd w:val="clear" w:color="auto" w:fill="D9D9D9"/>
            <w:noWrap/>
            <w:vAlign w:val="bottom"/>
          </w:tcPr>
          <w:p w14:paraId="36A723C0" w14:textId="77777777" w:rsidR="00F679A2" w:rsidRPr="00DB3AEC" w:rsidRDefault="00F679A2" w:rsidP="00B97309">
            <w:pPr>
              <w:rPr>
                <w:bCs/>
                <w:sz w:val="16"/>
                <w:szCs w:val="16"/>
              </w:rPr>
            </w:pPr>
            <w:r w:rsidRPr="00DB3AEC">
              <w:rPr>
                <w:bCs/>
                <w:sz w:val="16"/>
                <w:szCs w:val="16"/>
              </w:rPr>
              <w:t>Izvoz (t)</w:t>
            </w:r>
          </w:p>
        </w:tc>
        <w:tc>
          <w:tcPr>
            <w:tcW w:w="2019" w:type="pct"/>
            <w:gridSpan w:val="5"/>
            <w:tcBorders>
              <w:top w:val="single" w:sz="12" w:space="0" w:color="008000"/>
              <w:bottom w:val="single" w:sz="6" w:space="0" w:color="008000"/>
            </w:tcBorders>
            <w:shd w:val="clear" w:color="auto" w:fill="D9D9D9"/>
            <w:noWrap/>
            <w:vAlign w:val="bottom"/>
          </w:tcPr>
          <w:p w14:paraId="45135FE1" w14:textId="77777777" w:rsidR="00F679A2" w:rsidRPr="00DB3AEC" w:rsidRDefault="00F679A2" w:rsidP="00B97309">
            <w:pPr>
              <w:rPr>
                <w:bCs/>
                <w:sz w:val="16"/>
                <w:szCs w:val="16"/>
              </w:rPr>
            </w:pPr>
            <w:r w:rsidRPr="00DB3AEC">
              <w:rPr>
                <w:bCs/>
                <w:sz w:val="16"/>
                <w:szCs w:val="16"/>
              </w:rPr>
              <w:t>Uvoz (t)</w:t>
            </w:r>
          </w:p>
        </w:tc>
      </w:tr>
      <w:tr w:rsidR="00F679A2" w:rsidRPr="00AA618D" w14:paraId="5FCB681B" w14:textId="77777777" w:rsidTr="00B97309">
        <w:trPr>
          <w:trHeight w:val="225"/>
        </w:trPr>
        <w:tc>
          <w:tcPr>
            <w:tcW w:w="962" w:type="pct"/>
            <w:tcBorders>
              <w:top w:val="nil"/>
              <w:bottom w:val="single" w:sz="6" w:space="0" w:color="008000"/>
            </w:tcBorders>
            <w:shd w:val="clear" w:color="auto" w:fill="D9D9D9"/>
            <w:noWrap/>
            <w:vAlign w:val="bottom"/>
          </w:tcPr>
          <w:p w14:paraId="50B54EE0" w14:textId="77777777" w:rsidR="00F679A2" w:rsidRPr="00DB3AEC" w:rsidRDefault="00F679A2" w:rsidP="00B97309">
            <w:pPr>
              <w:rPr>
                <w:sz w:val="16"/>
                <w:szCs w:val="16"/>
              </w:rPr>
            </w:pPr>
          </w:p>
        </w:tc>
        <w:tc>
          <w:tcPr>
            <w:tcW w:w="404" w:type="pct"/>
            <w:tcBorders>
              <w:top w:val="single" w:sz="6" w:space="0" w:color="008000"/>
              <w:bottom w:val="single" w:sz="6" w:space="0" w:color="008000"/>
            </w:tcBorders>
            <w:shd w:val="clear" w:color="auto" w:fill="D9D9D9"/>
            <w:noWrap/>
            <w:vAlign w:val="bottom"/>
          </w:tcPr>
          <w:p w14:paraId="569FBDB1" w14:textId="77777777" w:rsidR="00F679A2" w:rsidRPr="00DB3AEC" w:rsidRDefault="00F679A2" w:rsidP="00B97309">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493D12BB" w14:textId="77777777" w:rsidR="00F679A2" w:rsidRPr="00DB3AEC" w:rsidRDefault="00F679A2" w:rsidP="00B97309">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47046B32" w14:textId="77777777" w:rsidR="00F679A2" w:rsidRPr="00DB3AEC" w:rsidRDefault="00F679A2" w:rsidP="00B97309">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0F914026" w14:textId="77777777" w:rsidR="00F679A2" w:rsidRPr="00DB3AEC" w:rsidRDefault="00F679A2" w:rsidP="00B97309">
            <w:pPr>
              <w:rPr>
                <w:bCs/>
                <w:sz w:val="16"/>
                <w:szCs w:val="16"/>
              </w:rPr>
            </w:pPr>
            <w:r w:rsidRPr="00DB3AEC">
              <w:rPr>
                <w:bCs/>
                <w:sz w:val="16"/>
                <w:szCs w:val="16"/>
              </w:rPr>
              <w:t>2018</w:t>
            </w:r>
          </w:p>
        </w:tc>
        <w:tc>
          <w:tcPr>
            <w:tcW w:w="404" w:type="pct"/>
            <w:tcBorders>
              <w:top w:val="single" w:sz="6" w:space="0" w:color="008000"/>
              <w:bottom w:val="single" w:sz="6" w:space="0" w:color="008000"/>
            </w:tcBorders>
            <w:shd w:val="clear" w:color="auto" w:fill="D9D9D9"/>
            <w:noWrap/>
            <w:vAlign w:val="bottom"/>
          </w:tcPr>
          <w:p w14:paraId="5256A342" w14:textId="77777777" w:rsidR="00F679A2" w:rsidRPr="00DB3AEC" w:rsidRDefault="00F679A2" w:rsidP="00B97309">
            <w:pPr>
              <w:rPr>
                <w:bCs/>
                <w:sz w:val="16"/>
                <w:szCs w:val="16"/>
              </w:rPr>
            </w:pPr>
            <w:r w:rsidRPr="00DB3AEC">
              <w:rPr>
                <w:bCs/>
                <w:sz w:val="16"/>
                <w:szCs w:val="16"/>
              </w:rPr>
              <w:t>2019*</w:t>
            </w:r>
          </w:p>
        </w:tc>
        <w:tc>
          <w:tcPr>
            <w:tcW w:w="404" w:type="pct"/>
            <w:tcBorders>
              <w:top w:val="single" w:sz="6" w:space="0" w:color="008000"/>
              <w:bottom w:val="single" w:sz="6" w:space="0" w:color="008000"/>
            </w:tcBorders>
            <w:shd w:val="clear" w:color="auto" w:fill="D9D9D9"/>
            <w:noWrap/>
            <w:vAlign w:val="bottom"/>
          </w:tcPr>
          <w:p w14:paraId="60C1F051" w14:textId="77777777" w:rsidR="00F679A2" w:rsidRPr="00DB3AEC" w:rsidRDefault="00F679A2" w:rsidP="00B97309">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0B2D4F5C" w14:textId="77777777" w:rsidR="00F679A2" w:rsidRPr="00DB3AEC" w:rsidRDefault="00F679A2" w:rsidP="00B97309">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644A4088" w14:textId="77777777" w:rsidR="00F679A2" w:rsidRPr="00DB3AEC" w:rsidRDefault="00F679A2" w:rsidP="00B97309">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0F9A7F85" w14:textId="77777777" w:rsidR="00F679A2" w:rsidRPr="00DB3AEC" w:rsidRDefault="00F679A2" w:rsidP="00B97309">
            <w:pPr>
              <w:rPr>
                <w:bCs/>
                <w:sz w:val="16"/>
                <w:szCs w:val="16"/>
              </w:rPr>
            </w:pPr>
            <w:r w:rsidRPr="00DB3AEC">
              <w:rPr>
                <w:bCs/>
                <w:sz w:val="16"/>
                <w:szCs w:val="16"/>
              </w:rPr>
              <w:t>2018</w:t>
            </w:r>
          </w:p>
        </w:tc>
        <w:tc>
          <w:tcPr>
            <w:tcW w:w="402" w:type="pct"/>
            <w:tcBorders>
              <w:top w:val="single" w:sz="6" w:space="0" w:color="008000"/>
              <w:bottom w:val="single" w:sz="6" w:space="0" w:color="008000"/>
            </w:tcBorders>
            <w:shd w:val="clear" w:color="auto" w:fill="D9D9D9"/>
            <w:noWrap/>
            <w:vAlign w:val="bottom"/>
          </w:tcPr>
          <w:p w14:paraId="351ACA30" w14:textId="77777777" w:rsidR="00F679A2" w:rsidRPr="00DB3AEC" w:rsidRDefault="00F679A2" w:rsidP="00B97309">
            <w:pPr>
              <w:rPr>
                <w:bCs/>
                <w:sz w:val="16"/>
                <w:szCs w:val="16"/>
              </w:rPr>
            </w:pPr>
            <w:r w:rsidRPr="00DB3AEC">
              <w:rPr>
                <w:bCs/>
                <w:sz w:val="16"/>
                <w:szCs w:val="16"/>
              </w:rPr>
              <w:t>2019*</w:t>
            </w:r>
          </w:p>
        </w:tc>
      </w:tr>
      <w:tr w:rsidR="00F679A2" w:rsidRPr="00AA618D" w14:paraId="7E828F62" w14:textId="77777777" w:rsidTr="00B97309">
        <w:trPr>
          <w:trHeight w:val="225"/>
        </w:trPr>
        <w:tc>
          <w:tcPr>
            <w:tcW w:w="962" w:type="pct"/>
            <w:tcBorders>
              <w:top w:val="single" w:sz="6" w:space="0" w:color="008000"/>
            </w:tcBorders>
            <w:shd w:val="clear" w:color="auto" w:fill="auto"/>
            <w:noWrap/>
            <w:vAlign w:val="bottom"/>
          </w:tcPr>
          <w:p w14:paraId="1965B764" w14:textId="77777777" w:rsidR="00F679A2" w:rsidRPr="00DB3AEC" w:rsidRDefault="00F679A2" w:rsidP="00B97309">
            <w:pPr>
              <w:rPr>
                <w:b/>
                <w:sz w:val="16"/>
                <w:szCs w:val="16"/>
              </w:rPr>
            </w:pPr>
            <w:r w:rsidRPr="00DB3AEC">
              <w:rPr>
                <w:b/>
                <w:sz w:val="16"/>
                <w:szCs w:val="16"/>
              </w:rPr>
              <w:t>Žito skupaj z rižem, od tega:</w:t>
            </w:r>
          </w:p>
        </w:tc>
        <w:tc>
          <w:tcPr>
            <w:tcW w:w="404" w:type="pct"/>
            <w:tcBorders>
              <w:top w:val="single" w:sz="6" w:space="0" w:color="008000"/>
            </w:tcBorders>
            <w:shd w:val="clear" w:color="auto" w:fill="auto"/>
            <w:vAlign w:val="bottom"/>
          </w:tcPr>
          <w:p w14:paraId="6E393A29" w14:textId="77777777" w:rsidR="00F679A2" w:rsidRPr="00DB3AEC" w:rsidRDefault="00F679A2" w:rsidP="00B97309">
            <w:pPr>
              <w:rPr>
                <w:b/>
                <w:sz w:val="16"/>
                <w:szCs w:val="16"/>
              </w:rPr>
            </w:pPr>
            <w:r w:rsidRPr="00DB3AEC">
              <w:rPr>
                <w:b/>
                <w:sz w:val="16"/>
                <w:szCs w:val="16"/>
              </w:rPr>
              <w:t>199.177</w:t>
            </w:r>
          </w:p>
        </w:tc>
        <w:tc>
          <w:tcPr>
            <w:tcW w:w="404" w:type="pct"/>
            <w:tcBorders>
              <w:top w:val="single" w:sz="6" w:space="0" w:color="008000"/>
            </w:tcBorders>
            <w:shd w:val="clear" w:color="auto" w:fill="auto"/>
            <w:vAlign w:val="bottom"/>
          </w:tcPr>
          <w:p w14:paraId="247937FF" w14:textId="77777777" w:rsidR="00F679A2" w:rsidRPr="00DB3AEC" w:rsidRDefault="00F679A2" w:rsidP="00B97309">
            <w:pPr>
              <w:rPr>
                <w:b/>
                <w:sz w:val="16"/>
                <w:szCs w:val="16"/>
              </w:rPr>
            </w:pPr>
            <w:r w:rsidRPr="00DB3AEC">
              <w:rPr>
                <w:b/>
                <w:sz w:val="16"/>
                <w:szCs w:val="16"/>
              </w:rPr>
              <w:t>189.099</w:t>
            </w:r>
          </w:p>
        </w:tc>
        <w:tc>
          <w:tcPr>
            <w:tcW w:w="404" w:type="pct"/>
            <w:tcBorders>
              <w:top w:val="single" w:sz="6" w:space="0" w:color="008000"/>
            </w:tcBorders>
            <w:shd w:val="clear" w:color="auto" w:fill="auto"/>
            <w:vAlign w:val="bottom"/>
          </w:tcPr>
          <w:p w14:paraId="59660A47" w14:textId="77777777" w:rsidR="00F679A2" w:rsidRPr="00DB3AEC" w:rsidRDefault="00F679A2" w:rsidP="00B97309">
            <w:pPr>
              <w:rPr>
                <w:b/>
                <w:sz w:val="16"/>
                <w:szCs w:val="16"/>
              </w:rPr>
            </w:pPr>
            <w:r w:rsidRPr="00DB3AEC">
              <w:rPr>
                <w:b/>
                <w:sz w:val="16"/>
                <w:szCs w:val="16"/>
              </w:rPr>
              <w:t>252.812</w:t>
            </w:r>
          </w:p>
        </w:tc>
        <w:tc>
          <w:tcPr>
            <w:tcW w:w="404" w:type="pct"/>
            <w:tcBorders>
              <w:top w:val="single" w:sz="6" w:space="0" w:color="008000"/>
            </w:tcBorders>
            <w:shd w:val="clear" w:color="auto" w:fill="auto"/>
            <w:vAlign w:val="bottom"/>
          </w:tcPr>
          <w:p w14:paraId="3AA51B10" w14:textId="77777777" w:rsidR="00F679A2" w:rsidRPr="00DB3AEC" w:rsidRDefault="00F679A2" w:rsidP="00B97309">
            <w:pPr>
              <w:rPr>
                <w:b/>
                <w:sz w:val="16"/>
                <w:szCs w:val="16"/>
              </w:rPr>
            </w:pPr>
            <w:r w:rsidRPr="00DB3AEC">
              <w:rPr>
                <w:b/>
                <w:sz w:val="16"/>
                <w:szCs w:val="16"/>
              </w:rPr>
              <w:t>260.312</w:t>
            </w:r>
          </w:p>
        </w:tc>
        <w:tc>
          <w:tcPr>
            <w:tcW w:w="404" w:type="pct"/>
            <w:tcBorders>
              <w:top w:val="single" w:sz="6" w:space="0" w:color="008000"/>
            </w:tcBorders>
            <w:shd w:val="clear" w:color="auto" w:fill="auto"/>
            <w:vAlign w:val="bottom"/>
          </w:tcPr>
          <w:p w14:paraId="6B0C0369" w14:textId="77777777" w:rsidR="00F679A2" w:rsidRPr="00DB3AEC" w:rsidRDefault="00F679A2" w:rsidP="00B97309">
            <w:pPr>
              <w:rPr>
                <w:b/>
                <w:sz w:val="16"/>
                <w:szCs w:val="16"/>
              </w:rPr>
            </w:pPr>
            <w:r w:rsidRPr="00DB3AEC">
              <w:rPr>
                <w:b/>
                <w:sz w:val="16"/>
                <w:szCs w:val="16"/>
              </w:rPr>
              <w:t>298.019</w:t>
            </w:r>
          </w:p>
        </w:tc>
        <w:tc>
          <w:tcPr>
            <w:tcW w:w="404" w:type="pct"/>
            <w:tcBorders>
              <w:top w:val="single" w:sz="6" w:space="0" w:color="008000"/>
            </w:tcBorders>
            <w:shd w:val="clear" w:color="auto" w:fill="auto"/>
            <w:vAlign w:val="bottom"/>
          </w:tcPr>
          <w:p w14:paraId="46EBC1BD" w14:textId="77777777" w:rsidR="00F679A2" w:rsidRPr="00DB3AEC" w:rsidRDefault="00F679A2" w:rsidP="00B97309">
            <w:pPr>
              <w:rPr>
                <w:b/>
                <w:sz w:val="16"/>
                <w:szCs w:val="16"/>
              </w:rPr>
            </w:pPr>
            <w:r w:rsidRPr="00DB3AEC">
              <w:rPr>
                <w:b/>
                <w:sz w:val="16"/>
                <w:szCs w:val="16"/>
              </w:rPr>
              <w:t>343.262</w:t>
            </w:r>
          </w:p>
        </w:tc>
        <w:tc>
          <w:tcPr>
            <w:tcW w:w="404" w:type="pct"/>
            <w:tcBorders>
              <w:top w:val="single" w:sz="6" w:space="0" w:color="008000"/>
            </w:tcBorders>
            <w:shd w:val="clear" w:color="auto" w:fill="auto"/>
            <w:vAlign w:val="bottom"/>
          </w:tcPr>
          <w:p w14:paraId="5D744D65" w14:textId="77777777" w:rsidR="00F679A2" w:rsidRPr="00DB3AEC" w:rsidRDefault="00F679A2" w:rsidP="00B97309">
            <w:pPr>
              <w:rPr>
                <w:b/>
                <w:sz w:val="16"/>
                <w:szCs w:val="16"/>
              </w:rPr>
            </w:pPr>
            <w:r w:rsidRPr="00DB3AEC">
              <w:rPr>
                <w:b/>
                <w:sz w:val="16"/>
                <w:szCs w:val="16"/>
              </w:rPr>
              <w:t>346.602</w:t>
            </w:r>
          </w:p>
        </w:tc>
        <w:tc>
          <w:tcPr>
            <w:tcW w:w="404" w:type="pct"/>
            <w:tcBorders>
              <w:top w:val="single" w:sz="6" w:space="0" w:color="008000"/>
            </w:tcBorders>
            <w:shd w:val="clear" w:color="auto" w:fill="auto"/>
            <w:vAlign w:val="bottom"/>
          </w:tcPr>
          <w:p w14:paraId="51C9FE72" w14:textId="77777777" w:rsidR="00F679A2" w:rsidRPr="00DB3AEC" w:rsidRDefault="00F679A2" w:rsidP="00B97309">
            <w:pPr>
              <w:rPr>
                <w:b/>
                <w:sz w:val="16"/>
                <w:szCs w:val="16"/>
              </w:rPr>
            </w:pPr>
            <w:r w:rsidRPr="00DB3AEC">
              <w:rPr>
                <w:b/>
                <w:sz w:val="16"/>
                <w:szCs w:val="16"/>
              </w:rPr>
              <w:t>411.661</w:t>
            </w:r>
          </w:p>
        </w:tc>
        <w:tc>
          <w:tcPr>
            <w:tcW w:w="404" w:type="pct"/>
            <w:tcBorders>
              <w:top w:val="single" w:sz="6" w:space="0" w:color="008000"/>
            </w:tcBorders>
            <w:shd w:val="clear" w:color="auto" w:fill="auto"/>
            <w:vAlign w:val="bottom"/>
          </w:tcPr>
          <w:p w14:paraId="4D3344B0" w14:textId="77777777" w:rsidR="00F679A2" w:rsidRPr="00DB3AEC" w:rsidRDefault="00F679A2" w:rsidP="00B97309">
            <w:pPr>
              <w:rPr>
                <w:b/>
                <w:sz w:val="16"/>
                <w:szCs w:val="16"/>
              </w:rPr>
            </w:pPr>
            <w:r w:rsidRPr="00DB3AEC">
              <w:rPr>
                <w:b/>
                <w:sz w:val="16"/>
                <w:szCs w:val="16"/>
              </w:rPr>
              <w:t>425.499</w:t>
            </w:r>
          </w:p>
        </w:tc>
        <w:tc>
          <w:tcPr>
            <w:tcW w:w="402" w:type="pct"/>
            <w:tcBorders>
              <w:top w:val="single" w:sz="6" w:space="0" w:color="008000"/>
            </w:tcBorders>
            <w:shd w:val="clear" w:color="auto" w:fill="auto"/>
            <w:vAlign w:val="bottom"/>
          </w:tcPr>
          <w:p w14:paraId="42DEF5A5" w14:textId="77777777" w:rsidR="00F679A2" w:rsidRPr="00DB3AEC" w:rsidRDefault="00F679A2" w:rsidP="00B97309">
            <w:pPr>
              <w:rPr>
                <w:b/>
                <w:sz w:val="16"/>
                <w:szCs w:val="16"/>
              </w:rPr>
            </w:pPr>
            <w:r w:rsidRPr="00DB3AEC">
              <w:rPr>
                <w:b/>
                <w:sz w:val="16"/>
                <w:szCs w:val="16"/>
              </w:rPr>
              <w:t>383.055</w:t>
            </w:r>
          </w:p>
        </w:tc>
      </w:tr>
      <w:tr w:rsidR="00F679A2" w:rsidRPr="00AA618D" w14:paraId="03DBE56B" w14:textId="77777777" w:rsidTr="00B97309">
        <w:trPr>
          <w:trHeight w:val="225"/>
        </w:trPr>
        <w:tc>
          <w:tcPr>
            <w:tcW w:w="962" w:type="pct"/>
            <w:shd w:val="clear" w:color="auto" w:fill="auto"/>
            <w:noWrap/>
            <w:vAlign w:val="bottom"/>
          </w:tcPr>
          <w:p w14:paraId="71C397A3" w14:textId="77777777" w:rsidR="00F679A2" w:rsidRPr="00DB3AEC" w:rsidRDefault="00F679A2" w:rsidP="00B97309">
            <w:pPr>
              <w:rPr>
                <w:sz w:val="16"/>
                <w:szCs w:val="16"/>
              </w:rPr>
            </w:pPr>
            <w:r w:rsidRPr="00DB3AEC">
              <w:rPr>
                <w:sz w:val="16"/>
                <w:szCs w:val="16"/>
              </w:rPr>
              <w:t>– pšenica</w:t>
            </w:r>
          </w:p>
        </w:tc>
        <w:tc>
          <w:tcPr>
            <w:tcW w:w="404" w:type="pct"/>
            <w:shd w:val="clear" w:color="auto" w:fill="auto"/>
            <w:vAlign w:val="bottom"/>
          </w:tcPr>
          <w:p w14:paraId="779D3DED" w14:textId="77777777" w:rsidR="00F679A2" w:rsidRPr="00DB3AEC" w:rsidRDefault="00F679A2" w:rsidP="00B97309">
            <w:pPr>
              <w:rPr>
                <w:sz w:val="16"/>
                <w:szCs w:val="16"/>
              </w:rPr>
            </w:pPr>
            <w:r w:rsidRPr="00DB3AEC">
              <w:rPr>
                <w:sz w:val="16"/>
                <w:szCs w:val="16"/>
              </w:rPr>
              <w:t>61.173</w:t>
            </w:r>
          </w:p>
        </w:tc>
        <w:tc>
          <w:tcPr>
            <w:tcW w:w="404" w:type="pct"/>
            <w:shd w:val="clear" w:color="auto" w:fill="auto"/>
            <w:vAlign w:val="bottom"/>
          </w:tcPr>
          <w:p w14:paraId="665D94B9" w14:textId="77777777" w:rsidR="00F679A2" w:rsidRPr="00DB3AEC" w:rsidRDefault="00F679A2" w:rsidP="00B97309">
            <w:pPr>
              <w:rPr>
                <w:sz w:val="16"/>
                <w:szCs w:val="16"/>
              </w:rPr>
            </w:pPr>
            <w:r w:rsidRPr="00DB3AEC">
              <w:rPr>
                <w:sz w:val="16"/>
                <w:szCs w:val="16"/>
              </w:rPr>
              <w:t>62.152</w:t>
            </w:r>
          </w:p>
        </w:tc>
        <w:tc>
          <w:tcPr>
            <w:tcW w:w="404" w:type="pct"/>
            <w:shd w:val="clear" w:color="auto" w:fill="auto"/>
            <w:vAlign w:val="bottom"/>
          </w:tcPr>
          <w:p w14:paraId="2F1F5F24" w14:textId="77777777" w:rsidR="00F679A2" w:rsidRPr="00DB3AEC" w:rsidRDefault="00F679A2" w:rsidP="00B97309">
            <w:pPr>
              <w:rPr>
                <w:sz w:val="16"/>
                <w:szCs w:val="16"/>
              </w:rPr>
            </w:pPr>
            <w:r w:rsidRPr="00DB3AEC">
              <w:rPr>
                <w:sz w:val="16"/>
                <w:szCs w:val="16"/>
              </w:rPr>
              <w:t>87.196</w:t>
            </w:r>
          </w:p>
        </w:tc>
        <w:tc>
          <w:tcPr>
            <w:tcW w:w="404" w:type="pct"/>
            <w:shd w:val="clear" w:color="auto" w:fill="auto"/>
            <w:vAlign w:val="bottom"/>
          </w:tcPr>
          <w:p w14:paraId="6191AB10" w14:textId="77777777" w:rsidR="00F679A2" w:rsidRPr="00DB3AEC" w:rsidRDefault="00F679A2" w:rsidP="00B97309">
            <w:pPr>
              <w:rPr>
                <w:sz w:val="16"/>
                <w:szCs w:val="16"/>
              </w:rPr>
            </w:pPr>
            <w:r w:rsidRPr="00DB3AEC">
              <w:rPr>
                <w:sz w:val="16"/>
                <w:szCs w:val="16"/>
              </w:rPr>
              <w:t>84.591</w:t>
            </w:r>
          </w:p>
        </w:tc>
        <w:tc>
          <w:tcPr>
            <w:tcW w:w="404" w:type="pct"/>
            <w:shd w:val="clear" w:color="auto" w:fill="auto"/>
            <w:vAlign w:val="bottom"/>
          </w:tcPr>
          <w:p w14:paraId="2C5C6D7D" w14:textId="77777777" w:rsidR="00F679A2" w:rsidRPr="00DB3AEC" w:rsidRDefault="00F679A2" w:rsidP="00B97309">
            <w:pPr>
              <w:rPr>
                <w:sz w:val="16"/>
                <w:szCs w:val="16"/>
              </w:rPr>
            </w:pPr>
            <w:r w:rsidRPr="00DB3AEC">
              <w:rPr>
                <w:sz w:val="16"/>
                <w:szCs w:val="16"/>
              </w:rPr>
              <w:t>59.397</w:t>
            </w:r>
          </w:p>
        </w:tc>
        <w:tc>
          <w:tcPr>
            <w:tcW w:w="404" w:type="pct"/>
            <w:shd w:val="clear" w:color="auto" w:fill="auto"/>
            <w:vAlign w:val="bottom"/>
          </w:tcPr>
          <w:p w14:paraId="70E124BB" w14:textId="77777777" w:rsidR="00F679A2" w:rsidRPr="00DB3AEC" w:rsidRDefault="00F679A2" w:rsidP="00B97309">
            <w:pPr>
              <w:rPr>
                <w:sz w:val="16"/>
                <w:szCs w:val="16"/>
              </w:rPr>
            </w:pPr>
            <w:r w:rsidRPr="00DB3AEC">
              <w:rPr>
                <w:sz w:val="16"/>
                <w:szCs w:val="16"/>
              </w:rPr>
              <w:t>145.836</w:t>
            </w:r>
          </w:p>
        </w:tc>
        <w:tc>
          <w:tcPr>
            <w:tcW w:w="404" w:type="pct"/>
            <w:shd w:val="clear" w:color="auto" w:fill="auto"/>
            <w:vAlign w:val="bottom"/>
          </w:tcPr>
          <w:p w14:paraId="084B0F5A" w14:textId="77777777" w:rsidR="00F679A2" w:rsidRPr="00DB3AEC" w:rsidRDefault="00F679A2" w:rsidP="00B97309">
            <w:pPr>
              <w:rPr>
                <w:sz w:val="16"/>
                <w:szCs w:val="16"/>
              </w:rPr>
            </w:pPr>
            <w:r w:rsidRPr="00DB3AEC">
              <w:rPr>
                <w:sz w:val="16"/>
                <w:szCs w:val="16"/>
              </w:rPr>
              <w:t>166.754</w:t>
            </w:r>
          </w:p>
        </w:tc>
        <w:tc>
          <w:tcPr>
            <w:tcW w:w="404" w:type="pct"/>
            <w:shd w:val="clear" w:color="auto" w:fill="auto"/>
            <w:vAlign w:val="bottom"/>
          </w:tcPr>
          <w:p w14:paraId="42989516" w14:textId="77777777" w:rsidR="00F679A2" w:rsidRPr="00DB3AEC" w:rsidRDefault="00F679A2" w:rsidP="00B97309">
            <w:pPr>
              <w:rPr>
                <w:sz w:val="16"/>
                <w:szCs w:val="16"/>
              </w:rPr>
            </w:pPr>
            <w:r w:rsidRPr="00DB3AEC">
              <w:rPr>
                <w:sz w:val="16"/>
                <w:szCs w:val="16"/>
              </w:rPr>
              <w:t>171.897</w:t>
            </w:r>
          </w:p>
        </w:tc>
        <w:tc>
          <w:tcPr>
            <w:tcW w:w="404" w:type="pct"/>
            <w:shd w:val="clear" w:color="auto" w:fill="auto"/>
            <w:vAlign w:val="bottom"/>
          </w:tcPr>
          <w:p w14:paraId="729C38F7" w14:textId="77777777" w:rsidR="00F679A2" w:rsidRPr="00DB3AEC" w:rsidRDefault="00F679A2" w:rsidP="00B97309">
            <w:pPr>
              <w:rPr>
                <w:sz w:val="16"/>
                <w:szCs w:val="16"/>
              </w:rPr>
            </w:pPr>
            <w:r w:rsidRPr="00DB3AEC">
              <w:rPr>
                <w:sz w:val="16"/>
                <w:szCs w:val="16"/>
              </w:rPr>
              <w:t>173.786</w:t>
            </w:r>
          </w:p>
        </w:tc>
        <w:tc>
          <w:tcPr>
            <w:tcW w:w="402" w:type="pct"/>
            <w:shd w:val="clear" w:color="auto" w:fill="auto"/>
            <w:vAlign w:val="bottom"/>
          </w:tcPr>
          <w:p w14:paraId="6E4262F9" w14:textId="77777777" w:rsidR="00F679A2" w:rsidRPr="00DB3AEC" w:rsidRDefault="00F679A2" w:rsidP="00B97309">
            <w:pPr>
              <w:rPr>
                <w:sz w:val="16"/>
                <w:szCs w:val="16"/>
              </w:rPr>
            </w:pPr>
            <w:r w:rsidRPr="00DB3AEC">
              <w:rPr>
                <w:sz w:val="16"/>
                <w:szCs w:val="16"/>
              </w:rPr>
              <w:t>176.692</w:t>
            </w:r>
          </w:p>
        </w:tc>
      </w:tr>
      <w:tr w:rsidR="00F679A2" w:rsidRPr="00AA618D" w14:paraId="4920043F" w14:textId="77777777" w:rsidTr="00B97309">
        <w:trPr>
          <w:trHeight w:val="225"/>
        </w:trPr>
        <w:tc>
          <w:tcPr>
            <w:tcW w:w="962" w:type="pct"/>
            <w:shd w:val="clear" w:color="auto" w:fill="auto"/>
            <w:noWrap/>
            <w:vAlign w:val="bottom"/>
          </w:tcPr>
          <w:p w14:paraId="25FCF032" w14:textId="77777777" w:rsidR="00F679A2" w:rsidRPr="00DB3AEC" w:rsidRDefault="00F679A2" w:rsidP="00B97309">
            <w:pPr>
              <w:rPr>
                <w:sz w:val="16"/>
                <w:szCs w:val="16"/>
              </w:rPr>
            </w:pPr>
            <w:r w:rsidRPr="00DB3AEC">
              <w:rPr>
                <w:sz w:val="16"/>
                <w:szCs w:val="16"/>
              </w:rPr>
              <w:t>– ječmen</w:t>
            </w:r>
          </w:p>
        </w:tc>
        <w:tc>
          <w:tcPr>
            <w:tcW w:w="404" w:type="pct"/>
            <w:shd w:val="clear" w:color="auto" w:fill="auto"/>
            <w:vAlign w:val="bottom"/>
          </w:tcPr>
          <w:p w14:paraId="73977C16" w14:textId="77777777" w:rsidR="00F679A2" w:rsidRPr="00DB3AEC" w:rsidRDefault="00F679A2" w:rsidP="00B97309">
            <w:pPr>
              <w:rPr>
                <w:sz w:val="16"/>
                <w:szCs w:val="16"/>
              </w:rPr>
            </w:pPr>
            <w:r w:rsidRPr="00DB3AEC">
              <w:rPr>
                <w:sz w:val="16"/>
                <w:szCs w:val="16"/>
              </w:rPr>
              <w:t>10.640</w:t>
            </w:r>
          </w:p>
        </w:tc>
        <w:tc>
          <w:tcPr>
            <w:tcW w:w="404" w:type="pct"/>
            <w:shd w:val="clear" w:color="auto" w:fill="auto"/>
            <w:vAlign w:val="bottom"/>
          </w:tcPr>
          <w:p w14:paraId="1580549A" w14:textId="77777777" w:rsidR="00F679A2" w:rsidRPr="00DB3AEC" w:rsidRDefault="00F679A2" w:rsidP="00B97309">
            <w:pPr>
              <w:rPr>
                <w:sz w:val="16"/>
                <w:szCs w:val="16"/>
              </w:rPr>
            </w:pPr>
            <w:r w:rsidRPr="00DB3AEC">
              <w:rPr>
                <w:sz w:val="16"/>
                <w:szCs w:val="16"/>
              </w:rPr>
              <w:t>5.566</w:t>
            </w:r>
          </w:p>
        </w:tc>
        <w:tc>
          <w:tcPr>
            <w:tcW w:w="404" w:type="pct"/>
            <w:shd w:val="clear" w:color="auto" w:fill="auto"/>
            <w:vAlign w:val="bottom"/>
          </w:tcPr>
          <w:p w14:paraId="773A4E1E" w14:textId="77777777" w:rsidR="00F679A2" w:rsidRPr="00DB3AEC" w:rsidRDefault="00F679A2" w:rsidP="00B97309">
            <w:pPr>
              <w:rPr>
                <w:sz w:val="16"/>
                <w:szCs w:val="16"/>
              </w:rPr>
            </w:pPr>
            <w:r w:rsidRPr="00DB3AEC">
              <w:rPr>
                <w:sz w:val="16"/>
                <w:szCs w:val="16"/>
              </w:rPr>
              <w:t>23.008</w:t>
            </w:r>
          </w:p>
        </w:tc>
        <w:tc>
          <w:tcPr>
            <w:tcW w:w="404" w:type="pct"/>
            <w:shd w:val="clear" w:color="auto" w:fill="auto"/>
            <w:vAlign w:val="bottom"/>
          </w:tcPr>
          <w:p w14:paraId="12D3BB41" w14:textId="77777777" w:rsidR="00F679A2" w:rsidRPr="00DB3AEC" w:rsidRDefault="00F679A2" w:rsidP="00B97309">
            <w:pPr>
              <w:rPr>
                <w:sz w:val="16"/>
                <w:szCs w:val="16"/>
              </w:rPr>
            </w:pPr>
            <w:r w:rsidRPr="00DB3AEC">
              <w:rPr>
                <w:sz w:val="16"/>
                <w:szCs w:val="16"/>
              </w:rPr>
              <w:t>13.222</w:t>
            </w:r>
          </w:p>
        </w:tc>
        <w:tc>
          <w:tcPr>
            <w:tcW w:w="404" w:type="pct"/>
            <w:shd w:val="clear" w:color="auto" w:fill="auto"/>
            <w:vAlign w:val="bottom"/>
          </w:tcPr>
          <w:p w14:paraId="5FC364E2" w14:textId="77777777" w:rsidR="00F679A2" w:rsidRPr="00DB3AEC" w:rsidRDefault="00F679A2" w:rsidP="00B97309">
            <w:pPr>
              <w:rPr>
                <w:sz w:val="16"/>
                <w:szCs w:val="16"/>
              </w:rPr>
            </w:pPr>
            <w:r w:rsidRPr="00DB3AEC">
              <w:rPr>
                <w:sz w:val="16"/>
                <w:szCs w:val="16"/>
              </w:rPr>
              <w:t>6.414</w:t>
            </w:r>
          </w:p>
        </w:tc>
        <w:tc>
          <w:tcPr>
            <w:tcW w:w="404" w:type="pct"/>
            <w:shd w:val="clear" w:color="auto" w:fill="auto"/>
            <w:vAlign w:val="bottom"/>
          </w:tcPr>
          <w:p w14:paraId="66021BC0" w14:textId="77777777" w:rsidR="00F679A2" w:rsidRPr="00DB3AEC" w:rsidRDefault="00F679A2" w:rsidP="00B97309">
            <w:pPr>
              <w:rPr>
                <w:sz w:val="16"/>
                <w:szCs w:val="16"/>
              </w:rPr>
            </w:pPr>
            <w:r w:rsidRPr="00DB3AEC">
              <w:rPr>
                <w:sz w:val="16"/>
                <w:szCs w:val="16"/>
              </w:rPr>
              <w:t>26.429</w:t>
            </w:r>
          </w:p>
        </w:tc>
        <w:tc>
          <w:tcPr>
            <w:tcW w:w="404" w:type="pct"/>
            <w:shd w:val="clear" w:color="auto" w:fill="auto"/>
            <w:vAlign w:val="bottom"/>
          </w:tcPr>
          <w:p w14:paraId="79EF72EF" w14:textId="77777777" w:rsidR="00F679A2" w:rsidRPr="00DB3AEC" w:rsidRDefault="00F679A2" w:rsidP="00B97309">
            <w:pPr>
              <w:rPr>
                <w:sz w:val="16"/>
                <w:szCs w:val="16"/>
              </w:rPr>
            </w:pPr>
            <w:r w:rsidRPr="00DB3AEC">
              <w:rPr>
                <w:sz w:val="16"/>
                <w:szCs w:val="16"/>
              </w:rPr>
              <w:t>22.142</w:t>
            </w:r>
          </w:p>
        </w:tc>
        <w:tc>
          <w:tcPr>
            <w:tcW w:w="404" w:type="pct"/>
            <w:shd w:val="clear" w:color="auto" w:fill="auto"/>
            <w:vAlign w:val="bottom"/>
          </w:tcPr>
          <w:p w14:paraId="72192106" w14:textId="77777777" w:rsidR="00F679A2" w:rsidRPr="00DB3AEC" w:rsidRDefault="00F679A2" w:rsidP="00B97309">
            <w:pPr>
              <w:rPr>
                <w:sz w:val="16"/>
                <w:szCs w:val="16"/>
              </w:rPr>
            </w:pPr>
            <w:r w:rsidRPr="00DB3AEC">
              <w:rPr>
                <w:sz w:val="16"/>
                <w:szCs w:val="16"/>
              </w:rPr>
              <w:t>31.493</w:t>
            </w:r>
          </w:p>
        </w:tc>
        <w:tc>
          <w:tcPr>
            <w:tcW w:w="404" w:type="pct"/>
            <w:shd w:val="clear" w:color="auto" w:fill="auto"/>
            <w:vAlign w:val="bottom"/>
          </w:tcPr>
          <w:p w14:paraId="4914DA17" w14:textId="77777777" w:rsidR="00F679A2" w:rsidRPr="00DB3AEC" w:rsidRDefault="00F679A2" w:rsidP="00B97309">
            <w:pPr>
              <w:rPr>
                <w:sz w:val="16"/>
                <w:szCs w:val="16"/>
              </w:rPr>
            </w:pPr>
            <w:r w:rsidRPr="00DB3AEC">
              <w:rPr>
                <w:sz w:val="16"/>
                <w:szCs w:val="16"/>
              </w:rPr>
              <w:t>25.052</w:t>
            </w:r>
          </w:p>
        </w:tc>
        <w:tc>
          <w:tcPr>
            <w:tcW w:w="402" w:type="pct"/>
            <w:shd w:val="clear" w:color="auto" w:fill="auto"/>
            <w:vAlign w:val="bottom"/>
          </w:tcPr>
          <w:p w14:paraId="3FFF8863" w14:textId="77777777" w:rsidR="00F679A2" w:rsidRPr="00DB3AEC" w:rsidRDefault="00F679A2" w:rsidP="00B97309">
            <w:pPr>
              <w:rPr>
                <w:sz w:val="16"/>
                <w:szCs w:val="16"/>
              </w:rPr>
            </w:pPr>
            <w:r w:rsidRPr="00DB3AEC">
              <w:rPr>
                <w:sz w:val="16"/>
                <w:szCs w:val="16"/>
              </w:rPr>
              <w:t>18.223</w:t>
            </w:r>
          </w:p>
        </w:tc>
      </w:tr>
      <w:tr w:rsidR="00F679A2" w:rsidRPr="00AA618D" w14:paraId="361A8927" w14:textId="77777777" w:rsidTr="00B97309">
        <w:trPr>
          <w:trHeight w:val="225"/>
        </w:trPr>
        <w:tc>
          <w:tcPr>
            <w:tcW w:w="962" w:type="pct"/>
            <w:shd w:val="clear" w:color="auto" w:fill="auto"/>
            <w:noWrap/>
            <w:vAlign w:val="bottom"/>
          </w:tcPr>
          <w:p w14:paraId="6C4FCD42" w14:textId="77777777" w:rsidR="00F679A2" w:rsidRPr="00DB3AEC" w:rsidRDefault="00F679A2" w:rsidP="00B97309">
            <w:pPr>
              <w:rPr>
                <w:sz w:val="16"/>
                <w:szCs w:val="16"/>
              </w:rPr>
            </w:pPr>
            <w:r w:rsidRPr="00DB3AEC">
              <w:rPr>
                <w:sz w:val="16"/>
                <w:szCs w:val="16"/>
              </w:rPr>
              <w:t xml:space="preserve">– koruza </w:t>
            </w:r>
          </w:p>
        </w:tc>
        <w:tc>
          <w:tcPr>
            <w:tcW w:w="404" w:type="pct"/>
            <w:shd w:val="clear" w:color="auto" w:fill="auto"/>
            <w:vAlign w:val="bottom"/>
          </w:tcPr>
          <w:p w14:paraId="4C825E27" w14:textId="77777777" w:rsidR="00F679A2" w:rsidRPr="00DB3AEC" w:rsidRDefault="00F679A2" w:rsidP="00B97309">
            <w:pPr>
              <w:rPr>
                <w:sz w:val="16"/>
                <w:szCs w:val="16"/>
              </w:rPr>
            </w:pPr>
            <w:r w:rsidRPr="00DB3AEC">
              <w:rPr>
                <w:sz w:val="16"/>
                <w:szCs w:val="16"/>
              </w:rPr>
              <w:t>124.102</w:t>
            </w:r>
          </w:p>
        </w:tc>
        <w:tc>
          <w:tcPr>
            <w:tcW w:w="404" w:type="pct"/>
            <w:shd w:val="clear" w:color="auto" w:fill="auto"/>
            <w:vAlign w:val="bottom"/>
          </w:tcPr>
          <w:p w14:paraId="4062DDB4" w14:textId="77777777" w:rsidR="00F679A2" w:rsidRPr="00DB3AEC" w:rsidRDefault="00F679A2" w:rsidP="00B97309">
            <w:pPr>
              <w:rPr>
                <w:sz w:val="16"/>
                <w:szCs w:val="16"/>
              </w:rPr>
            </w:pPr>
            <w:r w:rsidRPr="00DB3AEC">
              <w:rPr>
                <w:sz w:val="16"/>
                <w:szCs w:val="16"/>
              </w:rPr>
              <w:t>118.600</w:t>
            </w:r>
          </w:p>
        </w:tc>
        <w:tc>
          <w:tcPr>
            <w:tcW w:w="404" w:type="pct"/>
            <w:shd w:val="clear" w:color="auto" w:fill="auto"/>
            <w:vAlign w:val="bottom"/>
          </w:tcPr>
          <w:p w14:paraId="2BE00C92" w14:textId="77777777" w:rsidR="00F679A2" w:rsidRPr="00DB3AEC" w:rsidRDefault="00F679A2" w:rsidP="00B97309">
            <w:pPr>
              <w:rPr>
                <w:sz w:val="16"/>
                <w:szCs w:val="16"/>
              </w:rPr>
            </w:pPr>
            <w:r w:rsidRPr="00DB3AEC">
              <w:rPr>
                <w:sz w:val="16"/>
                <w:szCs w:val="16"/>
              </w:rPr>
              <w:t>137.616</w:t>
            </w:r>
          </w:p>
        </w:tc>
        <w:tc>
          <w:tcPr>
            <w:tcW w:w="404" w:type="pct"/>
            <w:shd w:val="clear" w:color="auto" w:fill="auto"/>
            <w:vAlign w:val="bottom"/>
          </w:tcPr>
          <w:p w14:paraId="4D4F1022" w14:textId="77777777" w:rsidR="00F679A2" w:rsidRPr="00DB3AEC" w:rsidRDefault="00F679A2" w:rsidP="00B97309">
            <w:pPr>
              <w:rPr>
                <w:sz w:val="16"/>
                <w:szCs w:val="16"/>
              </w:rPr>
            </w:pPr>
            <w:r w:rsidRPr="00DB3AEC">
              <w:rPr>
                <w:sz w:val="16"/>
                <w:szCs w:val="16"/>
              </w:rPr>
              <w:t>157.644</w:t>
            </w:r>
          </w:p>
        </w:tc>
        <w:tc>
          <w:tcPr>
            <w:tcW w:w="404" w:type="pct"/>
            <w:shd w:val="clear" w:color="auto" w:fill="auto"/>
            <w:vAlign w:val="bottom"/>
          </w:tcPr>
          <w:p w14:paraId="6D2AD30C" w14:textId="77777777" w:rsidR="00F679A2" w:rsidRPr="00DB3AEC" w:rsidRDefault="00F679A2" w:rsidP="00B97309">
            <w:pPr>
              <w:rPr>
                <w:sz w:val="16"/>
                <w:szCs w:val="16"/>
              </w:rPr>
            </w:pPr>
            <w:r w:rsidRPr="00DB3AEC">
              <w:rPr>
                <w:sz w:val="16"/>
                <w:szCs w:val="16"/>
              </w:rPr>
              <w:t>225.707</w:t>
            </w:r>
          </w:p>
        </w:tc>
        <w:tc>
          <w:tcPr>
            <w:tcW w:w="404" w:type="pct"/>
            <w:shd w:val="clear" w:color="auto" w:fill="auto"/>
            <w:vAlign w:val="bottom"/>
          </w:tcPr>
          <w:p w14:paraId="1EEF6660" w14:textId="77777777" w:rsidR="00F679A2" w:rsidRPr="00DB3AEC" w:rsidRDefault="00F679A2" w:rsidP="00B97309">
            <w:pPr>
              <w:rPr>
                <w:sz w:val="16"/>
                <w:szCs w:val="16"/>
              </w:rPr>
            </w:pPr>
            <w:r w:rsidRPr="00DB3AEC">
              <w:rPr>
                <w:sz w:val="16"/>
                <w:szCs w:val="16"/>
              </w:rPr>
              <w:t>153.326</w:t>
            </w:r>
          </w:p>
        </w:tc>
        <w:tc>
          <w:tcPr>
            <w:tcW w:w="404" w:type="pct"/>
            <w:shd w:val="clear" w:color="auto" w:fill="auto"/>
            <w:vAlign w:val="bottom"/>
          </w:tcPr>
          <w:p w14:paraId="613743D2" w14:textId="77777777" w:rsidR="00F679A2" w:rsidRPr="00DB3AEC" w:rsidRDefault="00F679A2" w:rsidP="00B97309">
            <w:pPr>
              <w:rPr>
                <w:sz w:val="16"/>
                <w:szCs w:val="16"/>
              </w:rPr>
            </w:pPr>
            <w:r w:rsidRPr="00DB3AEC">
              <w:rPr>
                <w:sz w:val="16"/>
                <w:szCs w:val="16"/>
              </w:rPr>
              <w:t>138.343</w:t>
            </w:r>
          </w:p>
        </w:tc>
        <w:tc>
          <w:tcPr>
            <w:tcW w:w="404" w:type="pct"/>
            <w:shd w:val="clear" w:color="auto" w:fill="auto"/>
            <w:vAlign w:val="bottom"/>
          </w:tcPr>
          <w:p w14:paraId="2031AC0D" w14:textId="77777777" w:rsidR="00F679A2" w:rsidRPr="00DB3AEC" w:rsidRDefault="00F679A2" w:rsidP="00B97309">
            <w:pPr>
              <w:rPr>
                <w:sz w:val="16"/>
                <w:szCs w:val="16"/>
              </w:rPr>
            </w:pPr>
            <w:r w:rsidRPr="00DB3AEC">
              <w:rPr>
                <w:sz w:val="16"/>
                <w:szCs w:val="16"/>
              </w:rPr>
              <w:t>191.066</w:t>
            </w:r>
          </w:p>
        </w:tc>
        <w:tc>
          <w:tcPr>
            <w:tcW w:w="404" w:type="pct"/>
            <w:shd w:val="clear" w:color="auto" w:fill="auto"/>
            <w:vAlign w:val="bottom"/>
          </w:tcPr>
          <w:p w14:paraId="2CA2439E" w14:textId="77777777" w:rsidR="00F679A2" w:rsidRPr="00DB3AEC" w:rsidRDefault="00F679A2" w:rsidP="00B97309">
            <w:pPr>
              <w:rPr>
                <w:sz w:val="16"/>
                <w:szCs w:val="16"/>
              </w:rPr>
            </w:pPr>
            <w:r w:rsidRPr="00DB3AEC">
              <w:rPr>
                <w:sz w:val="16"/>
                <w:szCs w:val="16"/>
              </w:rPr>
              <w:t>210.826</w:t>
            </w:r>
          </w:p>
        </w:tc>
        <w:tc>
          <w:tcPr>
            <w:tcW w:w="402" w:type="pct"/>
            <w:shd w:val="clear" w:color="auto" w:fill="auto"/>
            <w:vAlign w:val="bottom"/>
          </w:tcPr>
          <w:p w14:paraId="6808D685" w14:textId="77777777" w:rsidR="00F679A2" w:rsidRPr="00DB3AEC" w:rsidRDefault="00F679A2" w:rsidP="00B97309">
            <w:pPr>
              <w:rPr>
                <w:sz w:val="16"/>
                <w:szCs w:val="16"/>
              </w:rPr>
            </w:pPr>
            <w:r w:rsidRPr="00DB3AEC">
              <w:rPr>
                <w:sz w:val="16"/>
                <w:szCs w:val="16"/>
              </w:rPr>
              <w:t>172.505</w:t>
            </w:r>
          </w:p>
        </w:tc>
      </w:tr>
      <w:tr w:rsidR="00F679A2" w:rsidRPr="00AA618D" w14:paraId="1B052438" w14:textId="77777777" w:rsidTr="00B97309">
        <w:trPr>
          <w:trHeight w:val="225"/>
        </w:trPr>
        <w:tc>
          <w:tcPr>
            <w:tcW w:w="962" w:type="pct"/>
            <w:shd w:val="clear" w:color="auto" w:fill="auto"/>
            <w:noWrap/>
            <w:vAlign w:val="bottom"/>
          </w:tcPr>
          <w:p w14:paraId="330C7908" w14:textId="77777777" w:rsidR="00F679A2" w:rsidRPr="00DB3AEC" w:rsidRDefault="00F679A2" w:rsidP="00B97309">
            <w:pPr>
              <w:rPr>
                <w:sz w:val="16"/>
                <w:szCs w:val="16"/>
              </w:rPr>
            </w:pPr>
            <w:r w:rsidRPr="00DB3AEC">
              <w:rPr>
                <w:sz w:val="16"/>
                <w:szCs w:val="16"/>
              </w:rPr>
              <w:t xml:space="preserve">– riž </w:t>
            </w:r>
          </w:p>
        </w:tc>
        <w:tc>
          <w:tcPr>
            <w:tcW w:w="404" w:type="pct"/>
            <w:shd w:val="clear" w:color="auto" w:fill="auto"/>
            <w:vAlign w:val="bottom"/>
          </w:tcPr>
          <w:p w14:paraId="008BF5E9" w14:textId="77777777" w:rsidR="00F679A2" w:rsidRPr="00DB3AEC" w:rsidRDefault="00F679A2" w:rsidP="00B97309">
            <w:pPr>
              <w:rPr>
                <w:sz w:val="16"/>
                <w:szCs w:val="16"/>
              </w:rPr>
            </w:pPr>
            <w:r w:rsidRPr="00DB3AEC">
              <w:rPr>
                <w:sz w:val="16"/>
                <w:szCs w:val="16"/>
              </w:rPr>
              <w:t>1.789</w:t>
            </w:r>
          </w:p>
        </w:tc>
        <w:tc>
          <w:tcPr>
            <w:tcW w:w="404" w:type="pct"/>
            <w:shd w:val="clear" w:color="auto" w:fill="auto"/>
            <w:vAlign w:val="bottom"/>
          </w:tcPr>
          <w:p w14:paraId="1465A27F" w14:textId="77777777" w:rsidR="00F679A2" w:rsidRPr="00DB3AEC" w:rsidRDefault="00F679A2" w:rsidP="00B97309">
            <w:pPr>
              <w:rPr>
                <w:sz w:val="16"/>
                <w:szCs w:val="16"/>
              </w:rPr>
            </w:pPr>
            <w:r w:rsidRPr="00DB3AEC">
              <w:rPr>
                <w:sz w:val="16"/>
                <w:szCs w:val="16"/>
              </w:rPr>
              <w:t>1.665</w:t>
            </w:r>
          </w:p>
        </w:tc>
        <w:tc>
          <w:tcPr>
            <w:tcW w:w="404" w:type="pct"/>
            <w:shd w:val="clear" w:color="auto" w:fill="auto"/>
            <w:vAlign w:val="bottom"/>
          </w:tcPr>
          <w:p w14:paraId="1A17941E" w14:textId="77777777" w:rsidR="00F679A2" w:rsidRPr="00DB3AEC" w:rsidRDefault="00F679A2" w:rsidP="00B97309">
            <w:pPr>
              <w:rPr>
                <w:sz w:val="16"/>
                <w:szCs w:val="16"/>
              </w:rPr>
            </w:pPr>
            <w:r w:rsidRPr="00DB3AEC">
              <w:rPr>
                <w:sz w:val="16"/>
                <w:szCs w:val="16"/>
              </w:rPr>
              <w:t>2.138</w:t>
            </w:r>
          </w:p>
        </w:tc>
        <w:tc>
          <w:tcPr>
            <w:tcW w:w="404" w:type="pct"/>
            <w:shd w:val="clear" w:color="auto" w:fill="auto"/>
            <w:vAlign w:val="bottom"/>
          </w:tcPr>
          <w:p w14:paraId="159A07CC" w14:textId="77777777" w:rsidR="00F679A2" w:rsidRPr="00DB3AEC" w:rsidRDefault="00F679A2" w:rsidP="00B97309">
            <w:pPr>
              <w:rPr>
                <w:sz w:val="16"/>
                <w:szCs w:val="16"/>
              </w:rPr>
            </w:pPr>
            <w:r w:rsidRPr="00DB3AEC">
              <w:rPr>
                <w:sz w:val="16"/>
                <w:szCs w:val="16"/>
              </w:rPr>
              <w:t>2.387</w:t>
            </w:r>
          </w:p>
        </w:tc>
        <w:tc>
          <w:tcPr>
            <w:tcW w:w="404" w:type="pct"/>
            <w:shd w:val="clear" w:color="auto" w:fill="auto"/>
            <w:vAlign w:val="bottom"/>
          </w:tcPr>
          <w:p w14:paraId="5129E47A" w14:textId="77777777" w:rsidR="00F679A2" w:rsidRPr="00DB3AEC" w:rsidRDefault="00F679A2" w:rsidP="00B97309">
            <w:pPr>
              <w:rPr>
                <w:sz w:val="16"/>
                <w:szCs w:val="16"/>
              </w:rPr>
            </w:pPr>
            <w:r w:rsidRPr="00DB3AEC">
              <w:rPr>
                <w:sz w:val="16"/>
                <w:szCs w:val="16"/>
              </w:rPr>
              <w:t>2.813</w:t>
            </w:r>
          </w:p>
        </w:tc>
        <w:tc>
          <w:tcPr>
            <w:tcW w:w="404" w:type="pct"/>
            <w:shd w:val="clear" w:color="auto" w:fill="auto"/>
            <w:vAlign w:val="bottom"/>
          </w:tcPr>
          <w:p w14:paraId="4F2F09D4" w14:textId="77777777" w:rsidR="00F679A2" w:rsidRPr="00DB3AEC" w:rsidRDefault="00F679A2" w:rsidP="00B97309">
            <w:pPr>
              <w:rPr>
                <w:sz w:val="16"/>
                <w:szCs w:val="16"/>
              </w:rPr>
            </w:pPr>
            <w:r w:rsidRPr="00DB3AEC">
              <w:rPr>
                <w:sz w:val="16"/>
                <w:szCs w:val="16"/>
              </w:rPr>
              <w:t>8.078</w:t>
            </w:r>
          </w:p>
        </w:tc>
        <w:tc>
          <w:tcPr>
            <w:tcW w:w="404" w:type="pct"/>
            <w:shd w:val="clear" w:color="auto" w:fill="auto"/>
            <w:vAlign w:val="bottom"/>
          </w:tcPr>
          <w:p w14:paraId="5A98E294" w14:textId="77777777" w:rsidR="00F679A2" w:rsidRPr="00DB3AEC" w:rsidRDefault="00F679A2" w:rsidP="00B97309">
            <w:pPr>
              <w:rPr>
                <w:sz w:val="16"/>
                <w:szCs w:val="16"/>
              </w:rPr>
            </w:pPr>
            <w:r w:rsidRPr="00DB3AEC">
              <w:rPr>
                <w:sz w:val="16"/>
                <w:szCs w:val="16"/>
              </w:rPr>
              <w:t>8.399</w:t>
            </w:r>
          </w:p>
        </w:tc>
        <w:tc>
          <w:tcPr>
            <w:tcW w:w="404" w:type="pct"/>
            <w:shd w:val="clear" w:color="auto" w:fill="auto"/>
            <w:vAlign w:val="bottom"/>
          </w:tcPr>
          <w:p w14:paraId="36393C6E" w14:textId="77777777" w:rsidR="00F679A2" w:rsidRPr="00DB3AEC" w:rsidRDefault="00F679A2" w:rsidP="00B97309">
            <w:pPr>
              <w:rPr>
                <w:sz w:val="16"/>
                <w:szCs w:val="16"/>
              </w:rPr>
            </w:pPr>
            <w:r w:rsidRPr="00DB3AEC">
              <w:rPr>
                <w:sz w:val="16"/>
                <w:szCs w:val="16"/>
              </w:rPr>
              <w:t>8.986</w:t>
            </w:r>
          </w:p>
        </w:tc>
        <w:tc>
          <w:tcPr>
            <w:tcW w:w="404" w:type="pct"/>
            <w:shd w:val="clear" w:color="auto" w:fill="auto"/>
            <w:vAlign w:val="bottom"/>
          </w:tcPr>
          <w:p w14:paraId="4CD01AAE" w14:textId="77777777" w:rsidR="00F679A2" w:rsidRPr="00DB3AEC" w:rsidRDefault="00F679A2" w:rsidP="00B97309">
            <w:pPr>
              <w:rPr>
                <w:sz w:val="16"/>
                <w:szCs w:val="16"/>
              </w:rPr>
            </w:pPr>
            <w:r w:rsidRPr="00DB3AEC">
              <w:rPr>
                <w:sz w:val="16"/>
                <w:szCs w:val="16"/>
              </w:rPr>
              <w:t>9.094</w:t>
            </w:r>
          </w:p>
        </w:tc>
        <w:tc>
          <w:tcPr>
            <w:tcW w:w="402" w:type="pct"/>
            <w:shd w:val="clear" w:color="auto" w:fill="auto"/>
            <w:vAlign w:val="bottom"/>
          </w:tcPr>
          <w:p w14:paraId="669C736E" w14:textId="77777777" w:rsidR="00F679A2" w:rsidRPr="00DB3AEC" w:rsidRDefault="00F679A2" w:rsidP="00B97309">
            <w:pPr>
              <w:rPr>
                <w:sz w:val="16"/>
                <w:szCs w:val="16"/>
              </w:rPr>
            </w:pPr>
            <w:r w:rsidRPr="00DB3AEC">
              <w:rPr>
                <w:sz w:val="16"/>
                <w:szCs w:val="16"/>
              </w:rPr>
              <w:t>9.523</w:t>
            </w:r>
          </w:p>
        </w:tc>
      </w:tr>
    </w:tbl>
    <w:p w14:paraId="2F4B4958" w14:textId="77777777" w:rsidR="00F679A2" w:rsidRPr="00FF4B40" w:rsidRDefault="00F679A2" w:rsidP="00F679A2">
      <w:pPr>
        <w:rPr>
          <w:sz w:val="16"/>
          <w:szCs w:val="16"/>
        </w:rPr>
      </w:pPr>
      <w:r w:rsidRPr="00FF4B40">
        <w:rPr>
          <w:sz w:val="16"/>
          <w:szCs w:val="16"/>
        </w:rPr>
        <w:t>Vir:</w:t>
      </w:r>
      <w:r>
        <w:rPr>
          <w:sz w:val="16"/>
          <w:szCs w:val="16"/>
        </w:rPr>
        <w:t>ZP-2019</w:t>
      </w:r>
    </w:p>
    <w:p w14:paraId="76497601" w14:textId="77777777" w:rsidR="00F679A2" w:rsidRPr="005B2A49" w:rsidRDefault="00F679A2" w:rsidP="005B2A49">
      <w:pPr>
        <w:spacing w:after="120" w:line="260" w:lineRule="atLeast"/>
        <w:rPr>
          <w:rFonts w:eastAsia="Calibri"/>
          <w:szCs w:val="20"/>
        </w:rPr>
      </w:pPr>
      <w:r w:rsidRPr="005B2A49">
        <w:rPr>
          <w:rFonts w:eastAsia="Calibri"/>
          <w:szCs w:val="20"/>
        </w:rPr>
        <w:t xml:space="preserve">Velika spremenljivost cen žita na mednarodnih trgih se zaradi globalnega trga večinoma zelo hitro odrazi v odkupnih cenah v Sloveniji, kar opažamo tudi v letu 2019. V povprečju so bile cene žita v Slovenji leta 2019 pomembno nižje kot v letu prej in tudi nižje od povprečja zadnjega petletnega obdobja (2014–2018), na kar so ključno vplivale izrazito nižje cene koruze za zrnje. </w:t>
      </w:r>
    </w:p>
    <w:p w14:paraId="7B40F7AD" w14:textId="77777777" w:rsidR="00F679A2" w:rsidRPr="005B2A49" w:rsidRDefault="00F679A2" w:rsidP="005B2A49">
      <w:pPr>
        <w:spacing w:after="120" w:line="260" w:lineRule="atLeast"/>
        <w:rPr>
          <w:rFonts w:eastAsia="Calibri"/>
          <w:szCs w:val="20"/>
        </w:rPr>
      </w:pPr>
      <w:r w:rsidRPr="005B2A49">
        <w:rPr>
          <w:rFonts w:eastAsia="Calibri"/>
          <w:szCs w:val="20"/>
        </w:rPr>
        <w:t>Pridelovalci koruze so za zrnje leta 2019 v povprečju dobili 123,7 EUR/t, kar je za 16 % manj kot v letu prej in za 8 % pod povprečjem zadnjega petletnega obdobja. Še nižje so bile odkupne cene koruze za zrnje v jesenskem času, ko je bila povprečna odkupna cena le 119,5 EUR/t oziroma za 18 % nižja kot v enakih mesecih leta 2018. Letna odkupna cena pšenice s 163,2 EUR/t v letu 2019 je bila za dobra 2 % višja kot leto prej in za 4 % nad povprečjem zadnjih petih let. V mesecih največjega odkupa (julij–september) letine 2019 pa je bila odkupna (sezonska) cena pšenice 156,5 EUR/t oziroma za 2 % višja kot v enakem obdobju leta 2018. Nižja kot v letu prej pa je bila odkupna cena ječmena (–4 %).</w:t>
      </w:r>
    </w:p>
    <w:p w14:paraId="066A96AC" w14:textId="53A2591B" w:rsidR="00F679A2" w:rsidRDefault="00F679A2" w:rsidP="00F679A2">
      <w:pPr>
        <w:pStyle w:val="SCSlika0"/>
      </w:pPr>
      <w:bookmarkStart w:id="3224" w:name="_Toc89851128"/>
      <w:r>
        <w:t xml:space="preserve">Slika </w:t>
      </w:r>
      <w:r>
        <w:rPr>
          <w:noProof/>
        </w:rPr>
        <w:fldChar w:fldCharType="begin"/>
      </w:r>
      <w:r>
        <w:rPr>
          <w:noProof/>
        </w:rPr>
        <w:instrText xml:space="preserve"> SEQ Slika \* ARABIC </w:instrText>
      </w:r>
      <w:r>
        <w:rPr>
          <w:noProof/>
        </w:rPr>
        <w:fldChar w:fldCharType="separate"/>
      </w:r>
      <w:r w:rsidR="00F25435">
        <w:rPr>
          <w:noProof/>
        </w:rPr>
        <w:t>86</w:t>
      </w:r>
      <w:r>
        <w:rPr>
          <w:noProof/>
        </w:rPr>
        <w:fldChar w:fldCharType="end"/>
      </w:r>
      <w:r>
        <w:t xml:space="preserve">: </w:t>
      </w:r>
      <w:r w:rsidRPr="0040635C">
        <w:t>Osnovni ekonomski kazalniki pri pridelavi pšenice (indeks; povprečje 2014–2018 = 100)</w:t>
      </w:r>
      <w:bookmarkEnd w:id="3224"/>
    </w:p>
    <w:p w14:paraId="4222EA79"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2C49B1C4" wp14:editId="22357363">
            <wp:extent cx="5709285" cy="2194560"/>
            <wp:effectExtent l="0" t="0" r="5715" b="0"/>
            <wp:docPr id="1631865360" name="Slika 16318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508A0151" w14:textId="77777777" w:rsidR="00F679A2" w:rsidRPr="00FF4B40"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596166B4" w14:textId="77777777" w:rsidR="00F679A2" w:rsidRPr="005B2A49" w:rsidRDefault="00F679A2" w:rsidP="005B2A49">
      <w:pPr>
        <w:spacing w:after="120" w:line="260" w:lineRule="atLeast"/>
        <w:rPr>
          <w:rFonts w:eastAsia="Calibri"/>
          <w:szCs w:val="20"/>
        </w:rPr>
      </w:pPr>
      <w:r w:rsidRPr="005B2A49">
        <w:rPr>
          <w:rFonts w:eastAsia="Calibri"/>
          <w:szCs w:val="20"/>
        </w:rPr>
        <w:t>Ekonomski položaj tržnih pridelovalcev koruze v Sloveniji se je po dveh letih izboljševanja z letino 2019 ponovno močno poslabšal in je bil blizu najnižje ravni v zadnjih petih letih. Višji stroški pridelave so vplivali na poslabšanje cenovno-stroškovnih razmerij. Zaradi nižjih odkupnih cen so se cenovno-stroškovna razmerja poslabšala bolj pri ječmenu kot pri pšenici. Kljub poslabšanju prihodkovno-stroškovnega razmerja pa se je leta 2019 ekonomičnost pridelave strnega žita zaradi večjih pridelkov in dobre kakovosti pšenice izboljšala. Ocenjujemo, da so ekonomski rezultati pri pšenici in ječmenu nekoliko nad povprečjem zadnjega petletnega obdobja, ki so ga zaznamovala velika nihanja tako v obsegu pridelave kot v višini odkupnih cen.</w:t>
      </w:r>
    </w:p>
    <w:p w14:paraId="08ADDEE9" w14:textId="72371433" w:rsidR="00F679A2" w:rsidRDefault="00F679A2" w:rsidP="00F679A2">
      <w:pPr>
        <w:pStyle w:val="SCSlika0"/>
      </w:pPr>
      <w:bookmarkStart w:id="3225" w:name="_Toc89851129"/>
      <w:r>
        <w:t xml:space="preserve">Slika </w:t>
      </w:r>
      <w:r>
        <w:rPr>
          <w:noProof/>
        </w:rPr>
        <w:fldChar w:fldCharType="begin"/>
      </w:r>
      <w:r>
        <w:rPr>
          <w:noProof/>
        </w:rPr>
        <w:instrText xml:space="preserve"> SEQ Slika \* ARABIC </w:instrText>
      </w:r>
      <w:r>
        <w:rPr>
          <w:noProof/>
        </w:rPr>
        <w:fldChar w:fldCharType="separate"/>
      </w:r>
      <w:r w:rsidR="00F25435">
        <w:rPr>
          <w:noProof/>
        </w:rPr>
        <w:t>87</w:t>
      </w:r>
      <w:r>
        <w:rPr>
          <w:noProof/>
        </w:rPr>
        <w:fldChar w:fldCharType="end"/>
      </w:r>
      <w:r w:rsidRPr="0040635C">
        <w:t>: Osnovni ekonomski kazalniki pri pridelavi koruze za zrnje (indeks; povprečje 2014–2018 = 100)</w:t>
      </w:r>
      <w:bookmarkEnd w:id="3225"/>
    </w:p>
    <w:p w14:paraId="114D4A1E"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779865DE" wp14:editId="2C88EBBD">
            <wp:extent cx="5709285" cy="2194560"/>
            <wp:effectExtent l="0" t="0" r="5715" b="0"/>
            <wp:docPr id="1631865361" name="Slika 163186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5D212096" w14:textId="77777777" w:rsidR="00F679A2" w:rsidRPr="005718B1"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5AEC0377" w14:textId="77777777" w:rsidR="00F679A2" w:rsidRPr="005B2A49" w:rsidRDefault="00F679A2" w:rsidP="005B2A49">
      <w:pPr>
        <w:spacing w:after="120" w:line="260" w:lineRule="atLeast"/>
        <w:rPr>
          <w:rFonts w:eastAsia="Calibri"/>
          <w:szCs w:val="20"/>
        </w:rPr>
      </w:pPr>
      <w:r w:rsidRPr="005B2A49">
        <w:rPr>
          <w:rFonts w:eastAsia="Calibri"/>
          <w:szCs w:val="20"/>
        </w:rPr>
        <w:t>Izrazit padec odkupnih cen koruze v jesenskem času (–18 %) je ob sočasnem zvišanju stroškov pridelave in majhnem znižanju proračunskih podpor ključno vplival na poslabšanje cenovno-stroškovnih razmerij. Cenovno-stroškovna pariteta je za več kot 15 odstotnih točk pod povprečjem zadnjih petih let, ko so bile ekonomske razmere v letih 2014–2016 tudi zelo slabe. Ekonomski rezultati pridelovalcev koruze so se v letu 2019 zaradi velikega znižanja odkupnih cen, kljub dobri letini, poslabšali in so na zelo nizki ravni.</w:t>
      </w:r>
    </w:p>
    <w:p w14:paraId="2B4DD86E" w14:textId="77777777" w:rsidR="00F679A2" w:rsidRPr="005B2A49" w:rsidRDefault="00F679A2" w:rsidP="005B2A49">
      <w:pPr>
        <w:spacing w:after="120" w:line="260" w:lineRule="atLeast"/>
        <w:rPr>
          <w:rFonts w:eastAsia="Calibri"/>
          <w:szCs w:val="20"/>
        </w:rPr>
      </w:pPr>
      <w:r w:rsidRPr="005B2A49">
        <w:rPr>
          <w:rFonts w:eastAsia="Calibri"/>
          <w:szCs w:val="20"/>
        </w:rPr>
        <w:t xml:space="preserve">Oljna ogrščica: Gospodarske razmere na trgu z oljno ogrščico so se zaradi povišanja odkupnih cen in malenkost višjih stroškov pridelave rahlo izboljšale. V letu 2019 sta se zvišali povprečni odkupni ceni oljnih buč (+38 %) in oljne ogrščice (+3 %), že drugo leto zapored pa se je znižala odkupna cena soje (–6 %). </w:t>
      </w:r>
    </w:p>
    <w:p w14:paraId="6474B286" w14:textId="77777777" w:rsidR="00F679A2" w:rsidRPr="005B2A49" w:rsidRDefault="00F679A2" w:rsidP="005B2A49">
      <w:pPr>
        <w:spacing w:after="120" w:line="260" w:lineRule="atLeast"/>
        <w:rPr>
          <w:rFonts w:eastAsia="Calibri"/>
          <w:szCs w:val="20"/>
        </w:rPr>
      </w:pPr>
      <w:r w:rsidRPr="005B2A49">
        <w:rPr>
          <w:rFonts w:eastAsia="Calibri"/>
          <w:szCs w:val="20"/>
        </w:rPr>
        <w:t>Krompir: V letu 2019 je bilo uvoženih približno 117 tisoč ton krompirja, od tega približno polovica v obliki predelanih proizvodov. V letu 2019 se je skupni uvoz krompirja povečal za 18 %. Uvoženega je bilo več svežega jedilnega krompirja (+48 %), blizu ravni leta prej je ostal uvoz predelanega in semenskega krompirja. Izvoz krompirja se v zadnjih letih povečuje. V primerjavi s prejšnjim letom se je povečal za 70 % in bil 187 % nad povprečjem zadnjega petletnega obdobja.</w:t>
      </w:r>
    </w:p>
    <w:p w14:paraId="6BF1B237"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statističnih podatkih je odkupna cena poznega krompirja v jesenskem času (september–november, t. i. sezonska cena) zadnja leta v porastu, v letu 2019 se je zvišala za 19 % in je bila za skoraj 80 % nad povprečjem zadnjih 5 let. Ekonomske razmere, ki tudi pri pridelavi krompirja med leti zelo nihajo, so bile v letu 2019 zelo ugodne. Povprečne odkupne cene krompirja so bile precej višje kot v letu prej. </w:t>
      </w:r>
    </w:p>
    <w:p w14:paraId="324EEBA1" w14:textId="2F8178AA" w:rsidR="00F679A2" w:rsidRDefault="00F679A2" w:rsidP="00F679A2">
      <w:pPr>
        <w:pStyle w:val="SCSlika0"/>
      </w:pPr>
      <w:bookmarkStart w:id="3226" w:name="_Toc89851130"/>
      <w:r>
        <w:t xml:space="preserve">Slika </w:t>
      </w:r>
      <w:r>
        <w:rPr>
          <w:noProof/>
        </w:rPr>
        <w:fldChar w:fldCharType="begin"/>
      </w:r>
      <w:r>
        <w:rPr>
          <w:noProof/>
        </w:rPr>
        <w:instrText xml:space="preserve"> SEQ Slika \* ARABIC </w:instrText>
      </w:r>
      <w:r>
        <w:rPr>
          <w:noProof/>
        </w:rPr>
        <w:fldChar w:fldCharType="separate"/>
      </w:r>
      <w:r w:rsidR="00F25435">
        <w:rPr>
          <w:noProof/>
        </w:rPr>
        <w:t>88</w:t>
      </w:r>
      <w:r>
        <w:rPr>
          <w:noProof/>
        </w:rPr>
        <w:fldChar w:fldCharType="end"/>
      </w:r>
      <w:r>
        <w:t xml:space="preserve">: </w:t>
      </w:r>
      <w:r w:rsidRPr="0040635C">
        <w:t>Osnovni ekonomski kazalniki pri pridelavi krompirja (indeks; povprečje 2014–2018 = 100)</w:t>
      </w:r>
      <w:bookmarkEnd w:id="3226"/>
    </w:p>
    <w:p w14:paraId="18B25EE0"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1BC86F54" wp14:editId="7363AFCC">
            <wp:extent cx="5702300" cy="2191385"/>
            <wp:effectExtent l="0" t="0" r="0" b="0"/>
            <wp:docPr id="1631865362" name="Slika 163186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0DEE739F" w14:textId="77777777" w:rsidR="00F679A2" w:rsidRPr="005718B1"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0FD64FBD"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 podlagi modelnih izračunov ocenjujemo (stroški v času spravila ne vključujejo stroškov skladiščenja), da je bila pridelava poznega krompirja letine 2019 za približno 8 % dražja. </w:t>
      </w:r>
    </w:p>
    <w:p w14:paraId="2BBDC93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2014–2020 lahko pridelovalci žita na podlagi dodeljenih plačilnih pravic iz sheme neposrednih plačil pridobijo osnovno plačilo in plačilo za zeleno komponento. Pridelovalci strnega žita lahko uveljavljajo tudi pravico do proizvodno vezanega plačila (PVP). Višina proizvodno vezane podpore za strno žito je v posameznem letu odvisna od števila upravičenih hektarjev in je izračunana kot količnik med letno ovojnico za proizvodno vezana plačila za strno žito in številom upravičenih hektarjev v posameznem letu. V letu 2015 je bilo vključenih 21.103 KMG na skupno 55.779 ha, v letu 2019 pa se je zmanjšalo na 18.975 KMG na skupno 55.684 ha. V letih 2015–2018 je bilo za to shemo namenjenih 5 % letne nacionalne ovojnice za neposredna plačila. Povprečno PVP se je v letu 2018 zmanjšalo za skoraj 4 %, na 121,6 EUR/ha. Pridelovalci so od leta 2006 upravičeni do regresiranja zavarovanja, ki je bilo leta 2018 40-odstotno (v letih 2015–2017: 20-odstotno) in uveljavljajo lahko tudi pravico do vračila dela trošarine za gorivo, porabljeno v kmetijstvu (70 %). </w:t>
      </w:r>
    </w:p>
    <w:p w14:paraId="2ADE4995" w14:textId="77777777" w:rsidR="00F679A2" w:rsidRPr="005B2A49" w:rsidRDefault="00F679A2" w:rsidP="005B2A49">
      <w:pPr>
        <w:spacing w:after="120" w:line="260" w:lineRule="atLeast"/>
        <w:rPr>
          <w:rFonts w:eastAsia="Calibri"/>
          <w:szCs w:val="20"/>
        </w:rPr>
      </w:pPr>
      <w:r w:rsidRPr="005B2A49">
        <w:rPr>
          <w:rFonts w:eastAsia="Calibri"/>
          <w:szCs w:val="20"/>
        </w:rPr>
        <w:t>V programskem obdobju 2014–2020 lahko pridelovalci oljnic na podlagi plačilnih pravic iz sheme neposrednih plačil pridobijo osnovno plačilo in plačilo za zeleno komponento. Soja je bila glede na shemo neposrednih plačil uvrščena med beljakovinske rastline, ki so bile v letih 2015 in 2016 upravičene do proizvodno vezanega plačila, ki pa je bilo leta 2017 ukinjeno. Od leta 2006 so pridelovalci upravičeni tudi do regresiranja zavarovanja pridelka, to se je leta 2018 zvišalo z 20 % na 40 % zavarovalne premije, ob tem lahko uveljavljajo tudi pravico do vračila dela trošarine za gorivo, porabljeno v kmetijstvu (70 %).</w:t>
      </w:r>
    </w:p>
    <w:p w14:paraId="2CB9AED9" w14:textId="77777777" w:rsidR="00F679A2" w:rsidRPr="005B2A49" w:rsidRDefault="00F679A2" w:rsidP="005B2A49">
      <w:pPr>
        <w:spacing w:after="120" w:line="260" w:lineRule="atLeast"/>
        <w:rPr>
          <w:rFonts w:eastAsia="Calibri"/>
          <w:szCs w:val="20"/>
        </w:rPr>
      </w:pPr>
      <w:r w:rsidRPr="005B2A49">
        <w:rPr>
          <w:rFonts w:eastAsia="Calibri"/>
          <w:szCs w:val="20"/>
        </w:rPr>
        <w:t>Trg krompirja v EU, razen pridelave krompirja za predelavo v škrob, ni enotno urejen s tržnim redom. V programskem obdobju 2014–2020 lahko od leta 2015 pridelovalci krompirja na podlagi na novo dodeljenih plačilnih pravic iz sheme neposrednih plačil pridobijo osnovno plačilo in plačilo za zeleno komponento. Od leta 2006 lahko pridelovalci zavarujejo svoje pridelke po regresirani stopnji, ki se je leta 2018 zvišala z 20 %, kot je bila v letih 2015–2017, na 40 %. Poleg tega imajo pridelovalci možnost pridobiti povračilo dela plačane trošarine za gorivo, porabljeno v kmetijstvu, ki je od sredine leta 2009 70-odstotno (prej 50-odstotno).</w:t>
      </w:r>
    </w:p>
    <w:p w14:paraId="6A758CE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spremenjenih podnebnih razmerah so pridelovalci poljščin zelo odvisni od vremenskih razmer v rastni dobi (suša, visoke temperature, toča, poplave, pozeba). V Sloveniji bi bilo potrebno povečati delež namakalnih sistemov, spodbujati uporabo specialne mehanizacije, ki bi tudi bistveno prispeva k ohranjanju okolja (npr. manjša raba FFS). Pridelovalci bi bilo potrebno spodbujati da posegajo po sortah, ki so bolj prilagojene ekstremnim vremenskim vplivom. Povečati bi bilo potrebno ekološko pridelavo, ki prispeva v večji biotski raznovrstnosti podeželja. </w:t>
      </w:r>
    </w:p>
    <w:p w14:paraId="3AAA699B" w14:textId="77777777" w:rsidR="00F679A2" w:rsidRPr="005B2A49" w:rsidRDefault="00F679A2" w:rsidP="005B2A49">
      <w:pPr>
        <w:spacing w:after="120" w:line="260" w:lineRule="atLeast"/>
        <w:rPr>
          <w:rFonts w:eastAsia="Calibri"/>
          <w:szCs w:val="20"/>
        </w:rPr>
      </w:pPr>
      <w:r w:rsidRPr="005B2A49">
        <w:rPr>
          <w:rFonts w:eastAsia="Calibri"/>
          <w:szCs w:val="20"/>
        </w:rPr>
        <w:t>V Sloveniji želimo povečati delež samooskrbe z žiti, krompirjem, stročnicam, kar bi vodilo tudi k spodbujanju zaposlovanja na podeželju, predvsem mladih kmetov ter posledično bi prispevali k ohranjanju kulturne krajine in biotske raznovrstnosti. Za ta namen, bi bilo potrebno vzpostaviti učinkovit sistem komasacij, olajšati dostop do primernih kmetijskih zemljišč za pridelavo poljščin ter prilagoditi pridelavo na območjih z varstvenimi režimi (NATURA, VVO, itd.)</w:t>
      </w:r>
    </w:p>
    <w:p w14:paraId="36A23F4B" w14:textId="77777777" w:rsidR="00F679A2" w:rsidRPr="005B2A49" w:rsidRDefault="00F679A2" w:rsidP="005B2A49">
      <w:pPr>
        <w:spacing w:after="120" w:line="260" w:lineRule="atLeast"/>
        <w:rPr>
          <w:rFonts w:eastAsia="Calibri"/>
          <w:szCs w:val="20"/>
        </w:rPr>
      </w:pPr>
      <w:r w:rsidRPr="005B2A49">
        <w:rPr>
          <w:rFonts w:eastAsia="Calibri"/>
          <w:szCs w:val="20"/>
        </w:rPr>
        <w:t>V Sloveniji je na področju poljedelstva vzpostavljena Javna služba na področju poljedelstva, v okviru katere se izvajajo naloge: žlahtnjenje poljščin, introdukcija poljščin in  ugotavljanje njihove vrednosti za predelavo, tehnologije pridelave poljščin in strokovno-tehnična koordinacija v poljedelstvu. Slednja je zelo pomembna za prenos znanja in rezultatov nalog javne službe, ki potekajo v sodelovanju z javno službo kmetijskega svetovanja. Ohranjanje rastlinskih genskih virov poljščin  poteka v okviru javne službe nalog rastlinske genske banke.</w:t>
      </w:r>
    </w:p>
    <w:p w14:paraId="0962EDE0" w14:textId="55C0BB5B" w:rsidR="00F679A2" w:rsidRDefault="00F679A2" w:rsidP="005B2A49">
      <w:pPr>
        <w:spacing w:after="120" w:line="260" w:lineRule="atLeast"/>
        <w:rPr>
          <w:rFonts w:eastAsia="Calibri"/>
          <w:szCs w:val="20"/>
        </w:rPr>
      </w:pPr>
      <w:r w:rsidRPr="005B2A49">
        <w:rPr>
          <w:rFonts w:eastAsia="Calibri"/>
          <w:szCs w:val="20"/>
        </w:rPr>
        <w:t xml:space="preserve">Nadaljnje raziskave bodo usmerjene v izboljšanje tehnologij pridelave poljščin z manjšo uporabo FFS ter povečati bi bilo potrebno delež ekološke pridelave poljščin. </w:t>
      </w:r>
    </w:p>
    <w:p w14:paraId="5DE06959" w14:textId="77777777" w:rsidR="00C25531" w:rsidRPr="005B2A49" w:rsidRDefault="00C25531" w:rsidP="005B2A49">
      <w:pPr>
        <w:spacing w:after="120" w:line="260" w:lineRule="atLeast"/>
        <w:rPr>
          <w:rFonts w:eastAsia="Calibri"/>
          <w:szCs w:val="20"/>
        </w:rPr>
      </w:pPr>
    </w:p>
    <w:p w14:paraId="334C64BF" w14:textId="77777777" w:rsidR="00F679A2" w:rsidRDefault="00F679A2" w:rsidP="00F679A2">
      <w:pPr>
        <w:pStyle w:val="Naslov3"/>
      </w:pPr>
      <w:bookmarkStart w:id="3227" w:name="_Toc90462288"/>
      <w:r w:rsidRPr="001261F1">
        <w:t>Ključne ugotovitve</w:t>
      </w:r>
      <w:bookmarkEnd w:id="3227"/>
    </w:p>
    <w:p w14:paraId="67083CFA" w14:textId="77777777" w:rsidR="00F679A2" w:rsidRPr="00770724" w:rsidRDefault="00F679A2" w:rsidP="005B2A49">
      <w:pPr>
        <w:numPr>
          <w:ilvl w:val="0"/>
          <w:numId w:val="194"/>
        </w:numPr>
        <w:spacing w:after="120" w:line="260" w:lineRule="atLeast"/>
        <w:ind w:left="357" w:hanging="357"/>
        <w:rPr>
          <w:szCs w:val="20"/>
        </w:rPr>
      </w:pPr>
      <w:r w:rsidRPr="00770724">
        <w:rPr>
          <w:szCs w:val="20"/>
        </w:rPr>
        <w:t>Slovenija ima ugodne naravne danosti za pridelavo poljščin, vendar kljub temu ne dosega pridelovalnega in tržnega potenciala. Pridelovalci na trgu niso konkurenčni tako zaradi zastarelih tehnologij pridelave, razdrobljene strukture pridelave in tudi zaradi nepovezanosti pridelovalcev.</w:t>
      </w:r>
    </w:p>
    <w:p w14:paraId="42183383" w14:textId="77777777" w:rsidR="00F679A2" w:rsidRPr="00770724" w:rsidRDefault="00F679A2" w:rsidP="005B2A49">
      <w:pPr>
        <w:numPr>
          <w:ilvl w:val="0"/>
          <w:numId w:val="194"/>
        </w:numPr>
        <w:spacing w:after="120" w:line="260" w:lineRule="atLeast"/>
        <w:ind w:left="357" w:hanging="357"/>
        <w:rPr>
          <w:szCs w:val="20"/>
        </w:rPr>
      </w:pPr>
      <w:r w:rsidRPr="00770724">
        <w:rPr>
          <w:szCs w:val="20"/>
        </w:rPr>
        <w:t>Vzporedno z razvojem pridelave je potrebno vzpostaviti tudi distribucijske centre (hladilne/skladiščne kapacitete, sortirne linije, pakirne linije) z ustrezno infrastrukturo, ki bodo omogočili večjo dodano vrednost pridelavi poljščin.</w:t>
      </w:r>
    </w:p>
    <w:p w14:paraId="357D099F" w14:textId="77777777" w:rsidR="00F679A2" w:rsidRPr="00770724" w:rsidRDefault="00F679A2" w:rsidP="005B2A49">
      <w:pPr>
        <w:numPr>
          <w:ilvl w:val="0"/>
          <w:numId w:val="194"/>
        </w:numPr>
        <w:spacing w:after="120" w:line="260" w:lineRule="atLeast"/>
        <w:ind w:left="357" w:hanging="357"/>
        <w:rPr>
          <w:szCs w:val="20"/>
        </w:rPr>
      </w:pPr>
      <w:r w:rsidRPr="00770724">
        <w:rPr>
          <w:szCs w:val="20"/>
        </w:rPr>
        <w:t>Spremenjene podnebne spremembe imajo na poljedelstvo v zadnji desetih letih izjemen vpliv, zato bo potrebna še boljša prilagoditev panoge s sodobnejšimi tehnologijami in dodatnimi naložbami, sofinanciranjem zavarovalnih premij</w:t>
      </w:r>
      <w:r>
        <w:rPr>
          <w:szCs w:val="20"/>
        </w:rPr>
        <w:t>, povečanju organskih snovi v tkeh, izbiri kolobarja, uvajanje uporabe mešanih posevkov.</w:t>
      </w:r>
    </w:p>
    <w:p w14:paraId="18E6FB38" w14:textId="2CE36E06" w:rsidR="00F679A2" w:rsidRPr="0040635C" w:rsidRDefault="00F679A2" w:rsidP="005B2A49">
      <w:pPr>
        <w:numPr>
          <w:ilvl w:val="0"/>
          <w:numId w:val="194"/>
        </w:numPr>
        <w:spacing w:after="120" w:line="260" w:lineRule="atLeast"/>
        <w:ind w:left="357" w:hanging="357"/>
      </w:pPr>
      <w:r w:rsidRPr="0040635C">
        <w:rPr>
          <w:szCs w:val="20"/>
        </w:rPr>
        <w:t>Vzpostaviti je potrebno poštene odnose med deležniki v verigi od pridelovalca do prodajalca.</w:t>
      </w:r>
    </w:p>
    <w:p w14:paraId="22F67424" w14:textId="2AD15349" w:rsidR="00F679A2" w:rsidRDefault="00F679A2" w:rsidP="004E6762">
      <w:pPr>
        <w:pStyle w:val="1"/>
      </w:pPr>
    </w:p>
    <w:p w14:paraId="2A9DD951" w14:textId="77777777" w:rsidR="00954B88" w:rsidRDefault="00954B88">
      <w:pPr>
        <w:spacing w:before="0" w:after="200" w:line="276" w:lineRule="auto"/>
        <w:jc w:val="left"/>
        <w:rPr>
          <w:rFonts w:eastAsia="Calibri"/>
          <w:b/>
          <w:sz w:val="28"/>
          <w:szCs w:val="28"/>
          <w:lang w:eastAsia="en-US"/>
        </w:rPr>
      </w:pPr>
      <w:r>
        <w:rPr>
          <w:sz w:val="28"/>
          <w:szCs w:val="28"/>
        </w:rPr>
        <w:br w:type="page"/>
      </w:r>
    </w:p>
    <w:p w14:paraId="3C2ACFD5" w14:textId="18C9139A" w:rsidR="003406B9" w:rsidRPr="009D387C" w:rsidRDefault="003406B9" w:rsidP="007E558D">
      <w:pPr>
        <w:pStyle w:val="Naslov1"/>
      </w:pPr>
      <w:bookmarkStart w:id="3228" w:name="_Toc90462289"/>
      <w:r w:rsidRPr="009D387C">
        <w:t>Živilskopredelovalna panoga</w:t>
      </w:r>
      <w:bookmarkEnd w:id="3228"/>
      <w:r w:rsidRPr="009D387C">
        <w:t xml:space="preserve">  </w:t>
      </w:r>
    </w:p>
    <w:p w14:paraId="5173E51C" w14:textId="77777777" w:rsidR="003406B9" w:rsidRDefault="003406B9" w:rsidP="007613FE">
      <w:pPr>
        <w:spacing w:before="0" w:line="260" w:lineRule="atLeast"/>
        <w:rPr>
          <w:sz w:val="20"/>
          <w:lang w:eastAsia="en-US"/>
        </w:rPr>
      </w:pPr>
    </w:p>
    <w:p w14:paraId="3D0218C1" w14:textId="6E1DC618" w:rsidR="00DA0A21" w:rsidRPr="007E558D" w:rsidRDefault="003406B9" w:rsidP="007613FE">
      <w:pPr>
        <w:spacing w:before="0" w:line="260" w:lineRule="atLeast"/>
        <w:rPr>
          <w:lang w:eastAsia="en-US"/>
        </w:rPr>
      </w:pPr>
      <w:r w:rsidRPr="007E558D">
        <w:rPr>
          <w:lang w:eastAsia="en-US"/>
        </w:rPr>
        <w:t>Živilskopredelovalna industrija</w:t>
      </w:r>
      <w:r w:rsidR="0071006D" w:rsidRPr="007E558D">
        <w:rPr>
          <w:rStyle w:val="Sprotnaopomba-sklic"/>
          <w:sz w:val="22"/>
        </w:rPr>
        <w:footnoteReference w:id="25"/>
      </w:r>
      <w:r w:rsidRPr="007E558D">
        <w:rPr>
          <w:lang w:eastAsia="en-US"/>
        </w:rPr>
        <w:t xml:space="preserve"> ima velik pomen predvsem pri ohranjanju </w:t>
      </w:r>
      <w:r w:rsidR="004F53AF" w:rsidRPr="007E558D">
        <w:rPr>
          <w:lang w:eastAsia="en-US"/>
        </w:rPr>
        <w:t xml:space="preserve">primarne </w:t>
      </w:r>
      <w:r w:rsidRPr="007E558D">
        <w:rPr>
          <w:lang w:eastAsia="en-US"/>
        </w:rPr>
        <w:t>kmetijske pridelave</w:t>
      </w:r>
      <w:r w:rsidR="004F53AF" w:rsidRPr="007E558D">
        <w:rPr>
          <w:lang w:eastAsia="en-US"/>
        </w:rPr>
        <w:t>.</w:t>
      </w:r>
      <w:r w:rsidRPr="007E558D">
        <w:rPr>
          <w:lang w:eastAsia="en-US"/>
        </w:rPr>
        <w:t xml:space="preserve"> Proizvodnja hrane in pijač spada med strateško pomembne dejavnosti slovenskega gospodarstva ter ima zaradi močne vpetosti v domače nabavne vire enega najvišjih multiplikativnih učinkov na nacionalno gospodarstvo.</w:t>
      </w:r>
    </w:p>
    <w:p w14:paraId="59C84EB9" w14:textId="77777777" w:rsidR="003406B9" w:rsidRPr="0047652B" w:rsidRDefault="003406B9" w:rsidP="007613FE">
      <w:pPr>
        <w:spacing w:before="0" w:line="260" w:lineRule="atLeast"/>
        <w:rPr>
          <w:sz w:val="20"/>
          <w:lang w:eastAsia="en-US"/>
        </w:rPr>
      </w:pPr>
    </w:p>
    <w:p w14:paraId="7480F0FC" w14:textId="3D17674F" w:rsidR="003406B9" w:rsidRPr="00FA0AA9" w:rsidRDefault="003406B9" w:rsidP="007E558D">
      <w:pPr>
        <w:pStyle w:val="Naslov2"/>
        <w:rPr>
          <w:rFonts w:eastAsiaTheme="minorHAnsi"/>
        </w:rPr>
      </w:pPr>
      <w:bookmarkStart w:id="3229" w:name="_Toc90462290"/>
      <w:r w:rsidRPr="009F3567">
        <w:t>Število podjetij in zaposlenih</w:t>
      </w:r>
      <w:bookmarkEnd w:id="3229"/>
      <w:r w:rsidRPr="009F3567">
        <w:t xml:space="preserve"> </w:t>
      </w:r>
    </w:p>
    <w:p w14:paraId="11A9F553" w14:textId="77777777" w:rsidR="003406B9" w:rsidRPr="0047652B" w:rsidRDefault="003406B9" w:rsidP="007613FE">
      <w:pPr>
        <w:spacing w:before="0" w:line="260" w:lineRule="atLeast"/>
        <w:rPr>
          <w:sz w:val="20"/>
          <w:szCs w:val="20"/>
        </w:rPr>
      </w:pPr>
    </w:p>
    <w:p w14:paraId="3CB986E9" w14:textId="641A2D68" w:rsidR="004D7563" w:rsidRPr="007E558D" w:rsidRDefault="003406B9" w:rsidP="007613FE">
      <w:pPr>
        <w:spacing w:before="0" w:line="260" w:lineRule="atLeast"/>
        <w:rPr>
          <w:szCs w:val="20"/>
        </w:rPr>
      </w:pPr>
      <w:r w:rsidRPr="007E558D">
        <w:rPr>
          <w:szCs w:val="20"/>
        </w:rPr>
        <w:t xml:space="preserve">Število podjetij v </w:t>
      </w:r>
      <w:r w:rsidR="000E6065" w:rsidRPr="007E558D">
        <w:rPr>
          <w:szCs w:val="20"/>
        </w:rPr>
        <w:t xml:space="preserve">ŽPI </w:t>
      </w:r>
      <w:r w:rsidR="00B2017B" w:rsidRPr="007E558D">
        <w:rPr>
          <w:szCs w:val="20"/>
        </w:rPr>
        <w:t xml:space="preserve">se </w:t>
      </w:r>
      <w:r w:rsidR="000E6065" w:rsidRPr="007E558D">
        <w:rPr>
          <w:szCs w:val="20"/>
        </w:rPr>
        <w:t>je v obdobju 2014-20</w:t>
      </w:r>
      <w:r w:rsidR="004B4BE9" w:rsidRPr="007E558D">
        <w:rPr>
          <w:szCs w:val="20"/>
        </w:rPr>
        <w:t>19</w:t>
      </w:r>
      <w:r w:rsidRPr="007E558D">
        <w:rPr>
          <w:szCs w:val="20"/>
        </w:rPr>
        <w:t xml:space="preserve"> </w:t>
      </w:r>
      <w:r w:rsidR="00B2017B" w:rsidRPr="007E558D">
        <w:rPr>
          <w:szCs w:val="20"/>
        </w:rPr>
        <w:t xml:space="preserve">povečalo za 8 %, in sicer </w:t>
      </w:r>
      <w:r w:rsidRPr="007E558D">
        <w:rPr>
          <w:szCs w:val="20"/>
        </w:rPr>
        <w:t xml:space="preserve">od 689 v letu 2014 do </w:t>
      </w:r>
      <w:r w:rsidR="00C427CD" w:rsidRPr="007E558D">
        <w:rPr>
          <w:szCs w:val="20"/>
        </w:rPr>
        <w:t>745</w:t>
      </w:r>
      <w:r w:rsidRPr="007E558D">
        <w:rPr>
          <w:szCs w:val="20"/>
        </w:rPr>
        <w:t xml:space="preserve"> v letu </w:t>
      </w:r>
      <w:r w:rsidR="00C427CD" w:rsidRPr="007E558D">
        <w:rPr>
          <w:szCs w:val="20"/>
        </w:rPr>
        <w:t>2019</w:t>
      </w:r>
      <w:r w:rsidR="004B1043" w:rsidRPr="007E558D">
        <w:rPr>
          <w:szCs w:val="20"/>
        </w:rPr>
        <w:t xml:space="preserve"> (</w:t>
      </w:r>
      <w:r w:rsidR="00967FC2" w:rsidRPr="007E558D">
        <w:rPr>
          <w:szCs w:val="20"/>
        </w:rPr>
        <w:fldChar w:fldCharType="begin"/>
      </w:r>
      <w:r w:rsidR="00967FC2" w:rsidRPr="007E558D">
        <w:rPr>
          <w:szCs w:val="20"/>
        </w:rPr>
        <w:instrText xml:space="preserve"> REF _Ref54817325 \h  \* MERGEFORMAT </w:instrText>
      </w:r>
      <w:r w:rsidR="00967FC2" w:rsidRPr="007E558D">
        <w:rPr>
          <w:szCs w:val="20"/>
        </w:rPr>
      </w:r>
      <w:r w:rsidR="00967FC2" w:rsidRPr="007E558D">
        <w:rPr>
          <w:szCs w:val="20"/>
        </w:rPr>
        <w:fldChar w:fldCharType="separate"/>
      </w:r>
      <w:r w:rsidR="0088117A" w:rsidRPr="0088117A">
        <w:rPr>
          <w:szCs w:val="20"/>
        </w:rPr>
        <w:t>Tabela</w:t>
      </w:r>
      <w:r w:rsidR="0088117A" w:rsidRPr="0088117A">
        <w:rPr>
          <w:noProof/>
          <w:szCs w:val="20"/>
        </w:rPr>
        <w:t xml:space="preserve"> 24</w:t>
      </w:r>
      <w:r w:rsidR="00967FC2" w:rsidRPr="007E558D">
        <w:rPr>
          <w:szCs w:val="20"/>
        </w:rPr>
        <w:fldChar w:fldCharType="end"/>
      </w:r>
      <w:r w:rsidR="004B1043" w:rsidRPr="007E558D">
        <w:rPr>
          <w:szCs w:val="20"/>
        </w:rPr>
        <w:t>)</w:t>
      </w:r>
      <w:r w:rsidRPr="007E558D">
        <w:rPr>
          <w:szCs w:val="20"/>
        </w:rPr>
        <w:t xml:space="preserve">. </w:t>
      </w:r>
      <w:r w:rsidR="004D7563" w:rsidRPr="007E558D">
        <w:rPr>
          <w:szCs w:val="20"/>
        </w:rPr>
        <w:t>Glede na velikost je n</w:t>
      </w:r>
      <w:r w:rsidRPr="007E558D">
        <w:rPr>
          <w:szCs w:val="20"/>
        </w:rPr>
        <w:t>ajveč mikro podjetij.</w:t>
      </w:r>
      <w:r w:rsidR="004D7563" w:rsidRPr="007E558D">
        <w:rPr>
          <w:szCs w:val="20"/>
        </w:rPr>
        <w:t xml:space="preserve"> </w:t>
      </w:r>
    </w:p>
    <w:p w14:paraId="24C11797" w14:textId="77777777" w:rsidR="004D7563" w:rsidRPr="007E558D" w:rsidRDefault="004D7563" w:rsidP="007613FE">
      <w:pPr>
        <w:spacing w:before="0" w:line="260" w:lineRule="atLeast"/>
        <w:rPr>
          <w:szCs w:val="20"/>
        </w:rPr>
      </w:pPr>
    </w:p>
    <w:p w14:paraId="55405E54" w14:textId="59937606" w:rsidR="003406B9" w:rsidRPr="007E558D" w:rsidRDefault="003406B9" w:rsidP="007613FE">
      <w:pPr>
        <w:spacing w:before="0" w:line="260" w:lineRule="atLeast"/>
        <w:rPr>
          <w:szCs w:val="20"/>
        </w:rPr>
      </w:pPr>
      <w:r w:rsidRPr="007E558D">
        <w:rPr>
          <w:szCs w:val="20"/>
        </w:rPr>
        <w:t>Kljub temu, da</w:t>
      </w:r>
      <w:r w:rsidR="00D73045" w:rsidRPr="007E558D">
        <w:rPr>
          <w:szCs w:val="20"/>
        </w:rPr>
        <w:t xml:space="preserve"> so</w:t>
      </w:r>
      <w:r w:rsidRPr="007E558D">
        <w:rPr>
          <w:szCs w:val="20"/>
        </w:rPr>
        <w:t xml:space="preserve"> velika podjetja </w:t>
      </w:r>
      <w:r w:rsidR="00D73045" w:rsidRPr="007E558D">
        <w:rPr>
          <w:szCs w:val="20"/>
        </w:rPr>
        <w:t xml:space="preserve">v letu 2018 </w:t>
      </w:r>
      <w:r w:rsidRPr="007E558D">
        <w:rPr>
          <w:szCs w:val="20"/>
        </w:rPr>
        <w:t>predstavlja</w:t>
      </w:r>
      <w:r w:rsidR="00D73045" w:rsidRPr="007E558D">
        <w:rPr>
          <w:szCs w:val="20"/>
        </w:rPr>
        <w:t>la</w:t>
      </w:r>
      <w:r w:rsidRPr="007E558D">
        <w:rPr>
          <w:szCs w:val="20"/>
        </w:rPr>
        <w:t xml:space="preserve"> le 2 % živilskih podjetij, </w:t>
      </w:r>
      <w:r w:rsidR="00D73045" w:rsidRPr="007E558D">
        <w:rPr>
          <w:szCs w:val="20"/>
        </w:rPr>
        <w:t xml:space="preserve">so </w:t>
      </w:r>
      <w:r w:rsidRPr="007E558D">
        <w:rPr>
          <w:szCs w:val="20"/>
        </w:rPr>
        <w:t>prispeva</w:t>
      </w:r>
      <w:r w:rsidR="00D73045" w:rsidRPr="007E558D">
        <w:rPr>
          <w:szCs w:val="20"/>
        </w:rPr>
        <w:t>la</w:t>
      </w:r>
      <w:r w:rsidRPr="007E558D">
        <w:rPr>
          <w:szCs w:val="20"/>
        </w:rPr>
        <w:t xml:space="preserve"> največ k številu zaposlenih (53 %), dodani vrednosti (64 %) ter čistim prihodkom od prodaje (63 %).</w:t>
      </w:r>
      <w:r w:rsidR="00D73045" w:rsidRPr="007E558D">
        <w:rPr>
          <w:szCs w:val="20"/>
        </w:rPr>
        <w:t xml:space="preserve"> </w:t>
      </w:r>
      <w:r w:rsidR="004D7563" w:rsidRPr="007E558D">
        <w:rPr>
          <w:szCs w:val="20"/>
        </w:rPr>
        <w:t>(Gospodarska zbornica Slovenije, 2019).</w:t>
      </w:r>
    </w:p>
    <w:p w14:paraId="07EF7007" w14:textId="77777777" w:rsidR="004D7563" w:rsidRPr="007E558D" w:rsidRDefault="004D7563" w:rsidP="007613FE">
      <w:pPr>
        <w:spacing w:before="0" w:line="260" w:lineRule="atLeast"/>
        <w:rPr>
          <w:szCs w:val="20"/>
        </w:rPr>
      </w:pPr>
    </w:p>
    <w:p w14:paraId="0C6ADE8D" w14:textId="212FBE64" w:rsidR="00B2017B" w:rsidRPr="007E558D" w:rsidRDefault="003406B9" w:rsidP="007613FE">
      <w:pPr>
        <w:spacing w:before="0" w:line="260" w:lineRule="atLeast"/>
        <w:rPr>
          <w:szCs w:val="20"/>
        </w:rPr>
      </w:pPr>
      <w:r w:rsidRPr="007E558D">
        <w:rPr>
          <w:szCs w:val="20"/>
        </w:rPr>
        <w:t xml:space="preserve">Med vsemi predelovalnimi dejavnostmi je </w:t>
      </w:r>
      <w:r w:rsidR="00E9023E" w:rsidRPr="007E558D">
        <w:rPr>
          <w:szCs w:val="20"/>
        </w:rPr>
        <w:t xml:space="preserve">bila </w:t>
      </w:r>
      <w:r w:rsidRPr="007E558D">
        <w:rPr>
          <w:szCs w:val="20"/>
        </w:rPr>
        <w:t xml:space="preserve">ŽPI </w:t>
      </w:r>
      <w:r w:rsidR="00E9023E" w:rsidRPr="007E558D">
        <w:rPr>
          <w:szCs w:val="20"/>
        </w:rPr>
        <w:t xml:space="preserve">v letu 2019 </w:t>
      </w:r>
      <w:r w:rsidRPr="007E558D">
        <w:rPr>
          <w:szCs w:val="20"/>
        </w:rPr>
        <w:t>šesti največji zaposlovalec v Sloveniji s 14.</w:t>
      </w:r>
      <w:r w:rsidR="00E9023E" w:rsidRPr="007E558D">
        <w:rPr>
          <w:szCs w:val="20"/>
        </w:rPr>
        <w:t>628</w:t>
      </w:r>
      <w:r w:rsidRPr="007E558D">
        <w:rPr>
          <w:szCs w:val="20"/>
        </w:rPr>
        <w:t xml:space="preserve"> zaposlenimi. </w:t>
      </w:r>
      <w:r w:rsidR="00B2017B" w:rsidRPr="007E558D">
        <w:rPr>
          <w:szCs w:val="20"/>
        </w:rPr>
        <w:t>V obdobju 2014 -2019 se je števila zaposlenih povečalo za 17% in je v korelaciji z rastjo števila podjetij (</w:t>
      </w:r>
      <w:r w:rsidR="00E972D4" w:rsidRPr="007E558D">
        <w:rPr>
          <w:szCs w:val="20"/>
        </w:rPr>
        <w:fldChar w:fldCharType="begin"/>
      </w:r>
      <w:r w:rsidR="00E972D4" w:rsidRPr="007E558D">
        <w:rPr>
          <w:szCs w:val="20"/>
        </w:rPr>
        <w:instrText xml:space="preserve"> REF _Ref54817325 \h  \* MERGEFORMAT </w:instrText>
      </w:r>
      <w:r w:rsidR="00E972D4" w:rsidRPr="007E558D">
        <w:rPr>
          <w:szCs w:val="20"/>
        </w:rPr>
      </w:r>
      <w:r w:rsidR="00E972D4" w:rsidRPr="007E558D">
        <w:rPr>
          <w:szCs w:val="20"/>
        </w:rPr>
        <w:fldChar w:fldCharType="separate"/>
      </w:r>
      <w:r w:rsidR="0088117A" w:rsidRPr="0088117A">
        <w:rPr>
          <w:szCs w:val="20"/>
        </w:rPr>
        <w:t>Tabela</w:t>
      </w:r>
      <w:r w:rsidR="0088117A" w:rsidRPr="0088117A">
        <w:rPr>
          <w:noProof/>
          <w:szCs w:val="20"/>
        </w:rPr>
        <w:t xml:space="preserve"> </w:t>
      </w:r>
      <w:r w:rsidR="0088117A" w:rsidRPr="0088117A">
        <w:rPr>
          <w:noProof/>
          <w:sz w:val="24"/>
          <w:szCs w:val="16"/>
        </w:rPr>
        <w:t>24</w:t>
      </w:r>
      <w:r w:rsidR="00E972D4" w:rsidRPr="007E558D">
        <w:rPr>
          <w:szCs w:val="20"/>
        </w:rPr>
        <w:fldChar w:fldCharType="end"/>
      </w:r>
      <w:r w:rsidR="00B2017B" w:rsidRPr="007E558D">
        <w:rPr>
          <w:szCs w:val="20"/>
        </w:rPr>
        <w:t>). Glede na gospodarske razmere, ki so posledica epidemije COVID-19 v letu 2020</w:t>
      </w:r>
      <w:r w:rsidR="00870E2C" w:rsidRPr="007E558D">
        <w:rPr>
          <w:szCs w:val="20"/>
        </w:rPr>
        <w:t>,</w:t>
      </w:r>
      <w:r w:rsidR="00B2017B" w:rsidRPr="007E558D">
        <w:rPr>
          <w:szCs w:val="20"/>
        </w:rPr>
        <w:t xml:space="preserve"> obstaja možnost zmanjševanja števila podjetij in posledično tudi števila zaposlenih. </w:t>
      </w:r>
    </w:p>
    <w:p w14:paraId="79E8ABAC" w14:textId="77777777" w:rsidR="00B2017B" w:rsidRPr="007E558D" w:rsidRDefault="00B2017B" w:rsidP="007613FE">
      <w:pPr>
        <w:spacing w:before="0" w:line="260" w:lineRule="atLeast"/>
        <w:rPr>
          <w:szCs w:val="20"/>
        </w:rPr>
      </w:pPr>
    </w:p>
    <w:p w14:paraId="216F929C" w14:textId="1153B278" w:rsidR="003406B9" w:rsidRPr="007E558D" w:rsidRDefault="003406B9" w:rsidP="007613FE">
      <w:pPr>
        <w:spacing w:before="0" w:line="260" w:lineRule="atLeast"/>
        <w:rPr>
          <w:szCs w:val="20"/>
        </w:rPr>
      </w:pPr>
      <w:r w:rsidRPr="007E558D">
        <w:rPr>
          <w:szCs w:val="20"/>
        </w:rPr>
        <w:t>Znotraj ŽPI največ ljudi zaposluje dejavnost Proizvodnja pekarskih izdelkov in testenin (</w:t>
      </w:r>
      <w:r w:rsidR="00E9023E" w:rsidRPr="007E558D">
        <w:rPr>
          <w:szCs w:val="20"/>
        </w:rPr>
        <w:t>4.579</w:t>
      </w:r>
      <w:r w:rsidRPr="007E558D">
        <w:rPr>
          <w:szCs w:val="20"/>
        </w:rPr>
        <w:t>), sledi proizvodnja mesa in mesnih izdelkov (</w:t>
      </w:r>
      <w:r w:rsidR="00E9023E" w:rsidRPr="007E558D">
        <w:rPr>
          <w:szCs w:val="20"/>
        </w:rPr>
        <w:t>4.447</w:t>
      </w:r>
      <w:r w:rsidRPr="007E558D">
        <w:rPr>
          <w:szCs w:val="20"/>
        </w:rPr>
        <w:t>), več kot 1.000 zaposlenih pa zaposlujejo še Predelava mleka, Proizvodnja pijač in Proizvodnja drugih prehrambenih izdelkov.</w:t>
      </w:r>
    </w:p>
    <w:p w14:paraId="1EEDD1CB" w14:textId="77777777" w:rsidR="003406B9" w:rsidRPr="007E558D" w:rsidRDefault="003406B9" w:rsidP="007613FE">
      <w:pPr>
        <w:spacing w:before="0" w:line="260" w:lineRule="atLeast"/>
        <w:rPr>
          <w:szCs w:val="20"/>
          <w:lang w:eastAsia="en-US"/>
        </w:rPr>
      </w:pPr>
    </w:p>
    <w:p w14:paraId="3C287CAF" w14:textId="29B4C14D" w:rsidR="004D4726" w:rsidRPr="007E558D" w:rsidRDefault="003406B9" w:rsidP="007613FE">
      <w:pPr>
        <w:spacing w:before="0" w:line="260" w:lineRule="atLeast"/>
        <w:rPr>
          <w:szCs w:val="20"/>
        </w:rPr>
      </w:pPr>
      <w:r w:rsidRPr="007E558D">
        <w:rPr>
          <w:szCs w:val="20"/>
        </w:rPr>
        <w:t>Največji delež podjetij (</w:t>
      </w:r>
      <w:r w:rsidR="00011EEF" w:rsidRPr="007E558D">
        <w:rPr>
          <w:szCs w:val="20"/>
        </w:rPr>
        <w:t>44</w:t>
      </w:r>
      <w:r w:rsidRPr="007E558D">
        <w:rPr>
          <w:szCs w:val="20"/>
        </w:rPr>
        <w:t xml:space="preserve"> %) je bil v letu </w:t>
      </w:r>
      <w:r w:rsidR="00011EEF" w:rsidRPr="007E558D">
        <w:rPr>
          <w:szCs w:val="20"/>
        </w:rPr>
        <w:t>2019</w:t>
      </w:r>
      <w:r w:rsidRPr="007E558D">
        <w:rPr>
          <w:szCs w:val="20"/>
        </w:rPr>
        <w:t xml:space="preserve"> iz dejavnosti Proizvodnja pekarskih izdelkov in testenin, največji delež čistih prihodkov od prodaje pa v dejavnosti Proizvodnja mesa in mesnih izdelkov (</w:t>
      </w:r>
      <w:r w:rsidR="00011EEF" w:rsidRPr="007E558D">
        <w:rPr>
          <w:szCs w:val="20"/>
        </w:rPr>
        <w:t>31</w:t>
      </w:r>
      <w:r w:rsidRPr="007E558D">
        <w:rPr>
          <w:szCs w:val="20"/>
        </w:rPr>
        <w:t xml:space="preserve"> %). </w:t>
      </w:r>
      <w:r w:rsidR="00483030" w:rsidRPr="007E558D">
        <w:rPr>
          <w:szCs w:val="20"/>
        </w:rPr>
        <w:t>Podjetja iz dejavnosti Proizvodnja mesa in mesnih izdelkov tudi največ prispevajo k dodani vrednosti (</w:t>
      </w:r>
      <w:r w:rsidR="00011EEF" w:rsidRPr="007E558D">
        <w:rPr>
          <w:szCs w:val="20"/>
        </w:rPr>
        <w:t>25</w:t>
      </w:r>
      <w:r w:rsidR="00483030" w:rsidRPr="007E558D">
        <w:rPr>
          <w:szCs w:val="20"/>
        </w:rPr>
        <w:t xml:space="preserve"> %).</w:t>
      </w:r>
      <w:r w:rsidR="00B2017B" w:rsidRPr="007E558D">
        <w:rPr>
          <w:szCs w:val="20"/>
        </w:rPr>
        <w:t xml:space="preserve"> </w:t>
      </w:r>
      <w:r w:rsidR="00483030" w:rsidRPr="007E558D">
        <w:rPr>
          <w:szCs w:val="20"/>
        </w:rPr>
        <w:t>Z največjim čistim dobičkom pa so poslovala podjetja iz dejavnosti Proizvodnje pijač (</w:t>
      </w:r>
      <w:r w:rsidR="00011EEF" w:rsidRPr="007E558D">
        <w:rPr>
          <w:szCs w:val="20"/>
        </w:rPr>
        <w:t>23</w:t>
      </w:r>
      <w:r w:rsidR="00483030" w:rsidRPr="007E558D">
        <w:rPr>
          <w:szCs w:val="20"/>
        </w:rPr>
        <w:t xml:space="preserve"> mio EUR).</w:t>
      </w:r>
      <w:r w:rsidR="004D4726" w:rsidRPr="007E558D">
        <w:rPr>
          <w:szCs w:val="20"/>
        </w:rPr>
        <w:t xml:space="preserve"> </w:t>
      </w:r>
    </w:p>
    <w:p w14:paraId="68BDD3F2" w14:textId="77777777" w:rsidR="003406B9" w:rsidRPr="007E558D" w:rsidRDefault="003406B9" w:rsidP="007613FE">
      <w:pPr>
        <w:spacing w:before="0" w:line="260" w:lineRule="atLeast"/>
        <w:rPr>
          <w:szCs w:val="20"/>
        </w:rPr>
      </w:pPr>
    </w:p>
    <w:p w14:paraId="5578D071" w14:textId="73E087F1" w:rsidR="003406B9" w:rsidRPr="007E558D" w:rsidRDefault="003406B9" w:rsidP="007613FE">
      <w:pPr>
        <w:spacing w:before="0" w:line="260" w:lineRule="atLeast"/>
        <w:rPr>
          <w:szCs w:val="20"/>
        </w:rPr>
      </w:pPr>
      <w:r w:rsidRPr="007E558D">
        <w:rPr>
          <w:szCs w:val="20"/>
        </w:rPr>
        <w:t>Živilska industrija je zastopana v vseh slovenskih statističnih regijah</w:t>
      </w:r>
      <w:r w:rsidR="006C615F" w:rsidRPr="007E558D">
        <w:rPr>
          <w:szCs w:val="20"/>
        </w:rPr>
        <w:t>. V letu 2018 je</w:t>
      </w:r>
      <w:r w:rsidRPr="007E558D">
        <w:rPr>
          <w:szCs w:val="20"/>
        </w:rPr>
        <w:t xml:space="preserve"> največ podjetij </w:t>
      </w:r>
      <w:r w:rsidR="006C615F" w:rsidRPr="007E558D">
        <w:rPr>
          <w:szCs w:val="20"/>
        </w:rPr>
        <w:t>poslovalo</w:t>
      </w:r>
      <w:r w:rsidRPr="007E558D">
        <w:rPr>
          <w:szCs w:val="20"/>
        </w:rPr>
        <w:t xml:space="preserve"> v osrednjeslovenski regiji (29 %), sledijo podravska (14 %), gorenjska (11 %) ter savinjska (10 %) statistična regija. </w:t>
      </w:r>
      <w:r w:rsidR="00E222C0" w:rsidRPr="007E558D">
        <w:rPr>
          <w:rFonts w:eastAsiaTheme="minorHAnsi"/>
          <w:szCs w:val="20"/>
          <w:lang w:eastAsia="en-US"/>
        </w:rPr>
        <w:t xml:space="preserve">Majhno število podjetij je v Pomurski regiji, kjer je sicer velika proizvodnja kmetijskih pridelkov. </w:t>
      </w:r>
      <w:r w:rsidRPr="007E558D">
        <w:rPr>
          <w:szCs w:val="20"/>
        </w:rPr>
        <w:t>Najuspešnejša je ŽPI v osrednjeslovenski statistični regiji, tako po dodani vrednosti (</w:t>
      </w:r>
      <w:r w:rsidR="00FB37B8" w:rsidRPr="007E558D">
        <w:rPr>
          <w:szCs w:val="20"/>
        </w:rPr>
        <w:t>47</w:t>
      </w:r>
      <w:r w:rsidRPr="007E558D">
        <w:rPr>
          <w:szCs w:val="20"/>
        </w:rPr>
        <w:t xml:space="preserve"> % celotne dodane vrednosti ŽPI) kot tudi po čistih prihodkih od prodaje (44 %)</w:t>
      </w:r>
      <w:r w:rsidR="005A1BE2" w:rsidRPr="007E558D">
        <w:rPr>
          <w:szCs w:val="20"/>
        </w:rPr>
        <w:t>.</w:t>
      </w:r>
      <w:r w:rsidRPr="007E558D">
        <w:rPr>
          <w:szCs w:val="20"/>
        </w:rPr>
        <w:t xml:space="preserve"> </w:t>
      </w:r>
      <w:r w:rsidR="0099244F" w:rsidRPr="007E558D">
        <w:rPr>
          <w:szCs w:val="20"/>
        </w:rPr>
        <w:t>(Gospodarska zbornica Slovenije, 2019)</w:t>
      </w:r>
    </w:p>
    <w:p w14:paraId="14D3BB01" w14:textId="4BCCD346" w:rsidR="003406B9" w:rsidRDefault="003406B9" w:rsidP="007613FE">
      <w:pPr>
        <w:spacing w:before="0" w:line="260" w:lineRule="atLeast"/>
        <w:rPr>
          <w:sz w:val="20"/>
          <w:szCs w:val="20"/>
        </w:rPr>
      </w:pPr>
    </w:p>
    <w:p w14:paraId="03DE1EFE" w14:textId="2C00B831" w:rsidR="00A15A53" w:rsidRPr="00BF5A01" w:rsidRDefault="008562DC" w:rsidP="007E558D">
      <w:pPr>
        <w:pStyle w:val="SCPreglednica"/>
      </w:pPr>
      <w:bookmarkStart w:id="3230" w:name="_Ref54817325"/>
      <w:bookmarkStart w:id="3231" w:name="_Toc89861025"/>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33</w:t>
      </w:r>
      <w:r w:rsidR="009F2591">
        <w:rPr>
          <w:noProof/>
        </w:rPr>
        <w:fldChar w:fldCharType="end"/>
      </w:r>
      <w:bookmarkEnd w:id="3230"/>
      <w:r w:rsidRPr="009F3567">
        <w:t xml:space="preserve">: Gibanje pomembnejših kazalnikov poslovanja živilskopredelovalne industrije; </w:t>
      </w:r>
      <w:r>
        <w:t>2014-2019</w:t>
      </w:r>
      <w:bookmarkEnd w:id="3231"/>
    </w:p>
    <w:tbl>
      <w:tblPr>
        <w:tblW w:w="5074"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422"/>
        <w:gridCol w:w="807"/>
        <w:gridCol w:w="807"/>
        <w:gridCol w:w="807"/>
        <w:gridCol w:w="807"/>
        <w:gridCol w:w="806"/>
        <w:gridCol w:w="806"/>
        <w:gridCol w:w="934"/>
      </w:tblGrid>
      <w:tr w:rsidR="008562DC" w:rsidRPr="00A6198D" w14:paraId="7E47096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186E18E" w14:textId="77777777" w:rsidR="008562DC" w:rsidRPr="00A6198D" w:rsidRDefault="008562DC"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87E46B" w14:textId="77777777" w:rsidR="008562DC" w:rsidRPr="00A6198D" w:rsidRDefault="008562DC" w:rsidP="00BA469C">
            <w:pPr>
              <w:keepNext/>
              <w:spacing w:before="0" w:line="276" w:lineRule="auto"/>
              <w:rPr>
                <w:b/>
                <w:sz w:val="16"/>
                <w:szCs w:val="16"/>
              </w:rPr>
            </w:pPr>
            <w:r w:rsidRPr="00A6198D">
              <w:rPr>
                <w:b/>
                <w:sz w:val="16"/>
                <w:szCs w:val="16"/>
              </w:rPr>
              <w:t>2014</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52C2EC" w14:textId="77777777" w:rsidR="008562DC" w:rsidRPr="00A6198D" w:rsidRDefault="008562DC" w:rsidP="00BA469C">
            <w:pPr>
              <w:keepNext/>
              <w:spacing w:before="0" w:line="276" w:lineRule="auto"/>
              <w:rPr>
                <w:b/>
                <w:sz w:val="16"/>
                <w:szCs w:val="16"/>
              </w:rPr>
            </w:pPr>
            <w:r w:rsidRPr="00A6198D">
              <w:rPr>
                <w:b/>
                <w:sz w:val="16"/>
                <w:szCs w:val="16"/>
              </w:rPr>
              <w:t>2015</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80CC0DB" w14:textId="77777777" w:rsidR="008562DC" w:rsidRPr="00A6198D" w:rsidRDefault="008562DC" w:rsidP="00BA469C">
            <w:pPr>
              <w:keepNext/>
              <w:spacing w:before="0" w:line="276" w:lineRule="auto"/>
              <w:rPr>
                <w:b/>
                <w:sz w:val="16"/>
                <w:szCs w:val="16"/>
              </w:rPr>
            </w:pPr>
            <w:r w:rsidRPr="00A6198D">
              <w:rPr>
                <w:b/>
                <w:sz w:val="16"/>
                <w:szCs w:val="16"/>
              </w:rPr>
              <w:t>2016</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1C4F8BC5" w14:textId="77777777" w:rsidR="008562DC" w:rsidRPr="00A6198D" w:rsidRDefault="008562DC" w:rsidP="00BA469C">
            <w:pPr>
              <w:keepNext/>
              <w:spacing w:before="0" w:line="276" w:lineRule="auto"/>
              <w:rPr>
                <w:b/>
                <w:sz w:val="16"/>
                <w:szCs w:val="16"/>
              </w:rPr>
            </w:pPr>
            <w:r w:rsidRPr="00A6198D">
              <w:rPr>
                <w:b/>
                <w:sz w:val="16"/>
                <w:szCs w:val="16"/>
              </w:rPr>
              <w:t>2017</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2B1C1EF" w14:textId="77777777" w:rsidR="008562DC" w:rsidRPr="00A6198D" w:rsidRDefault="008562DC" w:rsidP="00BA469C">
            <w:pPr>
              <w:keepNext/>
              <w:spacing w:before="0" w:line="276" w:lineRule="auto"/>
              <w:rPr>
                <w:b/>
                <w:sz w:val="16"/>
                <w:szCs w:val="16"/>
              </w:rPr>
            </w:pPr>
            <w:r w:rsidRPr="00A6198D">
              <w:rPr>
                <w:b/>
                <w:sz w:val="16"/>
                <w:szCs w:val="16"/>
              </w:rPr>
              <w:t>2018</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869BE98" w14:textId="77777777" w:rsidR="008562DC" w:rsidRPr="00A6198D" w:rsidRDefault="008562DC" w:rsidP="00BA469C">
            <w:pPr>
              <w:keepNext/>
              <w:spacing w:before="0" w:line="276" w:lineRule="auto"/>
              <w:rPr>
                <w:b/>
                <w:sz w:val="16"/>
                <w:szCs w:val="16"/>
              </w:rPr>
            </w:pPr>
            <w:r w:rsidRPr="00A6198D">
              <w:rPr>
                <w:b/>
                <w:sz w:val="16"/>
                <w:szCs w:val="16"/>
              </w:rPr>
              <w:t>2019</w:t>
            </w: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BC1C614" w14:textId="77777777" w:rsidR="008562DC" w:rsidRPr="00A6198D" w:rsidRDefault="008562DC" w:rsidP="00BA469C">
            <w:pPr>
              <w:keepNext/>
              <w:spacing w:before="0" w:line="276" w:lineRule="auto"/>
              <w:rPr>
                <w:b/>
                <w:sz w:val="16"/>
                <w:szCs w:val="16"/>
              </w:rPr>
            </w:pPr>
            <w:r w:rsidRPr="00A6198D">
              <w:rPr>
                <w:b/>
                <w:sz w:val="16"/>
                <w:szCs w:val="16"/>
              </w:rPr>
              <w:t>Indeks (realno)</w:t>
            </w:r>
          </w:p>
          <w:p w14:paraId="13D8C695" w14:textId="77777777" w:rsidR="008562DC" w:rsidRPr="00A6198D" w:rsidRDefault="008562DC" w:rsidP="00BA469C">
            <w:pPr>
              <w:keepNext/>
              <w:spacing w:before="0" w:line="276" w:lineRule="auto"/>
              <w:rPr>
                <w:b/>
                <w:sz w:val="16"/>
                <w:szCs w:val="16"/>
              </w:rPr>
            </w:pPr>
            <w:r w:rsidRPr="00A6198D">
              <w:rPr>
                <w:b/>
                <w:sz w:val="16"/>
                <w:szCs w:val="16"/>
              </w:rPr>
              <w:t>2019/18</w:t>
            </w:r>
          </w:p>
        </w:tc>
      </w:tr>
      <w:tr w:rsidR="00A15A53" w:rsidRPr="00A6198D" w14:paraId="16190DB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13DCC96"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ADE770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388130A"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64F50E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BDEB74E"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2B1703"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21E823E" w14:textId="77777777" w:rsidR="00A15A53" w:rsidRPr="00A6198D" w:rsidRDefault="00A15A53" w:rsidP="00BA469C">
            <w:pPr>
              <w:keepNext/>
              <w:spacing w:before="0" w:line="276" w:lineRule="auto"/>
              <w:rPr>
                <w:b/>
                <w:sz w:val="16"/>
                <w:szCs w:val="16"/>
              </w:rPr>
            </w:pP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777482F" w14:textId="77777777" w:rsidR="00A15A53" w:rsidRPr="00A6198D" w:rsidRDefault="00A15A53" w:rsidP="00BA469C">
            <w:pPr>
              <w:keepNext/>
              <w:spacing w:before="0" w:line="276" w:lineRule="auto"/>
              <w:rPr>
                <w:b/>
                <w:sz w:val="16"/>
                <w:szCs w:val="16"/>
              </w:rPr>
            </w:pPr>
          </w:p>
        </w:tc>
      </w:tr>
      <w:tr w:rsidR="008562DC" w:rsidRPr="00A6198D" w14:paraId="031AEBBA"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63FEAD8" w14:textId="77777777" w:rsidR="008562DC" w:rsidRPr="00A6198D" w:rsidRDefault="008562DC" w:rsidP="00BA469C">
            <w:pPr>
              <w:keepNext/>
              <w:spacing w:before="0" w:line="276" w:lineRule="auto"/>
              <w:rPr>
                <w:sz w:val="16"/>
                <w:szCs w:val="16"/>
              </w:rPr>
            </w:pPr>
            <w:r w:rsidRPr="00A6198D">
              <w:rPr>
                <w:sz w:val="16"/>
                <w:szCs w:val="16"/>
              </w:rPr>
              <w:t xml:space="preserve">Število podjetij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D2105DB" w14:textId="77777777" w:rsidR="008562DC" w:rsidRPr="00A6198D" w:rsidRDefault="008562DC" w:rsidP="00BA469C">
            <w:pPr>
              <w:keepNext/>
              <w:spacing w:before="0" w:line="276" w:lineRule="auto"/>
              <w:rPr>
                <w:sz w:val="16"/>
                <w:szCs w:val="16"/>
              </w:rPr>
            </w:pPr>
            <w:r w:rsidRPr="00A6198D">
              <w:rPr>
                <w:sz w:val="16"/>
                <w:szCs w:val="16"/>
              </w:rPr>
              <w:t>689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6EA94E6" w14:textId="77777777" w:rsidR="008562DC" w:rsidRPr="00A6198D" w:rsidRDefault="008562DC" w:rsidP="00BA469C">
            <w:pPr>
              <w:keepNext/>
              <w:spacing w:before="0" w:line="276" w:lineRule="auto"/>
              <w:rPr>
                <w:sz w:val="16"/>
                <w:szCs w:val="16"/>
              </w:rPr>
            </w:pPr>
            <w:r w:rsidRPr="00A6198D">
              <w:rPr>
                <w:sz w:val="16"/>
                <w:szCs w:val="16"/>
              </w:rPr>
              <w:t>704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05F1C71" w14:textId="77777777" w:rsidR="008562DC" w:rsidRPr="00A6198D" w:rsidRDefault="008562DC" w:rsidP="00BA469C">
            <w:pPr>
              <w:keepNext/>
              <w:spacing w:before="0" w:line="276" w:lineRule="auto"/>
              <w:rPr>
                <w:sz w:val="16"/>
                <w:szCs w:val="16"/>
              </w:rPr>
            </w:pPr>
            <w:r w:rsidRPr="00A6198D">
              <w:rPr>
                <w:sz w:val="16"/>
                <w:szCs w:val="16"/>
              </w:rPr>
              <w:t>719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D2C935" w14:textId="77777777" w:rsidR="008562DC" w:rsidRPr="00A6198D" w:rsidRDefault="008562DC" w:rsidP="00BA469C">
            <w:pPr>
              <w:keepNext/>
              <w:spacing w:before="0" w:line="276" w:lineRule="auto"/>
              <w:rPr>
                <w:sz w:val="16"/>
                <w:szCs w:val="16"/>
              </w:rPr>
            </w:pPr>
            <w:r w:rsidRPr="00A6198D">
              <w:rPr>
                <w:sz w:val="16"/>
                <w:szCs w:val="16"/>
              </w:rPr>
              <w:t>733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7DCBE6" w14:textId="77777777" w:rsidR="008562DC" w:rsidRPr="00A6198D" w:rsidRDefault="008562DC" w:rsidP="00BA469C">
            <w:pPr>
              <w:keepNext/>
              <w:spacing w:before="0" w:line="276" w:lineRule="auto"/>
              <w:rPr>
                <w:sz w:val="16"/>
                <w:szCs w:val="16"/>
              </w:rPr>
            </w:pPr>
            <w:r w:rsidRPr="00A6198D">
              <w:rPr>
                <w:sz w:val="16"/>
                <w:szCs w:val="16"/>
              </w:rPr>
              <w:t>755</w:t>
            </w:r>
          </w:p>
        </w:tc>
        <w:tc>
          <w:tcPr>
            <w:tcW w:w="438" w:type="pct"/>
            <w:tcBorders>
              <w:top w:val="single" w:sz="4" w:space="0" w:color="008000"/>
              <w:left w:val="single" w:sz="4" w:space="0" w:color="008000"/>
              <w:bottom w:val="single" w:sz="4" w:space="0" w:color="008000"/>
              <w:right w:val="single" w:sz="4" w:space="0" w:color="008000"/>
            </w:tcBorders>
            <w:vAlign w:val="bottom"/>
          </w:tcPr>
          <w:p w14:paraId="35041005" w14:textId="77777777" w:rsidR="008562DC" w:rsidRPr="00A6198D" w:rsidRDefault="008562DC" w:rsidP="00BA469C">
            <w:pPr>
              <w:keepNext/>
              <w:spacing w:before="0" w:line="276" w:lineRule="auto"/>
              <w:rPr>
                <w:sz w:val="16"/>
                <w:szCs w:val="16"/>
              </w:rPr>
            </w:pPr>
            <w:r w:rsidRPr="00A6198D">
              <w:rPr>
                <w:sz w:val="16"/>
                <w:szCs w:val="16"/>
              </w:rPr>
              <w:t>745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7E76502" w14:textId="77777777" w:rsidR="008562DC" w:rsidRPr="00A6198D" w:rsidRDefault="008562DC" w:rsidP="00BA469C">
            <w:pPr>
              <w:keepNext/>
              <w:spacing w:before="0" w:line="276" w:lineRule="auto"/>
              <w:rPr>
                <w:sz w:val="16"/>
                <w:szCs w:val="16"/>
              </w:rPr>
            </w:pPr>
            <w:r w:rsidRPr="00A6198D">
              <w:rPr>
                <w:sz w:val="16"/>
                <w:szCs w:val="16"/>
              </w:rPr>
              <w:t>98,7</w:t>
            </w:r>
          </w:p>
        </w:tc>
      </w:tr>
      <w:tr w:rsidR="008562DC" w:rsidRPr="00A6198D" w14:paraId="230AF9C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AD1E48F" w14:textId="77777777" w:rsidR="008562DC" w:rsidRPr="00A6198D" w:rsidRDefault="008562DC" w:rsidP="00BA469C">
            <w:pPr>
              <w:keepNext/>
              <w:spacing w:before="0" w:line="276" w:lineRule="auto"/>
              <w:rPr>
                <w:sz w:val="16"/>
                <w:szCs w:val="16"/>
              </w:rPr>
            </w:pPr>
            <w:r w:rsidRPr="00A6198D">
              <w:rPr>
                <w:sz w:val="16"/>
                <w:szCs w:val="16"/>
              </w:rPr>
              <w:t xml:space="preserve">Število zaposlenih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13A1F50" w14:textId="77777777" w:rsidR="008562DC" w:rsidRPr="00A6198D" w:rsidRDefault="008562DC" w:rsidP="00BA469C">
            <w:pPr>
              <w:keepNext/>
              <w:spacing w:before="0" w:line="276" w:lineRule="auto"/>
              <w:rPr>
                <w:sz w:val="16"/>
                <w:szCs w:val="16"/>
              </w:rPr>
            </w:pPr>
            <w:r w:rsidRPr="00A6198D">
              <w:rPr>
                <w:sz w:val="16"/>
                <w:szCs w:val="16"/>
              </w:rPr>
              <w:t>12.498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DD016FB" w14:textId="77777777" w:rsidR="008562DC" w:rsidRPr="00A6198D" w:rsidRDefault="008562DC" w:rsidP="00BA469C">
            <w:pPr>
              <w:keepNext/>
              <w:spacing w:before="0" w:line="276" w:lineRule="auto"/>
              <w:rPr>
                <w:sz w:val="16"/>
                <w:szCs w:val="16"/>
              </w:rPr>
            </w:pPr>
            <w:r w:rsidRPr="00A6198D">
              <w:rPr>
                <w:sz w:val="16"/>
                <w:szCs w:val="16"/>
              </w:rPr>
              <w:t>12.658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30E69A2" w14:textId="77777777" w:rsidR="008562DC" w:rsidRPr="00A6198D" w:rsidRDefault="008562DC" w:rsidP="00BA469C">
            <w:pPr>
              <w:keepNext/>
              <w:spacing w:before="0" w:line="276" w:lineRule="auto"/>
              <w:rPr>
                <w:sz w:val="16"/>
                <w:szCs w:val="16"/>
              </w:rPr>
            </w:pPr>
            <w:r w:rsidRPr="00A6198D">
              <w:rPr>
                <w:sz w:val="16"/>
                <w:szCs w:val="16"/>
              </w:rPr>
              <w:t>13.336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F74C83" w14:textId="77777777" w:rsidR="008562DC" w:rsidRPr="00A6198D" w:rsidRDefault="008562DC" w:rsidP="00BA469C">
            <w:pPr>
              <w:keepNext/>
              <w:spacing w:before="0" w:line="276" w:lineRule="auto"/>
              <w:rPr>
                <w:sz w:val="16"/>
                <w:szCs w:val="16"/>
              </w:rPr>
            </w:pPr>
            <w:r w:rsidRPr="00A6198D">
              <w:rPr>
                <w:sz w:val="16"/>
                <w:szCs w:val="16"/>
              </w:rPr>
              <w:t>13.683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C3EFD35" w14:textId="77777777" w:rsidR="008562DC" w:rsidRPr="00A6198D" w:rsidRDefault="008562DC" w:rsidP="00BA469C">
            <w:pPr>
              <w:keepNext/>
              <w:spacing w:before="0" w:line="276" w:lineRule="auto"/>
              <w:rPr>
                <w:sz w:val="16"/>
                <w:szCs w:val="16"/>
              </w:rPr>
            </w:pPr>
            <w:r w:rsidRPr="00A6198D">
              <w:rPr>
                <w:sz w:val="16"/>
                <w:szCs w:val="16"/>
              </w:rPr>
              <w:t>14.125</w:t>
            </w:r>
          </w:p>
        </w:tc>
        <w:tc>
          <w:tcPr>
            <w:tcW w:w="438" w:type="pct"/>
            <w:tcBorders>
              <w:top w:val="single" w:sz="4" w:space="0" w:color="008000"/>
              <w:left w:val="single" w:sz="4" w:space="0" w:color="008000"/>
              <w:bottom w:val="single" w:sz="4" w:space="0" w:color="008000"/>
              <w:right w:val="single" w:sz="4" w:space="0" w:color="008000"/>
            </w:tcBorders>
            <w:vAlign w:val="bottom"/>
          </w:tcPr>
          <w:p w14:paraId="378495E6" w14:textId="77777777" w:rsidR="008562DC" w:rsidRPr="00A6198D" w:rsidRDefault="008562DC" w:rsidP="00BA469C">
            <w:pPr>
              <w:keepNext/>
              <w:spacing w:before="0" w:line="276" w:lineRule="auto"/>
              <w:rPr>
                <w:sz w:val="16"/>
                <w:szCs w:val="16"/>
              </w:rPr>
            </w:pPr>
            <w:r w:rsidRPr="00A6198D">
              <w:rPr>
                <w:sz w:val="16"/>
                <w:szCs w:val="16"/>
              </w:rPr>
              <w:t>14.628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4776282" w14:textId="77777777" w:rsidR="008562DC" w:rsidRPr="00A6198D" w:rsidRDefault="008562DC" w:rsidP="00BA469C">
            <w:pPr>
              <w:keepNext/>
              <w:spacing w:before="0" w:line="276" w:lineRule="auto"/>
              <w:rPr>
                <w:sz w:val="16"/>
                <w:szCs w:val="16"/>
              </w:rPr>
            </w:pPr>
            <w:r w:rsidRPr="00A6198D">
              <w:rPr>
                <w:sz w:val="16"/>
                <w:szCs w:val="16"/>
              </w:rPr>
              <w:t>103,6</w:t>
            </w:r>
          </w:p>
        </w:tc>
      </w:tr>
      <w:tr w:rsidR="008562DC" w:rsidRPr="00A6198D" w14:paraId="528CABD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71D3E80" w14:textId="77777777" w:rsidR="008562DC" w:rsidRPr="00A6198D" w:rsidRDefault="008562DC" w:rsidP="00BA469C">
            <w:pPr>
              <w:keepNext/>
              <w:spacing w:before="0" w:line="276" w:lineRule="auto"/>
              <w:rPr>
                <w:sz w:val="16"/>
                <w:szCs w:val="16"/>
              </w:rPr>
            </w:pPr>
            <w:r w:rsidRPr="00A6198D">
              <w:rPr>
                <w:sz w:val="16"/>
                <w:szCs w:val="16"/>
              </w:rPr>
              <w:t xml:space="preserve">Sredstva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F3B454" w14:textId="77777777" w:rsidR="008562DC" w:rsidRPr="00A6198D" w:rsidRDefault="008562DC" w:rsidP="00BA469C">
            <w:pPr>
              <w:keepNext/>
              <w:spacing w:before="0" w:line="276" w:lineRule="auto"/>
              <w:rPr>
                <w:sz w:val="16"/>
                <w:szCs w:val="16"/>
              </w:rPr>
            </w:pPr>
            <w:r w:rsidRPr="00A6198D">
              <w:rPr>
                <w:sz w:val="16"/>
                <w:szCs w:val="16"/>
              </w:rPr>
              <w:t>2.250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B59CFDD" w14:textId="77777777" w:rsidR="008562DC" w:rsidRPr="00A6198D" w:rsidRDefault="008562DC" w:rsidP="00BA469C">
            <w:pPr>
              <w:keepNext/>
              <w:spacing w:before="0" w:line="276" w:lineRule="auto"/>
              <w:rPr>
                <w:sz w:val="16"/>
                <w:szCs w:val="16"/>
              </w:rPr>
            </w:pPr>
            <w:r w:rsidRPr="00A6198D">
              <w:rPr>
                <w:sz w:val="16"/>
                <w:szCs w:val="16"/>
              </w:rPr>
              <w:t>2.193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F88007D" w14:textId="77777777" w:rsidR="008562DC" w:rsidRPr="00A6198D" w:rsidRDefault="008562DC" w:rsidP="00BA469C">
            <w:pPr>
              <w:keepNext/>
              <w:spacing w:before="0" w:line="276" w:lineRule="auto"/>
              <w:rPr>
                <w:sz w:val="16"/>
                <w:szCs w:val="16"/>
              </w:rPr>
            </w:pPr>
            <w:r w:rsidRPr="00A6198D">
              <w:rPr>
                <w:sz w:val="16"/>
                <w:szCs w:val="16"/>
              </w:rPr>
              <w:t>2.064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87A5E1"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1F3AD37"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tcPr>
          <w:p w14:paraId="4C48CFDA" w14:textId="77777777" w:rsidR="008562DC" w:rsidRPr="00A6198D" w:rsidRDefault="008562DC" w:rsidP="00BA469C">
            <w:pPr>
              <w:keepNext/>
              <w:spacing w:before="0" w:line="276" w:lineRule="auto"/>
              <w:rPr>
                <w:sz w:val="16"/>
                <w:szCs w:val="16"/>
              </w:rPr>
            </w:pPr>
            <w:r w:rsidRPr="00A6198D">
              <w:rPr>
                <w:sz w:val="16"/>
                <w:szCs w:val="16"/>
              </w:rPr>
              <w:t>2.297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05AB2DE" w14:textId="77777777" w:rsidR="008562DC" w:rsidRPr="00A6198D" w:rsidRDefault="008562DC" w:rsidP="00BA469C">
            <w:pPr>
              <w:keepNext/>
              <w:spacing w:before="0" w:line="276" w:lineRule="auto"/>
              <w:rPr>
                <w:sz w:val="16"/>
                <w:szCs w:val="16"/>
              </w:rPr>
            </w:pPr>
            <w:r w:rsidRPr="00A6198D">
              <w:rPr>
                <w:sz w:val="16"/>
                <w:szCs w:val="16"/>
              </w:rPr>
              <w:t>102,6</w:t>
            </w:r>
          </w:p>
        </w:tc>
      </w:tr>
      <w:tr w:rsidR="008562DC" w:rsidRPr="00AE0410" w14:paraId="5D1F144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9AA267B" w14:textId="77777777" w:rsidR="008562DC" w:rsidRPr="00CA2D5A" w:rsidRDefault="008562DC" w:rsidP="00BA469C">
            <w:pPr>
              <w:keepNext/>
              <w:spacing w:before="0" w:line="276" w:lineRule="auto"/>
              <w:rPr>
                <w:sz w:val="16"/>
                <w:szCs w:val="16"/>
              </w:rPr>
            </w:pPr>
            <w:r w:rsidRPr="00CA2D5A">
              <w:rPr>
                <w:sz w:val="16"/>
                <w:szCs w:val="16"/>
              </w:rPr>
              <w:t xml:space="preserve">Prihodki od prodaje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F933DCA" w14:textId="77777777" w:rsidR="008562DC" w:rsidRPr="00413F1A" w:rsidRDefault="008562DC" w:rsidP="00BA469C">
            <w:pPr>
              <w:keepNext/>
              <w:spacing w:before="0" w:line="276" w:lineRule="auto"/>
              <w:rPr>
                <w:sz w:val="16"/>
                <w:szCs w:val="16"/>
              </w:rPr>
            </w:pPr>
            <w:r w:rsidRPr="00413F1A">
              <w:rPr>
                <w:sz w:val="16"/>
                <w:szCs w:val="16"/>
              </w:rPr>
              <w:t>2.009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EB620A9" w14:textId="77777777" w:rsidR="008562DC" w:rsidRPr="00AE0410" w:rsidRDefault="008562DC" w:rsidP="00BA469C">
            <w:pPr>
              <w:keepNext/>
              <w:spacing w:before="0" w:line="276" w:lineRule="auto"/>
              <w:rPr>
                <w:sz w:val="16"/>
                <w:szCs w:val="16"/>
              </w:rPr>
            </w:pPr>
            <w:r w:rsidRPr="00AE0410">
              <w:rPr>
                <w:sz w:val="16"/>
                <w:szCs w:val="16"/>
              </w:rPr>
              <w:t>2.062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C0FC8AA" w14:textId="77777777" w:rsidR="008562DC" w:rsidRPr="00AE0410" w:rsidRDefault="008562DC" w:rsidP="00BA469C">
            <w:pPr>
              <w:keepNext/>
              <w:spacing w:before="0" w:line="276" w:lineRule="auto"/>
              <w:rPr>
                <w:sz w:val="16"/>
                <w:szCs w:val="16"/>
              </w:rPr>
            </w:pPr>
            <w:r w:rsidRPr="00AE0410">
              <w:rPr>
                <w:sz w:val="16"/>
                <w:szCs w:val="16"/>
              </w:rPr>
              <w:t>2.053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491F05C" w14:textId="77777777" w:rsidR="008562DC" w:rsidRPr="00AE0410" w:rsidRDefault="008562DC" w:rsidP="00BA469C">
            <w:pPr>
              <w:keepNext/>
              <w:spacing w:before="0" w:line="276" w:lineRule="auto"/>
              <w:rPr>
                <w:sz w:val="16"/>
                <w:szCs w:val="16"/>
              </w:rPr>
            </w:pPr>
            <w:r w:rsidRPr="00AE0410">
              <w:rPr>
                <w:sz w:val="16"/>
                <w:szCs w:val="16"/>
              </w:rPr>
              <w:t>2.156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DBEC1A7" w14:textId="77777777" w:rsidR="008562DC" w:rsidRPr="00AE0410" w:rsidRDefault="008562DC" w:rsidP="00BA469C">
            <w:pPr>
              <w:keepNext/>
              <w:spacing w:before="0" w:line="276" w:lineRule="auto"/>
              <w:rPr>
                <w:sz w:val="16"/>
                <w:szCs w:val="16"/>
              </w:rPr>
            </w:pPr>
            <w:r w:rsidRPr="00AE0410">
              <w:rPr>
                <w:sz w:val="16"/>
                <w:szCs w:val="16"/>
              </w:rPr>
              <w:t>2.192</w:t>
            </w:r>
          </w:p>
        </w:tc>
        <w:tc>
          <w:tcPr>
            <w:tcW w:w="438" w:type="pct"/>
            <w:tcBorders>
              <w:top w:val="single" w:sz="4" w:space="0" w:color="008000"/>
              <w:left w:val="single" w:sz="4" w:space="0" w:color="008000"/>
              <w:bottom w:val="single" w:sz="4" w:space="0" w:color="008000"/>
              <w:right w:val="single" w:sz="4" w:space="0" w:color="008000"/>
            </w:tcBorders>
            <w:vAlign w:val="bottom"/>
          </w:tcPr>
          <w:p w14:paraId="5A180167" w14:textId="77777777" w:rsidR="008562DC" w:rsidRPr="00AE0410" w:rsidRDefault="008562DC" w:rsidP="00BA469C">
            <w:pPr>
              <w:keepNext/>
              <w:spacing w:before="0" w:line="276" w:lineRule="auto"/>
              <w:rPr>
                <w:sz w:val="16"/>
                <w:szCs w:val="16"/>
              </w:rPr>
            </w:pPr>
            <w:r w:rsidRPr="00AE0410">
              <w:rPr>
                <w:sz w:val="16"/>
                <w:szCs w:val="16"/>
              </w:rPr>
              <w:t>2.315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5FAAF2C" w14:textId="77777777" w:rsidR="008562DC" w:rsidRPr="00AE0410" w:rsidRDefault="008562DC" w:rsidP="00BA469C">
            <w:pPr>
              <w:keepNext/>
              <w:spacing w:before="0" w:line="276" w:lineRule="auto"/>
              <w:rPr>
                <w:sz w:val="16"/>
                <w:szCs w:val="16"/>
              </w:rPr>
            </w:pPr>
            <w:r w:rsidRPr="00AE0410">
              <w:rPr>
                <w:sz w:val="16"/>
                <w:szCs w:val="16"/>
              </w:rPr>
              <w:t>103,9</w:t>
            </w:r>
          </w:p>
        </w:tc>
      </w:tr>
      <w:tr w:rsidR="008562DC" w:rsidRPr="00AE0410" w14:paraId="2896EB8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C5909B0" w14:textId="77777777" w:rsidR="008562DC" w:rsidRPr="00AE0410" w:rsidRDefault="008562DC" w:rsidP="00BA469C">
            <w:pPr>
              <w:keepNext/>
              <w:spacing w:before="0" w:line="276" w:lineRule="auto"/>
              <w:rPr>
                <w:sz w:val="16"/>
                <w:szCs w:val="16"/>
              </w:rPr>
            </w:pPr>
            <w:r w:rsidRPr="00AE0410">
              <w:rPr>
                <w:sz w:val="16"/>
                <w:szCs w:val="16"/>
              </w:rPr>
              <w:t>Prihodki od izvoza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ED55305" w14:textId="77777777" w:rsidR="008562DC" w:rsidRPr="00AE0410" w:rsidRDefault="008562DC" w:rsidP="00BA469C">
            <w:pPr>
              <w:keepNext/>
              <w:spacing w:before="0" w:line="276" w:lineRule="auto"/>
              <w:rPr>
                <w:sz w:val="16"/>
                <w:szCs w:val="16"/>
              </w:rPr>
            </w:pPr>
            <w:r w:rsidRPr="00AE0410">
              <w:rPr>
                <w:sz w:val="16"/>
                <w:szCs w:val="16"/>
              </w:rPr>
              <w:t>466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8DEB57D" w14:textId="77777777" w:rsidR="008562DC" w:rsidRPr="00AE0410" w:rsidRDefault="008562DC" w:rsidP="00BA469C">
            <w:pPr>
              <w:keepNext/>
              <w:spacing w:before="0" w:line="276" w:lineRule="auto"/>
              <w:rPr>
                <w:sz w:val="16"/>
                <w:szCs w:val="16"/>
              </w:rPr>
            </w:pPr>
            <w:r w:rsidRPr="00AE0410">
              <w:rPr>
                <w:sz w:val="16"/>
                <w:szCs w:val="16"/>
              </w:rPr>
              <w:t>501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E571F9" w14:textId="77777777" w:rsidR="008562DC" w:rsidRPr="00AE0410" w:rsidRDefault="008562DC" w:rsidP="00BA469C">
            <w:pPr>
              <w:keepNext/>
              <w:spacing w:before="0" w:line="276" w:lineRule="auto"/>
              <w:rPr>
                <w:sz w:val="16"/>
                <w:szCs w:val="16"/>
              </w:rPr>
            </w:pPr>
            <w:r w:rsidRPr="00AE0410">
              <w:rPr>
                <w:sz w:val="16"/>
                <w:szCs w:val="16"/>
              </w:rPr>
              <w:t>532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7523711" w14:textId="77777777" w:rsidR="008562DC" w:rsidRPr="00AE0410" w:rsidRDefault="008562DC" w:rsidP="00BA469C">
            <w:pPr>
              <w:keepNext/>
              <w:spacing w:before="0" w:line="276" w:lineRule="auto"/>
              <w:rPr>
                <w:sz w:val="16"/>
                <w:szCs w:val="16"/>
              </w:rPr>
            </w:pPr>
            <w:r w:rsidRPr="00AE0410">
              <w:rPr>
                <w:sz w:val="16"/>
                <w:szCs w:val="16"/>
              </w:rPr>
              <w:t>599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81790AC" w14:textId="77777777" w:rsidR="008562DC" w:rsidRPr="00AE0410" w:rsidRDefault="008562DC" w:rsidP="00BA469C">
            <w:pPr>
              <w:keepNext/>
              <w:spacing w:before="0" w:line="276" w:lineRule="auto"/>
              <w:rPr>
                <w:sz w:val="16"/>
                <w:szCs w:val="16"/>
              </w:rPr>
            </w:pPr>
            <w:r w:rsidRPr="00AE0410">
              <w:rPr>
                <w:sz w:val="16"/>
                <w:szCs w:val="16"/>
              </w:rPr>
              <w:t>627</w:t>
            </w:r>
          </w:p>
        </w:tc>
        <w:tc>
          <w:tcPr>
            <w:tcW w:w="438" w:type="pct"/>
            <w:tcBorders>
              <w:top w:val="single" w:sz="4" w:space="0" w:color="008000"/>
              <w:left w:val="single" w:sz="4" w:space="0" w:color="008000"/>
              <w:bottom w:val="single" w:sz="4" w:space="0" w:color="008000"/>
              <w:right w:val="single" w:sz="4" w:space="0" w:color="008000"/>
            </w:tcBorders>
            <w:vAlign w:val="bottom"/>
          </w:tcPr>
          <w:p w14:paraId="2B15D5F3" w14:textId="77777777" w:rsidR="008562DC" w:rsidRPr="00AE0410" w:rsidRDefault="008562DC" w:rsidP="00BA469C">
            <w:pPr>
              <w:keepNext/>
              <w:spacing w:before="0" w:line="276" w:lineRule="auto"/>
              <w:rPr>
                <w:sz w:val="16"/>
                <w:szCs w:val="16"/>
              </w:rPr>
            </w:pPr>
            <w:r w:rsidRPr="00AE0410">
              <w:rPr>
                <w:sz w:val="16"/>
                <w:szCs w:val="16"/>
              </w:rPr>
              <w:t>686,1</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FBD9F58" w14:textId="77777777" w:rsidR="008562DC" w:rsidRPr="00AE0410" w:rsidRDefault="008562DC" w:rsidP="00BA469C">
            <w:pPr>
              <w:keepNext/>
              <w:spacing w:before="0" w:line="276" w:lineRule="auto"/>
              <w:rPr>
                <w:sz w:val="16"/>
                <w:szCs w:val="16"/>
              </w:rPr>
            </w:pPr>
            <w:r w:rsidRPr="00AE0410">
              <w:rPr>
                <w:sz w:val="16"/>
                <w:szCs w:val="16"/>
              </w:rPr>
              <w:t>107,7</w:t>
            </w:r>
          </w:p>
        </w:tc>
      </w:tr>
      <w:tr w:rsidR="008562DC" w:rsidRPr="00AE0410" w14:paraId="4C27EBD1"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0D67DEC" w14:textId="77777777" w:rsidR="008562DC" w:rsidRPr="00AE0410" w:rsidRDefault="008562DC" w:rsidP="00BA469C">
            <w:pPr>
              <w:keepNext/>
              <w:spacing w:before="0" w:line="276" w:lineRule="auto"/>
              <w:rPr>
                <w:sz w:val="16"/>
                <w:szCs w:val="16"/>
              </w:rPr>
            </w:pPr>
            <w:r w:rsidRPr="00AE0410">
              <w:rPr>
                <w:sz w:val="16"/>
                <w:szCs w:val="16"/>
              </w:rPr>
              <w:t>Izvozna usmerjenost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A9A571" w14:textId="77777777" w:rsidR="008562DC" w:rsidRPr="00AE0410" w:rsidRDefault="008562DC" w:rsidP="00BA469C">
            <w:pPr>
              <w:keepNext/>
              <w:spacing w:before="0" w:line="276" w:lineRule="auto"/>
              <w:rPr>
                <w:sz w:val="16"/>
                <w:szCs w:val="16"/>
              </w:rPr>
            </w:pPr>
            <w:r w:rsidRPr="00AE0410">
              <w:rPr>
                <w:sz w:val="16"/>
                <w:szCs w:val="16"/>
              </w:rPr>
              <w:t>23,2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A3CD0AB" w14:textId="77777777" w:rsidR="008562DC" w:rsidRPr="00AE0410" w:rsidRDefault="008562DC" w:rsidP="00BA469C">
            <w:pPr>
              <w:keepNext/>
              <w:spacing w:before="0" w:line="276" w:lineRule="auto"/>
              <w:rPr>
                <w:sz w:val="16"/>
                <w:szCs w:val="16"/>
              </w:rPr>
            </w:pPr>
            <w:r w:rsidRPr="00AE0410">
              <w:rPr>
                <w:sz w:val="16"/>
                <w:szCs w:val="16"/>
              </w:rPr>
              <w:t>24,3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1E0A42" w14:textId="77777777" w:rsidR="008562DC" w:rsidRPr="00AE0410" w:rsidRDefault="008562DC" w:rsidP="00BA469C">
            <w:pPr>
              <w:keepNext/>
              <w:spacing w:before="0" w:line="276" w:lineRule="auto"/>
              <w:rPr>
                <w:sz w:val="16"/>
                <w:szCs w:val="16"/>
              </w:rPr>
            </w:pPr>
            <w:r w:rsidRPr="00AE0410">
              <w:rPr>
                <w:sz w:val="16"/>
                <w:szCs w:val="16"/>
              </w:rPr>
              <w:t>25,9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D7C7385" w14:textId="77777777" w:rsidR="008562DC" w:rsidRPr="00AE0410" w:rsidRDefault="008562DC" w:rsidP="00BA469C">
            <w:pPr>
              <w:keepNext/>
              <w:spacing w:before="0" w:line="276" w:lineRule="auto"/>
              <w:rPr>
                <w:sz w:val="16"/>
                <w:szCs w:val="16"/>
              </w:rPr>
            </w:pPr>
            <w:r w:rsidRPr="00AE0410">
              <w:rPr>
                <w:sz w:val="16"/>
                <w:szCs w:val="16"/>
              </w:rPr>
              <w:t>27,8</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A68A4BC" w14:textId="77777777" w:rsidR="008562DC" w:rsidRPr="00AE0410" w:rsidRDefault="008562DC" w:rsidP="00BA469C">
            <w:pPr>
              <w:keepNext/>
              <w:spacing w:before="0" w:line="276" w:lineRule="auto"/>
              <w:rPr>
                <w:sz w:val="16"/>
                <w:szCs w:val="16"/>
              </w:rPr>
            </w:pPr>
            <w:r w:rsidRPr="00AE0410">
              <w:rPr>
                <w:sz w:val="16"/>
                <w:szCs w:val="16"/>
              </w:rPr>
              <w:t>28,6</w:t>
            </w:r>
          </w:p>
        </w:tc>
        <w:tc>
          <w:tcPr>
            <w:tcW w:w="438" w:type="pct"/>
            <w:tcBorders>
              <w:top w:val="single" w:sz="4" w:space="0" w:color="008000"/>
              <w:left w:val="single" w:sz="4" w:space="0" w:color="008000"/>
              <w:bottom w:val="single" w:sz="4" w:space="0" w:color="008000"/>
              <w:right w:val="single" w:sz="4" w:space="0" w:color="008000"/>
            </w:tcBorders>
            <w:vAlign w:val="bottom"/>
          </w:tcPr>
          <w:p w14:paraId="7B849E07" w14:textId="77777777" w:rsidR="008562DC" w:rsidRPr="00AE0410" w:rsidRDefault="008562DC" w:rsidP="00BA469C">
            <w:pPr>
              <w:keepNext/>
              <w:spacing w:before="0" w:line="276" w:lineRule="auto"/>
              <w:rPr>
                <w:sz w:val="16"/>
                <w:szCs w:val="16"/>
              </w:rPr>
            </w:pPr>
            <w:r w:rsidRPr="00AE0410">
              <w:rPr>
                <w:sz w:val="16"/>
                <w:szCs w:val="16"/>
              </w:rPr>
              <w:t>29,6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9AF7BAA" w14:textId="77777777" w:rsidR="008562DC" w:rsidRPr="00AE0410" w:rsidRDefault="008562DC" w:rsidP="00BA469C">
            <w:pPr>
              <w:keepNext/>
              <w:spacing w:before="0" w:line="276" w:lineRule="auto"/>
              <w:rPr>
                <w:sz w:val="16"/>
                <w:szCs w:val="16"/>
              </w:rPr>
            </w:pPr>
            <w:r w:rsidRPr="00AE0410">
              <w:rPr>
                <w:sz w:val="16"/>
                <w:szCs w:val="16"/>
              </w:rPr>
              <w:t>103,7</w:t>
            </w:r>
          </w:p>
        </w:tc>
      </w:tr>
      <w:tr w:rsidR="008562DC" w:rsidRPr="00AE0410" w14:paraId="346FC86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28EA092" w14:textId="77777777" w:rsidR="008562DC" w:rsidRPr="00AE0410" w:rsidRDefault="008562DC" w:rsidP="00BA469C">
            <w:pPr>
              <w:keepNext/>
              <w:spacing w:before="0" w:line="276" w:lineRule="auto"/>
              <w:rPr>
                <w:sz w:val="16"/>
                <w:szCs w:val="16"/>
              </w:rPr>
            </w:pPr>
            <w:r w:rsidRPr="00AE0410">
              <w:rPr>
                <w:sz w:val="16"/>
                <w:szCs w:val="16"/>
              </w:rPr>
              <w:t>Produktivnost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4B2CD3E" w14:textId="77777777" w:rsidR="008562DC" w:rsidRPr="00AE0410" w:rsidRDefault="008562DC" w:rsidP="00BA469C">
            <w:pPr>
              <w:keepNext/>
              <w:spacing w:before="0" w:line="276" w:lineRule="auto"/>
              <w:rPr>
                <w:sz w:val="16"/>
                <w:szCs w:val="16"/>
              </w:rPr>
            </w:pPr>
            <w:r w:rsidRPr="00AE0410">
              <w:rPr>
                <w:sz w:val="16"/>
                <w:szCs w:val="16"/>
              </w:rPr>
              <w:t>160,8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7892F2" w14:textId="77777777" w:rsidR="008562DC" w:rsidRPr="00AE0410" w:rsidRDefault="008562DC" w:rsidP="00BA469C">
            <w:pPr>
              <w:keepNext/>
              <w:spacing w:before="0" w:line="276" w:lineRule="auto"/>
              <w:rPr>
                <w:sz w:val="16"/>
                <w:szCs w:val="16"/>
              </w:rPr>
            </w:pPr>
            <w:r w:rsidRPr="00AE0410">
              <w:rPr>
                <w:sz w:val="16"/>
                <w:szCs w:val="16"/>
              </w:rPr>
              <w:t>162,9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AA3C6E" w14:textId="77777777" w:rsidR="008562DC" w:rsidRPr="00AE0410" w:rsidRDefault="008562DC" w:rsidP="00BA469C">
            <w:pPr>
              <w:keepNext/>
              <w:spacing w:before="0" w:line="276" w:lineRule="auto"/>
              <w:rPr>
                <w:sz w:val="16"/>
                <w:szCs w:val="16"/>
              </w:rPr>
            </w:pPr>
            <w:r w:rsidRPr="00AE0410">
              <w:rPr>
                <w:sz w:val="16"/>
                <w:szCs w:val="16"/>
              </w:rPr>
              <w:t>154,0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DD452A" w14:textId="77777777" w:rsidR="008562DC" w:rsidRPr="00AE0410" w:rsidRDefault="008562DC" w:rsidP="00BA469C">
            <w:pPr>
              <w:keepNext/>
              <w:spacing w:before="0" w:line="276" w:lineRule="auto"/>
              <w:rPr>
                <w:sz w:val="16"/>
                <w:szCs w:val="16"/>
              </w:rPr>
            </w:pPr>
            <w:r w:rsidRPr="00AE0410">
              <w:rPr>
                <w:sz w:val="16"/>
                <w:szCs w:val="16"/>
              </w:rPr>
              <w:t>157,6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B34A2E" w14:textId="77777777" w:rsidR="008562DC" w:rsidRPr="00AE0410" w:rsidRDefault="008562DC" w:rsidP="00BA469C">
            <w:pPr>
              <w:keepNext/>
              <w:spacing w:before="0" w:line="276" w:lineRule="auto"/>
              <w:rPr>
                <w:sz w:val="16"/>
                <w:szCs w:val="16"/>
              </w:rPr>
            </w:pPr>
            <w:r w:rsidRPr="00AE0410">
              <w:rPr>
                <w:sz w:val="16"/>
                <w:szCs w:val="16"/>
              </w:rPr>
              <w:t>155,2</w:t>
            </w:r>
          </w:p>
        </w:tc>
        <w:tc>
          <w:tcPr>
            <w:tcW w:w="438" w:type="pct"/>
            <w:tcBorders>
              <w:top w:val="single" w:sz="4" w:space="0" w:color="008000"/>
              <w:left w:val="single" w:sz="4" w:space="0" w:color="008000"/>
              <w:bottom w:val="single" w:sz="4" w:space="0" w:color="008000"/>
              <w:right w:val="single" w:sz="4" w:space="0" w:color="008000"/>
            </w:tcBorders>
            <w:vAlign w:val="bottom"/>
          </w:tcPr>
          <w:p w14:paraId="0B318C19" w14:textId="77777777" w:rsidR="008562DC" w:rsidRPr="00AE0410" w:rsidRDefault="008562DC" w:rsidP="00BA469C">
            <w:pPr>
              <w:keepNext/>
              <w:spacing w:before="0" w:line="276" w:lineRule="auto"/>
              <w:rPr>
                <w:sz w:val="16"/>
                <w:szCs w:val="16"/>
              </w:rPr>
            </w:pPr>
            <w:r w:rsidRPr="00AE0410">
              <w:rPr>
                <w:sz w:val="16"/>
                <w:szCs w:val="16"/>
              </w:rPr>
              <w:t>158,2</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D85634" w14:textId="77777777" w:rsidR="008562DC" w:rsidRPr="00AE0410" w:rsidRDefault="008562DC" w:rsidP="00BA469C">
            <w:pPr>
              <w:keepNext/>
              <w:spacing w:before="0" w:line="276" w:lineRule="auto"/>
              <w:rPr>
                <w:sz w:val="16"/>
                <w:szCs w:val="16"/>
              </w:rPr>
            </w:pPr>
            <w:r w:rsidRPr="00AE0410">
              <w:rPr>
                <w:sz w:val="16"/>
                <w:szCs w:val="16"/>
              </w:rPr>
              <w:t>100,3</w:t>
            </w:r>
          </w:p>
        </w:tc>
      </w:tr>
      <w:tr w:rsidR="008562DC" w:rsidRPr="00AE0410" w14:paraId="7A4AB71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F68FF00" w14:textId="77777777" w:rsidR="008562DC" w:rsidRPr="00AE0410" w:rsidRDefault="008562DC" w:rsidP="00BA469C">
            <w:pPr>
              <w:keepNext/>
              <w:spacing w:before="0" w:line="276" w:lineRule="auto"/>
              <w:rPr>
                <w:sz w:val="16"/>
                <w:szCs w:val="16"/>
              </w:rPr>
            </w:pPr>
            <w:r w:rsidRPr="00AE0410">
              <w:rPr>
                <w:sz w:val="16"/>
                <w:szCs w:val="16"/>
              </w:rPr>
              <w:t>Dodana vrednost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A0B7113" w14:textId="77777777" w:rsidR="008562DC" w:rsidRPr="00AE0410" w:rsidRDefault="008562DC" w:rsidP="00BA469C">
            <w:pPr>
              <w:keepNext/>
              <w:spacing w:before="0" w:line="276" w:lineRule="auto"/>
              <w:rPr>
                <w:sz w:val="16"/>
                <w:szCs w:val="16"/>
              </w:rPr>
            </w:pPr>
            <w:r w:rsidRPr="00AE0410">
              <w:rPr>
                <w:sz w:val="16"/>
                <w:szCs w:val="16"/>
              </w:rPr>
              <w:t>444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FDCA14" w14:textId="77777777" w:rsidR="008562DC" w:rsidRPr="00AE0410" w:rsidRDefault="008562DC" w:rsidP="00BA469C">
            <w:pPr>
              <w:keepNext/>
              <w:spacing w:before="0" w:line="276" w:lineRule="auto"/>
              <w:rPr>
                <w:sz w:val="16"/>
                <w:szCs w:val="16"/>
              </w:rPr>
            </w:pPr>
            <w:r w:rsidRPr="00AE0410">
              <w:rPr>
                <w:sz w:val="16"/>
                <w:szCs w:val="16"/>
              </w:rPr>
              <w:t>465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3E5BDA" w14:textId="77777777" w:rsidR="008562DC" w:rsidRPr="00AE0410" w:rsidRDefault="008562DC" w:rsidP="00BA469C">
            <w:pPr>
              <w:keepNext/>
              <w:spacing w:before="0" w:line="276" w:lineRule="auto"/>
              <w:rPr>
                <w:sz w:val="16"/>
                <w:szCs w:val="16"/>
              </w:rPr>
            </w:pPr>
            <w:r w:rsidRPr="00AE0410">
              <w:rPr>
                <w:sz w:val="16"/>
                <w:szCs w:val="16"/>
              </w:rPr>
              <w:t>484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5673F7" w14:textId="77777777" w:rsidR="008562DC" w:rsidRPr="00AE0410" w:rsidRDefault="008562DC" w:rsidP="00BA469C">
            <w:pPr>
              <w:keepNext/>
              <w:spacing w:before="0" w:line="276" w:lineRule="auto"/>
              <w:rPr>
                <w:sz w:val="16"/>
                <w:szCs w:val="16"/>
              </w:rPr>
            </w:pPr>
            <w:r w:rsidRPr="00AE0410">
              <w:rPr>
                <w:sz w:val="16"/>
                <w:szCs w:val="16"/>
              </w:rPr>
              <w:t>499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ABA64B" w14:textId="77777777" w:rsidR="008562DC" w:rsidRPr="00AE0410" w:rsidRDefault="008562DC" w:rsidP="00BA469C">
            <w:pPr>
              <w:keepNext/>
              <w:spacing w:before="0" w:line="276" w:lineRule="auto"/>
              <w:rPr>
                <w:sz w:val="16"/>
                <w:szCs w:val="16"/>
              </w:rPr>
            </w:pPr>
            <w:r w:rsidRPr="00AE0410">
              <w:rPr>
                <w:sz w:val="16"/>
                <w:szCs w:val="16"/>
              </w:rPr>
              <w:t>549</w:t>
            </w:r>
          </w:p>
        </w:tc>
        <w:tc>
          <w:tcPr>
            <w:tcW w:w="438" w:type="pct"/>
            <w:tcBorders>
              <w:top w:val="single" w:sz="4" w:space="0" w:color="008000"/>
              <w:left w:val="single" w:sz="4" w:space="0" w:color="008000"/>
              <w:bottom w:val="single" w:sz="4" w:space="0" w:color="008000"/>
              <w:right w:val="single" w:sz="4" w:space="0" w:color="008000"/>
            </w:tcBorders>
            <w:vAlign w:val="bottom"/>
          </w:tcPr>
          <w:p w14:paraId="141763BD" w14:textId="77777777" w:rsidR="008562DC" w:rsidRPr="00AE0410" w:rsidRDefault="008562DC" w:rsidP="00BA469C">
            <w:pPr>
              <w:keepNext/>
              <w:spacing w:before="0" w:line="276" w:lineRule="auto"/>
              <w:rPr>
                <w:sz w:val="16"/>
                <w:szCs w:val="16"/>
              </w:rPr>
            </w:pPr>
            <w:r w:rsidRPr="00AE0410">
              <w:rPr>
                <w:sz w:val="16"/>
                <w:szCs w:val="16"/>
              </w:rPr>
              <w:t>604</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05A10FE" w14:textId="77777777" w:rsidR="008562DC" w:rsidRPr="00AE0410" w:rsidRDefault="008562DC" w:rsidP="00BA469C">
            <w:pPr>
              <w:keepNext/>
              <w:spacing w:before="0" w:line="276" w:lineRule="auto"/>
              <w:rPr>
                <w:sz w:val="16"/>
                <w:szCs w:val="16"/>
              </w:rPr>
            </w:pPr>
            <w:r w:rsidRPr="00AE0410">
              <w:rPr>
                <w:sz w:val="16"/>
                <w:szCs w:val="16"/>
              </w:rPr>
              <w:t>108,2</w:t>
            </w:r>
          </w:p>
        </w:tc>
      </w:tr>
      <w:tr w:rsidR="008562DC" w:rsidRPr="00AE0410" w14:paraId="48E8937B"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F5FC162" w14:textId="77777777" w:rsidR="008562DC" w:rsidRPr="00AE0410" w:rsidRDefault="008562DC" w:rsidP="00BA469C">
            <w:pPr>
              <w:keepNext/>
              <w:spacing w:before="0" w:line="276" w:lineRule="auto"/>
              <w:rPr>
                <w:sz w:val="16"/>
                <w:szCs w:val="16"/>
              </w:rPr>
            </w:pPr>
            <w:r w:rsidRPr="00AE0410">
              <w:rPr>
                <w:sz w:val="16"/>
                <w:szCs w:val="16"/>
              </w:rPr>
              <w:t>Dodana vrednost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8A8B2B" w14:textId="77777777" w:rsidR="008562DC" w:rsidRPr="00AE0410" w:rsidRDefault="008562DC" w:rsidP="00BA469C">
            <w:pPr>
              <w:keepNext/>
              <w:spacing w:before="0" w:line="276" w:lineRule="auto"/>
              <w:rPr>
                <w:sz w:val="16"/>
                <w:szCs w:val="16"/>
              </w:rPr>
            </w:pPr>
            <w:r w:rsidRPr="00AE0410">
              <w:rPr>
                <w:sz w:val="16"/>
                <w:szCs w:val="16"/>
              </w:rPr>
              <w:t>35,5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909BDCC" w14:textId="77777777" w:rsidR="008562DC" w:rsidRPr="00AE0410" w:rsidRDefault="008562DC" w:rsidP="00BA469C">
            <w:pPr>
              <w:keepNext/>
              <w:spacing w:before="0" w:line="276" w:lineRule="auto"/>
              <w:rPr>
                <w:sz w:val="16"/>
                <w:szCs w:val="16"/>
              </w:rPr>
            </w:pPr>
            <w:r w:rsidRPr="00AE0410">
              <w:rPr>
                <w:sz w:val="16"/>
                <w:szCs w:val="16"/>
              </w:rPr>
              <w:t>36,7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C31865" w14:textId="77777777" w:rsidR="008562DC" w:rsidRPr="00AE0410" w:rsidRDefault="008562DC" w:rsidP="00BA469C">
            <w:pPr>
              <w:keepNext/>
              <w:spacing w:before="0" w:line="276" w:lineRule="auto"/>
              <w:rPr>
                <w:sz w:val="16"/>
                <w:szCs w:val="16"/>
              </w:rPr>
            </w:pPr>
            <w:r w:rsidRPr="00AE0410">
              <w:rPr>
                <w:sz w:val="16"/>
                <w:szCs w:val="16"/>
              </w:rPr>
              <w:t>36,3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88BBA01" w14:textId="77777777" w:rsidR="008562DC" w:rsidRPr="00AE0410" w:rsidRDefault="008562DC" w:rsidP="00BA469C">
            <w:pPr>
              <w:keepNext/>
              <w:spacing w:before="0" w:line="276" w:lineRule="auto"/>
              <w:rPr>
                <w:sz w:val="16"/>
                <w:szCs w:val="16"/>
              </w:rPr>
            </w:pPr>
            <w:r w:rsidRPr="00AE0410">
              <w:rPr>
                <w:sz w:val="16"/>
                <w:szCs w:val="16"/>
              </w:rPr>
              <w:t>36,5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36B6DA2" w14:textId="77777777" w:rsidR="008562DC" w:rsidRPr="00AE0410" w:rsidRDefault="008562DC" w:rsidP="00BA469C">
            <w:pPr>
              <w:keepNext/>
              <w:spacing w:before="0" w:line="276" w:lineRule="auto"/>
              <w:rPr>
                <w:sz w:val="16"/>
                <w:szCs w:val="16"/>
              </w:rPr>
            </w:pPr>
            <w:r w:rsidRPr="00AE0410">
              <w:rPr>
                <w:sz w:val="16"/>
                <w:szCs w:val="16"/>
              </w:rPr>
              <w:t>38,9</w:t>
            </w:r>
          </w:p>
        </w:tc>
        <w:tc>
          <w:tcPr>
            <w:tcW w:w="438" w:type="pct"/>
            <w:tcBorders>
              <w:top w:val="single" w:sz="4" w:space="0" w:color="008000"/>
              <w:left w:val="single" w:sz="4" w:space="0" w:color="008000"/>
              <w:bottom w:val="single" w:sz="4" w:space="0" w:color="008000"/>
              <w:right w:val="single" w:sz="4" w:space="0" w:color="008000"/>
            </w:tcBorders>
            <w:vAlign w:val="bottom"/>
          </w:tcPr>
          <w:p w14:paraId="7B59E5AC" w14:textId="77777777" w:rsidR="008562DC" w:rsidRPr="00AE0410" w:rsidRDefault="008562DC" w:rsidP="00BA469C">
            <w:pPr>
              <w:keepNext/>
              <w:spacing w:before="0" w:line="276" w:lineRule="auto"/>
              <w:rPr>
                <w:sz w:val="16"/>
                <w:szCs w:val="16"/>
              </w:rPr>
            </w:pPr>
            <w:r w:rsidRPr="00AE0410">
              <w:rPr>
                <w:sz w:val="16"/>
                <w:szCs w:val="16"/>
              </w:rPr>
              <w:t>41,3</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42CCE135" w14:textId="77777777" w:rsidR="008562DC" w:rsidRPr="00AE0410" w:rsidRDefault="008562DC" w:rsidP="00BA469C">
            <w:pPr>
              <w:keepNext/>
              <w:spacing w:before="0" w:line="276" w:lineRule="auto"/>
              <w:rPr>
                <w:sz w:val="16"/>
                <w:szCs w:val="16"/>
              </w:rPr>
            </w:pPr>
            <w:r w:rsidRPr="00AE0410">
              <w:rPr>
                <w:sz w:val="16"/>
                <w:szCs w:val="16"/>
              </w:rPr>
              <w:t>104,4</w:t>
            </w:r>
          </w:p>
        </w:tc>
      </w:tr>
      <w:tr w:rsidR="008562DC" w:rsidRPr="00A6198D" w14:paraId="6C99110F"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D6EBEBC" w14:textId="77777777" w:rsidR="008562DC" w:rsidRPr="00AE0410" w:rsidRDefault="008562DC" w:rsidP="00BA469C">
            <w:pPr>
              <w:keepNext/>
              <w:spacing w:before="0" w:line="276" w:lineRule="auto"/>
              <w:rPr>
                <w:sz w:val="16"/>
                <w:szCs w:val="16"/>
              </w:rPr>
            </w:pPr>
            <w:r w:rsidRPr="00AE0410">
              <w:rPr>
                <w:sz w:val="16"/>
                <w:szCs w:val="16"/>
              </w:rPr>
              <w:t>Čisti dobiček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C97FF19" w14:textId="77777777" w:rsidR="008562DC" w:rsidRPr="00AE0410" w:rsidRDefault="008562DC" w:rsidP="00BA469C">
            <w:pPr>
              <w:keepNext/>
              <w:spacing w:before="0" w:line="276" w:lineRule="auto"/>
              <w:rPr>
                <w:sz w:val="16"/>
                <w:szCs w:val="16"/>
              </w:rPr>
            </w:pPr>
            <w:r w:rsidRPr="00AE0410">
              <w:rPr>
                <w:sz w:val="16"/>
                <w:szCs w:val="16"/>
              </w:rPr>
              <w:t>70,6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E2242E4" w14:textId="77777777" w:rsidR="008562DC" w:rsidRPr="00AE0410" w:rsidRDefault="008562DC" w:rsidP="00BA469C">
            <w:pPr>
              <w:keepNext/>
              <w:spacing w:before="0" w:line="276" w:lineRule="auto"/>
              <w:rPr>
                <w:sz w:val="16"/>
                <w:szCs w:val="16"/>
              </w:rPr>
            </w:pPr>
            <w:r w:rsidRPr="00AE0410">
              <w:rPr>
                <w:sz w:val="16"/>
                <w:szCs w:val="16"/>
              </w:rPr>
              <w:t>85,5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36CF260" w14:textId="77777777" w:rsidR="008562DC" w:rsidRPr="00AE0410" w:rsidRDefault="008562DC" w:rsidP="00BA469C">
            <w:pPr>
              <w:keepNext/>
              <w:spacing w:before="0" w:line="276" w:lineRule="auto"/>
              <w:rPr>
                <w:sz w:val="16"/>
                <w:szCs w:val="16"/>
              </w:rPr>
            </w:pPr>
            <w:r w:rsidRPr="00AE0410">
              <w:rPr>
                <w:sz w:val="16"/>
                <w:szCs w:val="16"/>
              </w:rPr>
              <w:t>87,9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9B4D01" w14:textId="77777777" w:rsidR="008562DC" w:rsidRPr="00AE0410" w:rsidRDefault="008562DC" w:rsidP="00BA469C">
            <w:pPr>
              <w:keepNext/>
              <w:spacing w:before="0" w:line="276" w:lineRule="auto"/>
              <w:rPr>
                <w:sz w:val="16"/>
                <w:szCs w:val="16"/>
              </w:rPr>
            </w:pPr>
            <w:r w:rsidRPr="00AE0410">
              <w:rPr>
                <w:sz w:val="16"/>
                <w:szCs w:val="16"/>
              </w:rPr>
              <w:t>94,5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1E5EA38" w14:textId="77777777" w:rsidR="008562DC" w:rsidRPr="00AE0410" w:rsidRDefault="008562DC" w:rsidP="00BA469C">
            <w:pPr>
              <w:keepNext/>
              <w:spacing w:before="0" w:line="276" w:lineRule="auto"/>
              <w:rPr>
                <w:sz w:val="16"/>
                <w:szCs w:val="16"/>
              </w:rPr>
            </w:pPr>
            <w:r w:rsidRPr="00AE0410">
              <w:rPr>
                <w:sz w:val="16"/>
                <w:szCs w:val="16"/>
              </w:rPr>
              <w:t>111,2</w:t>
            </w:r>
          </w:p>
        </w:tc>
        <w:tc>
          <w:tcPr>
            <w:tcW w:w="438" w:type="pct"/>
            <w:tcBorders>
              <w:top w:val="single" w:sz="4" w:space="0" w:color="008000"/>
              <w:left w:val="single" w:sz="4" w:space="0" w:color="008000"/>
              <w:bottom w:val="single" w:sz="4" w:space="0" w:color="008000"/>
              <w:right w:val="single" w:sz="4" w:space="0" w:color="008000"/>
            </w:tcBorders>
            <w:vAlign w:val="bottom"/>
          </w:tcPr>
          <w:p w14:paraId="0C572B6E" w14:textId="77777777" w:rsidR="008562DC" w:rsidRPr="00AE0410" w:rsidRDefault="008562DC" w:rsidP="00BA469C">
            <w:pPr>
              <w:keepNext/>
              <w:spacing w:before="0" w:line="276" w:lineRule="auto"/>
              <w:rPr>
                <w:sz w:val="16"/>
                <w:szCs w:val="16"/>
              </w:rPr>
            </w:pPr>
            <w:r w:rsidRPr="00AE0410">
              <w:rPr>
                <w:sz w:val="16"/>
                <w:szCs w:val="16"/>
              </w:rPr>
              <w:t>136,7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729E093" w14:textId="77777777" w:rsidR="008562DC" w:rsidRPr="00A6198D" w:rsidRDefault="008562DC" w:rsidP="00BA469C">
            <w:pPr>
              <w:keepNext/>
              <w:spacing w:before="0" w:line="276" w:lineRule="auto"/>
              <w:rPr>
                <w:sz w:val="16"/>
                <w:szCs w:val="16"/>
              </w:rPr>
            </w:pPr>
            <w:r w:rsidRPr="00AE0410">
              <w:rPr>
                <w:sz w:val="16"/>
                <w:szCs w:val="16"/>
              </w:rPr>
              <w:t>121,0</w:t>
            </w:r>
          </w:p>
        </w:tc>
      </w:tr>
      <w:tr w:rsidR="008562DC" w:rsidRPr="00A6198D" w14:paraId="77DCD6EC"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7306C5A" w14:textId="77777777" w:rsidR="008562DC" w:rsidRPr="00A6198D" w:rsidRDefault="008562DC" w:rsidP="00BA469C">
            <w:pPr>
              <w:keepNext/>
              <w:spacing w:before="0" w:line="276" w:lineRule="auto"/>
              <w:rPr>
                <w:sz w:val="16"/>
                <w:szCs w:val="16"/>
              </w:rPr>
            </w:pPr>
            <w:r w:rsidRPr="00A6198D">
              <w:rPr>
                <w:sz w:val="16"/>
                <w:szCs w:val="16"/>
              </w:rPr>
              <w:t>Čista 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7B994EF" w14:textId="77777777" w:rsidR="008562DC" w:rsidRPr="00A6198D" w:rsidRDefault="008562DC" w:rsidP="00BA469C">
            <w:pPr>
              <w:keepNext/>
              <w:spacing w:before="0" w:line="276" w:lineRule="auto"/>
              <w:rPr>
                <w:sz w:val="16"/>
                <w:szCs w:val="16"/>
              </w:rPr>
            </w:pPr>
            <w:r w:rsidRPr="00A6198D">
              <w:rPr>
                <w:sz w:val="16"/>
                <w:szCs w:val="16"/>
              </w:rPr>
              <w:t>36,2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5935F4E" w14:textId="77777777" w:rsidR="008562DC" w:rsidRPr="00A6198D" w:rsidRDefault="008562DC" w:rsidP="00BA469C">
            <w:pPr>
              <w:keepNext/>
              <w:spacing w:before="0" w:line="276" w:lineRule="auto"/>
              <w:rPr>
                <w:sz w:val="16"/>
                <w:szCs w:val="16"/>
              </w:rPr>
            </w:pPr>
            <w:r w:rsidRPr="00A6198D">
              <w:rPr>
                <w:sz w:val="16"/>
                <w:szCs w:val="16"/>
              </w:rPr>
              <w:t>15,2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1BBFBF1" w14:textId="77777777" w:rsidR="008562DC" w:rsidRPr="00A6198D" w:rsidRDefault="008562DC" w:rsidP="00BA469C">
            <w:pPr>
              <w:keepNext/>
              <w:spacing w:before="0" w:line="276" w:lineRule="auto"/>
              <w:rPr>
                <w:sz w:val="16"/>
                <w:szCs w:val="16"/>
              </w:rPr>
            </w:pPr>
            <w:r w:rsidRPr="00A6198D">
              <w:rPr>
                <w:sz w:val="16"/>
                <w:szCs w:val="16"/>
              </w:rPr>
              <w:t>11,6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3BD26C4" w14:textId="77777777" w:rsidR="008562DC" w:rsidRPr="00A6198D" w:rsidRDefault="008562DC" w:rsidP="00BA469C">
            <w:pPr>
              <w:keepNext/>
              <w:spacing w:before="0" w:line="276" w:lineRule="auto"/>
              <w:rPr>
                <w:sz w:val="16"/>
                <w:szCs w:val="16"/>
              </w:rPr>
            </w:pPr>
            <w:r w:rsidRPr="00A6198D">
              <w:rPr>
                <w:sz w:val="16"/>
                <w:szCs w:val="16"/>
              </w:rPr>
              <w:t>13,5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A84FB5A" w14:textId="77777777" w:rsidR="008562DC" w:rsidRPr="00A6198D" w:rsidRDefault="008562DC" w:rsidP="00BA469C">
            <w:pPr>
              <w:keepNext/>
              <w:spacing w:before="0" w:line="276" w:lineRule="auto"/>
              <w:rPr>
                <w:sz w:val="16"/>
                <w:szCs w:val="16"/>
              </w:rPr>
            </w:pPr>
            <w:r w:rsidRPr="00A6198D">
              <w:rPr>
                <w:sz w:val="16"/>
                <w:szCs w:val="16"/>
              </w:rPr>
              <w:t>10,8</w:t>
            </w:r>
          </w:p>
        </w:tc>
        <w:tc>
          <w:tcPr>
            <w:tcW w:w="438" w:type="pct"/>
            <w:tcBorders>
              <w:top w:val="single" w:sz="4" w:space="0" w:color="008000"/>
              <w:left w:val="single" w:sz="4" w:space="0" w:color="008000"/>
              <w:bottom w:val="single" w:sz="4" w:space="0" w:color="008000"/>
              <w:right w:val="single" w:sz="4" w:space="0" w:color="008000"/>
            </w:tcBorders>
            <w:vAlign w:val="bottom"/>
          </w:tcPr>
          <w:p w14:paraId="5AAB96D7" w14:textId="77777777" w:rsidR="008562DC" w:rsidRPr="00A6198D" w:rsidRDefault="008562DC" w:rsidP="00BA469C">
            <w:pPr>
              <w:keepNext/>
              <w:spacing w:before="0" w:line="276" w:lineRule="auto"/>
              <w:rPr>
                <w:sz w:val="16"/>
                <w:szCs w:val="16"/>
              </w:rPr>
            </w:pPr>
            <w:r w:rsidRPr="00A6198D">
              <w:rPr>
                <w:sz w:val="16"/>
                <w:szCs w:val="16"/>
              </w:rPr>
              <w:t>8,0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3C6ACB9" w14:textId="77777777" w:rsidR="008562DC" w:rsidRPr="00A6198D" w:rsidRDefault="008562DC" w:rsidP="00BA469C">
            <w:pPr>
              <w:keepNext/>
              <w:spacing w:before="0" w:line="276" w:lineRule="auto"/>
              <w:rPr>
                <w:sz w:val="16"/>
                <w:szCs w:val="16"/>
              </w:rPr>
            </w:pPr>
            <w:r w:rsidRPr="00A6198D">
              <w:rPr>
                <w:sz w:val="16"/>
                <w:szCs w:val="16"/>
              </w:rPr>
              <w:t>72,9</w:t>
            </w:r>
          </w:p>
        </w:tc>
      </w:tr>
      <w:tr w:rsidR="008562DC" w:rsidRPr="00A6198D" w14:paraId="34F73D70"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E2E11E5" w14:textId="77777777" w:rsidR="008562DC" w:rsidRPr="00A6198D" w:rsidRDefault="008562DC" w:rsidP="00BA469C">
            <w:pPr>
              <w:keepNext/>
              <w:spacing w:before="0" w:line="276" w:lineRule="auto"/>
              <w:rPr>
                <w:sz w:val="16"/>
                <w:szCs w:val="16"/>
              </w:rPr>
            </w:pPr>
            <w:r w:rsidRPr="00A6198D">
              <w:rPr>
                <w:sz w:val="16"/>
                <w:szCs w:val="16"/>
              </w:rPr>
              <w:t>Neto čisti dobiček/izguba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8716943" w14:textId="77777777" w:rsidR="008562DC" w:rsidRPr="00A6198D" w:rsidRDefault="008562DC" w:rsidP="00BA469C">
            <w:pPr>
              <w:keepNext/>
              <w:spacing w:before="0" w:line="276" w:lineRule="auto"/>
              <w:rPr>
                <w:sz w:val="16"/>
                <w:szCs w:val="16"/>
              </w:rPr>
            </w:pPr>
            <w:r w:rsidRPr="00A6198D">
              <w:rPr>
                <w:sz w:val="16"/>
                <w:szCs w:val="16"/>
              </w:rPr>
              <w:t>34,4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E01EE9" w14:textId="77777777" w:rsidR="008562DC" w:rsidRPr="00A6198D" w:rsidRDefault="008562DC" w:rsidP="00BA469C">
            <w:pPr>
              <w:keepNext/>
              <w:spacing w:before="0" w:line="276" w:lineRule="auto"/>
              <w:rPr>
                <w:sz w:val="16"/>
                <w:szCs w:val="16"/>
              </w:rPr>
            </w:pPr>
            <w:r w:rsidRPr="00A6198D">
              <w:rPr>
                <w:sz w:val="16"/>
                <w:szCs w:val="16"/>
              </w:rPr>
              <w:t>70,3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0E95F3" w14:textId="77777777" w:rsidR="008562DC" w:rsidRPr="00A6198D" w:rsidRDefault="008562DC" w:rsidP="00BA469C">
            <w:pPr>
              <w:keepNext/>
              <w:spacing w:before="0" w:line="276" w:lineRule="auto"/>
              <w:rPr>
                <w:sz w:val="16"/>
                <w:szCs w:val="16"/>
              </w:rPr>
            </w:pPr>
            <w:r w:rsidRPr="00A6198D">
              <w:rPr>
                <w:sz w:val="16"/>
                <w:szCs w:val="16"/>
              </w:rPr>
              <w:t>76,3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09B8C28" w14:textId="77777777" w:rsidR="008562DC" w:rsidRPr="00A6198D" w:rsidRDefault="008562DC" w:rsidP="00BA469C">
            <w:pPr>
              <w:keepNext/>
              <w:spacing w:before="0" w:line="276" w:lineRule="auto"/>
              <w:rPr>
                <w:sz w:val="16"/>
                <w:szCs w:val="16"/>
              </w:rPr>
            </w:pPr>
            <w:r w:rsidRPr="00A6198D">
              <w:rPr>
                <w:sz w:val="16"/>
                <w:szCs w:val="16"/>
              </w:rPr>
              <w:t>81,0</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5C9E31" w14:textId="77777777" w:rsidR="008562DC" w:rsidRPr="00A6198D" w:rsidRDefault="008562DC" w:rsidP="00BA469C">
            <w:pPr>
              <w:keepNext/>
              <w:spacing w:before="0" w:line="276" w:lineRule="auto"/>
              <w:rPr>
                <w:sz w:val="16"/>
                <w:szCs w:val="16"/>
              </w:rPr>
            </w:pPr>
            <w:r w:rsidRPr="00A6198D">
              <w:rPr>
                <w:sz w:val="16"/>
                <w:szCs w:val="16"/>
              </w:rPr>
              <w:t>100,4</w:t>
            </w:r>
          </w:p>
        </w:tc>
        <w:tc>
          <w:tcPr>
            <w:tcW w:w="438" w:type="pct"/>
            <w:tcBorders>
              <w:top w:val="single" w:sz="4" w:space="0" w:color="008000"/>
              <w:left w:val="single" w:sz="4" w:space="0" w:color="008000"/>
              <w:bottom w:val="single" w:sz="4" w:space="0" w:color="008000"/>
              <w:right w:val="single" w:sz="4" w:space="0" w:color="008000"/>
            </w:tcBorders>
            <w:vAlign w:val="bottom"/>
          </w:tcPr>
          <w:p w14:paraId="0E2D9878" w14:textId="77777777" w:rsidR="008562DC" w:rsidRPr="00A6198D" w:rsidRDefault="008562DC" w:rsidP="00BA469C">
            <w:pPr>
              <w:keepNext/>
              <w:spacing w:before="0" w:line="276" w:lineRule="auto"/>
              <w:rPr>
                <w:sz w:val="16"/>
                <w:szCs w:val="16"/>
              </w:rPr>
            </w:pPr>
            <w:r w:rsidRPr="00A6198D">
              <w:rPr>
                <w:sz w:val="16"/>
                <w:szCs w:val="16"/>
              </w:rPr>
              <w:t>128,7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3EDED5" w14:textId="77777777" w:rsidR="008562DC" w:rsidRPr="00A6198D" w:rsidRDefault="008562DC" w:rsidP="00BA469C">
            <w:pPr>
              <w:keepNext/>
              <w:spacing w:before="0" w:line="276" w:lineRule="auto"/>
              <w:rPr>
                <w:sz w:val="16"/>
                <w:szCs w:val="16"/>
              </w:rPr>
            </w:pPr>
            <w:r w:rsidRPr="00A6198D">
              <w:rPr>
                <w:sz w:val="16"/>
                <w:szCs w:val="16"/>
              </w:rPr>
              <w:t>126,2</w:t>
            </w:r>
          </w:p>
        </w:tc>
      </w:tr>
      <w:tr w:rsidR="008562DC" w:rsidRPr="00A6198D" w14:paraId="22CC2B87"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BFCC40A" w14:textId="77777777" w:rsidR="008562DC" w:rsidRPr="00A6198D" w:rsidRDefault="008562DC" w:rsidP="00BA469C">
            <w:pPr>
              <w:keepNext/>
              <w:spacing w:before="0" w:line="276" w:lineRule="auto"/>
              <w:rPr>
                <w:sz w:val="16"/>
                <w:szCs w:val="16"/>
              </w:rPr>
            </w:pPr>
            <w:r w:rsidRPr="00A6198D">
              <w:rPr>
                <w:sz w:val="16"/>
                <w:szCs w:val="16"/>
              </w:rPr>
              <w:t>Dobiček/izguba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F958A5" w14:textId="77777777" w:rsidR="008562DC" w:rsidRPr="00A6198D" w:rsidRDefault="008562DC" w:rsidP="00BA469C">
            <w:pPr>
              <w:keepNext/>
              <w:spacing w:before="0" w:line="276" w:lineRule="auto"/>
              <w:rPr>
                <w:sz w:val="16"/>
                <w:szCs w:val="16"/>
              </w:rPr>
            </w:pPr>
            <w:r w:rsidRPr="00A6198D">
              <w:rPr>
                <w:sz w:val="16"/>
                <w:szCs w:val="16"/>
              </w:rPr>
              <w:t>2,8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ACAA7CE" w14:textId="77777777" w:rsidR="008562DC" w:rsidRPr="00A6198D" w:rsidRDefault="008562DC" w:rsidP="00BA469C">
            <w:pPr>
              <w:keepNext/>
              <w:spacing w:before="0" w:line="276" w:lineRule="auto"/>
              <w:rPr>
                <w:sz w:val="16"/>
                <w:szCs w:val="16"/>
              </w:rPr>
            </w:pPr>
            <w:r w:rsidRPr="00A6198D">
              <w:rPr>
                <w:sz w:val="16"/>
                <w:szCs w:val="16"/>
              </w:rPr>
              <w:t>5,6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945909" w14:textId="77777777" w:rsidR="008562DC" w:rsidRPr="00A6198D" w:rsidRDefault="008562DC" w:rsidP="00BA469C">
            <w:pPr>
              <w:keepNext/>
              <w:spacing w:before="0" w:line="276" w:lineRule="auto"/>
              <w:rPr>
                <w:sz w:val="16"/>
                <w:szCs w:val="16"/>
              </w:rPr>
            </w:pPr>
            <w:r w:rsidRPr="00A6198D">
              <w:rPr>
                <w:sz w:val="16"/>
                <w:szCs w:val="16"/>
              </w:rPr>
              <w:t>5,7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2887E2" w14:textId="77777777" w:rsidR="008562DC" w:rsidRPr="00A6198D" w:rsidRDefault="008562DC" w:rsidP="00BA469C">
            <w:pPr>
              <w:keepNext/>
              <w:spacing w:before="0" w:line="276" w:lineRule="auto"/>
              <w:rPr>
                <w:sz w:val="16"/>
                <w:szCs w:val="16"/>
              </w:rPr>
            </w:pPr>
            <w:r w:rsidRPr="00A6198D">
              <w:rPr>
                <w:sz w:val="16"/>
                <w:szCs w:val="16"/>
              </w:rPr>
              <w:t>5,9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EF1CC3B" w14:textId="77777777" w:rsidR="008562DC" w:rsidRPr="00A6198D" w:rsidRDefault="008562DC" w:rsidP="00BA469C">
            <w:pPr>
              <w:keepNext/>
              <w:spacing w:before="0" w:line="276" w:lineRule="auto"/>
              <w:rPr>
                <w:sz w:val="16"/>
                <w:szCs w:val="16"/>
              </w:rPr>
            </w:pPr>
            <w:r w:rsidRPr="00A6198D">
              <w:rPr>
                <w:sz w:val="16"/>
                <w:szCs w:val="16"/>
              </w:rPr>
              <w:t>7,1</w:t>
            </w:r>
          </w:p>
        </w:tc>
        <w:tc>
          <w:tcPr>
            <w:tcW w:w="438" w:type="pct"/>
            <w:tcBorders>
              <w:top w:val="single" w:sz="4" w:space="0" w:color="008000"/>
              <w:left w:val="single" w:sz="4" w:space="0" w:color="008000"/>
              <w:bottom w:val="single" w:sz="4" w:space="0" w:color="008000"/>
              <w:right w:val="single" w:sz="4" w:space="0" w:color="008000"/>
            </w:tcBorders>
            <w:vAlign w:val="bottom"/>
          </w:tcPr>
          <w:p w14:paraId="7D34D92F" w14:textId="77777777" w:rsidR="008562DC" w:rsidRPr="00A6198D" w:rsidRDefault="008562DC" w:rsidP="00BA469C">
            <w:pPr>
              <w:keepNext/>
              <w:spacing w:before="0" w:line="276" w:lineRule="auto"/>
              <w:rPr>
                <w:sz w:val="16"/>
                <w:szCs w:val="16"/>
              </w:rPr>
            </w:pPr>
            <w:r w:rsidRPr="00A6198D">
              <w:rPr>
                <w:sz w:val="16"/>
                <w:szCs w:val="16"/>
              </w:rPr>
              <w:t>8,8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F7CD389" w14:textId="77777777" w:rsidR="008562DC" w:rsidRPr="00A6198D" w:rsidRDefault="008562DC" w:rsidP="00BA469C">
            <w:pPr>
              <w:keepNext/>
              <w:spacing w:before="0" w:line="276" w:lineRule="auto"/>
              <w:rPr>
                <w:sz w:val="16"/>
                <w:szCs w:val="16"/>
              </w:rPr>
            </w:pPr>
            <w:r w:rsidRPr="00A6198D">
              <w:rPr>
                <w:sz w:val="16"/>
                <w:szCs w:val="16"/>
              </w:rPr>
              <w:t>122,0</w:t>
            </w:r>
          </w:p>
        </w:tc>
      </w:tr>
      <w:tr w:rsidR="008562DC" w:rsidRPr="00A6198D" w14:paraId="076C8719" w14:textId="77777777" w:rsidTr="00BA469C">
        <w:trPr>
          <w:trHeight w:val="254"/>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DAE9E28" w14:textId="77777777" w:rsidR="008562DC" w:rsidRPr="00A6198D" w:rsidRDefault="008562DC" w:rsidP="00BA469C">
            <w:pPr>
              <w:keepNext/>
              <w:spacing w:before="0" w:line="276" w:lineRule="auto"/>
              <w:rPr>
                <w:sz w:val="16"/>
                <w:szCs w:val="16"/>
              </w:rPr>
            </w:pPr>
            <w:r w:rsidRPr="00A6198D">
              <w:rPr>
                <w:sz w:val="16"/>
                <w:szCs w:val="16"/>
              </w:rPr>
              <w:t>Donosnost sredstev (ROA)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F61C46" w14:textId="77777777" w:rsidR="008562DC" w:rsidRPr="00A6198D" w:rsidRDefault="008562DC" w:rsidP="00BA469C">
            <w:pPr>
              <w:keepNext/>
              <w:spacing w:before="0" w:line="276" w:lineRule="auto"/>
              <w:rPr>
                <w:sz w:val="16"/>
                <w:szCs w:val="16"/>
              </w:rPr>
            </w:pPr>
            <w:r w:rsidRPr="00A6198D">
              <w:rPr>
                <w:sz w:val="16"/>
                <w:szCs w:val="16"/>
              </w:rPr>
              <w:t>1,53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A7AF07" w14:textId="77777777" w:rsidR="008562DC" w:rsidRPr="00A6198D" w:rsidRDefault="008562DC" w:rsidP="00BA469C">
            <w:pPr>
              <w:keepNext/>
              <w:spacing w:before="0" w:line="276" w:lineRule="auto"/>
              <w:rPr>
                <w:sz w:val="16"/>
                <w:szCs w:val="16"/>
              </w:rPr>
            </w:pPr>
            <w:r w:rsidRPr="00A6198D">
              <w:rPr>
                <w:sz w:val="16"/>
                <w:szCs w:val="16"/>
              </w:rPr>
              <w:t>3,21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F2744A" w14:textId="77777777" w:rsidR="008562DC" w:rsidRPr="00A6198D" w:rsidRDefault="008562DC" w:rsidP="00BA469C">
            <w:pPr>
              <w:keepNext/>
              <w:spacing w:before="0" w:line="276" w:lineRule="auto"/>
              <w:rPr>
                <w:sz w:val="16"/>
                <w:szCs w:val="16"/>
              </w:rPr>
            </w:pPr>
            <w:r w:rsidRPr="00A6198D">
              <w:rPr>
                <w:sz w:val="16"/>
                <w:szCs w:val="16"/>
              </w:rPr>
              <w:t>3,70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63FF12" w14:textId="77777777" w:rsidR="008562DC" w:rsidRPr="00A6198D" w:rsidRDefault="008562DC" w:rsidP="00BA469C">
            <w:pPr>
              <w:keepNext/>
              <w:spacing w:before="0" w:line="276" w:lineRule="auto"/>
              <w:rPr>
                <w:sz w:val="16"/>
                <w:szCs w:val="16"/>
              </w:rPr>
            </w:pPr>
            <w:r w:rsidRPr="00A6198D">
              <w:rPr>
                <w:sz w:val="16"/>
                <w:szCs w:val="16"/>
              </w:rPr>
              <w:t>3,67</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43D1441" w14:textId="77777777" w:rsidR="008562DC" w:rsidRPr="00A6198D" w:rsidRDefault="008562DC" w:rsidP="00BA469C">
            <w:pPr>
              <w:keepNext/>
              <w:spacing w:before="0" w:line="276" w:lineRule="auto"/>
              <w:rPr>
                <w:sz w:val="16"/>
                <w:szCs w:val="16"/>
              </w:rPr>
            </w:pPr>
            <w:r w:rsidRPr="00A6198D">
              <w:rPr>
                <w:sz w:val="16"/>
                <w:szCs w:val="16"/>
              </w:rPr>
              <w:t>4,55</w:t>
            </w:r>
          </w:p>
        </w:tc>
        <w:tc>
          <w:tcPr>
            <w:tcW w:w="438" w:type="pct"/>
            <w:tcBorders>
              <w:top w:val="single" w:sz="4" w:space="0" w:color="008000"/>
              <w:left w:val="single" w:sz="4" w:space="0" w:color="008000"/>
              <w:bottom w:val="single" w:sz="4" w:space="0" w:color="008000"/>
              <w:right w:val="single" w:sz="4" w:space="0" w:color="008000"/>
            </w:tcBorders>
            <w:vAlign w:val="bottom"/>
          </w:tcPr>
          <w:p w14:paraId="163EDCBB" w14:textId="77777777" w:rsidR="008562DC" w:rsidRPr="00A6198D" w:rsidRDefault="008562DC" w:rsidP="00BA469C">
            <w:pPr>
              <w:keepNext/>
              <w:spacing w:before="0" w:line="276" w:lineRule="auto"/>
              <w:rPr>
                <w:sz w:val="16"/>
                <w:szCs w:val="16"/>
              </w:rPr>
            </w:pPr>
            <w:r w:rsidRPr="00A6198D">
              <w:rPr>
                <w:sz w:val="16"/>
                <w:szCs w:val="16"/>
              </w:rPr>
              <w:t>5,56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4A6A09E" w14:textId="77777777" w:rsidR="008562DC" w:rsidRPr="00A6198D" w:rsidRDefault="008562DC" w:rsidP="00BA469C">
            <w:pPr>
              <w:keepNext/>
              <w:spacing w:before="0" w:line="276" w:lineRule="auto"/>
              <w:rPr>
                <w:sz w:val="16"/>
                <w:szCs w:val="16"/>
              </w:rPr>
            </w:pPr>
            <w:r w:rsidRPr="00A6198D">
              <w:rPr>
                <w:sz w:val="16"/>
                <w:szCs w:val="16"/>
              </w:rPr>
              <w:t>120,3</w:t>
            </w:r>
          </w:p>
        </w:tc>
      </w:tr>
      <w:tr w:rsidR="008562DC" w:rsidRPr="00A6198D" w14:paraId="6C818D82" w14:textId="77777777" w:rsidTr="00BA469C">
        <w:trPr>
          <w:trHeight w:val="217"/>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9877850" w14:textId="77777777" w:rsidR="008562DC" w:rsidRPr="00A6198D" w:rsidRDefault="008562DC" w:rsidP="00BA469C">
            <w:pPr>
              <w:keepNext/>
              <w:spacing w:before="0" w:line="276" w:lineRule="auto"/>
              <w:rPr>
                <w:sz w:val="16"/>
                <w:szCs w:val="16"/>
              </w:rPr>
            </w:pPr>
            <w:r w:rsidRPr="00A6198D">
              <w:rPr>
                <w:sz w:val="16"/>
                <w:szCs w:val="16"/>
              </w:rPr>
              <w:t>Donosnost prodaje (ROS)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D1F71AD" w14:textId="77777777" w:rsidR="008562DC" w:rsidRPr="00A6198D" w:rsidRDefault="008562DC" w:rsidP="00BA469C">
            <w:pPr>
              <w:keepNext/>
              <w:spacing w:before="0" w:line="276" w:lineRule="auto"/>
              <w:rPr>
                <w:sz w:val="16"/>
                <w:szCs w:val="16"/>
              </w:rPr>
            </w:pPr>
            <w:r w:rsidRPr="00A6198D">
              <w:rPr>
                <w:sz w:val="16"/>
                <w:szCs w:val="16"/>
              </w:rPr>
              <w:t>1,71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A58C0CF" w14:textId="77777777" w:rsidR="008562DC" w:rsidRPr="00A6198D" w:rsidRDefault="008562DC" w:rsidP="00BA469C">
            <w:pPr>
              <w:keepNext/>
              <w:spacing w:before="0" w:line="276" w:lineRule="auto"/>
              <w:rPr>
                <w:sz w:val="16"/>
                <w:szCs w:val="16"/>
              </w:rPr>
            </w:pPr>
            <w:r w:rsidRPr="00A6198D">
              <w:rPr>
                <w:sz w:val="16"/>
                <w:szCs w:val="16"/>
              </w:rPr>
              <w:t>3,41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9E97934" w14:textId="77777777" w:rsidR="008562DC" w:rsidRPr="00A6198D" w:rsidRDefault="008562DC" w:rsidP="00BA469C">
            <w:pPr>
              <w:keepNext/>
              <w:spacing w:before="0" w:line="276" w:lineRule="auto"/>
              <w:rPr>
                <w:sz w:val="16"/>
                <w:szCs w:val="16"/>
              </w:rPr>
            </w:pPr>
            <w:r w:rsidRPr="00A6198D">
              <w:rPr>
                <w:sz w:val="16"/>
                <w:szCs w:val="16"/>
              </w:rPr>
              <w:t>3,72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CDB759D" w14:textId="77777777" w:rsidR="008562DC" w:rsidRPr="00A6198D" w:rsidRDefault="008562DC" w:rsidP="00BA469C">
            <w:pPr>
              <w:keepNext/>
              <w:spacing w:before="0" w:line="276" w:lineRule="auto"/>
              <w:rPr>
                <w:sz w:val="16"/>
                <w:szCs w:val="16"/>
              </w:rPr>
            </w:pPr>
            <w:r w:rsidRPr="00A6198D">
              <w:rPr>
                <w:sz w:val="16"/>
                <w:szCs w:val="16"/>
              </w:rPr>
              <w:t>3,76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A3BEAF0" w14:textId="77777777" w:rsidR="008562DC" w:rsidRPr="00A6198D" w:rsidRDefault="008562DC" w:rsidP="00BA469C">
            <w:pPr>
              <w:keepNext/>
              <w:spacing w:before="0" w:line="276" w:lineRule="auto"/>
              <w:rPr>
                <w:sz w:val="16"/>
                <w:szCs w:val="16"/>
              </w:rPr>
            </w:pPr>
            <w:r w:rsidRPr="00A6198D">
              <w:rPr>
                <w:sz w:val="16"/>
                <w:szCs w:val="16"/>
              </w:rPr>
              <w:t>4,58</w:t>
            </w:r>
          </w:p>
        </w:tc>
        <w:tc>
          <w:tcPr>
            <w:tcW w:w="438" w:type="pct"/>
            <w:tcBorders>
              <w:top w:val="single" w:sz="4" w:space="0" w:color="008000"/>
              <w:left w:val="single" w:sz="4" w:space="0" w:color="008000"/>
              <w:bottom w:val="single" w:sz="4" w:space="0" w:color="008000"/>
              <w:right w:val="single" w:sz="4" w:space="0" w:color="008000"/>
            </w:tcBorders>
            <w:vAlign w:val="bottom"/>
          </w:tcPr>
          <w:p w14:paraId="17B0F067" w14:textId="77777777" w:rsidR="008562DC" w:rsidRPr="00A6198D" w:rsidRDefault="008562DC" w:rsidP="00BA469C">
            <w:pPr>
              <w:keepNext/>
              <w:spacing w:before="0" w:line="276" w:lineRule="auto"/>
              <w:rPr>
                <w:sz w:val="16"/>
                <w:szCs w:val="16"/>
              </w:rPr>
            </w:pPr>
            <w:r w:rsidRPr="00A6198D">
              <w:rPr>
                <w:sz w:val="16"/>
                <w:szCs w:val="16"/>
              </w:rPr>
              <w:t>5,60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A035284" w14:textId="77777777" w:rsidR="008562DC" w:rsidRPr="00A6198D" w:rsidRDefault="008562DC" w:rsidP="00BA469C">
            <w:pPr>
              <w:keepNext/>
              <w:spacing w:before="0" w:line="276" w:lineRule="auto"/>
              <w:rPr>
                <w:sz w:val="16"/>
                <w:szCs w:val="16"/>
              </w:rPr>
            </w:pPr>
            <w:r w:rsidRPr="00A6198D">
              <w:rPr>
                <w:sz w:val="16"/>
                <w:szCs w:val="16"/>
              </w:rPr>
              <w:t>120,4</w:t>
            </w:r>
          </w:p>
        </w:tc>
      </w:tr>
    </w:tbl>
    <w:p w14:paraId="575127F5" w14:textId="7FE53C7F"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9B9D4D5" w14:textId="77777777" w:rsidR="004D4726" w:rsidRPr="0047652B" w:rsidRDefault="004D4726" w:rsidP="007613FE">
      <w:pPr>
        <w:spacing w:before="0" w:line="260" w:lineRule="atLeast"/>
        <w:rPr>
          <w:sz w:val="20"/>
          <w:szCs w:val="20"/>
        </w:rPr>
      </w:pPr>
    </w:p>
    <w:p w14:paraId="09269D17" w14:textId="1904A1A4" w:rsidR="003406B9" w:rsidRPr="009F3567" w:rsidRDefault="003406B9" w:rsidP="007E558D">
      <w:pPr>
        <w:pStyle w:val="Naslov2"/>
      </w:pPr>
      <w:bookmarkStart w:id="3232" w:name="_Toc90462291"/>
      <w:r w:rsidRPr="009F3567">
        <w:t>Pomen živilskopredelovalne panoge v makroekonomskih agregatih in trendi v obsegu proizvodnje</w:t>
      </w:r>
      <w:bookmarkEnd w:id="3232"/>
      <w:r w:rsidRPr="009F3567">
        <w:t xml:space="preserve"> </w:t>
      </w:r>
    </w:p>
    <w:p w14:paraId="29652731" w14:textId="77777777" w:rsidR="003406B9" w:rsidRPr="0047652B" w:rsidRDefault="003406B9" w:rsidP="007613FE">
      <w:pPr>
        <w:spacing w:before="0" w:line="260" w:lineRule="atLeast"/>
        <w:rPr>
          <w:sz w:val="20"/>
          <w:szCs w:val="20"/>
        </w:rPr>
      </w:pPr>
    </w:p>
    <w:p w14:paraId="33B66244" w14:textId="19177C81" w:rsidR="003406B9" w:rsidRPr="007E558D" w:rsidRDefault="003406B9" w:rsidP="007613FE">
      <w:pPr>
        <w:spacing w:before="0" w:line="260" w:lineRule="atLeast"/>
        <w:rPr>
          <w:szCs w:val="20"/>
          <w:lang w:eastAsia="en-US"/>
        </w:rPr>
      </w:pPr>
      <w:r w:rsidRPr="007E558D">
        <w:rPr>
          <w:szCs w:val="20"/>
        </w:rPr>
        <w:t xml:space="preserve">Slovenska </w:t>
      </w:r>
      <w:r w:rsidR="00C746DF" w:rsidRPr="007E558D">
        <w:rPr>
          <w:szCs w:val="20"/>
        </w:rPr>
        <w:t>ŽPI</w:t>
      </w:r>
      <w:r w:rsidRPr="007E558D">
        <w:rPr>
          <w:szCs w:val="20"/>
        </w:rPr>
        <w:t xml:space="preserve"> </w:t>
      </w:r>
      <w:r w:rsidRPr="007E558D">
        <w:rPr>
          <w:szCs w:val="20"/>
          <w:lang w:eastAsia="en-US"/>
        </w:rPr>
        <w:t>k skupni dodani vrednosti nacionalnega gospodarstva v zadnjih letih prispeva okoli 1,5 %, k skupni zaposlenosti pa okoli 1,7 %.</w:t>
      </w:r>
    </w:p>
    <w:p w14:paraId="2F4D8707" w14:textId="69542964" w:rsidR="00BC2647" w:rsidRDefault="00BC2647" w:rsidP="007613FE">
      <w:pPr>
        <w:spacing w:before="0" w:line="260" w:lineRule="atLeast"/>
        <w:rPr>
          <w:sz w:val="20"/>
          <w:szCs w:val="20"/>
          <w:lang w:eastAsia="en-US"/>
        </w:rPr>
      </w:pPr>
    </w:p>
    <w:p w14:paraId="517DB846" w14:textId="4B5C793C" w:rsidR="00A15A53" w:rsidRPr="00BF5A01" w:rsidRDefault="00BC2647" w:rsidP="007E558D">
      <w:pPr>
        <w:pStyle w:val="SCPreglednica"/>
      </w:pPr>
      <w:bookmarkStart w:id="3233" w:name="_Toc89861026"/>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34</w:t>
      </w:r>
      <w:r w:rsidR="009F2591">
        <w:rPr>
          <w:noProof/>
        </w:rPr>
        <w:fldChar w:fldCharType="end"/>
      </w:r>
      <w:r w:rsidRPr="009F3567">
        <w:t>: Delež proizvodnje hrane in pijač (</w:t>
      </w:r>
      <w:r w:rsidR="00665585">
        <w:t>C10 in</w:t>
      </w:r>
      <w:r w:rsidRPr="009F3567">
        <w:t xml:space="preserve"> </w:t>
      </w:r>
      <w:r w:rsidR="00665585">
        <w:t>C</w:t>
      </w:r>
      <w:r w:rsidRPr="009F3567">
        <w:t>11) v predelovalni dejavnosti (C); 201</w:t>
      </w:r>
      <w:r w:rsidR="00742ADC">
        <w:t>4</w:t>
      </w:r>
      <w:r w:rsidRPr="009F3567">
        <w:t>–201</w:t>
      </w:r>
      <w:r w:rsidR="00742ADC">
        <w:t>9</w:t>
      </w:r>
      <w:bookmarkEnd w:id="3233"/>
    </w:p>
    <w:tbl>
      <w:tblPr>
        <w:tblW w:w="3452"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1752"/>
        <w:gridCol w:w="749"/>
        <w:gridCol w:w="751"/>
        <w:gridCol w:w="751"/>
        <w:gridCol w:w="751"/>
        <w:gridCol w:w="751"/>
        <w:gridCol w:w="751"/>
      </w:tblGrid>
      <w:tr w:rsidR="00742ADC" w:rsidRPr="00A1643A" w14:paraId="37139F0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3C7E34" w14:textId="77777777" w:rsidR="00742ADC" w:rsidRPr="00A1643A" w:rsidRDefault="00742ADC"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04C2589A" w14:textId="77777777" w:rsidR="00742ADC" w:rsidRPr="00A1643A" w:rsidRDefault="00742ADC" w:rsidP="004D6869">
            <w:pPr>
              <w:pStyle w:val="ZPpregtekst"/>
              <w:spacing w:before="0" w:line="276" w:lineRule="auto"/>
              <w:rPr>
                <w:b/>
                <w:szCs w:val="16"/>
              </w:rPr>
            </w:pPr>
            <w:r w:rsidRPr="00A1643A">
              <w:rPr>
                <w:b/>
                <w:szCs w:val="16"/>
              </w:rPr>
              <w:t>2014</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ECDB8E7" w14:textId="77777777" w:rsidR="00742ADC" w:rsidRPr="00A1643A" w:rsidRDefault="00742ADC" w:rsidP="004D6869">
            <w:pPr>
              <w:pStyle w:val="ZPpregtekst"/>
              <w:spacing w:before="0" w:line="276" w:lineRule="auto"/>
              <w:rPr>
                <w:b/>
                <w:szCs w:val="16"/>
              </w:rPr>
            </w:pPr>
            <w:r w:rsidRPr="00A1643A">
              <w:rPr>
                <w:b/>
                <w:szCs w:val="16"/>
              </w:rPr>
              <w:t>2015</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53B4F29" w14:textId="77777777" w:rsidR="00742ADC" w:rsidRPr="00A1643A" w:rsidRDefault="00742ADC" w:rsidP="004D6869">
            <w:pPr>
              <w:pStyle w:val="ZPpregtekst"/>
              <w:spacing w:before="0" w:line="276" w:lineRule="auto"/>
              <w:rPr>
                <w:b/>
                <w:szCs w:val="16"/>
              </w:rPr>
            </w:pPr>
            <w:r w:rsidRPr="00A1643A">
              <w:rPr>
                <w:b/>
                <w:szCs w:val="16"/>
              </w:rPr>
              <w:t>2016</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F58982E" w14:textId="77777777" w:rsidR="00742ADC" w:rsidRPr="00A1643A" w:rsidRDefault="00742ADC" w:rsidP="004D6869">
            <w:pPr>
              <w:pStyle w:val="ZPpregtekst"/>
              <w:spacing w:before="0" w:line="276" w:lineRule="auto"/>
              <w:rPr>
                <w:b/>
                <w:szCs w:val="16"/>
              </w:rPr>
            </w:pPr>
            <w:r w:rsidRPr="00A1643A">
              <w:rPr>
                <w:b/>
                <w:szCs w:val="16"/>
              </w:rPr>
              <w:t>2017</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4D31712" w14:textId="77777777" w:rsidR="00742ADC" w:rsidRPr="00A1643A" w:rsidRDefault="00742ADC" w:rsidP="004D6869">
            <w:pPr>
              <w:pStyle w:val="ZPpregtekst"/>
              <w:spacing w:before="0" w:line="276" w:lineRule="auto"/>
              <w:rPr>
                <w:b/>
                <w:szCs w:val="16"/>
              </w:rPr>
            </w:pPr>
            <w:r w:rsidRPr="00A1643A">
              <w:rPr>
                <w:b/>
                <w:szCs w:val="16"/>
              </w:rPr>
              <w:t>2018</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128D8D8" w14:textId="77777777" w:rsidR="00742ADC" w:rsidRPr="00A1643A" w:rsidRDefault="00742ADC" w:rsidP="004D6869">
            <w:pPr>
              <w:pStyle w:val="ZPpregtekst"/>
              <w:spacing w:before="0" w:line="276" w:lineRule="auto"/>
              <w:rPr>
                <w:b/>
                <w:szCs w:val="16"/>
              </w:rPr>
            </w:pPr>
            <w:r w:rsidRPr="00A1643A">
              <w:rPr>
                <w:b/>
                <w:szCs w:val="16"/>
              </w:rPr>
              <w:t>2019</w:t>
            </w:r>
          </w:p>
        </w:tc>
      </w:tr>
      <w:tr w:rsidR="00A15A53" w:rsidRPr="00A1643A" w14:paraId="25D15375"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E18059" w14:textId="77777777" w:rsidR="00A15A53" w:rsidRPr="00A1643A" w:rsidRDefault="00A15A53"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F059C3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547BC0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C065481"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9E4B686"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63B0E78"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2A6D8A1" w14:textId="77777777" w:rsidR="00A15A53" w:rsidRPr="00A1643A" w:rsidRDefault="00A15A53" w:rsidP="004D6869">
            <w:pPr>
              <w:pStyle w:val="ZPpregtekst"/>
              <w:spacing w:before="0" w:line="276" w:lineRule="auto"/>
              <w:rPr>
                <w:b/>
                <w:szCs w:val="16"/>
              </w:rPr>
            </w:pPr>
          </w:p>
        </w:tc>
      </w:tr>
      <w:tr w:rsidR="00742ADC" w:rsidRPr="00A1643A" w14:paraId="0ED2F2D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6C79640" w14:textId="77777777" w:rsidR="00742ADC" w:rsidRPr="00A1643A" w:rsidRDefault="00742ADC" w:rsidP="004D6869">
            <w:pPr>
              <w:pStyle w:val="ZPpregtekst"/>
              <w:spacing w:before="0" w:line="276" w:lineRule="auto"/>
              <w:rPr>
                <w:szCs w:val="16"/>
              </w:rPr>
            </w:pPr>
            <w:r w:rsidRPr="00A1643A">
              <w:rPr>
                <w:szCs w:val="16"/>
              </w:rPr>
              <w:t>Število podjetij</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DBC129"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68E064E"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4B1F5"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07BD2C0"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9510C49" w14:textId="77777777" w:rsidR="00742ADC" w:rsidRPr="00A1643A" w:rsidRDefault="00742ADC" w:rsidP="004D6869">
            <w:pPr>
              <w:pStyle w:val="ZPpregtevilke"/>
              <w:spacing w:before="0" w:line="276" w:lineRule="auto"/>
              <w:rPr>
                <w:szCs w:val="16"/>
              </w:rPr>
            </w:pPr>
            <w:r w:rsidRPr="00A1643A">
              <w:rPr>
                <w:szCs w:val="16"/>
              </w:rPr>
              <w:t>9,2</w:t>
            </w:r>
          </w:p>
        </w:tc>
        <w:tc>
          <w:tcPr>
            <w:tcW w:w="600" w:type="pct"/>
            <w:tcBorders>
              <w:top w:val="single" w:sz="4" w:space="0" w:color="008000"/>
              <w:left w:val="single" w:sz="4" w:space="0" w:color="008000"/>
              <w:bottom w:val="single" w:sz="4" w:space="0" w:color="008000"/>
              <w:right w:val="single" w:sz="4" w:space="0" w:color="008000"/>
            </w:tcBorders>
            <w:vAlign w:val="bottom"/>
          </w:tcPr>
          <w:p w14:paraId="0550FBA7" w14:textId="77777777" w:rsidR="00742ADC" w:rsidRPr="00A1643A" w:rsidRDefault="00742ADC" w:rsidP="004D6869">
            <w:pPr>
              <w:pStyle w:val="ZPpregtevilke"/>
              <w:spacing w:before="0" w:line="276" w:lineRule="auto"/>
              <w:rPr>
                <w:szCs w:val="16"/>
              </w:rPr>
            </w:pPr>
            <w:r w:rsidRPr="00A1643A">
              <w:rPr>
                <w:szCs w:val="16"/>
              </w:rPr>
              <w:t>9,0</w:t>
            </w:r>
          </w:p>
        </w:tc>
      </w:tr>
      <w:tr w:rsidR="00742ADC" w:rsidRPr="00A1643A" w14:paraId="0F00903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DB9D16E" w14:textId="77777777" w:rsidR="00742ADC" w:rsidRPr="00A1643A" w:rsidRDefault="00742ADC" w:rsidP="004D6869">
            <w:pPr>
              <w:pStyle w:val="ZPpregtekst"/>
              <w:spacing w:before="0" w:line="276" w:lineRule="auto"/>
              <w:rPr>
                <w:szCs w:val="16"/>
              </w:rPr>
            </w:pPr>
            <w:r w:rsidRPr="00A1643A">
              <w:rPr>
                <w:szCs w:val="16"/>
              </w:rPr>
              <w:t>Število zaposlenih</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6CA447D1" w14:textId="77777777" w:rsidR="00742ADC" w:rsidRPr="00A1643A" w:rsidRDefault="00742ADC" w:rsidP="004D6869">
            <w:pPr>
              <w:pStyle w:val="ZPpregtevilke"/>
              <w:spacing w:before="0" w:line="276" w:lineRule="auto"/>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641B7A"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1C7F0F95" w14:textId="77777777" w:rsidR="00742ADC" w:rsidRPr="00A1643A" w:rsidRDefault="00742ADC" w:rsidP="004D6869">
            <w:pPr>
              <w:pStyle w:val="ZPpregtevilke"/>
              <w:spacing w:before="0" w:line="276" w:lineRule="auto"/>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858F22"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BD0FA8C"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tcPr>
          <w:p w14:paraId="6B28959D" w14:textId="77777777" w:rsidR="00742ADC" w:rsidRPr="00A1643A" w:rsidRDefault="00742ADC" w:rsidP="004D6869">
            <w:pPr>
              <w:pStyle w:val="ZPpregtevilke"/>
              <w:spacing w:before="0" w:line="276" w:lineRule="auto"/>
              <w:rPr>
                <w:szCs w:val="16"/>
              </w:rPr>
            </w:pPr>
            <w:r w:rsidRPr="00A1643A">
              <w:rPr>
                <w:szCs w:val="16"/>
              </w:rPr>
              <w:t>7,7</w:t>
            </w:r>
          </w:p>
        </w:tc>
      </w:tr>
      <w:tr w:rsidR="00742ADC" w:rsidRPr="00A1643A" w14:paraId="55403F9B"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3A8477F" w14:textId="77777777" w:rsidR="00742ADC" w:rsidRPr="00A1643A" w:rsidRDefault="00742ADC" w:rsidP="004D6869">
            <w:pPr>
              <w:pStyle w:val="ZPpregtekst"/>
              <w:spacing w:before="0" w:line="276" w:lineRule="auto"/>
              <w:rPr>
                <w:szCs w:val="16"/>
              </w:rPr>
            </w:pPr>
            <w:r w:rsidRPr="00A1643A">
              <w:rPr>
                <w:szCs w:val="16"/>
              </w:rPr>
              <w:t>Sredstva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9CBA69C" w14:textId="77777777" w:rsidR="00742ADC" w:rsidRPr="00A1643A" w:rsidRDefault="00742ADC" w:rsidP="004D6869">
            <w:pPr>
              <w:pStyle w:val="ZPpregtevilke"/>
              <w:spacing w:before="0" w:line="276" w:lineRule="auto"/>
              <w:rPr>
                <w:szCs w:val="16"/>
              </w:rPr>
            </w:pPr>
            <w:r w:rsidRPr="00A1643A">
              <w:rPr>
                <w:szCs w:val="16"/>
              </w:rPr>
              <w:t>10,2</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4C36F7C" w14:textId="77777777" w:rsidR="00742ADC" w:rsidRPr="00A1643A" w:rsidRDefault="00742ADC" w:rsidP="004D6869">
            <w:pPr>
              <w:pStyle w:val="ZPpregtevilke"/>
              <w:spacing w:before="0" w:line="276" w:lineRule="auto"/>
              <w:rPr>
                <w:szCs w:val="16"/>
              </w:rPr>
            </w:pPr>
            <w:r w:rsidRPr="00A1643A">
              <w:rPr>
                <w:szCs w:val="16"/>
              </w:rPr>
              <w:t>9,9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898C675"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8024B3F"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B0D9A6F"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tcPr>
          <w:p w14:paraId="03EA7968" w14:textId="77777777" w:rsidR="00742ADC" w:rsidRPr="00A1643A" w:rsidRDefault="00742ADC" w:rsidP="004D6869">
            <w:pPr>
              <w:pStyle w:val="ZPpregtevilke"/>
              <w:spacing w:before="0" w:line="276" w:lineRule="auto"/>
              <w:rPr>
                <w:szCs w:val="16"/>
              </w:rPr>
            </w:pPr>
            <w:r w:rsidRPr="00A1643A">
              <w:rPr>
                <w:szCs w:val="16"/>
              </w:rPr>
              <w:t>8,4</w:t>
            </w:r>
          </w:p>
        </w:tc>
      </w:tr>
      <w:tr w:rsidR="00742ADC" w:rsidRPr="00A1643A" w14:paraId="1973C44C"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1CD4F953" w14:textId="77777777" w:rsidR="00742ADC" w:rsidRPr="00A1643A" w:rsidRDefault="00742ADC" w:rsidP="004D6869">
            <w:pPr>
              <w:pStyle w:val="ZPpregtekst"/>
              <w:spacing w:before="0" w:line="276" w:lineRule="auto"/>
              <w:rPr>
                <w:szCs w:val="16"/>
              </w:rPr>
            </w:pPr>
            <w:r w:rsidRPr="00A1643A">
              <w:rPr>
                <w:szCs w:val="16"/>
              </w:rPr>
              <w:t>Prihodki od prodaje</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6D9ABA"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4D5A68A" w14:textId="77777777" w:rsidR="00742ADC" w:rsidRPr="00A1643A" w:rsidRDefault="00742ADC" w:rsidP="004D6869">
            <w:pPr>
              <w:pStyle w:val="ZPpregtevilke"/>
              <w:spacing w:before="0" w:line="276" w:lineRule="auto"/>
              <w:rPr>
                <w:szCs w:val="16"/>
              </w:rPr>
            </w:pPr>
            <w:r w:rsidRPr="00A1643A">
              <w:rPr>
                <w:szCs w:val="16"/>
              </w:rPr>
              <w:t>8,4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362D53A" w14:textId="77777777" w:rsidR="00742ADC" w:rsidRPr="00A1643A" w:rsidRDefault="00742ADC" w:rsidP="004D6869">
            <w:pPr>
              <w:pStyle w:val="ZPpregtevilke"/>
              <w:spacing w:before="0" w:line="276" w:lineRule="auto"/>
              <w:rPr>
                <w:szCs w:val="16"/>
              </w:rPr>
            </w:pPr>
            <w:r w:rsidRPr="00A1643A">
              <w:rPr>
                <w:szCs w:val="16"/>
              </w:rPr>
              <w:t>8,1</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AC46D"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6E3F79" w14:textId="77777777" w:rsidR="00742ADC" w:rsidRPr="00A1643A" w:rsidRDefault="00742ADC" w:rsidP="004D6869">
            <w:pPr>
              <w:pStyle w:val="ZPpregtevilke"/>
              <w:spacing w:before="0" w:line="276" w:lineRule="auto"/>
              <w:rPr>
                <w:szCs w:val="16"/>
              </w:rPr>
            </w:pPr>
            <w:r w:rsidRPr="00A1643A">
              <w:rPr>
                <w:szCs w:val="16"/>
              </w:rPr>
              <w:t>7,3</w:t>
            </w:r>
          </w:p>
        </w:tc>
        <w:tc>
          <w:tcPr>
            <w:tcW w:w="600" w:type="pct"/>
            <w:tcBorders>
              <w:top w:val="single" w:sz="4" w:space="0" w:color="008000"/>
              <w:left w:val="single" w:sz="4" w:space="0" w:color="008000"/>
              <w:bottom w:val="single" w:sz="4" w:space="0" w:color="008000"/>
              <w:right w:val="single" w:sz="4" w:space="0" w:color="008000"/>
            </w:tcBorders>
            <w:vAlign w:val="bottom"/>
          </w:tcPr>
          <w:p w14:paraId="2585CF70" w14:textId="77777777" w:rsidR="00742ADC" w:rsidRPr="00A1643A" w:rsidRDefault="00742ADC" w:rsidP="004D6869">
            <w:pPr>
              <w:pStyle w:val="ZPpregtevilke"/>
              <w:spacing w:before="0" w:line="276" w:lineRule="auto"/>
              <w:rPr>
                <w:szCs w:val="16"/>
              </w:rPr>
            </w:pPr>
            <w:r w:rsidRPr="00A1643A">
              <w:rPr>
                <w:szCs w:val="16"/>
              </w:rPr>
              <w:t>7,4</w:t>
            </w:r>
          </w:p>
        </w:tc>
      </w:tr>
      <w:tr w:rsidR="00742ADC" w:rsidRPr="00A1643A" w14:paraId="5D8680D3"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93E4B77" w14:textId="77777777" w:rsidR="00742ADC" w:rsidRPr="00A1643A" w:rsidRDefault="00742ADC" w:rsidP="004D6869">
            <w:pPr>
              <w:pStyle w:val="ZPpregtekst"/>
              <w:spacing w:before="0" w:line="276" w:lineRule="auto"/>
              <w:rPr>
                <w:szCs w:val="16"/>
              </w:rPr>
            </w:pPr>
            <w:r w:rsidRPr="00A1643A">
              <w:rPr>
                <w:szCs w:val="16"/>
              </w:rPr>
              <w:t>Dodana vrednost</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5E1BC05"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FF6D09A"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AAD740C" w14:textId="77777777" w:rsidR="00742ADC" w:rsidRPr="00A1643A" w:rsidRDefault="00742ADC" w:rsidP="004D6869">
            <w:pPr>
              <w:pStyle w:val="ZPpregtevilke"/>
              <w:spacing w:before="0" w:line="276" w:lineRule="auto"/>
              <w:rPr>
                <w:szCs w:val="16"/>
              </w:rPr>
            </w:pPr>
            <w:r w:rsidRPr="00A1643A">
              <w:rPr>
                <w:szCs w:val="16"/>
              </w:rPr>
              <w:t>6,7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49AA81" w14:textId="77777777" w:rsidR="00742ADC" w:rsidRPr="00A1643A" w:rsidRDefault="00742ADC" w:rsidP="004D6869">
            <w:pPr>
              <w:pStyle w:val="ZPpregtevilke"/>
              <w:spacing w:before="0" w:line="276" w:lineRule="auto"/>
              <w:rPr>
                <w:szCs w:val="16"/>
              </w:rPr>
            </w:pPr>
            <w:r w:rsidRPr="00A1643A">
              <w:rPr>
                <w:szCs w:val="16"/>
              </w:rPr>
              <w:t>6,3</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41EEEE8" w14:textId="77777777" w:rsidR="00742ADC" w:rsidRPr="00A1643A" w:rsidRDefault="00742ADC" w:rsidP="004D6869">
            <w:pPr>
              <w:pStyle w:val="ZPpregtevilke"/>
              <w:spacing w:before="0" w:line="276" w:lineRule="auto"/>
              <w:rPr>
                <w:szCs w:val="16"/>
              </w:rPr>
            </w:pPr>
            <w:r w:rsidRPr="00A1643A">
              <w:rPr>
                <w:szCs w:val="16"/>
              </w:rPr>
              <w:t>6,6</w:t>
            </w:r>
          </w:p>
        </w:tc>
        <w:tc>
          <w:tcPr>
            <w:tcW w:w="600" w:type="pct"/>
            <w:tcBorders>
              <w:top w:val="single" w:sz="4" w:space="0" w:color="008000"/>
              <w:left w:val="single" w:sz="4" w:space="0" w:color="008000"/>
              <w:bottom w:val="single" w:sz="4" w:space="0" w:color="008000"/>
              <w:right w:val="single" w:sz="4" w:space="0" w:color="008000"/>
            </w:tcBorders>
            <w:vAlign w:val="bottom"/>
          </w:tcPr>
          <w:p w14:paraId="21BFFE2B" w14:textId="77777777" w:rsidR="00742ADC" w:rsidRPr="00A1643A" w:rsidRDefault="00742ADC" w:rsidP="004D6869">
            <w:pPr>
              <w:pStyle w:val="ZPpregtevilke"/>
              <w:spacing w:before="0" w:line="276" w:lineRule="auto"/>
              <w:rPr>
                <w:szCs w:val="16"/>
              </w:rPr>
            </w:pPr>
            <w:r w:rsidRPr="00A1643A">
              <w:rPr>
                <w:szCs w:val="16"/>
              </w:rPr>
              <w:t>6,8</w:t>
            </w:r>
          </w:p>
        </w:tc>
      </w:tr>
      <w:tr w:rsidR="00742ADC" w:rsidRPr="00A1643A" w14:paraId="05DE8886"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C090A41" w14:textId="77777777" w:rsidR="00742ADC" w:rsidRPr="00A1643A" w:rsidRDefault="00742ADC" w:rsidP="004D6869">
            <w:pPr>
              <w:pStyle w:val="ZPpregtekst"/>
              <w:spacing w:before="0" w:line="276" w:lineRule="auto"/>
              <w:rPr>
                <w:szCs w:val="16"/>
              </w:rPr>
            </w:pPr>
            <w:r w:rsidRPr="00A1643A">
              <w:rPr>
                <w:szCs w:val="16"/>
              </w:rPr>
              <w:t>Dobiček</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51DB0CCB"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86B5E4" w14:textId="77777777" w:rsidR="00742ADC" w:rsidRPr="00A1643A" w:rsidRDefault="00742ADC" w:rsidP="004D6869">
            <w:pPr>
              <w:pStyle w:val="ZPpregtevilke"/>
              <w:spacing w:before="0" w:line="276" w:lineRule="auto"/>
              <w:rPr>
                <w:szCs w:val="16"/>
              </w:rPr>
            </w:pPr>
            <w:r w:rsidRPr="00A1643A">
              <w:rPr>
                <w:szCs w:val="16"/>
              </w:rPr>
              <w:t>6,4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9FCC61E"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494204" w14:textId="77777777" w:rsidR="00742ADC" w:rsidRPr="00A1643A" w:rsidRDefault="00742ADC" w:rsidP="004D6869">
            <w:pPr>
              <w:pStyle w:val="ZPpregtevilke"/>
              <w:spacing w:before="0" w:line="276" w:lineRule="auto"/>
              <w:rPr>
                <w:szCs w:val="16"/>
              </w:rPr>
            </w:pPr>
            <w:r w:rsidRPr="00A1643A">
              <w:rPr>
                <w:szCs w:val="16"/>
              </w:rPr>
              <w:t>5,8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2767A7C" w14:textId="77777777" w:rsidR="00742ADC" w:rsidRPr="00A1643A" w:rsidRDefault="00742ADC" w:rsidP="004D6869">
            <w:pPr>
              <w:pStyle w:val="ZPpregtevilke"/>
              <w:spacing w:before="0" w:line="276" w:lineRule="auto"/>
              <w:rPr>
                <w:szCs w:val="16"/>
              </w:rPr>
            </w:pPr>
            <w:r w:rsidRPr="00A1643A">
              <w:rPr>
                <w:szCs w:val="16"/>
              </w:rPr>
              <w:t>6,5</w:t>
            </w:r>
          </w:p>
        </w:tc>
        <w:tc>
          <w:tcPr>
            <w:tcW w:w="600" w:type="pct"/>
            <w:tcBorders>
              <w:top w:val="single" w:sz="4" w:space="0" w:color="008000"/>
              <w:left w:val="single" w:sz="4" w:space="0" w:color="008000"/>
              <w:bottom w:val="single" w:sz="4" w:space="0" w:color="008000"/>
              <w:right w:val="single" w:sz="4" w:space="0" w:color="008000"/>
            </w:tcBorders>
            <w:vAlign w:val="bottom"/>
          </w:tcPr>
          <w:p w14:paraId="16459129" w14:textId="77777777" w:rsidR="00742ADC" w:rsidRPr="00A1643A" w:rsidRDefault="00742ADC" w:rsidP="004D6869">
            <w:pPr>
              <w:pStyle w:val="ZPpregtevilke"/>
              <w:spacing w:before="0" w:line="276" w:lineRule="auto"/>
              <w:rPr>
                <w:szCs w:val="16"/>
              </w:rPr>
            </w:pPr>
            <w:r w:rsidRPr="00A1643A">
              <w:rPr>
                <w:szCs w:val="16"/>
              </w:rPr>
              <w:t>7,8</w:t>
            </w:r>
          </w:p>
        </w:tc>
      </w:tr>
      <w:tr w:rsidR="00742ADC" w:rsidRPr="003311AB" w14:paraId="4195E012"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52830C1" w14:textId="77777777" w:rsidR="00742ADC" w:rsidRPr="00A1643A" w:rsidRDefault="00742ADC" w:rsidP="004D6869">
            <w:pPr>
              <w:pStyle w:val="ZPpregtekst"/>
              <w:spacing w:before="0" w:line="276" w:lineRule="auto"/>
              <w:rPr>
                <w:szCs w:val="16"/>
              </w:rPr>
            </w:pPr>
            <w:r w:rsidRPr="00A1643A">
              <w:rPr>
                <w:szCs w:val="16"/>
              </w:rPr>
              <w:t>Izguba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E33F2B" w14:textId="77777777" w:rsidR="00742ADC" w:rsidRPr="00A1643A" w:rsidRDefault="00742ADC" w:rsidP="004D6869">
            <w:pPr>
              <w:pStyle w:val="ZPpregtekst"/>
              <w:spacing w:before="0" w:line="276" w:lineRule="auto"/>
              <w:jc w:val="right"/>
              <w:rPr>
                <w:szCs w:val="16"/>
              </w:rPr>
            </w:pPr>
            <w:r w:rsidRPr="00A1643A">
              <w:rPr>
                <w:szCs w:val="16"/>
              </w:rPr>
              <w:t>11,9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FB3367" w14:textId="77777777" w:rsidR="00742ADC" w:rsidRPr="00A1643A" w:rsidRDefault="00742ADC" w:rsidP="004D6869">
            <w:pPr>
              <w:pStyle w:val="ZPpregtekst"/>
              <w:spacing w:before="0" w:line="276" w:lineRule="auto"/>
              <w:jc w:val="right"/>
              <w:rPr>
                <w:szCs w:val="16"/>
              </w:rPr>
            </w:pPr>
            <w:r w:rsidRPr="00A1643A">
              <w:rPr>
                <w:szCs w:val="16"/>
              </w:rPr>
              <w:t>6,9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0EFEE01" w14:textId="77777777" w:rsidR="00742ADC" w:rsidRPr="00A1643A" w:rsidRDefault="00742ADC" w:rsidP="004D6869">
            <w:pPr>
              <w:pStyle w:val="ZPpregtekst"/>
              <w:spacing w:before="0" w:line="276" w:lineRule="auto"/>
              <w:jc w:val="right"/>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F8A724E" w14:textId="77777777" w:rsidR="00742ADC" w:rsidRPr="00A1643A" w:rsidRDefault="00742ADC" w:rsidP="004D6869">
            <w:pPr>
              <w:pStyle w:val="ZPpregtekst"/>
              <w:spacing w:before="0" w:line="276" w:lineRule="auto"/>
              <w:jc w:val="right"/>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D50014A" w14:textId="77777777" w:rsidR="00742ADC" w:rsidRPr="00A1643A" w:rsidRDefault="00742ADC" w:rsidP="004D6869">
            <w:pPr>
              <w:pStyle w:val="ZPpregtekst"/>
              <w:spacing w:before="0" w:line="276" w:lineRule="auto"/>
              <w:jc w:val="right"/>
              <w:rPr>
                <w:szCs w:val="16"/>
              </w:rPr>
            </w:pPr>
            <w:r w:rsidRPr="00A1643A">
              <w:rPr>
                <w:szCs w:val="16"/>
              </w:rPr>
              <w:t>3,7</w:t>
            </w:r>
          </w:p>
        </w:tc>
        <w:tc>
          <w:tcPr>
            <w:tcW w:w="600" w:type="pct"/>
            <w:tcBorders>
              <w:top w:val="single" w:sz="4" w:space="0" w:color="008000"/>
              <w:left w:val="single" w:sz="4" w:space="0" w:color="008000"/>
              <w:bottom w:val="single" w:sz="4" w:space="0" w:color="008000"/>
              <w:right w:val="single" w:sz="4" w:space="0" w:color="008000"/>
            </w:tcBorders>
            <w:vAlign w:val="bottom"/>
          </w:tcPr>
          <w:p w14:paraId="514E3D63" w14:textId="77777777" w:rsidR="00742ADC" w:rsidRPr="00A1643A" w:rsidRDefault="00742ADC" w:rsidP="004D6869">
            <w:pPr>
              <w:pStyle w:val="ZPpregtekst"/>
              <w:spacing w:before="0" w:line="276" w:lineRule="auto"/>
              <w:jc w:val="right"/>
              <w:rPr>
                <w:szCs w:val="16"/>
              </w:rPr>
            </w:pPr>
            <w:r w:rsidRPr="00A1643A">
              <w:rPr>
                <w:szCs w:val="16"/>
              </w:rPr>
              <w:t>3,6</w:t>
            </w:r>
          </w:p>
        </w:tc>
      </w:tr>
      <w:tr w:rsidR="00742ADC" w:rsidRPr="003311AB" w14:paraId="2907005F"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DC1FBF7" w14:textId="77777777" w:rsidR="00742ADC" w:rsidRPr="00A1643A" w:rsidRDefault="00742ADC" w:rsidP="004D6869">
            <w:pPr>
              <w:pStyle w:val="ZPpregtekst"/>
              <w:spacing w:before="0" w:line="276" w:lineRule="auto"/>
              <w:rPr>
                <w:szCs w:val="16"/>
              </w:rPr>
            </w:pPr>
            <w:r w:rsidRPr="00A1643A">
              <w:rPr>
                <w:szCs w:val="16"/>
              </w:rPr>
              <w:t xml:space="preserve">Prihodki od izvoza </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5EBFC04"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2FCB4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96CBA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9104DA4"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17F6358"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tcPr>
          <w:p w14:paraId="4F130DD8" w14:textId="77777777" w:rsidR="00742ADC" w:rsidRPr="00A1643A" w:rsidRDefault="00742ADC" w:rsidP="004D6869">
            <w:pPr>
              <w:pStyle w:val="ZPpregtekst"/>
              <w:spacing w:before="0" w:line="276" w:lineRule="auto"/>
              <w:jc w:val="right"/>
              <w:rPr>
                <w:szCs w:val="16"/>
              </w:rPr>
            </w:pPr>
            <w:r w:rsidRPr="00A1643A">
              <w:rPr>
                <w:szCs w:val="16"/>
              </w:rPr>
              <w:t>3,1</w:t>
            </w:r>
          </w:p>
        </w:tc>
      </w:tr>
    </w:tbl>
    <w:p w14:paraId="46941131"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53988BE8" w14:textId="77777777" w:rsidR="006A4DC5" w:rsidRDefault="006A4DC5" w:rsidP="007613FE">
      <w:pPr>
        <w:pStyle w:val="Odstavek1"/>
      </w:pPr>
    </w:p>
    <w:p w14:paraId="506613DE" w14:textId="7C8F6432" w:rsidR="006A4DC5" w:rsidRDefault="006A4DC5" w:rsidP="006A4DC5">
      <w:pPr>
        <w:pStyle w:val="Odstavek1"/>
        <w:rPr>
          <w:lang w:eastAsia="en-US"/>
        </w:rPr>
      </w:pPr>
      <w:r>
        <w:rPr>
          <w:lang w:eastAsia="en-US"/>
        </w:rPr>
        <w:t xml:space="preserve">Slovenska </w:t>
      </w:r>
      <w:r w:rsidRPr="006A4DC5">
        <w:rPr>
          <w:lang w:eastAsia="en-US"/>
        </w:rPr>
        <w:t>ŽPI glede na gibanje pomembnejših kazalnikov poslovanja, vključno s produktivnostjo,</w:t>
      </w:r>
      <w:r>
        <w:rPr>
          <w:lang w:eastAsia="en-US"/>
        </w:rPr>
        <w:t xml:space="preserve"> </w:t>
      </w:r>
      <w:r w:rsidRPr="006A4DC5">
        <w:rPr>
          <w:lang w:eastAsia="en-US"/>
        </w:rPr>
        <w:t>še vedno zaostaja za ostalimi predelovalnimi dejavnostmi</w:t>
      </w:r>
      <w:r>
        <w:rPr>
          <w:lang w:eastAsia="en-US"/>
        </w:rPr>
        <w:t>, kljub temu da so se rezultati poslovanja v zadnjih letih nekoliko izboljšali</w:t>
      </w:r>
      <w:r w:rsidRPr="006A4DC5">
        <w:rPr>
          <w:lang w:eastAsia="en-US"/>
        </w:rPr>
        <w:t>.</w:t>
      </w:r>
      <w:r>
        <w:rPr>
          <w:lang w:eastAsia="en-US"/>
        </w:rPr>
        <w:t xml:space="preserve"> </w:t>
      </w:r>
      <w:r w:rsidRPr="0047652B">
        <w:rPr>
          <w:lang w:eastAsia="en-US"/>
        </w:rPr>
        <w:t xml:space="preserve">Obdobje po pristopu k </w:t>
      </w:r>
      <w:r>
        <w:rPr>
          <w:lang w:eastAsia="en-US"/>
        </w:rPr>
        <w:t>EU</w:t>
      </w:r>
      <w:r w:rsidRPr="0047652B">
        <w:rPr>
          <w:lang w:eastAsia="en-US"/>
        </w:rPr>
        <w:t xml:space="preserve"> </w:t>
      </w:r>
      <w:r>
        <w:rPr>
          <w:lang w:eastAsia="en-US"/>
        </w:rPr>
        <w:t xml:space="preserve">leta 2004 </w:t>
      </w:r>
      <w:r w:rsidRPr="0047652B">
        <w:rPr>
          <w:lang w:eastAsia="en-US"/>
        </w:rPr>
        <w:t xml:space="preserve">je bilo zaznamovano s hitrim zmanjševanjem deležev v dodani vrednosti in v zaposlenosti, negativni procesi pa so se začeli s hitro liberalizacijo zunanje trgovine in ukinitvijo sistema izvoznih nadomestil. K stagnaciji so pripomogli tudi specifični procesi lastniške konsolidacije, ki so v nekaterih </w:t>
      </w:r>
      <w:r w:rsidRPr="00B2017B">
        <w:rPr>
          <w:lang w:eastAsia="en-US"/>
        </w:rPr>
        <w:t xml:space="preserve">podjetjih močno poslabšali poslovanje, za nekatera vidnejša podjetja pa je bil izveden stečaj oziroma likvidacija </w:t>
      </w:r>
      <w:r w:rsidRPr="001261D8">
        <w:rPr>
          <w:lang w:eastAsia="en-US"/>
        </w:rPr>
        <w:t>(Kmetijski inštitut Slovenije, 2020).</w:t>
      </w:r>
    </w:p>
    <w:p w14:paraId="05DCBED0" w14:textId="77777777" w:rsidR="006A4DC5" w:rsidRDefault="006A4DC5" w:rsidP="007613FE">
      <w:pPr>
        <w:pStyle w:val="Odstavek1"/>
      </w:pPr>
    </w:p>
    <w:p w14:paraId="16BC490D" w14:textId="1C5AD8C4" w:rsidR="00AE5359" w:rsidRPr="007613FE" w:rsidRDefault="006A4DC5" w:rsidP="007613FE">
      <w:pPr>
        <w:pStyle w:val="Odstavek1"/>
      </w:pPr>
      <w:r>
        <w:t>Pregled gibanja nekaterih ključnih kazalnikov poslovanja v tem obdobju pokaže na izrazito velik negativen vpliv gospodarske krize po letu 2009. Tako produktivnost kot tudi dodana vrednost na zaposlenega se primerjalno glede na ostale predelovalne dejavnosti še ni vrnila na predkrizno raven. Produktivnost ŽPI je v</w:t>
      </w:r>
      <w:r w:rsidR="00AE5359" w:rsidRPr="007613FE">
        <w:t xml:space="preserve"> letu 2017 </w:t>
      </w:r>
      <w:r>
        <w:t>celo</w:t>
      </w:r>
      <w:r w:rsidR="00AE5359" w:rsidRPr="007613FE">
        <w:t xml:space="preserve"> prvič v zadnjih dveh desetletjih padla pod povprečje predelovalnih dejavnosti</w:t>
      </w:r>
      <w:r>
        <w:t xml:space="preserve"> in se sedaj le postopoma izboljšuje</w:t>
      </w:r>
      <w:r w:rsidR="00665585" w:rsidRPr="007613FE">
        <w:t>.</w:t>
      </w:r>
      <w:r w:rsidR="00AE5359" w:rsidRPr="007613FE">
        <w:t xml:space="preserve"> </w:t>
      </w:r>
    </w:p>
    <w:p w14:paraId="504B413A" w14:textId="77777777" w:rsidR="00AE5359" w:rsidRPr="007613FE" w:rsidRDefault="00AE5359" w:rsidP="007613FE">
      <w:pPr>
        <w:pStyle w:val="Odstavek1"/>
      </w:pPr>
    </w:p>
    <w:p w14:paraId="72122F2D" w14:textId="01320CEA" w:rsidR="00AE5359" w:rsidRPr="007613FE" w:rsidRDefault="00AE5359" w:rsidP="007E558D">
      <w:pPr>
        <w:pStyle w:val="SCSlika0"/>
      </w:pPr>
      <w:bookmarkStart w:id="3234" w:name="_Toc89851131"/>
      <w:r w:rsidRPr="007613FE">
        <w:t xml:space="preserve">Slika </w:t>
      </w:r>
      <w:r w:rsidR="00114E2D">
        <w:rPr>
          <w:noProof/>
        </w:rPr>
        <w:fldChar w:fldCharType="begin"/>
      </w:r>
      <w:r w:rsidR="00114E2D">
        <w:rPr>
          <w:noProof/>
        </w:rPr>
        <w:instrText xml:space="preserve"> SEQ Slika \* ARABIC </w:instrText>
      </w:r>
      <w:r w:rsidR="00114E2D">
        <w:rPr>
          <w:noProof/>
        </w:rPr>
        <w:fldChar w:fldCharType="separate"/>
      </w:r>
      <w:r w:rsidR="00F25435">
        <w:rPr>
          <w:noProof/>
        </w:rPr>
        <w:t>89</w:t>
      </w:r>
      <w:r w:rsidR="00114E2D">
        <w:rPr>
          <w:noProof/>
        </w:rPr>
        <w:fldChar w:fldCharType="end"/>
      </w:r>
      <w:r w:rsidRPr="007613FE">
        <w:t xml:space="preserve">: Produktivnost in dodana vrednost na zaposlenega v </w:t>
      </w:r>
      <w:r w:rsidR="004D7563" w:rsidRPr="007613FE">
        <w:t>ŽPI</w:t>
      </w:r>
      <w:r w:rsidRPr="007613FE">
        <w:t xml:space="preserve"> v primerjavi s predelovalnimi dejavnostmi (indeks C = 100)</w:t>
      </w:r>
      <w:r w:rsidR="004D7563" w:rsidRPr="007613FE">
        <w:t>,</w:t>
      </w:r>
      <w:r w:rsidRPr="007613FE">
        <w:t xml:space="preserve"> </w:t>
      </w:r>
      <w:r w:rsidR="002E0056" w:rsidRPr="007613FE">
        <w:t>2007</w:t>
      </w:r>
      <w:r w:rsidRPr="007613FE">
        <w:t>–2019</w:t>
      </w:r>
      <w:bookmarkEnd w:id="3234"/>
    </w:p>
    <w:p w14:paraId="3EA8BAC6" w14:textId="77777777" w:rsidR="00AE5359" w:rsidRPr="00797A13" w:rsidRDefault="00AE5359" w:rsidP="00797A13">
      <w:r>
        <w:rPr>
          <w:noProof/>
          <w:lang w:eastAsia="sl-SI"/>
        </w:rPr>
        <w:drawing>
          <wp:inline distT="0" distB="0" distL="0" distR="0" wp14:anchorId="2190E45A" wp14:editId="4E9522F7">
            <wp:extent cx="5400000" cy="2240073"/>
            <wp:effectExtent l="0" t="0" r="0" b="8255"/>
            <wp:docPr id="1631865542" name="Slika 16318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000" cy="2240073"/>
                    </a:xfrm>
                    <a:prstGeom prst="rect">
                      <a:avLst/>
                    </a:prstGeom>
                    <a:noFill/>
                  </pic:spPr>
                </pic:pic>
              </a:graphicData>
            </a:graphic>
          </wp:inline>
        </w:drawing>
      </w:r>
    </w:p>
    <w:p w14:paraId="6165466D"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A0DA79A" w14:textId="77777777" w:rsidR="00AE5359" w:rsidRPr="0047652B" w:rsidRDefault="00AE5359" w:rsidP="007613FE">
      <w:pPr>
        <w:pStyle w:val="Odstavek1"/>
        <w:rPr>
          <w:lang w:eastAsia="en-US"/>
        </w:rPr>
      </w:pPr>
    </w:p>
    <w:p w14:paraId="2227738B" w14:textId="643A8F06" w:rsidR="00AE5359" w:rsidRDefault="00AE5359" w:rsidP="007613FE">
      <w:pPr>
        <w:pStyle w:val="Odstavek1"/>
        <w:rPr>
          <w:lang w:eastAsia="en-US"/>
        </w:rPr>
      </w:pPr>
      <w:r w:rsidRPr="0047652B">
        <w:rPr>
          <w:lang w:eastAsia="en-US"/>
        </w:rPr>
        <w:t>Podobno nazadovanje je tudi pri dodani vrednosti na zaposlenega</w:t>
      </w:r>
      <w:r w:rsidRPr="00160CC4">
        <w:rPr>
          <w:lang w:eastAsia="en-US"/>
        </w:rPr>
        <w:t>, vendar se je tudi v letu 2019 nadaljevala rast tega kazalnika</w:t>
      </w:r>
      <w:r w:rsidRPr="0047652B">
        <w:rPr>
          <w:lang w:eastAsia="en-US"/>
        </w:rPr>
        <w:t xml:space="preserve">. </w:t>
      </w:r>
    </w:p>
    <w:p w14:paraId="7004698C" w14:textId="77777777" w:rsidR="00AE5359" w:rsidRPr="0047652B" w:rsidRDefault="00AE5359" w:rsidP="007613FE">
      <w:pPr>
        <w:pStyle w:val="Odstavek1"/>
        <w:rPr>
          <w:lang w:eastAsia="en-US"/>
        </w:rPr>
      </w:pPr>
    </w:p>
    <w:p w14:paraId="4362ADF9" w14:textId="77777777" w:rsidR="00AB1ABD" w:rsidRDefault="00AB1ABD" w:rsidP="007613FE">
      <w:pPr>
        <w:pStyle w:val="Odstavek1"/>
        <w:rPr>
          <w:lang w:eastAsia="en-US"/>
        </w:rPr>
      </w:pPr>
    </w:p>
    <w:p w14:paraId="3AD16DF5" w14:textId="667A5772" w:rsidR="00DE26F3" w:rsidRPr="00DE26F3" w:rsidRDefault="00DE26F3" w:rsidP="007E558D">
      <w:pPr>
        <w:pStyle w:val="SCSlika0"/>
        <w:rPr>
          <w:lang w:eastAsia="en-US"/>
        </w:rPr>
      </w:pPr>
      <w:bookmarkStart w:id="3235" w:name="_Toc89851132"/>
      <w:r w:rsidRPr="00DE26F3">
        <w:rPr>
          <w:lang w:eastAsia="en-US"/>
        </w:rPr>
        <w:t xml:space="preserve">Slika </w:t>
      </w:r>
      <w:r w:rsidRPr="00DE26F3">
        <w:rPr>
          <w:lang w:eastAsia="en-US"/>
        </w:rPr>
        <w:fldChar w:fldCharType="begin"/>
      </w:r>
      <w:r w:rsidRPr="00DE26F3">
        <w:rPr>
          <w:lang w:eastAsia="en-US"/>
        </w:rPr>
        <w:instrText xml:space="preserve"> SEQ Slika \* ARABIC </w:instrText>
      </w:r>
      <w:r w:rsidRPr="00DE26F3">
        <w:rPr>
          <w:lang w:eastAsia="en-US"/>
        </w:rPr>
        <w:fldChar w:fldCharType="separate"/>
      </w:r>
      <w:r w:rsidR="001B3E9B">
        <w:rPr>
          <w:noProof/>
          <w:lang w:eastAsia="en-US"/>
        </w:rPr>
        <w:t>90</w:t>
      </w:r>
      <w:r w:rsidRPr="00DE26F3">
        <w:rPr>
          <w:lang w:eastAsia="en-US"/>
        </w:rPr>
        <w:fldChar w:fldCharType="end"/>
      </w:r>
      <w:r w:rsidRPr="00DE26F3">
        <w:rPr>
          <w:lang w:eastAsia="en-US"/>
        </w:rPr>
        <w:t>:</w:t>
      </w:r>
      <w:r w:rsidRPr="00DE26F3">
        <w:rPr>
          <w:i/>
          <w:lang w:eastAsia="en-US"/>
        </w:rPr>
        <w:t xml:space="preserve"> </w:t>
      </w:r>
      <w:r w:rsidRPr="00DE26F3">
        <w:rPr>
          <w:lang w:eastAsia="en-US"/>
        </w:rPr>
        <w:t xml:space="preserve">Delež proizvodnje živil in pijač </w:t>
      </w:r>
      <w:r w:rsidR="001B2A9F">
        <w:rPr>
          <w:lang w:eastAsia="en-US"/>
        </w:rPr>
        <w:t>k</w:t>
      </w:r>
      <w:r w:rsidRPr="00DE26F3">
        <w:rPr>
          <w:lang w:eastAsia="en-US"/>
        </w:rPr>
        <w:t xml:space="preserve"> </w:t>
      </w:r>
      <w:r w:rsidR="001B2A9F">
        <w:rPr>
          <w:lang w:eastAsia="en-US"/>
        </w:rPr>
        <w:t xml:space="preserve">skupni </w:t>
      </w:r>
      <w:r w:rsidRPr="00DE26F3">
        <w:rPr>
          <w:lang w:eastAsia="en-US"/>
        </w:rPr>
        <w:t xml:space="preserve">dodani vrednosti in zaposlenosti </w:t>
      </w:r>
      <w:r w:rsidR="001B2A9F">
        <w:rPr>
          <w:lang w:eastAsia="en-US"/>
        </w:rPr>
        <w:t xml:space="preserve">nacionalnega gospodarstva </w:t>
      </w:r>
      <w:r w:rsidRPr="00DE26F3">
        <w:rPr>
          <w:lang w:eastAsia="en-US"/>
        </w:rPr>
        <w:t xml:space="preserve">(%); </w:t>
      </w:r>
      <w:r w:rsidR="00A756DB">
        <w:rPr>
          <w:lang w:eastAsia="en-US"/>
        </w:rPr>
        <w:t>2007</w:t>
      </w:r>
      <w:r w:rsidR="0099244F">
        <w:rPr>
          <w:lang w:eastAsia="en-US"/>
        </w:rPr>
        <w:t>–</w:t>
      </w:r>
      <w:r w:rsidR="00A756DB">
        <w:rPr>
          <w:lang w:eastAsia="en-US"/>
        </w:rPr>
        <w:t>2018</w:t>
      </w:r>
      <w:bookmarkEnd w:id="3235"/>
    </w:p>
    <w:p w14:paraId="0F7413D1" w14:textId="77777777" w:rsidR="003406B9" w:rsidRPr="0047652B" w:rsidRDefault="003406B9" w:rsidP="003406B9">
      <w:pPr>
        <w:keepNext/>
        <w:spacing w:before="0" w:line="276" w:lineRule="auto"/>
        <w:rPr>
          <w:sz w:val="20"/>
          <w:szCs w:val="20"/>
        </w:rPr>
      </w:pPr>
      <w:r w:rsidRPr="009F3567">
        <w:rPr>
          <w:noProof/>
          <w:sz w:val="16"/>
          <w:szCs w:val="20"/>
          <w:lang w:eastAsia="sl-SI"/>
        </w:rPr>
        <w:drawing>
          <wp:inline distT="0" distB="0" distL="0" distR="0" wp14:anchorId="3B6C36F2" wp14:editId="4184BC81">
            <wp:extent cx="5382883" cy="2169856"/>
            <wp:effectExtent l="0" t="0" r="8890" b="1905"/>
            <wp:docPr id="1631865345" name="Slika 16318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420297" cy="2184938"/>
                    </a:xfrm>
                    <a:prstGeom prst="rect">
                      <a:avLst/>
                    </a:prstGeom>
                    <a:noFill/>
                  </pic:spPr>
                </pic:pic>
              </a:graphicData>
            </a:graphic>
          </wp:inline>
        </w:drawing>
      </w:r>
    </w:p>
    <w:p w14:paraId="348BB8C9" w14:textId="1905B431"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B5F2D82" w14:textId="77777777" w:rsidR="00701BC9" w:rsidRPr="007613FE" w:rsidRDefault="00701BC9" w:rsidP="007613FE">
      <w:pPr>
        <w:pStyle w:val="Odstavek1"/>
      </w:pPr>
    </w:p>
    <w:p w14:paraId="7AD8B60B" w14:textId="00496974" w:rsidR="00066429" w:rsidRPr="007613FE" w:rsidRDefault="00066429" w:rsidP="007613FE">
      <w:pPr>
        <w:pStyle w:val="Odstavek1"/>
      </w:pPr>
      <w:r w:rsidRPr="007613FE">
        <w:t>Obseg dejavnosti proizvodnja živil (C10) se je v letu 2019 povečal za 4 %, kar je obseg industrijske proizvodnje vrnilo na raven, ki je ta dejavnost ni dosegala že od leta 2007. V letu 2019 je bil namreč obseg proizvodnje te dejavnosti za skoraj 12 % večji kot v baznem letu 2015. Enako skupno rast obsega industrijske proizvodnje od leta 2015 ugotavljamo tudi v dejavnosti proizvodnja pijač (C11), ki pa se je v letu 2019 zmanjšala za 4 % v primerjavi s predhodnim letom. Obseg te dejavnosti se je v preteklem desetletju strmo zmanjševal do dna v letu 2015, v letu 2018 pa je bila njegova rast rekordna v primerjavi z letom prej (za +12 %).</w:t>
      </w:r>
    </w:p>
    <w:p w14:paraId="60C27EFD" w14:textId="77777777" w:rsidR="00AB1ABD" w:rsidRPr="007613FE" w:rsidRDefault="00AB1ABD" w:rsidP="007613FE">
      <w:pPr>
        <w:pStyle w:val="Odstavek1"/>
      </w:pPr>
    </w:p>
    <w:p w14:paraId="454BE96D" w14:textId="4F42169C" w:rsidR="00DE26F3" w:rsidRDefault="00DE26F3" w:rsidP="007E558D">
      <w:pPr>
        <w:pStyle w:val="SCSlika0"/>
        <w:rPr>
          <w:lang w:eastAsia="sl-SI"/>
        </w:rPr>
      </w:pPr>
      <w:bookmarkStart w:id="3236" w:name="_Toc89851133"/>
      <w:r w:rsidRPr="00DE26F3">
        <w:rPr>
          <w:lang w:eastAsia="sl-SI"/>
        </w:rPr>
        <w:t xml:space="preserve">Slika </w:t>
      </w:r>
      <w:r w:rsidRPr="00DE26F3">
        <w:rPr>
          <w:lang w:eastAsia="sl-SI"/>
        </w:rPr>
        <w:fldChar w:fldCharType="begin"/>
      </w:r>
      <w:r w:rsidRPr="00DE26F3">
        <w:rPr>
          <w:lang w:eastAsia="sl-SI"/>
        </w:rPr>
        <w:instrText xml:space="preserve"> SEQ Slika \* ARABIC </w:instrText>
      </w:r>
      <w:r w:rsidRPr="00DE26F3">
        <w:rPr>
          <w:lang w:eastAsia="sl-SI"/>
        </w:rPr>
        <w:fldChar w:fldCharType="separate"/>
      </w:r>
      <w:r w:rsidR="001B3E9B">
        <w:rPr>
          <w:noProof/>
          <w:lang w:eastAsia="sl-SI"/>
        </w:rPr>
        <w:t>91</w:t>
      </w:r>
      <w:r w:rsidRPr="00DE26F3">
        <w:rPr>
          <w:lang w:eastAsia="sl-SI"/>
        </w:rPr>
        <w:fldChar w:fldCharType="end"/>
      </w:r>
      <w:r w:rsidRPr="00DE26F3">
        <w:rPr>
          <w:lang w:eastAsia="sl-SI"/>
        </w:rPr>
        <w:t>:</w:t>
      </w:r>
      <w:r w:rsidRPr="00DE26F3">
        <w:rPr>
          <w:i/>
          <w:lang w:eastAsia="sl-SI"/>
        </w:rPr>
        <w:t xml:space="preserve"> </w:t>
      </w:r>
      <w:r w:rsidRPr="00DE26F3">
        <w:rPr>
          <w:lang w:eastAsia="sl-SI"/>
        </w:rPr>
        <w:t xml:space="preserve">Indeks obsega industrijske proizvodnje (2015 = 100); </w:t>
      </w:r>
      <w:r w:rsidR="00066429">
        <w:rPr>
          <w:lang w:eastAsia="sl-SI"/>
        </w:rPr>
        <w:t>2007</w:t>
      </w:r>
      <w:r w:rsidR="0099244F">
        <w:rPr>
          <w:lang w:eastAsia="sl-SI"/>
        </w:rPr>
        <w:t>–</w:t>
      </w:r>
      <w:r w:rsidR="00066429">
        <w:rPr>
          <w:lang w:eastAsia="sl-SI"/>
        </w:rPr>
        <w:t>2019</w:t>
      </w:r>
      <w:bookmarkEnd w:id="3236"/>
    </w:p>
    <w:p w14:paraId="65C79B52" w14:textId="3E6110D1" w:rsidR="00066429" w:rsidRDefault="00066429" w:rsidP="00DE26F3">
      <w:pPr>
        <w:keepNext/>
        <w:keepLines/>
        <w:spacing w:before="0" w:line="276" w:lineRule="auto"/>
        <w:rPr>
          <w:sz w:val="20"/>
          <w:szCs w:val="20"/>
          <w:lang w:eastAsia="sl-SI"/>
        </w:rPr>
      </w:pPr>
      <w:r>
        <w:rPr>
          <w:noProof/>
          <w:lang w:eastAsia="sl-SI"/>
        </w:rPr>
        <w:drawing>
          <wp:inline distT="0" distB="0" distL="0" distR="0" wp14:anchorId="2CCEE5D0" wp14:editId="185325C5">
            <wp:extent cx="5144947" cy="2070543"/>
            <wp:effectExtent l="0" t="0" r="0" b="6350"/>
            <wp:docPr id="1631865554" name="Slika 163186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59158" cy="2076262"/>
                    </a:xfrm>
                    <a:prstGeom prst="rect">
                      <a:avLst/>
                    </a:prstGeom>
                    <a:noFill/>
                  </pic:spPr>
                </pic:pic>
              </a:graphicData>
            </a:graphic>
          </wp:inline>
        </w:drawing>
      </w:r>
    </w:p>
    <w:p w14:paraId="7BA9CFCA" w14:textId="01BB6A06" w:rsidR="00701BC9" w:rsidRPr="000339A3" w:rsidRDefault="00701BC9" w:rsidP="007613FE">
      <w:pPr>
        <w:pStyle w:val="Odstavek1"/>
      </w:pPr>
      <w:r w:rsidRPr="000339A3">
        <w:t xml:space="preserve">Vir: </w:t>
      </w:r>
      <w:r w:rsidRPr="000339A3">
        <w:rPr>
          <w:rStyle w:val="Sprotnaopomba-sklic"/>
          <w:sz w:val="16"/>
          <w:szCs w:val="16"/>
          <w:vertAlign w:val="baseline"/>
        </w:rPr>
        <w:t xml:space="preserve">Poročilo o stanju kmetijstva, živilstva, gozdarstva in ribištva v letu 2019. </w:t>
      </w:r>
    </w:p>
    <w:p w14:paraId="611F771A" w14:textId="77777777" w:rsidR="00AB1ABD" w:rsidRPr="007613FE" w:rsidRDefault="00AB1ABD" w:rsidP="007613FE">
      <w:pPr>
        <w:pStyle w:val="Odstavek1"/>
      </w:pPr>
    </w:p>
    <w:p w14:paraId="7D57F18B" w14:textId="6B3F2585" w:rsidR="003406B9" w:rsidRPr="007613FE" w:rsidRDefault="003406B9" w:rsidP="007E558D">
      <w:pPr>
        <w:pStyle w:val="SCPreglednica"/>
      </w:pPr>
      <w:bookmarkStart w:id="3237" w:name="_Toc89861027"/>
      <w:r w:rsidRPr="007613FE">
        <w:t xml:space="preserve">Tabela </w:t>
      </w:r>
      <w:r w:rsidR="00114E2D">
        <w:rPr>
          <w:noProof/>
        </w:rPr>
        <w:fldChar w:fldCharType="begin"/>
      </w:r>
      <w:r w:rsidR="00114E2D">
        <w:rPr>
          <w:noProof/>
        </w:rPr>
        <w:instrText xml:space="preserve"> SEQ Tabela \* ARABIC </w:instrText>
      </w:r>
      <w:r w:rsidR="00114E2D">
        <w:rPr>
          <w:noProof/>
        </w:rPr>
        <w:fldChar w:fldCharType="separate"/>
      </w:r>
      <w:r w:rsidR="002E0D2A">
        <w:rPr>
          <w:noProof/>
        </w:rPr>
        <w:t>35</w:t>
      </w:r>
      <w:r w:rsidR="00114E2D">
        <w:rPr>
          <w:noProof/>
        </w:rPr>
        <w:fldChar w:fldCharType="end"/>
      </w:r>
      <w:r w:rsidRPr="007613FE">
        <w:t xml:space="preserve">: Indeksi obsega industrijske proizvodnje (predhodno leto = 100); </w:t>
      </w:r>
      <w:r w:rsidR="00066429" w:rsidRPr="007613FE">
        <w:t>2014</w:t>
      </w:r>
      <w:r w:rsidR="0099244F" w:rsidRPr="007613FE">
        <w:t>–</w:t>
      </w:r>
      <w:r w:rsidR="00066429" w:rsidRPr="007613FE">
        <w:t>2019</w:t>
      </w:r>
      <w:bookmarkEnd w:id="3237"/>
    </w:p>
    <w:tbl>
      <w:tblPr>
        <w:tblW w:w="4527"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4A0" w:firstRow="1" w:lastRow="0" w:firstColumn="1" w:lastColumn="0" w:noHBand="0" w:noVBand="1"/>
      </w:tblPr>
      <w:tblGrid>
        <w:gridCol w:w="3528"/>
        <w:gridCol w:w="780"/>
        <w:gridCol w:w="780"/>
        <w:gridCol w:w="780"/>
        <w:gridCol w:w="779"/>
        <w:gridCol w:w="779"/>
        <w:gridCol w:w="779"/>
      </w:tblGrid>
      <w:tr w:rsidR="00066429" w:rsidRPr="005B0B0D" w14:paraId="3CB5AF6D" w14:textId="77777777" w:rsidTr="006249A0">
        <w:trPr>
          <w:trHeight w:val="227"/>
        </w:trPr>
        <w:tc>
          <w:tcPr>
            <w:tcW w:w="2149" w:type="pct"/>
            <w:shd w:val="clear" w:color="auto" w:fill="D9D9D9"/>
            <w:noWrap/>
            <w:vAlign w:val="center"/>
          </w:tcPr>
          <w:p w14:paraId="6BBFA486" w14:textId="77777777" w:rsidR="00066429" w:rsidRPr="005B0B0D" w:rsidRDefault="00066429" w:rsidP="007613FE">
            <w:pPr>
              <w:pStyle w:val="Odstavek1"/>
              <w:rPr>
                <w:sz w:val="18"/>
                <w:szCs w:val="18"/>
              </w:rPr>
            </w:pPr>
          </w:p>
        </w:tc>
        <w:tc>
          <w:tcPr>
            <w:tcW w:w="475" w:type="pct"/>
            <w:shd w:val="clear" w:color="auto" w:fill="D9D9D9"/>
            <w:vAlign w:val="bottom"/>
            <w:hideMark/>
          </w:tcPr>
          <w:p w14:paraId="32178B70" w14:textId="77777777" w:rsidR="00066429" w:rsidRPr="005B0B0D" w:rsidRDefault="00066429" w:rsidP="007613FE">
            <w:pPr>
              <w:pStyle w:val="Odstavek1"/>
              <w:rPr>
                <w:sz w:val="18"/>
                <w:szCs w:val="18"/>
              </w:rPr>
            </w:pPr>
            <w:r w:rsidRPr="005B0B0D">
              <w:rPr>
                <w:sz w:val="18"/>
                <w:szCs w:val="18"/>
              </w:rPr>
              <w:t>2014</w:t>
            </w:r>
          </w:p>
        </w:tc>
        <w:tc>
          <w:tcPr>
            <w:tcW w:w="475" w:type="pct"/>
            <w:shd w:val="clear" w:color="auto" w:fill="D9D9D9"/>
            <w:vAlign w:val="bottom"/>
          </w:tcPr>
          <w:p w14:paraId="4C4D0ABF" w14:textId="77777777" w:rsidR="00066429" w:rsidRPr="005B0B0D" w:rsidRDefault="00066429" w:rsidP="007613FE">
            <w:pPr>
              <w:pStyle w:val="Odstavek1"/>
              <w:rPr>
                <w:sz w:val="18"/>
                <w:szCs w:val="18"/>
              </w:rPr>
            </w:pPr>
            <w:r w:rsidRPr="005B0B0D">
              <w:rPr>
                <w:sz w:val="18"/>
                <w:szCs w:val="18"/>
              </w:rPr>
              <w:t>2015</w:t>
            </w:r>
          </w:p>
        </w:tc>
        <w:tc>
          <w:tcPr>
            <w:tcW w:w="475" w:type="pct"/>
            <w:shd w:val="clear" w:color="auto" w:fill="D9D9D9"/>
            <w:vAlign w:val="bottom"/>
          </w:tcPr>
          <w:p w14:paraId="42A23108" w14:textId="77777777" w:rsidR="00066429" w:rsidRPr="005B0B0D" w:rsidRDefault="00066429" w:rsidP="007613FE">
            <w:pPr>
              <w:pStyle w:val="Odstavek1"/>
              <w:rPr>
                <w:sz w:val="18"/>
                <w:szCs w:val="18"/>
              </w:rPr>
            </w:pPr>
            <w:r w:rsidRPr="005B0B0D">
              <w:rPr>
                <w:sz w:val="18"/>
                <w:szCs w:val="18"/>
              </w:rPr>
              <w:t>2016</w:t>
            </w:r>
          </w:p>
        </w:tc>
        <w:tc>
          <w:tcPr>
            <w:tcW w:w="475" w:type="pct"/>
            <w:shd w:val="clear" w:color="auto" w:fill="D9D9D9"/>
            <w:vAlign w:val="bottom"/>
          </w:tcPr>
          <w:p w14:paraId="633FCC1B" w14:textId="77777777" w:rsidR="00066429" w:rsidRPr="005B0B0D" w:rsidRDefault="00066429" w:rsidP="007613FE">
            <w:pPr>
              <w:pStyle w:val="Odstavek1"/>
              <w:rPr>
                <w:sz w:val="18"/>
                <w:szCs w:val="18"/>
              </w:rPr>
            </w:pPr>
            <w:r w:rsidRPr="005B0B0D">
              <w:rPr>
                <w:sz w:val="18"/>
                <w:szCs w:val="18"/>
              </w:rPr>
              <w:t>2017</w:t>
            </w:r>
          </w:p>
        </w:tc>
        <w:tc>
          <w:tcPr>
            <w:tcW w:w="475" w:type="pct"/>
            <w:shd w:val="clear" w:color="auto" w:fill="D9D9D9"/>
            <w:vAlign w:val="bottom"/>
          </w:tcPr>
          <w:p w14:paraId="21861D99" w14:textId="77777777" w:rsidR="00066429" w:rsidRPr="005B0B0D" w:rsidRDefault="00066429" w:rsidP="007613FE">
            <w:pPr>
              <w:pStyle w:val="Odstavek1"/>
              <w:rPr>
                <w:sz w:val="18"/>
                <w:szCs w:val="18"/>
              </w:rPr>
            </w:pPr>
            <w:r w:rsidRPr="005B0B0D">
              <w:rPr>
                <w:sz w:val="18"/>
                <w:szCs w:val="18"/>
              </w:rPr>
              <w:t>2018</w:t>
            </w:r>
          </w:p>
        </w:tc>
        <w:tc>
          <w:tcPr>
            <w:tcW w:w="475" w:type="pct"/>
            <w:shd w:val="clear" w:color="auto" w:fill="D9D9D9"/>
            <w:vAlign w:val="bottom"/>
          </w:tcPr>
          <w:p w14:paraId="312A3EBD" w14:textId="77777777" w:rsidR="00066429" w:rsidRPr="005B0B0D" w:rsidRDefault="00066429" w:rsidP="007613FE">
            <w:pPr>
              <w:pStyle w:val="Odstavek1"/>
              <w:rPr>
                <w:sz w:val="18"/>
                <w:szCs w:val="18"/>
              </w:rPr>
            </w:pPr>
            <w:r w:rsidRPr="005B0B0D">
              <w:rPr>
                <w:sz w:val="18"/>
                <w:szCs w:val="18"/>
              </w:rPr>
              <w:t>2019*</w:t>
            </w:r>
          </w:p>
        </w:tc>
      </w:tr>
      <w:tr w:rsidR="00066429" w:rsidRPr="005B0B0D" w14:paraId="128B3937" w14:textId="77777777" w:rsidTr="006249A0">
        <w:trPr>
          <w:trHeight w:val="227"/>
        </w:trPr>
        <w:tc>
          <w:tcPr>
            <w:tcW w:w="2149" w:type="pct"/>
            <w:noWrap/>
            <w:vAlign w:val="center"/>
            <w:hideMark/>
          </w:tcPr>
          <w:p w14:paraId="2117CF7A" w14:textId="77777777" w:rsidR="00066429" w:rsidRPr="005B0B0D" w:rsidRDefault="00066429" w:rsidP="005B0B0D">
            <w:pPr>
              <w:pStyle w:val="1"/>
              <w:rPr>
                <w:sz w:val="18"/>
                <w:szCs w:val="18"/>
              </w:rPr>
            </w:pPr>
            <w:r w:rsidRPr="005B0B0D">
              <w:rPr>
                <w:sz w:val="18"/>
                <w:szCs w:val="18"/>
              </w:rPr>
              <w:t>Predelovalne dejavnosti (C)</w:t>
            </w:r>
          </w:p>
        </w:tc>
        <w:tc>
          <w:tcPr>
            <w:tcW w:w="475" w:type="pct"/>
            <w:vAlign w:val="center"/>
          </w:tcPr>
          <w:p w14:paraId="297F3DDC" w14:textId="77777777" w:rsidR="00066429" w:rsidRPr="005B0B0D" w:rsidRDefault="00066429" w:rsidP="005B0B0D">
            <w:pPr>
              <w:pStyle w:val="1"/>
              <w:jc w:val="right"/>
              <w:rPr>
                <w:sz w:val="18"/>
                <w:szCs w:val="18"/>
              </w:rPr>
            </w:pPr>
            <w:r w:rsidRPr="005B0B0D">
              <w:rPr>
                <w:sz w:val="18"/>
                <w:szCs w:val="18"/>
              </w:rPr>
              <w:t>104,3</w:t>
            </w:r>
          </w:p>
        </w:tc>
        <w:tc>
          <w:tcPr>
            <w:tcW w:w="475" w:type="pct"/>
            <w:vAlign w:val="center"/>
          </w:tcPr>
          <w:p w14:paraId="1174DFCA" w14:textId="77777777" w:rsidR="00066429" w:rsidRPr="005B0B0D" w:rsidRDefault="00066429" w:rsidP="005B0B0D">
            <w:pPr>
              <w:pStyle w:val="1"/>
              <w:jc w:val="right"/>
              <w:rPr>
                <w:sz w:val="18"/>
                <w:szCs w:val="18"/>
              </w:rPr>
            </w:pPr>
            <w:r w:rsidRPr="005B0B0D">
              <w:rPr>
                <w:sz w:val="18"/>
                <w:szCs w:val="18"/>
              </w:rPr>
              <w:t>106,0</w:t>
            </w:r>
          </w:p>
        </w:tc>
        <w:tc>
          <w:tcPr>
            <w:tcW w:w="475" w:type="pct"/>
            <w:vAlign w:val="center"/>
          </w:tcPr>
          <w:p w14:paraId="4BBA0B12" w14:textId="77777777" w:rsidR="00066429" w:rsidRPr="005B0B0D" w:rsidRDefault="00066429" w:rsidP="005B0B0D">
            <w:pPr>
              <w:pStyle w:val="1"/>
              <w:jc w:val="right"/>
              <w:rPr>
                <w:sz w:val="18"/>
                <w:szCs w:val="18"/>
              </w:rPr>
            </w:pPr>
            <w:r w:rsidRPr="005B0B0D">
              <w:rPr>
                <w:sz w:val="18"/>
                <w:szCs w:val="18"/>
              </w:rPr>
              <w:t>107,7</w:t>
            </w:r>
          </w:p>
        </w:tc>
        <w:tc>
          <w:tcPr>
            <w:tcW w:w="475" w:type="pct"/>
            <w:vAlign w:val="center"/>
          </w:tcPr>
          <w:p w14:paraId="3B477E57" w14:textId="77777777" w:rsidR="00066429" w:rsidRPr="005B0B0D" w:rsidRDefault="00066429" w:rsidP="005B0B0D">
            <w:pPr>
              <w:pStyle w:val="1"/>
              <w:jc w:val="right"/>
              <w:rPr>
                <w:sz w:val="18"/>
                <w:szCs w:val="18"/>
              </w:rPr>
            </w:pPr>
            <w:r w:rsidRPr="005B0B0D">
              <w:rPr>
                <w:sz w:val="18"/>
                <w:szCs w:val="18"/>
              </w:rPr>
              <w:t>108,2</w:t>
            </w:r>
          </w:p>
        </w:tc>
        <w:tc>
          <w:tcPr>
            <w:tcW w:w="475" w:type="pct"/>
            <w:vAlign w:val="center"/>
          </w:tcPr>
          <w:p w14:paraId="40C6B06A" w14:textId="77777777" w:rsidR="00066429" w:rsidRPr="005B0B0D" w:rsidRDefault="00066429" w:rsidP="005B0B0D">
            <w:pPr>
              <w:pStyle w:val="1"/>
              <w:jc w:val="right"/>
              <w:rPr>
                <w:sz w:val="18"/>
                <w:szCs w:val="18"/>
              </w:rPr>
            </w:pPr>
            <w:r w:rsidRPr="005B0B0D">
              <w:rPr>
                <w:sz w:val="18"/>
                <w:szCs w:val="18"/>
              </w:rPr>
              <w:t>105,7</w:t>
            </w:r>
          </w:p>
        </w:tc>
        <w:tc>
          <w:tcPr>
            <w:tcW w:w="475" w:type="pct"/>
            <w:vAlign w:val="center"/>
          </w:tcPr>
          <w:p w14:paraId="216AA010" w14:textId="77777777" w:rsidR="00066429" w:rsidRPr="005B0B0D" w:rsidRDefault="00066429" w:rsidP="005B0B0D">
            <w:pPr>
              <w:pStyle w:val="1"/>
              <w:jc w:val="right"/>
              <w:rPr>
                <w:sz w:val="18"/>
                <w:szCs w:val="18"/>
              </w:rPr>
            </w:pPr>
            <w:r w:rsidRPr="005B0B0D">
              <w:rPr>
                <w:sz w:val="18"/>
                <w:szCs w:val="18"/>
              </w:rPr>
              <w:t>103,6</w:t>
            </w:r>
          </w:p>
        </w:tc>
      </w:tr>
      <w:tr w:rsidR="00066429" w:rsidRPr="005B0B0D" w14:paraId="4B2F9C72" w14:textId="77777777" w:rsidTr="006249A0">
        <w:trPr>
          <w:trHeight w:val="227"/>
        </w:trPr>
        <w:tc>
          <w:tcPr>
            <w:tcW w:w="2149" w:type="pct"/>
            <w:noWrap/>
            <w:vAlign w:val="center"/>
            <w:hideMark/>
          </w:tcPr>
          <w:p w14:paraId="021EBDB0" w14:textId="77777777" w:rsidR="00066429" w:rsidRPr="005B0B0D" w:rsidRDefault="00066429" w:rsidP="005B0B0D">
            <w:pPr>
              <w:pStyle w:val="1"/>
              <w:rPr>
                <w:b/>
                <w:sz w:val="18"/>
                <w:szCs w:val="18"/>
              </w:rPr>
            </w:pPr>
            <w:r w:rsidRPr="005B0B0D">
              <w:rPr>
                <w:b/>
                <w:sz w:val="18"/>
                <w:szCs w:val="18"/>
              </w:rPr>
              <w:t>Proizvodnja živil (C10)</w:t>
            </w:r>
          </w:p>
        </w:tc>
        <w:tc>
          <w:tcPr>
            <w:tcW w:w="475" w:type="pct"/>
            <w:vAlign w:val="center"/>
          </w:tcPr>
          <w:p w14:paraId="705FC015" w14:textId="77777777" w:rsidR="00066429" w:rsidRPr="005B0B0D" w:rsidRDefault="00066429" w:rsidP="005B0B0D">
            <w:pPr>
              <w:pStyle w:val="1"/>
              <w:jc w:val="right"/>
              <w:rPr>
                <w:b/>
                <w:sz w:val="18"/>
                <w:szCs w:val="18"/>
              </w:rPr>
            </w:pPr>
            <w:r w:rsidRPr="005B0B0D">
              <w:rPr>
                <w:b/>
                <w:sz w:val="18"/>
                <w:szCs w:val="18"/>
              </w:rPr>
              <w:t>100,3</w:t>
            </w:r>
          </w:p>
        </w:tc>
        <w:tc>
          <w:tcPr>
            <w:tcW w:w="475" w:type="pct"/>
            <w:vAlign w:val="center"/>
          </w:tcPr>
          <w:p w14:paraId="2458D9D9" w14:textId="77777777" w:rsidR="00066429" w:rsidRPr="005B0B0D" w:rsidRDefault="00066429" w:rsidP="005B0B0D">
            <w:pPr>
              <w:pStyle w:val="1"/>
              <w:jc w:val="right"/>
              <w:rPr>
                <w:b/>
                <w:sz w:val="18"/>
                <w:szCs w:val="18"/>
              </w:rPr>
            </w:pPr>
            <w:r w:rsidRPr="005B0B0D">
              <w:rPr>
                <w:b/>
                <w:sz w:val="18"/>
                <w:szCs w:val="18"/>
              </w:rPr>
              <w:t>104,2</w:t>
            </w:r>
          </w:p>
        </w:tc>
        <w:tc>
          <w:tcPr>
            <w:tcW w:w="475" w:type="pct"/>
            <w:vAlign w:val="center"/>
          </w:tcPr>
          <w:p w14:paraId="7FAA19BE" w14:textId="77777777" w:rsidR="00066429" w:rsidRPr="005B0B0D" w:rsidRDefault="00066429" w:rsidP="005B0B0D">
            <w:pPr>
              <w:pStyle w:val="1"/>
              <w:jc w:val="right"/>
              <w:rPr>
                <w:b/>
                <w:sz w:val="18"/>
                <w:szCs w:val="18"/>
              </w:rPr>
            </w:pPr>
            <w:r w:rsidRPr="005B0B0D">
              <w:rPr>
                <w:b/>
                <w:sz w:val="18"/>
                <w:szCs w:val="18"/>
              </w:rPr>
              <w:t>101,6</w:t>
            </w:r>
          </w:p>
        </w:tc>
        <w:tc>
          <w:tcPr>
            <w:tcW w:w="475" w:type="pct"/>
            <w:vAlign w:val="center"/>
          </w:tcPr>
          <w:p w14:paraId="3BAA8BE7" w14:textId="77777777" w:rsidR="00066429" w:rsidRPr="005B0B0D" w:rsidRDefault="00066429" w:rsidP="005B0B0D">
            <w:pPr>
              <w:pStyle w:val="1"/>
              <w:jc w:val="right"/>
              <w:rPr>
                <w:b/>
                <w:sz w:val="18"/>
                <w:szCs w:val="18"/>
              </w:rPr>
            </w:pPr>
            <w:r w:rsidRPr="005B0B0D">
              <w:rPr>
                <w:b/>
                <w:sz w:val="18"/>
                <w:szCs w:val="18"/>
              </w:rPr>
              <w:t>105,0</w:t>
            </w:r>
          </w:p>
        </w:tc>
        <w:tc>
          <w:tcPr>
            <w:tcW w:w="475" w:type="pct"/>
            <w:vAlign w:val="center"/>
          </w:tcPr>
          <w:p w14:paraId="18C5FCC1" w14:textId="77777777" w:rsidR="00066429" w:rsidRPr="005B0B0D" w:rsidRDefault="00066429" w:rsidP="005B0B0D">
            <w:pPr>
              <w:pStyle w:val="1"/>
              <w:jc w:val="right"/>
              <w:rPr>
                <w:b/>
                <w:sz w:val="18"/>
                <w:szCs w:val="18"/>
              </w:rPr>
            </w:pPr>
            <w:r w:rsidRPr="005B0B0D">
              <w:rPr>
                <w:b/>
                <w:sz w:val="18"/>
                <w:szCs w:val="18"/>
              </w:rPr>
              <w:t>100,6</w:t>
            </w:r>
          </w:p>
        </w:tc>
        <w:tc>
          <w:tcPr>
            <w:tcW w:w="475" w:type="pct"/>
            <w:vAlign w:val="center"/>
          </w:tcPr>
          <w:p w14:paraId="7E7E37CD" w14:textId="77777777" w:rsidR="00066429" w:rsidRPr="005B0B0D" w:rsidRDefault="00066429" w:rsidP="005B0B0D">
            <w:pPr>
              <w:pStyle w:val="1"/>
              <w:jc w:val="right"/>
              <w:rPr>
                <w:b/>
                <w:sz w:val="18"/>
                <w:szCs w:val="18"/>
              </w:rPr>
            </w:pPr>
            <w:r w:rsidRPr="005B0B0D">
              <w:rPr>
                <w:b/>
                <w:sz w:val="18"/>
                <w:szCs w:val="18"/>
              </w:rPr>
              <w:t>104,2</w:t>
            </w:r>
          </w:p>
        </w:tc>
      </w:tr>
      <w:tr w:rsidR="00066429" w:rsidRPr="005B0B0D" w14:paraId="31FBFB31" w14:textId="77777777" w:rsidTr="006249A0">
        <w:trPr>
          <w:trHeight w:val="227"/>
        </w:trPr>
        <w:tc>
          <w:tcPr>
            <w:tcW w:w="2149" w:type="pct"/>
            <w:noWrap/>
            <w:vAlign w:val="center"/>
            <w:hideMark/>
          </w:tcPr>
          <w:p w14:paraId="7C91ADAF" w14:textId="77777777" w:rsidR="00066429" w:rsidRPr="005B0B0D" w:rsidRDefault="00066429" w:rsidP="005B0B0D">
            <w:pPr>
              <w:pStyle w:val="1"/>
              <w:rPr>
                <w:b/>
                <w:sz w:val="18"/>
                <w:szCs w:val="18"/>
              </w:rPr>
            </w:pPr>
            <w:r w:rsidRPr="005B0B0D">
              <w:rPr>
                <w:b/>
                <w:sz w:val="18"/>
                <w:szCs w:val="18"/>
              </w:rPr>
              <w:t>Proizvodnja pijač (C11)</w:t>
            </w:r>
          </w:p>
        </w:tc>
        <w:tc>
          <w:tcPr>
            <w:tcW w:w="475" w:type="pct"/>
            <w:vAlign w:val="center"/>
          </w:tcPr>
          <w:p w14:paraId="7BC0FE78" w14:textId="77777777" w:rsidR="00066429" w:rsidRPr="005B0B0D" w:rsidRDefault="00066429" w:rsidP="005B0B0D">
            <w:pPr>
              <w:pStyle w:val="1"/>
              <w:jc w:val="right"/>
              <w:rPr>
                <w:b/>
                <w:sz w:val="18"/>
                <w:szCs w:val="18"/>
              </w:rPr>
            </w:pPr>
            <w:r w:rsidRPr="005B0B0D">
              <w:rPr>
                <w:b/>
                <w:sz w:val="18"/>
                <w:szCs w:val="18"/>
              </w:rPr>
              <w:t>97,3</w:t>
            </w:r>
          </w:p>
        </w:tc>
        <w:tc>
          <w:tcPr>
            <w:tcW w:w="475" w:type="pct"/>
            <w:vAlign w:val="center"/>
          </w:tcPr>
          <w:p w14:paraId="35EF3103" w14:textId="77777777" w:rsidR="00066429" w:rsidRPr="005B0B0D" w:rsidRDefault="00066429" w:rsidP="005B0B0D">
            <w:pPr>
              <w:pStyle w:val="1"/>
              <w:jc w:val="right"/>
              <w:rPr>
                <w:b/>
                <w:sz w:val="18"/>
                <w:szCs w:val="18"/>
              </w:rPr>
            </w:pPr>
            <w:r w:rsidRPr="005B0B0D">
              <w:rPr>
                <w:b/>
                <w:sz w:val="18"/>
                <w:szCs w:val="18"/>
              </w:rPr>
              <w:t>91,1</w:t>
            </w:r>
          </w:p>
        </w:tc>
        <w:tc>
          <w:tcPr>
            <w:tcW w:w="475" w:type="pct"/>
            <w:vAlign w:val="center"/>
          </w:tcPr>
          <w:p w14:paraId="34381DD4" w14:textId="77777777" w:rsidR="00066429" w:rsidRPr="005B0B0D" w:rsidRDefault="00066429" w:rsidP="005B0B0D">
            <w:pPr>
              <w:pStyle w:val="1"/>
              <w:jc w:val="right"/>
              <w:rPr>
                <w:b/>
                <w:sz w:val="18"/>
                <w:szCs w:val="18"/>
              </w:rPr>
            </w:pPr>
            <w:r w:rsidRPr="005B0B0D">
              <w:rPr>
                <w:b/>
                <w:sz w:val="18"/>
                <w:szCs w:val="18"/>
              </w:rPr>
              <w:t>103,2</w:t>
            </w:r>
          </w:p>
        </w:tc>
        <w:tc>
          <w:tcPr>
            <w:tcW w:w="475" w:type="pct"/>
            <w:vAlign w:val="center"/>
          </w:tcPr>
          <w:p w14:paraId="67DD0A68" w14:textId="77777777" w:rsidR="00066429" w:rsidRPr="005B0B0D" w:rsidRDefault="00066429" w:rsidP="005B0B0D">
            <w:pPr>
              <w:pStyle w:val="1"/>
              <w:jc w:val="right"/>
              <w:rPr>
                <w:b/>
                <w:sz w:val="18"/>
                <w:szCs w:val="18"/>
              </w:rPr>
            </w:pPr>
            <w:r w:rsidRPr="005B0B0D">
              <w:rPr>
                <w:b/>
                <w:sz w:val="18"/>
                <w:szCs w:val="18"/>
              </w:rPr>
              <w:t>100,9</w:t>
            </w:r>
          </w:p>
        </w:tc>
        <w:tc>
          <w:tcPr>
            <w:tcW w:w="475" w:type="pct"/>
            <w:vAlign w:val="center"/>
          </w:tcPr>
          <w:p w14:paraId="25E5210F" w14:textId="77777777" w:rsidR="00066429" w:rsidRPr="005B0B0D" w:rsidRDefault="00066429" w:rsidP="005B0B0D">
            <w:pPr>
              <w:pStyle w:val="1"/>
              <w:jc w:val="right"/>
              <w:rPr>
                <w:b/>
                <w:sz w:val="18"/>
                <w:szCs w:val="18"/>
              </w:rPr>
            </w:pPr>
            <w:r w:rsidRPr="005B0B0D">
              <w:rPr>
                <w:b/>
                <w:sz w:val="18"/>
                <w:szCs w:val="18"/>
              </w:rPr>
              <w:t>112,3</w:t>
            </w:r>
          </w:p>
        </w:tc>
        <w:tc>
          <w:tcPr>
            <w:tcW w:w="475" w:type="pct"/>
            <w:vAlign w:val="center"/>
          </w:tcPr>
          <w:p w14:paraId="6231F7CA" w14:textId="77777777" w:rsidR="00066429" w:rsidRPr="005B0B0D" w:rsidRDefault="00066429" w:rsidP="005B0B0D">
            <w:pPr>
              <w:pStyle w:val="1"/>
              <w:jc w:val="right"/>
              <w:rPr>
                <w:b/>
                <w:sz w:val="18"/>
                <w:szCs w:val="18"/>
              </w:rPr>
            </w:pPr>
            <w:r w:rsidRPr="005B0B0D">
              <w:rPr>
                <w:b/>
                <w:sz w:val="18"/>
                <w:szCs w:val="18"/>
              </w:rPr>
              <w:t>95,7</w:t>
            </w:r>
          </w:p>
        </w:tc>
      </w:tr>
    </w:tbl>
    <w:p w14:paraId="69F97AA6" w14:textId="77777777" w:rsidR="005F4266" w:rsidRDefault="003406B9" w:rsidP="003406B9">
      <w:pPr>
        <w:pStyle w:val="ZPpodnapis"/>
        <w:spacing w:before="0" w:after="0" w:line="276" w:lineRule="auto"/>
        <w:rPr>
          <w:szCs w:val="16"/>
        </w:rPr>
      </w:pPr>
      <w:r w:rsidRPr="00852E36">
        <w:rPr>
          <w:szCs w:val="16"/>
        </w:rPr>
        <w:t>* Začasni podatki.</w:t>
      </w:r>
      <w:r w:rsidR="00DE26F3">
        <w:rPr>
          <w:szCs w:val="16"/>
        </w:rPr>
        <w:t xml:space="preserve"> </w:t>
      </w:r>
    </w:p>
    <w:p w14:paraId="25C0E6C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037BB7DB" w14:textId="7B67ECF4" w:rsidR="003406B9" w:rsidRPr="0047652B" w:rsidRDefault="00701BC9" w:rsidP="007613FE">
      <w:pPr>
        <w:pStyle w:val="ZPtekst"/>
        <w:spacing w:before="0" w:line="260" w:lineRule="atLeast"/>
      </w:pPr>
      <w:r w:rsidRPr="00852E36" w:rsidDel="00701BC9">
        <w:rPr>
          <w:szCs w:val="16"/>
        </w:rPr>
        <w:t xml:space="preserve"> </w:t>
      </w:r>
    </w:p>
    <w:p w14:paraId="59E0706E" w14:textId="77777777" w:rsidR="003406B9" w:rsidRPr="0047652B" w:rsidRDefault="003406B9" w:rsidP="007613FE">
      <w:pPr>
        <w:pStyle w:val="ZPtekst"/>
        <w:spacing w:before="0" w:line="260" w:lineRule="atLeast"/>
        <w:rPr>
          <w:sz w:val="20"/>
          <w:szCs w:val="20"/>
        </w:rPr>
      </w:pPr>
    </w:p>
    <w:p w14:paraId="12460487" w14:textId="6A4A08F0" w:rsidR="003406B9" w:rsidRPr="009F3567" w:rsidRDefault="003406B9" w:rsidP="007E558D">
      <w:pPr>
        <w:pStyle w:val="Naslov2"/>
      </w:pPr>
      <w:bookmarkStart w:id="3238" w:name="_Toc90462292"/>
      <w:r w:rsidRPr="009F3567">
        <w:t>Cene v živilskopredelovalni industriji</w:t>
      </w:r>
      <w:bookmarkEnd w:id="3238"/>
    </w:p>
    <w:p w14:paraId="23287D58" w14:textId="77777777" w:rsidR="003406B9" w:rsidRPr="00852E36" w:rsidRDefault="003406B9" w:rsidP="007613FE">
      <w:pPr>
        <w:spacing w:before="0" w:line="260" w:lineRule="atLeast"/>
        <w:rPr>
          <w:rFonts w:eastAsiaTheme="minorHAnsi"/>
          <w:lang w:eastAsia="en-US"/>
        </w:rPr>
      </w:pPr>
    </w:p>
    <w:p w14:paraId="1D5D1A06" w14:textId="526C9E69" w:rsidR="0030046B" w:rsidRDefault="0030046B" w:rsidP="007E558D">
      <w:pPr>
        <w:rPr>
          <w:lang w:eastAsia="en-US"/>
        </w:rPr>
      </w:pPr>
      <w:r w:rsidRPr="00196202">
        <w:rPr>
          <w:lang w:eastAsia="en-US"/>
        </w:rPr>
        <w:t>Proizvajalčeve cene v dejavnosti proizvodnje živil (C10) so se v letu 2019 realno ponovno znižale v primerjavi z letom prej in bile realno na najnižji ravni v analiziranem obdobju. Proizvajalčeve cene v dejavnosti proizvodnje pijač (C11) so se v letu 2019 znižale še izraziteje, kar pomeni nadaljevanje trenda zniževanja cen iz predhodnih let. Tudi v tej dejavnosti so bile cene realno najnižje v analiziranem obdobju.</w:t>
      </w:r>
    </w:p>
    <w:p w14:paraId="34EE6E88" w14:textId="77777777" w:rsidR="00DE26F3" w:rsidRDefault="00DE26F3" w:rsidP="007613FE">
      <w:pPr>
        <w:spacing w:before="0" w:line="260" w:lineRule="atLeast"/>
        <w:rPr>
          <w:i/>
          <w:sz w:val="20"/>
          <w:szCs w:val="20"/>
          <w:lang w:eastAsia="sl-SI"/>
        </w:rPr>
      </w:pPr>
    </w:p>
    <w:p w14:paraId="3A131FCA" w14:textId="6876C615" w:rsidR="00DE26F3" w:rsidRDefault="00DE26F3" w:rsidP="007E558D">
      <w:pPr>
        <w:pStyle w:val="SCSlika0"/>
        <w:rPr>
          <w:lang w:eastAsia="sl-SI"/>
        </w:rPr>
      </w:pPr>
      <w:bookmarkStart w:id="3239" w:name="_Toc89851134"/>
      <w:r w:rsidRPr="009F3567">
        <w:rPr>
          <w:lang w:eastAsia="sl-SI"/>
        </w:rPr>
        <w:t xml:space="preserve">Slika </w:t>
      </w:r>
      <w:r w:rsidRPr="009F3567">
        <w:rPr>
          <w:lang w:eastAsia="sl-SI"/>
        </w:rPr>
        <w:fldChar w:fldCharType="begin"/>
      </w:r>
      <w:r w:rsidRPr="009F3567">
        <w:rPr>
          <w:lang w:eastAsia="sl-SI"/>
        </w:rPr>
        <w:instrText xml:space="preserve"> SEQ Slika \* ARABIC </w:instrText>
      </w:r>
      <w:r w:rsidRPr="009F3567">
        <w:rPr>
          <w:lang w:eastAsia="sl-SI"/>
        </w:rPr>
        <w:fldChar w:fldCharType="separate"/>
      </w:r>
      <w:r w:rsidR="001B3E9B">
        <w:rPr>
          <w:noProof/>
          <w:lang w:eastAsia="sl-SI"/>
        </w:rPr>
        <w:t>92</w:t>
      </w:r>
      <w:r w:rsidRPr="009F3567">
        <w:rPr>
          <w:lang w:eastAsia="sl-SI"/>
        </w:rPr>
        <w:fldChar w:fldCharType="end"/>
      </w:r>
      <w:r w:rsidRPr="009F3567">
        <w:rPr>
          <w:lang w:eastAsia="sl-SI"/>
        </w:rPr>
        <w:t xml:space="preserve">: Indeksi cen živil in pijač ter proizvodov predelovalnih dejavnosti pri proizvajalcih (realno; 2015 = 100); </w:t>
      </w:r>
      <w:r w:rsidR="0030046B">
        <w:rPr>
          <w:lang w:eastAsia="sl-SI"/>
        </w:rPr>
        <w:t>2007</w:t>
      </w:r>
      <w:r w:rsidR="0099244F">
        <w:rPr>
          <w:lang w:eastAsia="sl-SI"/>
        </w:rPr>
        <w:t>–</w:t>
      </w:r>
      <w:r w:rsidR="0030046B">
        <w:rPr>
          <w:lang w:eastAsia="sl-SI"/>
        </w:rPr>
        <w:t>2019</w:t>
      </w:r>
      <w:bookmarkEnd w:id="3239"/>
    </w:p>
    <w:p w14:paraId="73A24F09" w14:textId="338774CB" w:rsidR="00A37E13" w:rsidRPr="009F3567" w:rsidRDefault="00A37E13" w:rsidP="00DE26F3">
      <w:pPr>
        <w:spacing w:before="0" w:line="276" w:lineRule="auto"/>
        <w:rPr>
          <w:sz w:val="20"/>
          <w:szCs w:val="20"/>
          <w:lang w:eastAsia="sl-SI"/>
        </w:rPr>
      </w:pPr>
      <w:r>
        <w:rPr>
          <w:noProof/>
          <w:lang w:eastAsia="sl-SI"/>
        </w:rPr>
        <w:drawing>
          <wp:inline distT="0" distB="0" distL="0" distR="0" wp14:anchorId="6E986D2E" wp14:editId="68A16AF4">
            <wp:extent cx="5400000" cy="2093048"/>
            <wp:effectExtent l="0" t="0" r="0" b="2540"/>
            <wp:docPr id="1631865560" name="Slika 163186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000" cy="2093048"/>
                    </a:xfrm>
                    <a:prstGeom prst="rect">
                      <a:avLst/>
                    </a:prstGeom>
                    <a:noFill/>
                  </pic:spPr>
                </pic:pic>
              </a:graphicData>
            </a:graphic>
          </wp:inline>
        </w:drawing>
      </w:r>
    </w:p>
    <w:p w14:paraId="5F1DB3D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C09EB21" w14:textId="3AB6C2E8" w:rsidR="003406B9" w:rsidRPr="0047652B" w:rsidRDefault="00701BC9" w:rsidP="003406B9">
      <w:pPr>
        <w:spacing w:before="0" w:line="276" w:lineRule="auto"/>
        <w:rPr>
          <w:sz w:val="20"/>
          <w:szCs w:val="20"/>
          <w:lang w:eastAsia="en-US"/>
        </w:rPr>
      </w:pPr>
      <w:r w:rsidRPr="00852E36" w:rsidDel="00701BC9">
        <w:rPr>
          <w:sz w:val="16"/>
          <w:szCs w:val="16"/>
          <w:lang w:eastAsia="en-US"/>
        </w:rPr>
        <w:t xml:space="preserve"> </w:t>
      </w:r>
    </w:p>
    <w:p w14:paraId="338E2EE0" w14:textId="6FA66EB0" w:rsidR="003406B9" w:rsidRDefault="003406B9" w:rsidP="007613FE">
      <w:pPr>
        <w:pStyle w:val="Odstavek1"/>
      </w:pPr>
      <w:bookmarkStart w:id="3240" w:name="_Toc89861028"/>
      <w:r w:rsidRPr="009F3567">
        <w:t xml:space="preserve">Tabela </w:t>
      </w:r>
      <w:r w:rsidR="00072AFA">
        <w:rPr>
          <w:noProof/>
        </w:rPr>
        <w:fldChar w:fldCharType="begin"/>
      </w:r>
      <w:r w:rsidR="00072AFA">
        <w:rPr>
          <w:noProof/>
        </w:rPr>
        <w:instrText xml:space="preserve"> SEQ Tabela \* ARABIC </w:instrText>
      </w:r>
      <w:r w:rsidR="00072AFA">
        <w:rPr>
          <w:noProof/>
        </w:rPr>
        <w:fldChar w:fldCharType="separate"/>
      </w:r>
      <w:r w:rsidR="002E0D2A">
        <w:rPr>
          <w:noProof/>
        </w:rPr>
        <w:t>36</w:t>
      </w:r>
      <w:r w:rsidR="00072AFA">
        <w:rPr>
          <w:noProof/>
        </w:rPr>
        <w:fldChar w:fldCharType="end"/>
      </w:r>
      <w:r w:rsidRPr="009F3567">
        <w:t>: Indeksi cen pri proizvajalcih (nominalno, predhodno leto = 100); 201</w:t>
      </w:r>
      <w:r w:rsidR="0099244F">
        <w:t>4</w:t>
      </w:r>
      <w:r w:rsidRPr="009F3567">
        <w:t>–201</w:t>
      </w:r>
      <w:r w:rsidR="0099244F">
        <w:t>9</w:t>
      </w:r>
      <w:bookmarkEnd w:id="3240"/>
    </w:p>
    <w:tbl>
      <w:tblPr>
        <w:tblW w:w="4379"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721"/>
        <w:gridCol w:w="702"/>
        <w:gridCol w:w="705"/>
        <w:gridCol w:w="702"/>
        <w:gridCol w:w="702"/>
        <w:gridCol w:w="702"/>
        <w:gridCol w:w="702"/>
      </w:tblGrid>
      <w:tr w:rsidR="00A37E13" w:rsidRPr="005B0B0D" w14:paraId="40D2F8F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28F8EEBF" w14:textId="77777777" w:rsidR="00A37E13" w:rsidRPr="005B0B0D" w:rsidRDefault="00A37E13" w:rsidP="005B0B0D">
            <w:pPr>
              <w:pStyle w:val="1"/>
              <w:rPr>
                <w:sz w:val="18"/>
                <w:szCs w:val="18"/>
              </w:rPr>
            </w:pP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0EBD2C0" w14:textId="77777777" w:rsidR="00A37E13" w:rsidRPr="005B0B0D" w:rsidRDefault="00A37E13" w:rsidP="005B0B0D">
            <w:pPr>
              <w:pStyle w:val="1"/>
              <w:jc w:val="center"/>
              <w:rPr>
                <w:sz w:val="18"/>
                <w:szCs w:val="18"/>
              </w:rPr>
            </w:pPr>
            <w:r w:rsidRPr="005B0B0D">
              <w:rPr>
                <w:bCs/>
                <w:color w:val="000000"/>
                <w:sz w:val="18"/>
                <w:szCs w:val="18"/>
              </w:rPr>
              <w:t>2014</w:t>
            </w:r>
          </w:p>
        </w:tc>
        <w:tc>
          <w:tcPr>
            <w:tcW w:w="40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20106E3" w14:textId="77777777" w:rsidR="00A37E13" w:rsidRPr="005B0B0D" w:rsidRDefault="00A37E13" w:rsidP="005B0B0D">
            <w:pPr>
              <w:pStyle w:val="1"/>
              <w:jc w:val="center"/>
              <w:rPr>
                <w:sz w:val="18"/>
                <w:szCs w:val="18"/>
              </w:rPr>
            </w:pPr>
            <w:r w:rsidRPr="005B0B0D">
              <w:rPr>
                <w:bCs/>
                <w:color w:val="000000"/>
                <w:sz w:val="18"/>
                <w:szCs w:val="18"/>
              </w:rPr>
              <w:t>2015</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C72051D" w14:textId="77777777" w:rsidR="00A37E13" w:rsidRPr="005B0B0D" w:rsidRDefault="00A37E13" w:rsidP="005B0B0D">
            <w:pPr>
              <w:pStyle w:val="1"/>
              <w:jc w:val="center"/>
              <w:rPr>
                <w:sz w:val="18"/>
                <w:szCs w:val="18"/>
              </w:rPr>
            </w:pPr>
            <w:r w:rsidRPr="005B0B0D">
              <w:rPr>
                <w:bCs/>
                <w:color w:val="000000"/>
                <w:sz w:val="18"/>
                <w:szCs w:val="18"/>
              </w:rPr>
              <w:t>2016</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D3AEA6C" w14:textId="77777777" w:rsidR="00A37E13" w:rsidRPr="005B0B0D" w:rsidRDefault="00A37E13" w:rsidP="005B0B0D">
            <w:pPr>
              <w:pStyle w:val="1"/>
              <w:jc w:val="center"/>
              <w:rPr>
                <w:sz w:val="18"/>
                <w:szCs w:val="18"/>
              </w:rPr>
            </w:pPr>
            <w:r w:rsidRPr="005B0B0D">
              <w:rPr>
                <w:bCs/>
                <w:color w:val="000000"/>
                <w:sz w:val="18"/>
                <w:szCs w:val="18"/>
              </w:rPr>
              <w:t>2017</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840169D" w14:textId="77777777" w:rsidR="00A37E13" w:rsidRPr="005B0B0D" w:rsidRDefault="00A37E13" w:rsidP="005B0B0D">
            <w:pPr>
              <w:pStyle w:val="1"/>
              <w:jc w:val="center"/>
              <w:rPr>
                <w:sz w:val="18"/>
                <w:szCs w:val="18"/>
              </w:rPr>
            </w:pPr>
            <w:r w:rsidRPr="005B0B0D">
              <w:rPr>
                <w:bCs/>
                <w:color w:val="000000"/>
                <w:sz w:val="18"/>
                <w:szCs w:val="18"/>
              </w:rPr>
              <w:t>2018</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DB055A9" w14:textId="77777777" w:rsidR="00A37E13" w:rsidRPr="005B0B0D" w:rsidRDefault="00A37E13" w:rsidP="005B0B0D">
            <w:pPr>
              <w:pStyle w:val="1"/>
              <w:jc w:val="center"/>
              <w:rPr>
                <w:sz w:val="18"/>
                <w:szCs w:val="18"/>
              </w:rPr>
            </w:pPr>
            <w:r w:rsidRPr="005B0B0D">
              <w:rPr>
                <w:sz w:val="18"/>
                <w:szCs w:val="18"/>
              </w:rPr>
              <w:t>2019</w:t>
            </w:r>
          </w:p>
        </w:tc>
      </w:tr>
      <w:tr w:rsidR="00A37E13" w:rsidRPr="005B0B0D" w14:paraId="3380DABB"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8A58A32" w14:textId="77777777" w:rsidR="00A37E13" w:rsidRPr="005B0B0D" w:rsidRDefault="00A37E13" w:rsidP="005B0B0D">
            <w:pPr>
              <w:pStyle w:val="1"/>
              <w:rPr>
                <w:sz w:val="18"/>
                <w:szCs w:val="18"/>
              </w:rPr>
            </w:pPr>
            <w:r w:rsidRPr="005B0B0D">
              <w:rPr>
                <w:sz w:val="18"/>
                <w:szCs w:val="18"/>
              </w:rPr>
              <w:t>Predelovalne dejavnosti (C)</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1B38D0A"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0366942" w14:textId="77777777" w:rsidR="00A37E13" w:rsidRPr="005B0B0D" w:rsidRDefault="00A37E13" w:rsidP="005B0B0D">
            <w:pPr>
              <w:pStyle w:val="1"/>
              <w:jc w:val="right"/>
              <w:rPr>
                <w:sz w:val="18"/>
                <w:szCs w:val="18"/>
              </w:rPr>
            </w:pPr>
            <w:r w:rsidRPr="005B0B0D">
              <w:rPr>
                <w:sz w:val="18"/>
                <w:szCs w:val="18"/>
              </w:rPr>
              <w:t>100,0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27104C3" w14:textId="77777777" w:rsidR="00A37E13" w:rsidRPr="005B0B0D" w:rsidRDefault="00A37E13" w:rsidP="005B0B0D">
            <w:pPr>
              <w:pStyle w:val="1"/>
              <w:jc w:val="right"/>
              <w:rPr>
                <w:sz w:val="18"/>
                <w:szCs w:val="18"/>
              </w:rPr>
            </w:pPr>
            <w:r w:rsidRPr="005B0B0D">
              <w:rPr>
                <w:sz w:val="18"/>
                <w:szCs w:val="18"/>
              </w:rPr>
              <w:t>98,7</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4D07A04" w14:textId="77777777" w:rsidR="00A37E13" w:rsidRPr="005B0B0D" w:rsidRDefault="00A37E13" w:rsidP="005B0B0D">
            <w:pPr>
              <w:pStyle w:val="1"/>
              <w:jc w:val="right"/>
              <w:rPr>
                <w:sz w:val="18"/>
                <w:szCs w:val="18"/>
              </w:rPr>
            </w:pPr>
            <w:r w:rsidRPr="005B0B0D">
              <w:rPr>
                <w:sz w:val="18"/>
                <w:szCs w:val="18"/>
              </w:rPr>
              <w:t>102,4</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CE5C8BE" w14:textId="77777777" w:rsidR="00A37E13" w:rsidRPr="005B0B0D" w:rsidRDefault="00A37E13" w:rsidP="005B0B0D">
            <w:pPr>
              <w:pStyle w:val="1"/>
              <w:jc w:val="right"/>
              <w:rPr>
                <w:sz w:val="18"/>
                <w:szCs w:val="18"/>
              </w:rPr>
            </w:pPr>
            <w:r w:rsidRPr="005B0B0D">
              <w:rPr>
                <w:sz w:val="18"/>
                <w:szCs w:val="18"/>
              </w:rPr>
              <w:t>102,0</w:t>
            </w:r>
          </w:p>
        </w:tc>
        <w:tc>
          <w:tcPr>
            <w:tcW w:w="404" w:type="pct"/>
            <w:tcBorders>
              <w:top w:val="single" w:sz="4" w:space="0" w:color="008000"/>
              <w:left w:val="single" w:sz="4" w:space="0" w:color="008000"/>
              <w:bottom w:val="single" w:sz="4" w:space="0" w:color="008000"/>
              <w:right w:val="single" w:sz="4" w:space="0" w:color="008000"/>
            </w:tcBorders>
            <w:vAlign w:val="center"/>
          </w:tcPr>
          <w:p w14:paraId="0652D9F9" w14:textId="77777777" w:rsidR="00A37E13" w:rsidRPr="005B0B0D" w:rsidRDefault="00A37E13" w:rsidP="005B0B0D">
            <w:pPr>
              <w:pStyle w:val="1"/>
              <w:jc w:val="right"/>
              <w:rPr>
                <w:sz w:val="18"/>
                <w:szCs w:val="18"/>
              </w:rPr>
            </w:pPr>
            <w:r w:rsidRPr="005B0B0D">
              <w:rPr>
                <w:sz w:val="18"/>
                <w:szCs w:val="18"/>
              </w:rPr>
              <w:t>100,1</w:t>
            </w:r>
          </w:p>
        </w:tc>
      </w:tr>
      <w:tr w:rsidR="00A37E13" w:rsidRPr="005B0B0D" w14:paraId="764FA8C9"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541764" w14:textId="77777777" w:rsidR="00A37E13" w:rsidRPr="005B0B0D" w:rsidRDefault="00A37E13" w:rsidP="005B0B0D">
            <w:pPr>
              <w:pStyle w:val="1"/>
              <w:rPr>
                <w:sz w:val="18"/>
                <w:szCs w:val="18"/>
              </w:rPr>
            </w:pPr>
            <w:r w:rsidRPr="005B0B0D">
              <w:rPr>
                <w:sz w:val="18"/>
                <w:szCs w:val="18"/>
              </w:rPr>
              <w:t>Proizvodnja živil in pijač (10 + 11)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421240E7"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150B535" w14:textId="77777777" w:rsidR="00A37E13" w:rsidRPr="005B0B0D" w:rsidRDefault="00A37E13" w:rsidP="005B0B0D">
            <w:pPr>
              <w:pStyle w:val="1"/>
              <w:jc w:val="right"/>
              <w:rPr>
                <w:sz w:val="18"/>
                <w:szCs w:val="18"/>
              </w:rPr>
            </w:pPr>
            <w:r w:rsidRPr="005B0B0D">
              <w:rPr>
                <w:sz w:val="18"/>
                <w:szCs w:val="18"/>
              </w:rPr>
              <w:t>99,0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044A38C" w14:textId="77777777" w:rsidR="00A37E13" w:rsidRPr="005B0B0D" w:rsidRDefault="00A37E13" w:rsidP="005B0B0D">
            <w:pPr>
              <w:pStyle w:val="1"/>
              <w:jc w:val="right"/>
              <w:rPr>
                <w:sz w:val="18"/>
                <w:szCs w:val="18"/>
              </w:rPr>
            </w:pPr>
            <w:r w:rsidRPr="005B0B0D">
              <w:rPr>
                <w:sz w:val="18"/>
                <w:szCs w:val="18"/>
              </w:rPr>
              <w:t>98,2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442FDEA" w14:textId="77777777" w:rsidR="00A37E13" w:rsidRPr="005B0B0D" w:rsidRDefault="00A37E13" w:rsidP="005B0B0D">
            <w:pPr>
              <w:pStyle w:val="1"/>
              <w:jc w:val="right"/>
              <w:rPr>
                <w:sz w:val="18"/>
                <w:szCs w:val="18"/>
              </w:rPr>
            </w:pPr>
            <w:r w:rsidRPr="005B0B0D">
              <w:rPr>
                <w:sz w:val="18"/>
                <w:szCs w:val="18"/>
              </w:rPr>
              <w:t>101,2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913BB7F" w14:textId="77777777" w:rsidR="00A37E13" w:rsidRPr="005B0B0D" w:rsidRDefault="00A37E13" w:rsidP="005B0B0D">
            <w:pPr>
              <w:pStyle w:val="1"/>
              <w:jc w:val="right"/>
              <w:rPr>
                <w:sz w:val="18"/>
                <w:szCs w:val="18"/>
              </w:rPr>
            </w:pPr>
            <w:r w:rsidRPr="005B0B0D">
              <w:rPr>
                <w:sz w:val="18"/>
                <w:szCs w:val="18"/>
              </w:rPr>
              <w:t>100,8</w:t>
            </w:r>
          </w:p>
        </w:tc>
        <w:tc>
          <w:tcPr>
            <w:tcW w:w="404" w:type="pct"/>
            <w:tcBorders>
              <w:top w:val="single" w:sz="4" w:space="0" w:color="008000"/>
              <w:left w:val="single" w:sz="4" w:space="0" w:color="008000"/>
              <w:bottom w:val="single" w:sz="4" w:space="0" w:color="008000"/>
              <w:right w:val="single" w:sz="4" w:space="0" w:color="008000"/>
            </w:tcBorders>
            <w:vAlign w:val="center"/>
          </w:tcPr>
          <w:p w14:paraId="250CC789" w14:textId="77777777" w:rsidR="00A37E13" w:rsidRPr="005B0B0D" w:rsidRDefault="00A37E13" w:rsidP="005B0B0D">
            <w:pPr>
              <w:pStyle w:val="1"/>
              <w:jc w:val="right"/>
              <w:rPr>
                <w:sz w:val="18"/>
                <w:szCs w:val="18"/>
              </w:rPr>
            </w:pPr>
            <w:r w:rsidRPr="005B0B0D">
              <w:rPr>
                <w:sz w:val="18"/>
                <w:szCs w:val="18"/>
              </w:rPr>
              <w:t>100,0</w:t>
            </w:r>
          </w:p>
        </w:tc>
      </w:tr>
      <w:tr w:rsidR="00A37E13" w:rsidRPr="005B0B0D" w14:paraId="169BCAF3"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690B14F0" w14:textId="77777777" w:rsidR="00A37E13" w:rsidRPr="005B0B0D" w:rsidRDefault="00A37E13" w:rsidP="005B0B0D">
            <w:pPr>
              <w:pStyle w:val="1"/>
              <w:rPr>
                <w:b/>
                <w:sz w:val="18"/>
                <w:szCs w:val="18"/>
              </w:rPr>
            </w:pPr>
            <w:r w:rsidRPr="005B0B0D">
              <w:rPr>
                <w:b/>
                <w:sz w:val="18"/>
                <w:szCs w:val="18"/>
              </w:rPr>
              <w:t>Proizvodnja živil (C10)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92F2702" w14:textId="77777777" w:rsidR="00A37E13" w:rsidRPr="005B0B0D" w:rsidRDefault="00A37E13" w:rsidP="005B0B0D">
            <w:pPr>
              <w:pStyle w:val="1"/>
              <w:jc w:val="right"/>
              <w:rPr>
                <w:b/>
                <w:sz w:val="18"/>
                <w:szCs w:val="18"/>
              </w:rPr>
            </w:pPr>
            <w:r w:rsidRPr="005B0B0D">
              <w:rPr>
                <w:b/>
                <w:sz w:val="18"/>
                <w:szCs w:val="18"/>
              </w:rPr>
              <w:t>99,6</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0F8602D" w14:textId="77777777" w:rsidR="00A37E13" w:rsidRPr="005B0B0D" w:rsidRDefault="00A37E13" w:rsidP="005B0B0D">
            <w:pPr>
              <w:pStyle w:val="1"/>
              <w:jc w:val="right"/>
              <w:rPr>
                <w:b/>
                <w:sz w:val="18"/>
                <w:szCs w:val="18"/>
              </w:rPr>
            </w:pPr>
            <w:r w:rsidRPr="005B0B0D">
              <w:rPr>
                <w:b/>
                <w:sz w:val="18"/>
                <w:szCs w:val="18"/>
              </w:rPr>
              <w:t>98,5</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38E8021" w14:textId="77777777" w:rsidR="00A37E13" w:rsidRPr="005B0B0D" w:rsidRDefault="00A37E13" w:rsidP="005B0B0D">
            <w:pPr>
              <w:pStyle w:val="1"/>
              <w:jc w:val="right"/>
              <w:rPr>
                <w:b/>
                <w:sz w:val="18"/>
                <w:szCs w:val="18"/>
              </w:rPr>
            </w:pPr>
            <w:r w:rsidRPr="005B0B0D">
              <w:rPr>
                <w:b/>
                <w:sz w:val="18"/>
                <w:szCs w:val="18"/>
              </w:rPr>
              <w:t>97,8</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CD64D66" w14:textId="77777777" w:rsidR="00A37E13" w:rsidRPr="005B0B0D" w:rsidRDefault="00A37E13" w:rsidP="005B0B0D">
            <w:pPr>
              <w:pStyle w:val="1"/>
              <w:jc w:val="right"/>
              <w:rPr>
                <w:b/>
                <w:sz w:val="18"/>
                <w:szCs w:val="18"/>
              </w:rPr>
            </w:pPr>
            <w:r w:rsidRPr="005B0B0D">
              <w:rPr>
                <w:b/>
                <w:sz w:val="18"/>
                <w:szCs w:val="18"/>
              </w:rPr>
              <w:t>101,6</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746432F8" w14:textId="77777777" w:rsidR="00A37E13" w:rsidRPr="005B0B0D" w:rsidRDefault="00A37E13" w:rsidP="005B0B0D">
            <w:pPr>
              <w:pStyle w:val="1"/>
              <w:jc w:val="right"/>
              <w:rPr>
                <w:b/>
                <w:sz w:val="18"/>
                <w:szCs w:val="18"/>
              </w:rPr>
            </w:pPr>
            <w:r w:rsidRPr="005B0B0D">
              <w:rPr>
                <w:b/>
                <w:sz w:val="18"/>
                <w:szCs w:val="18"/>
              </w:rPr>
              <w:t>101,1</w:t>
            </w:r>
          </w:p>
        </w:tc>
        <w:tc>
          <w:tcPr>
            <w:tcW w:w="404" w:type="pct"/>
            <w:tcBorders>
              <w:top w:val="single" w:sz="4" w:space="0" w:color="008000"/>
              <w:left w:val="single" w:sz="4" w:space="0" w:color="008000"/>
              <w:bottom w:val="single" w:sz="4" w:space="0" w:color="008000"/>
              <w:right w:val="single" w:sz="4" w:space="0" w:color="008000"/>
            </w:tcBorders>
            <w:vAlign w:val="center"/>
          </w:tcPr>
          <w:p w14:paraId="43044A1B" w14:textId="77777777" w:rsidR="00A37E13" w:rsidRPr="005B0B0D" w:rsidRDefault="00A37E13" w:rsidP="005B0B0D">
            <w:pPr>
              <w:pStyle w:val="1"/>
              <w:jc w:val="right"/>
              <w:rPr>
                <w:b/>
                <w:sz w:val="18"/>
                <w:szCs w:val="18"/>
              </w:rPr>
            </w:pPr>
            <w:r w:rsidRPr="005B0B0D">
              <w:rPr>
                <w:b/>
                <w:sz w:val="18"/>
                <w:szCs w:val="18"/>
              </w:rPr>
              <w:t>100,0</w:t>
            </w:r>
          </w:p>
        </w:tc>
      </w:tr>
      <w:tr w:rsidR="00A37E13" w:rsidRPr="005B0B0D" w14:paraId="1190E59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C57749" w14:textId="77777777" w:rsidR="00A37E13" w:rsidRPr="005B0B0D" w:rsidRDefault="00A37E13" w:rsidP="005B0B0D">
            <w:pPr>
              <w:pStyle w:val="1"/>
              <w:rPr>
                <w:b/>
                <w:sz w:val="18"/>
                <w:szCs w:val="18"/>
              </w:rPr>
            </w:pPr>
            <w:r w:rsidRPr="005B0B0D">
              <w:rPr>
                <w:b/>
                <w:sz w:val="18"/>
                <w:szCs w:val="18"/>
              </w:rPr>
              <w:t>Proizvodnja pijač (C11)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F7E0F66" w14:textId="77777777" w:rsidR="00A37E13" w:rsidRPr="005B0B0D" w:rsidRDefault="00A37E13" w:rsidP="005B0B0D">
            <w:pPr>
              <w:pStyle w:val="1"/>
              <w:jc w:val="right"/>
              <w:rPr>
                <w:b/>
                <w:sz w:val="18"/>
                <w:szCs w:val="18"/>
              </w:rPr>
            </w:pPr>
            <w:r w:rsidRPr="005B0B0D">
              <w:rPr>
                <w:b/>
                <w:sz w:val="18"/>
                <w:szCs w:val="18"/>
              </w:rPr>
              <w:t>100,1</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2219AD6" w14:textId="77777777" w:rsidR="00A37E13" w:rsidRPr="005B0B0D" w:rsidRDefault="00A37E13" w:rsidP="005B0B0D">
            <w:pPr>
              <w:pStyle w:val="1"/>
              <w:jc w:val="right"/>
              <w:rPr>
                <w:b/>
                <w:sz w:val="18"/>
                <w:szCs w:val="18"/>
              </w:rPr>
            </w:pPr>
            <w:r w:rsidRPr="005B0B0D">
              <w:rPr>
                <w:b/>
                <w:sz w:val="18"/>
                <w:szCs w:val="18"/>
              </w:rPr>
              <w:t>101,3</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E3DFB54" w14:textId="77777777" w:rsidR="00A37E13" w:rsidRPr="005B0B0D" w:rsidRDefault="00A37E13" w:rsidP="005B0B0D">
            <w:pPr>
              <w:pStyle w:val="1"/>
              <w:jc w:val="right"/>
              <w:rPr>
                <w:b/>
                <w:sz w:val="18"/>
                <w:szCs w:val="18"/>
              </w:rPr>
            </w:pPr>
            <w:r w:rsidRPr="005B0B0D">
              <w:rPr>
                <w:b/>
                <w:sz w:val="18"/>
                <w:szCs w:val="18"/>
              </w:rPr>
              <w:t>100,2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ADF9B75" w14:textId="77777777" w:rsidR="00A37E13" w:rsidRPr="005B0B0D" w:rsidRDefault="00A37E13" w:rsidP="005B0B0D">
            <w:pPr>
              <w:pStyle w:val="1"/>
              <w:jc w:val="right"/>
              <w:rPr>
                <w:b/>
                <w:sz w:val="18"/>
                <w:szCs w:val="18"/>
              </w:rPr>
            </w:pPr>
            <w:r w:rsidRPr="005B0B0D">
              <w:rPr>
                <w:b/>
                <w:sz w:val="18"/>
                <w:szCs w:val="18"/>
              </w:rPr>
              <w:t>98,9</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F5BBE75" w14:textId="77777777" w:rsidR="00A37E13" w:rsidRPr="005B0B0D" w:rsidRDefault="00A37E13" w:rsidP="005B0B0D">
            <w:pPr>
              <w:pStyle w:val="1"/>
              <w:jc w:val="right"/>
              <w:rPr>
                <w:b/>
                <w:sz w:val="18"/>
                <w:szCs w:val="18"/>
              </w:rPr>
            </w:pPr>
            <w:r w:rsidRPr="005B0B0D">
              <w:rPr>
                <w:b/>
                <w:sz w:val="18"/>
                <w:szCs w:val="18"/>
              </w:rPr>
              <w:t>99,4</w:t>
            </w:r>
          </w:p>
        </w:tc>
        <w:tc>
          <w:tcPr>
            <w:tcW w:w="404" w:type="pct"/>
            <w:tcBorders>
              <w:top w:val="single" w:sz="4" w:space="0" w:color="008000"/>
              <w:left w:val="single" w:sz="4" w:space="0" w:color="008000"/>
              <w:bottom w:val="single" w:sz="4" w:space="0" w:color="008000"/>
              <w:right w:val="single" w:sz="4" w:space="0" w:color="008000"/>
            </w:tcBorders>
            <w:vAlign w:val="center"/>
          </w:tcPr>
          <w:p w14:paraId="1DA65829" w14:textId="77777777" w:rsidR="00A37E13" w:rsidRPr="005B0B0D" w:rsidRDefault="00A37E13" w:rsidP="005B0B0D">
            <w:pPr>
              <w:pStyle w:val="1"/>
              <w:jc w:val="right"/>
              <w:rPr>
                <w:b/>
                <w:sz w:val="18"/>
                <w:szCs w:val="18"/>
              </w:rPr>
            </w:pPr>
            <w:r w:rsidRPr="005B0B0D">
              <w:rPr>
                <w:b/>
                <w:sz w:val="18"/>
                <w:szCs w:val="18"/>
              </w:rPr>
              <w:t>100,1</w:t>
            </w:r>
          </w:p>
        </w:tc>
      </w:tr>
    </w:tbl>
    <w:p w14:paraId="5757C1A6"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DF162A3" w14:textId="2CCF5110" w:rsidR="003406B9" w:rsidRDefault="003406B9" w:rsidP="007613FE">
      <w:pPr>
        <w:pStyle w:val="Odstavek1"/>
        <w:rPr>
          <w:lang w:eastAsia="en-US"/>
        </w:rPr>
      </w:pPr>
    </w:p>
    <w:p w14:paraId="6BF43624" w14:textId="2522453C" w:rsidR="00A37E13" w:rsidRDefault="00A37E13" w:rsidP="007613FE">
      <w:pPr>
        <w:pStyle w:val="Odstavek1"/>
        <w:rPr>
          <w:lang w:eastAsia="en-US"/>
        </w:rPr>
      </w:pPr>
      <w:r w:rsidRPr="00A37E13">
        <w:rPr>
          <w:lang w:eastAsia="en-US"/>
        </w:rPr>
        <w:t>Cenovno-stroškovno razmerje za proizvodnjo živil se je v primerjavi s cenami kmetijskih proizvodov v letu 2019 nekoliko poslabšalo, predvsem zaradi višjih cen kmetijskih proizvodov in nespremenjenih cen živilskih proizvodov iz leta 2018. Cenovno-stroškovno razmerje je v letu 2019 pod ravnijo iz primerjalnega leta 2015.</w:t>
      </w:r>
    </w:p>
    <w:p w14:paraId="2EC6C426" w14:textId="77777777" w:rsidR="0099244F" w:rsidRPr="00A37E13" w:rsidRDefault="0099244F" w:rsidP="007613FE">
      <w:pPr>
        <w:pStyle w:val="Odstavek1"/>
        <w:rPr>
          <w:lang w:eastAsia="en-US"/>
        </w:rPr>
      </w:pPr>
    </w:p>
    <w:p w14:paraId="2865A78F" w14:textId="64751FDE" w:rsidR="00A37E13" w:rsidRPr="0047652B" w:rsidRDefault="00A37E13" w:rsidP="007613FE">
      <w:pPr>
        <w:pStyle w:val="Odstavek1"/>
        <w:rPr>
          <w:lang w:eastAsia="en-US"/>
        </w:rPr>
      </w:pPr>
      <w:r w:rsidRPr="00A37E13">
        <w:rPr>
          <w:lang w:eastAsia="en-US"/>
        </w:rPr>
        <w:t>V letu 2019 se je cenovno-stroškovno razmerje med cenami živil in cenami energentov v primerjavi z letom prej le malce poslabšalo. Cene energentov so se namreč v letu 2019 v povprečju zvišale bolj kot cene živil. Na poslovni izid živilskopredelovalnih podjetij je v letu 2019 najbolj vplivalo poslabšanje cenovno-stroškovnih razmerij med živili in kmetijskimi surovinami, v panogah kjer se pretežno uporabljajo surovine slovenskega porekla.</w:t>
      </w:r>
    </w:p>
    <w:p w14:paraId="4061F536" w14:textId="0F3BF069" w:rsidR="003406B9" w:rsidRPr="0047652B" w:rsidRDefault="003406B9" w:rsidP="007613FE">
      <w:pPr>
        <w:pStyle w:val="Odstavek1"/>
        <w:rPr>
          <w:lang w:eastAsia="en-US"/>
        </w:rPr>
      </w:pPr>
    </w:p>
    <w:p w14:paraId="3544DB75" w14:textId="24FD2A2A" w:rsidR="00DE26F3" w:rsidRPr="0047652B" w:rsidRDefault="00DE26F3" w:rsidP="007E558D">
      <w:pPr>
        <w:pStyle w:val="SCSlika0"/>
        <w:rPr>
          <w:sz w:val="16"/>
          <w:lang w:eastAsia="sl-SI"/>
        </w:rPr>
      </w:pPr>
      <w:bookmarkStart w:id="3241" w:name="_Toc89851135"/>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93</w:t>
      </w:r>
      <w:r w:rsidR="009F2591">
        <w:rPr>
          <w:noProof/>
        </w:rPr>
        <w:fldChar w:fldCharType="end"/>
      </w:r>
      <w:r w:rsidRPr="009F3567">
        <w:t>:</w:t>
      </w:r>
      <w:r w:rsidRPr="009F3567">
        <w:rPr>
          <w:i/>
        </w:rPr>
        <w:t xml:space="preserve"> </w:t>
      </w:r>
      <w:r w:rsidRPr="009F3567">
        <w:t xml:space="preserve">Indeksi cen živilskih proizvodov pri proizvajalcih v primerjavi z indeksi cen kmetijskih pridelkov, energentov in plač (2015 = 100); </w:t>
      </w:r>
      <w:r w:rsidR="00A37E13">
        <w:t>2007-2019</w:t>
      </w:r>
      <w:bookmarkEnd w:id="3241"/>
    </w:p>
    <w:p w14:paraId="2DA3D76B" w14:textId="77777777" w:rsidR="003406B9" w:rsidRDefault="00A37E13" w:rsidP="003406B9">
      <w:pPr>
        <w:spacing w:before="0" w:line="276" w:lineRule="auto"/>
        <w:rPr>
          <w:sz w:val="20"/>
          <w:szCs w:val="20"/>
          <w:lang w:eastAsia="en-US"/>
        </w:rPr>
      </w:pPr>
      <w:r>
        <w:rPr>
          <w:noProof/>
          <w:lang w:eastAsia="sl-SI"/>
        </w:rPr>
        <w:drawing>
          <wp:inline distT="0" distB="0" distL="0" distR="0" wp14:anchorId="7029AB6D" wp14:editId="09A25509">
            <wp:extent cx="5400000" cy="2136264"/>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000" cy="2136264"/>
                    </a:xfrm>
                    <a:prstGeom prst="rect">
                      <a:avLst/>
                    </a:prstGeom>
                    <a:noFill/>
                  </pic:spPr>
                </pic:pic>
              </a:graphicData>
            </a:graphic>
          </wp:inline>
        </w:drawing>
      </w:r>
    </w:p>
    <w:p w14:paraId="2DF38D86" w14:textId="1F6E31D2"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3634DBA6" w14:textId="77777777" w:rsidR="00701BC9" w:rsidRDefault="00701BC9" w:rsidP="007613FE">
      <w:pPr>
        <w:pStyle w:val="Odstavek1"/>
        <w:rPr>
          <w:highlight w:val="yellow"/>
        </w:rPr>
      </w:pPr>
    </w:p>
    <w:p w14:paraId="6B0746F5" w14:textId="0B0164E0" w:rsidR="00A37E13" w:rsidRDefault="00A37E13" w:rsidP="007613FE">
      <w:pPr>
        <w:pStyle w:val="Odstavek1"/>
        <w:rPr>
          <w:lang w:eastAsia="en-US"/>
        </w:rPr>
      </w:pPr>
      <w:r w:rsidRPr="0047652B">
        <w:rPr>
          <w:lang w:eastAsia="en-US"/>
        </w:rPr>
        <w:t>Razmerje med indeksom cen živil in p</w:t>
      </w:r>
      <w:r w:rsidR="00E04A19">
        <w:rPr>
          <w:lang w:eastAsia="en-US"/>
        </w:rPr>
        <w:t>ij</w:t>
      </w:r>
      <w:r w:rsidRPr="0047652B">
        <w:rPr>
          <w:lang w:eastAsia="en-US"/>
        </w:rPr>
        <w:t xml:space="preserve">ač se je tako poslabšalo že </w:t>
      </w:r>
      <w:r>
        <w:rPr>
          <w:lang w:eastAsia="en-US"/>
        </w:rPr>
        <w:t>šesto</w:t>
      </w:r>
      <w:r w:rsidRPr="0047652B">
        <w:rPr>
          <w:lang w:eastAsia="en-US"/>
        </w:rPr>
        <w:t xml:space="preserve"> leto zapored, kar se občuti predvsem v delovno intenzivnih panogah. Na poslovni izid </w:t>
      </w:r>
      <w:r w:rsidR="00E04A19">
        <w:rPr>
          <w:lang w:eastAsia="en-US"/>
        </w:rPr>
        <w:t>ŽPI</w:t>
      </w:r>
      <w:r>
        <w:rPr>
          <w:lang w:eastAsia="en-US"/>
        </w:rPr>
        <w:t xml:space="preserve"> </w:t>
      </w:r>
      <w:r w:rsidRPr="0047652B">
        <w:rPr>
          <w:lang w:eastAsia="en-US"/>
        </w:rPr>
        <w:t xml:space="preserve">je </w:t>
      </w:r>
      <w:r>
        <w:rPr>
          <w:lang w:eastAsia="en-US"/>
        </w:rPr>
        <w:t xml:space="preserve">tako </w:t>
      </w:r>
      <w:r w:rsidRPr="0047652B">
        <w:rPr>
          <w:lang w:eastAsia="en-US"/>
        </w:rPr>
        <w:t>v letu 201</w:t>
      </w:r>
      <w:r>
        <w:rPr>
          <w:lang w:eastAsia="en-US"/>
        </w:rPr>
        <w:t>9</w:t>
      </w:r>
      <w:r w:rsidRPr="0047652B">
        <w:rPr>
          <w:lang w:eastAsia="en-US"/>
        </w:rPr>
        <w:t xml:space="preserve"> najbolj vplivalo </w:t>
      </w:r>
      <w:r>
        <w:rPr>
          <w:lang w:eastAsia="en-US"/>
        </w:rPr>
        <w:t>poslabšanje</w:t>
      </w:r>
      <w:r w:rsidRPr="0047652B">
        <w:rPr>
          <w:lang w:eastAsia="en-US"/>
        </w:rPr>
        <w:t xml:space="preserve"> cenovno-stroškovnih razmerij med živili in kmetijskimi surovinami, kar je posebej opazno v dejavnostih, kjer kmetijske surovine </w:t>
      </w:r>
      <w:r w:rsidR="00E04A19">
        <w:rPr>
          <w:lang w:eastAsia="en-US"/>
        </w:rPr>
        <w:t>domačega</w:t>
      </w:r>
      <w:r w:rsidRPr="0047652B">
        <w:rPr>
          <w:lang w:eastAsia="en-US"/>
        </w:rPr>
        <w:t xml:space="preserve"> porekla </w:t>
      </w:r>
      <w:r w:rsidR="00E04A19">
        <w:rPr>
          <w:lang w:eastAsia="en-US"/>
        </w:rPr>
        <w:t>predstavljajo</w:t>
      </w:r>
      <w:r w:rsidRPr="0047652B">
        <w:rPr>
          <w:lang w:eastAsia="en-US"/>
        </w:rPr>
        <w:t xml:space="preserve"> pomemben del stroškov v podjetjih.</w:t>
      </w:r>
    </w:p>
    <w:p w14:paraId="4F879C99" w14:textId="77777777" w:rsidR="00AE1F83" w:rsidRPr="0047652B" w:rsidRDefault="00AE1F83" w:rsidP="007613FE">
      <w:pPr>
        <w:pStyle w:val="Odstavek1"/>
        <w:rPr>
          <w:lang w:eastAsia="en-US"/>
        </w:rPr>
      </w:pPr>
    </w:p>
    <w:p w14:paraId="711F9953" w14:textId="77777777" w:rsidR="003406B9" w:rsidRPr="0047652B" w:rsidRDefault="003406B9" w:rsidP="007613FE">
      <w:pPr>
        <w:pStyle w:val="Odstavek1"/>
      </w:pPr>
    </w:p>
    <w:p w14:paraId="73D01087" w14:textId="603CAAB3" w:rsidR="003406B9" w:rsidRPr="009F3567" w:rsidRDefault="003406B9" w:rsidP="007E558D">
      <w:pPr>
        <w:pStyle w:val="Naslov2"/>
      </w:pPr>
      <w:bookmarkStart w:id="3242" w:name="_Toc90462293"/>
      <w:r w:rsidRPr="009F3567">
        <w:t>Poslovni rezultati živilskopredelovalne industrije</w:t>
      </w:r>
      <w:bookmarkEnd w:id="3242"/>
    </w:p>
    <w:p w14:paraId="10170D92" w14:textId="77777777" w:rsidR="003406B9" w:rsidRPr="0047652B" w:rsidRDefault="003406B9" w:rsidP="007613FE">
      <w:pPr>
        <w:spacing w:before="0" w:line="260" w:lineRule="atLeast"/>
        <w:rPr>
          <w:i/>
          <w:sz w:val="20"/>
          <w:szCs w:val="20"/>
          <w:lang w:eastAsia="en-US"/>
        </w:rPr>
      </w:pPr>
    </w:p>
    <w:p w14:paraId="5F705DB3" w14:textId="77777777" w:rsidR="003406B9" w:rsidRPr="00852E36" w:rsidRDefault="003406B9" w:rsidP="007E558D">
      <w:pPr>
        <w:pStyle w:val="Naslov3"/>
        <w:rPr>
          <w:lang w:eastAsia="en-US"/>
        </w:rPr>
      </w:pPr>
      <w:bookmarkStart w:id="3243" w:name="_Toc90462294"/>
      <w:r w:rsidRPr="00852E36">
        <w:rPr>
          <w:lang w:eastAsia="en-US"/>
        </w:rPr>
        <w:t>Poslovni rezultati celotne živilskopredelovalne panoge</w:t>
      </w:r>
      <w:bookmarkEnd w:id="3243"/>
    </w:p>
    <w:p w14:paraId="74C776B0" w14:textId="77777777" w:rsidR="003406B9" w:rsidRPr="0047652B" w:rsidRDefault="003406B9" w:rsidP="007613FE">
      <w:pPr>
        <w:spacing w:before="0" w:line="260" w:lineRule="atLeast"/>
        <w:rPr>
          <w:i/>
          <w:sz w:val="20"/>
          <w:szCs w:val="20"/>
          <w:lang w:eastAsia="en-US"/>
        </w:rPr>
      </w:pPr>
    </w:p>
    <w:p w14:paraId="5D3CB3D4" w14:textId="121C035E" w:rsidR="00CE7573" w:rsidRPr="007E558D" w:rsidRDefault="00CE7573" w:rsidP="007613FE">
      <w:pPr>
        <w:spacing w:before="0" w:line="260" w:lineRule="atLeast"/>
        <w:rPr>
          <w:szCs w:val="20"/>
          <w:lang w:eastAsia="en-US"/>
        </w:rPr>
      </w:pPr>
      <w:r w:rsidRPr="007E558D">
        <w:rPr>
          <w:szCs w:val="20"/>
          <w:lang w:eastAsia="en-US"/>
        </w:rPr>
        <w:t xml:space="preserve">Živilskopredelovalna podjetja so v letu 2019 upravljala z okoli 2,3 </w:t>
      </w:r>
      <w:r w:rsidR="00D53725" w:rsidRPr="007E558D">
        <w:rPr>
          <w:szCs w:val="20"/>
          <w:lang w:eastAsia="en-US"/>
        </w:rPr>
        <w:t>mrd</w:t>
      </w:r>
      <w:r w:rsidRPr="007E558D">
        <w:rPr>
          <w:szCs w:val="20"/>
          <w:lang w:eastAsia="en-US"/>
        </w:rPr>
        <w:t xml:space="preserve"> EUR bilančnih sredstev, kar je realno za 2,6 % več kot v predhodnem letu. Leto 2017 je bilo prvo po šestih letih, ko je vrednost sredstev realno nekoliko zrasla, medtem ko so se sredstva v letu 2018 ponovno realno zmanjšala. Pojav epidemije COVID-19 v letu 2020 ima za posledico nepredvidljive spreme</w:t>
      </w:r>
      <w:r w:rsidR="00E01889">
        <w:rPr>
          <w:szCs w:val="20"/>
          <w:lang w:eastAsia="en-US"/>
        </w:rPr>
        <w:t>m</w:t>
      </w:r>
      <w:r w:rsidRPr="007E558D">
        <w:rPr>
          <w:szCs w:val="20"/>
          <w:lang w:eastAsia="en-US"/>
        </w:rPr>
        <w:t>be na trgih. Zaradi sprememb potršniških navad se je prodaja nekaterih proizvodov povečala, drugih pa zmanjšala. V tem času se je tudi zmanjšala prodaja hrane v restavracijah, na drugi strani a se je povečala prodaja hrane po spletu iz trgovin ter dostava hrane iz gostinskih obratov (</w:t>
      </w:r>
      <w:r w:rsidR="00F3225E" w:rsidRPr="007E558D">
        <w:rPr>
          <w:rStyle w:val="Hiperpovezava"/>
          <w:color w:val="000000" w:themeColor="text1"/>
          <w:szCs w:val="20"/>
          <w:u w:val="none"/>
        </w:rPr>
        <w:t>Inštitut za nutricionistiko</w:t>
      </w:r>
      <w:r w:rsidRPr="007E558D">
        <w:rPr>
          <w:bCs/>
          <w:szCs w:val="20"/>
          <w:lang w:eastAsia="en-US"/>
        </w:rPr>
        <w:t>, 2020).</w:t>
      </w:r>
    </w:p>
    <w:p w14:paraId="60A5ADBD" w14:textId="77777777" w:rsidR="003406B9" w:rsidRPr="007E558D" w:rsidRDefault="003406B9" w:rsidP="007613FE">
      <w:pPr>
        <w:spacing w:before="0" w:line="260" w:lineRule="atLeast"/>
        <w:rPr>
          <w:szCs w:val="20"/>
          <w:lang w:eastAsia="en-US"/>
        </w:rPr>
      </w:pPr>
    </w:p>
    <w:p w14:paraId="6BB7C26E" w14:textId="56C13B46" w:rsidR="00742ADC" w:rsidRPr="007E558D" w:rsidRDefault="00742ADC" w:rsidP="007613FE">
      <w:pPr>
        <w:spacing w:before="0" w:line="260" w:lineRule="atLeast"/>
        <w:rPr>
          <w:szCs w:val="20"/>
          <w:lang w:eastAsia="en-US"/>
        </w:rPr>
      </w:pPr>
      <w:r w:rsidRPr="007E558D">
        <w:rPr>
          <w:szCs w:val="20"/>
          <w:lang w:eastAsia="en-US"/>
        </w:rPr>
        <w:t>Kazalniki poslovanja ŽPI v obdobju 2014 do 2019 rastejo. Čisti prihodki od prodaje na domačem trgu med leti nihajo vendar ostajajo na približno enaki ravni</w:t>
      </w:r>
      <w:r w:rsidR="0069260C">
        <w:rPr>
          <w:szCs w:val="20"/>
          <w:lang w:eastAsia="en-US"/>
        </w:rPr>
        <w:t>,</w:t>
      </w:r>
      <w:r w:rsidRPr="007E558D">
        <w:rPr>
          <w:szCs w:val="20"/>
          <w:lang w:eastAsia="en-US"/>
        </w:rPr>
        <w:t xml:space="preserve">  povečujejo pa se čisti prihodki na tujem trgu in so v primerjavi z letom 2014 v letu 2019 zrasli za 36,9 %</w:t>
      </w:r>
      <w:r w:rsidRPr="007E558D">
        <w:rPr>
          <w:szCs w:val="20"/>
          <w:vertAlign w:val="superscript"/>
          <w:lang w:eastAsia="en-US"/>
        </w:rPr>
        <w:t>39</w:t>
      </w:r>
      <w:r w:rsidRPr="007E558D">
        <w:rPr>
          <w:szCs w:val="20"/>
          <w:lang w:eastAsia="en-US"/>
        </w:rPr>
        <w:t>. Izvozna usmerjenost konstantno raste in je bila najvišja v letu 2019 (29,6 %). Visok delež izvoza kaže na rast konkurenčnosti slovenske živilske industrije na tujih trgih, kar je ena od perspektivnih smeri razvoja slovenske živilske industrije.</w:t>
      </w:r>
    </w:p>
    <w:p w14:paraId="2B9B67A6" w14:textId="77777777" w:rsidR="00F3225E" w:rsidRPr="007E558D" w:rsidRDefault="00F3225E" w:rsidP="007613FE">
      <w:pPr>
        <w:spacing w:before="0" w:line="260" w:lineRule="atLeast"/>
        <w:rPr>
          <w:szCs w:val="20"/>
          <w:lang w:eastAsia="en-US"/>
        </w:rPr>
      </w:pPr>
    </w:p>
    <w:p w14:paraId="6AFBE5A8" w14:textId="53C43B23" w:rsidR="00742ADC" w:rsidRPr="007E558D" w:rsidRDefault="00742ADC" w:rsidP="007613FE">
      <w:pPr>
        <w:pStyle w:val="ZPtekst"/>
        <w:spacing w:before="0" w:line="260" w:lineRule="atLeast"/>
        <w:rPr>
          <w:szCs w:val="20"/>
          <w:lang w:eastAsia="en-US"/>
        </w:rPr>
      </w:pPr>
      <w:r w:rsidRPr="007E558D">
        <w:rPr>
          <w:szCs w:val="20"/>
          <w:lang w:eastAsia="en-US"/>
        </w:rPr>
        <w:t>Pozitivna sprememba je pri kazalniku dodane vrednosti na zaposlenega, ki je v letu 2019 znašala 41 tisoč EUR, kar je realno 4 % več v primerjavi s predhodnim letom. Celotna živilskopredelovalna panoga je v letu 2019 ustvarila realno za 8 % več skupne dodane vrednosti kot v predhodnem letu, a ker je bila rast zaposlenih nekoliko višja kot v letu prej, je to nekoliko zmanjšalo rast dodane vrednosti na zaposlenega.</w:t>
      </w:r>
    </w:p>
    <w:p w14:paraId="2A1D9BC9" w14:textId="38F4B66D" w:rsidR="007E558D" w:rsidRDefault="007E558D" w:rsidP="007613FE">
      <w:pPr>
        <w:pStyle w:val="ZPtekst"/>
        <w:spacing w:before="0" w:line="260" w:lineRule="atLeast"/>
        <w:rPr>
          <w:sz w:val="20"/>
          <w:szCs w:val="20"/>
          <w:lang w:eastAsia="en-US"/>
        </w:rPr>
      </w:pPr>
    </w:p>
    <w:p w14:paraId="1F0749EB" w14:textId="77777777" w:rsidR="007E558D" w:rsidRPr="0047652B" w:rsidRDefault="007E558D" w:rsidP="007613FE">
      <w:pPr>
        <w:pStyle w:val="ZPtekst"/>
        <w:spacing w:before="0" w:line="260" w:lineRule="atLeast"/>
        <w:rPr>
          <w:sz w:val="20"/>
          <w:szCs w:val="20"/>
        </w:rPr>
      </w:pPr>
    </w:p>
    <w:p w14:paraId="75E13280" w14:textId="77777777" w:rsidR="003406B9" w:rsidRDefault="003406B9" w:rsidP="007613FE">
      <w:pPr>
        <w:spacing w:before="0" w:line="260" w:lineRule="atLeast"/>
      </w:pPr>
    </w:p>
    <w:p w14:paraId="5B5B569A" w14:textId="034F799F" w:rsidR="003406B9" w:rsidRPr="00852E36" w:rsidRDefault="003406B9" w:rsidP="007E558D">
      <w:pPr>
        <w:pStyle w:val="Naslov3"/>
        <w:rPr>
          <w:lang w:eastAsia="en-US"/>
        </w:rPr>
      </w:pPr>
      <w:bookmarkStart w:id="3244" w:name="_Toc90462295"/>
      <w:r w:rsidRPr="00852E36">
        <w:rPr>
          <w:lang w:eastAsia="en-US"/>
        </w:rPr>
        <w:t>Poslovni rezultati po posameznih dejavnostih</w:t>
      </w:r>
      <w:bookmarkEnd w:id="3244"/>
      <w:r w:rsidRPr="00852E36">
        <w:rPr>
          <w:lang w:eastAsia="en-US"/>
        </w:rPr>
        <w:t xml:space="preserve"> </w:t>
      </w:r>
    </w:p>
    <w:p w14:paraId="0C562A4F" w14:textId="77777777" w:rsidR="00F3225E" w:rsidRDefault="00F3225E" w:rsidP="007613FE">
      <w:pPr>
        <w:pStyle w:val="1"/>
        <w:spacing w:before="0"/>
        <w:rPr>
          <w:u w:val="single"/>
          <w:lang w:eastAsia="en-US"/>
        </w:rPr>
      </w:pPr>
    </w:p>
    <w:p w14:paraId="5AB58F5A" w14:textId="688D35CF" w:rsidR="00510FE5" w:rsidRPr="007E558D" w:rsidRDefault="00510FE5" w:rsidP="007613FE">
      <w:pPr>
        <w:pStyle w:val="1"/>
        <w:spacing w:before="0"/>
        <w:rPr>
          <w:sz w:val="22"/>
          <w:szCs w:val="22"/>
          <w:u w:val="single"/>
          <w:lang w:eastAsia="en-US"/>
        </w:rPr>
      </w:pPr>
      <w:r w:rsidRPr="007E558D">
        <w:rPr>
          <w:sz w:val="22"/>
          <w:szCs w:val="22"/>
          <w:u w:val="single"/>
          <w:lang w:eastAsia="en-US"/>
        </w:rPr>
        <w:t>Prihodki</w:t>
      </w:r>
    </w:p>
    <w:p w14:paraId="64084FAA" w14:textId="40C6129B" w:rsidR="00B2017B" w:rsidRPr="007E558D" w:rsidRDefault="00510FE5" w:rsidP="007613FE">
      <w:pPr>
        <w:pStyle w:val="1"/>
        <w:spacing w:before="0"/>
        <w:rPr>
          <w:sz w:val="22"/>
          <w:szCs w:val="22"/>
          <w:lang w:eastAsia="en-US"/>
        </w:rPr>
      </w:pPr>
      <w:r w:rsidRPr="007E558D">
        <w:rPr>
          <w:sz w:val="22"/>
          <w:szCs w:val="22"/>
          <w:lang w:eastAsia="en-US"/>
        </w:rPr>
        <w:t>Sku</w:t>
      </w:r>
      <w:r w:rsidR="007773BD" w:rsidRPr="007E558D">
        <w:rPr>
          <w:sz w:val="22"/>
          <w:szCs w:val="22"/>
          <w:lang w:eastAsia="en-US"/>
        </w:rPr>
        <w:t>pni</w:t>
      </w:r>
      <w:r w:rsidRPr="007E558D">
        <w:rPr>
          <w:sz w:val="22"/>
          <w:szCs w:val="22"/>
          <w:lang w:eastAsia="en-US"/>
        </w:rPr>
        <w:t xml:space="preserve"> prihodki od prodaje živil in pijač (C 10 in C 11) so v letu 2019 znašali 2,315 </w:t>
      </w:r>
      <w:r w:rsidR="00D53725" w:rsidRPr="007E558D">
        <w:rPr>
          <w:sz w:val="22"/>
          <w:szCs w:val="22"/>
          <w:lang w:eastAsia="en-US"/>
        </w:rPr>
        <w:t>mrd</w:t>
      </w:r>
      <w:r w:rsidRPr="007E558D">
        <w:rPr>
          <w:sz w:val="22"/>
          <w:szCs w:val="22"/>
          <w:lang w:eastAsia="en-US"/>
        </w:rPr>
        <w:t xml:space="preserve">  EUR. Največji delež prihodkov je v letu 2019 prispeva mesnopredelovalna industrija (31,2 %). </w:t>
      </w:r>
      <w:r w:rsidRPr="007E558D" w:rsidDel="00B00A48">
        <w:rPr>
          <w:sz w:val="22"/>
          <w:szCs w:val="22"/>
          <w:lang w:eastAsia="en-US"/>
        </w:rPr>
        <w:t xml:space="preserve">Pekarstvo je z </w:t>
      </w:r>
      <w:r w:rsidRPr="007E558D">
        <w:rPr>
          <w:sz w:val="22"/>
          <w:szCs w:val="22"/>
          <w:lang w:eastAsia="en-US"/>
        </w:rPr>
        <w:t>16,4-odstotnim deležem ostala</w:t>
      </w:r>
      <w:r w:rsidRPr="007E558D" w:rsidDel="00B00A48">
        <w:rPr>
          <w:sz w:val="22"/>
          <w:szCs w:val="22"/>
          <w:lang w:eastAsia="en-US"/>
        </w:rPr>
        <w:t xml:space="preserve"> druga najpomembnejša dejavnost. </w:t>
      </w:r>
      <w:r w:rsidRPr="007E558D">
        <w:rPr>
          <w:sz w:val="22"/>
          <w:szCs w:val="22"/>
          <w:lang w:eastAsia="en-US"/>
        </w:rPr>
        <w:t xml:space="preserve">Mlečnopredelovalna industrija je s 16,1-odstotnim deležem tretja najpomembnejša dejavnost po prihodkih. </w:t>
      </w:r>
    </w:p>
    <w:p w14:paraId="015302DF" w14:textId="77777777" w:rsidR="00F3225E" w:rsidRPr="007E558D" w:rsidRDefault="00F3225E" w:rsidP="007613FE">
      <w:pPr>
        <w:pStyle w:val="1"/>
        <w:spacing w:before="0"/>
        <w:rPr>
          <w:sz w:val="22"/>
          <w:szCs w:val="22"/>
          <w:u w:val="single"/>
          <w:lang w:eastAsia="en-US"/>
        </w:rPr>
      </w:pPr>
    </w:p>
    <w:p w14:paraId="70DC9671" w14:textId="12A5E51B" w:rsidR="00510FE5" w:rsidRPr="007E558D" w:rsidRDefault="00510FE5" w:rsidP="007613FE">
      <w:pPr>
        <w:pStyle w:val="1"/>
        <w:spacing w:before="0"/>
        <w:rPr>
          <w:sz w:val="22"/>
          <w:szCs w:val="22"/>
          <w:u w:val="single"/>
          <w:lang w:eastAsia="en-US"/>
        </w:rPr>
      </w:pPr>
      <w:r w:rsidRPr="007E558D">
        <w:rPr>
          <w:sz w:val="22"/>
          <w:szCs w:val="22"/>
          <w:u w:val="single"/>
          <w:lang w:eastAsia="en-US"/>
        </w:rPr>
        <w:t>Dobiček</w:t>
      </w:r>
    </w:p>
    <w:p w14:paraId="47BC4FCE" w14:textId="0376AB16" w:rsidR="00510FE5" w:rsidRPr="007E558D" w:rsidRDefault="00510FE5" w:rsidP="007613FE">
      <w:pPr>
        <w:pStyle w:val="1"/>
        <w:spacing w:before="0"/>
        <w:rPr>
          <w:sz w:val="22"/>
          <w:szCs w:val="22"/>
          <w:lang w:eastAsia="en-US"/>
        </w:rPr>
      </w:pPr>
      <w:r w:rsidRPr="007E558D">
        <w:rPr>
          <w:sz w:val="22"/>
          <w:szCs w:val="22"/>
          <w:lang w:eastAsia="en-US"/>
        </w:rPr>
        <w:t>Po deležu v izkazanem čistem dobičku, ki je v letu 2019 pri proizvodnji živil in pijač znašal 111 mio EUR, je najdonosnejša dejavnost proizvodnja drugih prehrambenih izdelkov, ki je ustvarila 23 % celotne vrednosti dobička, sledita pivovarstvo (18,7 %) in predelava mesa (15,2 %).</w:t>
      </w:r>
      <w:r w:rsidR="005A1BE2" w:rsidRPr="007E558D">
        <w:rPr>
          <w:sz w:val="22"/>
          <w:szCs w:val="22"/>
          <w:lang w:eastAsia="en-US"/>
        </w:rPr>
        <w:t xml:space="preserve"> </w:t>
      </w:r>
      <w:r w:rsidRPr="007E558D">
        <w:rPr>
          <w:sz w:val="22"/>
          <w:szCs w:val="22"/>
          <w:lang w:eastAsia="en-US"/>
        </w:rPr>
        <w:t>Neto čisti dobiček na zaposlenega je v letu 2019 znašal 8.799 EUR (leta 2018: 7.108 EUR), kar je realno medletno povečanje za 22 %. Poleg kazalnika neto dobička se je izboljšal tudi kazalnik donosnosti prodaje (ROS), ki je prvič v analiziranem obdobju presegel 5 %. Izkazani neto čisti dobiček je v letu 2019 znašal 5,6 % prihodkov od prodaje (leta 2018: 4,6 %). Tudi donosnost sredstev (ROA) je bila v letu 2019 za dobro petino višja kot v predhodnem letu, in sicer je znašala 5,6 % (leta 2018: 4,6 %). Rast obeh kazalnikov dobičkovnosti je povezana z občutno rastjo izkazanega neto dobička v letu 2019.</w:t>
      </w:r>
    </w:p>
    <w:p w14:paraId="7A8E213D" w14:textId="77777777" w:rsidR="00A15A53" w:rsidRPr="007E558D" w:rsidRDefault="00A15A53" w:rsidP="007613FE">
      <w:pPr>
        <w:pStyle w:val="1"/>
        <w:spacing w:before="0"/>
        <w:rPr>
          <w:sz w:val="22"/>
          <w:szCs w:val="22"/>
          <w:lang w:eastAsia="en-US"/>
        </w:rPr>
      </w:pPr>
    </w:p>
    <w:p w14:paraId="1E4E7DE3" w14:textId="14B86C17" w:rsidR="00510FE5" w:rsidRPr="007E558D" w:rsidRDefault="00510FE5" w:rsidP="007613FE">
      <w:pPr>
        <w:pStyle w:val="1"/>
        <w:spacing w:before="0"/>
        <w:rPr>
          <w:sz w:val="22"/>
          <w:szCs w:val="22"/>
          <w:lang w:eastAsia="en-US"/>
        </w:rPr>
      </w:pPr>
      <w:r w:rsidRPr="007E558D">
        <w:rPr>
          <w:sz w:val="22"/>
          <w:szCs w:val="22"/>
          <w:lang w:eastAsia="en-US"/>
        </w:rPr>
        <w:t>Dobiček v dejavnosti predelava in konzerviranja sadja in zelenjave je v letu 2019 znašal 11,2 %. V letu 2019 so dejavnosti predelave in konzerviranja rib, pekarstvo, proizvodnja mesnih izdelkov ter proizvodnja brezalkoholnih pijač ustvarili 80 % izkazane čiste izgube.</w:t>
      </w:r>
    </w:p>
    <w:p w14:paraId="02175E9D" w14:textId="77777777" w:rsidR="0099244F" w:rsidRDefault="0099244F" w:rsidP="007613FE">
      <w:pPr>
        <w:pStyle w:val="1"/>
        <w:spacing w:before="0"/>
        <w:rPr>
          <w:lang w:eastAsia="en-US"/>
        </w:rPr>
      </w:pPr>
    </w:p>
    <w:p w14:paraId="7E3A5259" w14:textId="57B9E3B2" w:rsidR="005A1BE2" w:rsidRDefault="00701BC9" w:rsidP="007E558D">
      <w:pPr>
        <w:pStyle w:val="SCSlika0"/>
      </w:pPr>
      <w:bookmarkStart w:id="3245" w:name="_Toc89851136"/>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1B3E9B">
        <w:rPr>
          <w:noProof/>
          <w:szCs w:val="16"/>
        </w:rPr>
        <w:t>94</w:t>
      </w:r>
      <w:r w:rsidRPr="009F3567">
        <w:rPr>
          <w:szCs w:val="16"/>
        </w:rPr>
        <w:fldChar w:fldCharType="end"/>
      </w:r>
      <w:r w:rsidRPr="009F3567">
        <w:rPr>
          <w:szCs w:val="16"/>
        </w:rPr>
        <w:t>:</w:t>
      </w:r>
      <w:r w:rsidRPr="009F3567">
        <w:rPr>
          <w:i/>
        </w:rPr>
        <w:t xml:space="preserve"> </w:t>
      </w:r>
      <w:r w:rsidR="005A1BE2" w:rsidRPr="007C08F4">
        <w:t xml:space="preserve">Neto dobiček/izguba </w:t>
      </w:r>
      <w:r w:rsidR="0099244F">
        <w:t>ŽPI</w:t>
      </w:r>
      <w:r w:rsidR="005A1BE2" w:rsidRPr="007C08F4">
        <w:t xml:space="preserve"> po dejavnostih (mio EUR); 2018 in 2019</w:t>
      </w:r>
      <w:bookmarkEnd w:id="3245"/>
    </w:p>
    <w:p w14:paraId="1E762123" w14:textId="77777777" w:rsidR="005A1BE2" w:rsidRDefault="005A1BE2" w:rsidP="005A1BE2">
      <w:pPr>
        <w:pStyle w:val="SCslika"/>
        <w:rPr>
          <w:szCs w:val="20"/>
          <w:lang w:eastAsia="en-GB"/>
        </w:rPr>
      </w:pPr>
      <w:r>
        <w:drawing>
          <wp:inline distT="0" distB="0" distL="0" distR="0" wp14:anchorId="5C066C6F" wp14:editId="7D7AD1C9">
            <wp:extent cx="5400000" cy="228969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000" cy="2289698"/>
                    </a:xfrm>
                    <a:prstGeom prst="rect">
                      <a:avLst/>
                    </a:prstGeom>
                    <a:noFill/>
                  </pic:spPr>
                </pic:pic>
              </a:graphicData>
            </a:graphic>
          </wp:inline>
        </w:drawing>
      </w:r>
    </w:p>
    <w:p w14:paraId="34E1F87C" w14:textId="0CB6DC7A" w:rsidR="005A1BE2" w:rsidRPr="001261D8" w:rsidRDefault="005A1BE2" w:rsidP="005A1BE2">
      <w:pPr>
        <w:pStyle w:val="SCslika"/>
        <w:rPr>
          <w:sz w:val="16"/>
          <w:szCs w:val="16"/>
          <w:lang w:eastAsia="en-GB"/>
        </w:rPr>
      </w:pPr>
      <w:r w:rsidRPr="001261D8">
        <w:rPr>
          <w:sz w:val="16"/>
          <w:szCs w:val="16"/>
        </w:rPr>
        <w:t xml:space="preserve">Vir: </w:t>
      </w:r>
      <w:r w:rsidRPr="001261D8">
        <w:rPr>
          <w:rStyle w:val="Sprotnaopomba-sklic"/>
          <w:sz w:val="16"/>
          <w:szCs w:val="16"/>
          <w:vertAlign w:val="baseline"/>
        </w:rPr>
        <w:t xml:space="preserve">Poročilo o stanju kmetijstva, živilstva, gozdarstva in ribištva v letu 2019. </w:t>
      </w:r>
    </w:p>
    <w:p w14:paraId="68D1EB90" w14:textId="75A89CC6" w:rsidR="00510FE5" w:rsidRPr="00EF1BAA" w:rsidRDefault="00510FE5" w:rsidP="00451314">
      <w:pPr>
        <w:pStyle w:val="1"/>
        <w:rPr>
          <w:sz w:val="22"/>
          <w:u w:val="single"/>
          <w:lang w:eastAsia="en-US"/>
        </w:rPr>
      </w:pPr>
      <w:r w:rsidRPr="00EF1BAA">
        <w:rPr>
          <w:sz w:val="22"/>
          <w:u w:val="single"/>
          <w:lang w:eastAsia="en-US"/>
        </w:rPr>
        <w:t>Produktivnost</w:t>
      </w:r>
    </w:p>
    <w:p w14:paraId="312A6C78" w14:textId="1B7C91D1" w:rsidR="00510FE5" w:rsidRPr="00EF1BAA" w:rsidRDefault="00510FE5" w:rsidP="007613FE">
      <w:pPr>
        <w:pStyle w:val="1"/>
        <w:spacing w:before="0"/>
        <w:rPr>
          <w:sz w:val="22"/>
          <w:lang w:eastAsia="en-US"/>
        </w:rPr>
      </w:pPr>
      <w:r w:rsidRPr="00EF1BAA">
        <w:rPr>
          <w:sz w:val="22"/>
          <w:lang w:eastAsia="en-US"/>
        </w:rPr>
        <w:t>Produktivnost, merjena s prihodki od prodaje na zaposlenega, je bila v letu 2019 realno komaj opazno višja kot v predhodnem letu (+0,3 %). V povprečju je zaposleni v živilskopredelovalni dejavnosti v letu 2019 ustvaril 158 tisoč EUR prihodkov. Produktivnost v živilskopredelovalni industriji sicer precej niha. Tako je v letu 2018 padla za okoli 3 % v primerjavi s predhodnim letom. V letu 2019 so najvišjo produktivnost dosegli pri proizvodnji rastlinskih olj in maščob (306,1 tisoč EUR), sledita proizvodnje krmil za živali  (295,7</w:t>
      </w:r>
      <w:r w:rsidR="0099244F" w:rsidRPr="00EF1BAA">
        <w:rPr>
          <w:sz w:val="22"/>
          <w:lang w:eastAsia="en-US"/>
        </w:rPr>
        <w:t xml:space="preserve"> </w:t>
      </w:r>
      <w:r w:rsidRPr="00EF1BAA">
        <w:rPr>
          <w:sz w:val="22"/>
          <w:lang w:eastAsia="en-US"/>
        </w:rPr>
        <w:t>tisoč</w:t>
      </w:r>
      <w:r w:rsidR="0099244F" w:rsidRPr="00EF1BAA">
        <w:rPr>
          <w:sz w:val="22"/>
          <w:lang w:eastAsia="en-US"/>
        </w:rPr>
        <w:t xml:space="preserve"> </w:t>
      </w:r>
      <w:r w:rsidRPr="00EF1BAA">
        <w:rPr>
          <w:sz w:val="22"/>
          <w:lang w:eastAsia="en-US"/>
        </w:rPr>
        <w:t>EUR) in pivovarstvo (246,7 tisoč EUR). Te tri dejavnosti se že nekaj let uvrščajo na vrh po kazalniku produktivnosti, kar je mogoče pripisati predvsem tehnološkim značilnostim proizvodnih procesov (avtomatizirana proizvodnja in nizka delovna intenzivnost).</w:t>
      </w:r>
    </w:p>
    <w:p w14:paraId="14F2CD01" w14:textId="77777777" w:rsidR="00F3225E" w:rsidRPr="0047652B" w:rsidRDefault="00F3225E" w:rsidP="007613FE">
      <w:pPr>
        <w:pStyle w:val="1"/>
        <w:spacing w:before="0"/>
        <w:rPr>
          <w:lang w:eastAsia="en-US"/>
        </w:rPr>
      </w:pPr>
    </w:p>
    <w:p w14:paraId="5A2DBCEC" w14:textId="08670410" w:rsidR="00510FE5" w:rsidRPr="00EF1BAA" w:rsidRDefault="00510FE5" w:rsidP="007613FE">
      <w:pPr>
        <w:pStyle w:val="1"/>
        <w:spacing w:before="0"/>
        <w:rPr>
          <w:sz w:val="22"/>
          <w:u w:val="single"/>
          <w:lang w:eastAsia="en-US"/>
        </w:rPr>
      </w:pPr>
      <w:r w:rsidRPr="00EF1BAA">
        <w:rPr>
          <w:sz w:val="22"/>
          <w:u w:val="single"/>
          <w:lang w:eastAsia="en-US"/>
        </w:rPr>
        <w:t>Dodana vrednost</w:t>
      </w:r>
    </w:p>
    <w:p w14:paraId="7D25E64C" w14:textId="4E8E2A11" w:rsidR="00510FE5" w:rsidRPr="00EF1BAA" w:rsidRDefault="00510FE5" w:rsidP="007613FE">
      <w:pPr>
        <w:pStyle w:val="1"/>
        <w:spacing w:before="0"/>
        <w:rPr>
          <w:sz w:val="22"/>
          <w:lang w:eastAsia="en-US"/>
        </w:rPr>
      </w:pPr>
      <w:r w:rsidRPr="00EF1BAA">
        <w:rPr>
          <w:sz w:val="22"/>
          <w:lang w:eastAsia="en-US"/>
        </w:rPr>
        <w:t>Dodana vrednosti v živilskopredelovalni panogi je v letu 2019 beležila le manjše spremembe med vodilnimi dejavnostmi (mesnopredlovalna industrija, pekarska dejavnost, proizvodnja drugih prehrambenih izdelkov, predelava mleka in pivovarstvo). V letu 2019 je  paznejša rast zaznana v mesnopredelovalni dejavnosti (okoli 25 %), S tem je mesnopredelovalna industrija utrdila vodilni položaj po deležu, ki ga je v preteklosti imela pekarska dejavnost; le-ta je v letu 2019 prispevala 22 % dodane vrednosti (leta 2018: 23 %). Tretja najpomembnejša dejavnost po prispevku k dodani vrednosti je proizvodnja drugih živilskih izdelkov (13 %). Z okoli 12-odstotnim deležem sledita dejavnosti predelava mleka in pivovarstvo.</w:t>
      </w:r>
    </w:p>
    <w:p w14:paraId="3EF09FA0" w14:textId="77777777" w:rsidR="00F3225E" w:rsidRPr="00EF1BAA" w:rsidRDefault="00F3225E" w:rsidP="007613FE">
      <w:pPr>
        <w:pStyle w:val="1"/>
        <w:spacing w:before="0"/>
        <w:rPr>
          <w:sz w:val="22"/>
          <w:lang w:eastAsia="en-US"/>
        </w:rPr>
      </w:pPr>
    </w:p>
    <w:p w14:paraId="5207834E" w14:textId="77777777" w:rsidR="00510FE5" w:rsidRPr="00EF1BAA" w:rsidRDefault="00510FE5" w:rsidP="007613FE">
      <w:pPr>
        <w:pStyle w:val="1"/>
        <w:spacing w:before="0"/>
        <w:rPr>
          <w:sz w:val="22"/>
          <w:u w:val="single"/>
          <w:lang w:eastAsia="en-US"/>
        </w:rPr>
      </w:pPr>
      <w:r w:rsidRPr="00EF1BAA">
        <w:rPr>
          <w:sz w:val="22"/>
          <w:u w:val="single"/>
          <w:lang w:eastAsia="en-US"/>
        </w:rPr>
        <w:t>Dodana vrednost na zaposlenega</w:t>
      </w:r>
    </w:p>
    <w:p w14:paraId="4B6686DE" w14:textId="3BB8E5A0" w:rsidR="00510FE5" w:rsidRDefault="00510FE5" w:rsidP="007613FE">
      <w:pPr>
        <w:pStyle w:val="1"/>
        <w:spacing w:before="0"/>
        <w:rPr>
          <w:sz w:val="22"/>
          <w:lang w:eastAsia="en-US"/>
        </w:rPr>
      </w:pPr>
      <w:r w:rsidRPr="00EF1BAA">
        <w:rPr>
          <w:sz w:val="22"/>
          <w:lang w:eastAsia="en-US"/>
        </w:rPr>
        <w:t>Zaposleni je v agregatu živilskopredelovalne industrije, v povprečju, v letu 2019 ustvaril 41 tisoč EUR dodane vrednosti, kar je realno za 5 % več kot v letu prej. V letu 2019 je na prvem mestu po dodani vrednosti na zaposlenega pivovarstvo s 106 tisoč EUR (+2% glede na 2018). V proizvodnji drugih prehrambnih izdelkov so ustvarili 58 tisoč EUR dodane vrednosti na zaposlenega (realno +0,4 % glede na 2018). Sledi predelava sadja in vrtnin z 54 tisoč EUR (-1% glede n aleto 2018). Pri predelavi mleka je dodana vrednsot na zaposlenega dosegla 47 tisoč EUR dodane vrednosti na zaposlenega (realno +6 % glede na leto 2018). Med dejavnosti z najnižjo dodano vrednostjo na zaposlenega se praviloma zaradi strukturnih značilnosti uvrščata dejavnosti predelava mesa in pekarstvo. V mesnopredelovalni industriji sicer že drugo leto ugotavljamo opaznejšo rast kazalnika (realno +5 %), tako da je v povprečju zaposleni ustvaril 38 tisoč EUR dodane vrednosti. Prav tako je za slabih 5 % realno v letu 2019 zrasla dodana vrednost na zaposlenega v pekarstvu, tako da je kazalnik dosegel 29 tisoč EUR.</w:t>
      </w:r>
    </w:p>
    <w:p w14:paraId="3F4E04E4" w14:textId="77777777" w:rsidR="00EF1BAA" w:rsidRPr="00EF1BAA" w:rsidRDefault="00EF1BAA" w:rsidP="007613FE">
      <w:pPr>
        <w:pStyle w:val="1"/>
        <w:spacing w:before="0"/>
        <w:rPr>
          <w:sz w:val="22"/>
          <w:lang w:eastAsia="en-US"/>
        </w:rPr>
      </w:pPr>
    </w:p>
    <w:p w14:paraId="4D2BBCD5" w14:textId="383902E2" w:rsidR="002B7243" w:rsidRDefault="002B7243" w:rsidP="007613FE">
      <w:pPr>
        <w:spacing w:before="0" w:line="260" w:lineRule="atLeast"/>
        <w:rPr>
          <w:sz w:val="20"/>
          <w:szCs w:val="20"/>
          <w:lang w:eastAsia="en-US"/>
        </w:rPr>
      </w:pPr>
    </w:p>
    <w:p w14:paraId="08F15E9C" w14:textId="64184F43" w:rsidR="002B7243" w:rsidRPr="00451314" w:rsidRDefault="002B7243" w:rsidP="00EF1BAA">
      <w:pPr>
        <w:pStyle w:val="Naslov2"/>
      </w:pPr>
      <w:bookmarkStart w:id="3246" w:name="_Toc90462296"/>
      <w:r w:rsidRPr="009F3567">
        <w:t xml:space="preserve">Izvozna usmerjenost </w:t>
      </w:r>
      <w:r w:rsidR="00307A17">
        <w:t>živilskopredelovalne industrije</w:t>
      </w:r>
      <w:bookmarkEnd w:id="3246"/>
      <w:r w:rsidR="00307A17" w:rsidRPr="009F3567" w:rsidDel="00072786">
        <w:t xml:space="preserve"> </w:t>
      </w:r>
    </w:p>
    <w:p w14:paraId="2B2B7FB2" w14:textId="0F6AB17E" w:rsidR="002B7243" w:rsidRPr="0047652B" w:rsidRDefault="002B7243" w:rsidP="00EF1BAA">
      <w:pPr>
        <w:rPr>
          <w:lang w:eastAsia="en-US"/>
        </w:rPr>
      </w:pPr>
      <w:r w:rsidRPr="0047652B">
        <w:rPr>
          <w:lang w:eastAsia="en-US"/>
        </w:rPr>
        <w:t xml:space="preserve">V povprečju so živilskopredelovalna podjetja izboljšala izvozno usmerjenost v obdobju </w:t>
      </w:r>
      <w:r w:rsidR="00053207">
        <w:rPr>
          <w:lang w:eastAsia="en-US"/>
        </w:rPr>
        <w:t>2014-2019</w:t>
      </w:r>
      <w:r w:rsidRPr="0047652B">
        <w:rPr>
          <w:lang w:eastAsia="en-US"/>
        </w:rPr>
        <w:t xml:space="preserve"> za </w:t>
      </w:r>
      <w:r w:rsidR="00053207">
        <w:rPr>
          <w:lang w:eastAsia="en-US"/>
        </w:rPr>
        <w:t>6,4</w:t>
      </w:r>
      <w:r w:rsidRPr="0047652B">
        <w:rPr>
          <w:lang w:eastAsia="en-US"/>
        </w:rPr>
        <w:t xml:space="preserve"> odstotnih točk (</w:t>
      </w:r>
      <w:r w:rsidR="00053207">
        <w:rPr>
          <w:lang w:eastAsia="en-US"/>
        </w:rPr>
        <w:t>2014</w:t>
      </w:r>
      <w:r w:rsidRPr="0047652B">
        <w:rPr>
          <w:lang w:eastAsia="en-US"/>
        </w:rPr>
        <w:t>: 22</w:t>
      </w:r>
      <w:r w:rsidR="00053207">
        <w:rPr>
          <w:lang w:eastAsia="en-US"/>
        </w:rPr>
        <w:t>,2</w:t>
      </w:r>
      <w:r w:rsidRPr="0047652B">
        <w:rPr>
          <w:lang w:eastAsia="en-US"/>
        </w:rPr>
        <w:t xml:space="preserve"> %, </w:t>
      </w:r>
      <w:r w:rsidR="00053207">
        <w:rPr>
          <w:lang w:eastAsia="en-US"/>
        </w:rPr>
        <w:t>2019</w:t>
      </w:r>
      <w:r w:rsidRPr="0047652B">
        <w:rPr>
          <w:lang w:eastAsia="en-US"/>
        </w:rPr>
        <w:t xml:space="preserve">: </w:t>
      </w:r>
      <w:r w:rsidR="00053207">
        <w:rPr>
          <w:lang w:eastAsia="en-US"/>
        </w:rPr>
        <w:t>29,6</w:t>
      </w:r>
      <w:r w:rsidRPr="0047652B">
        <w:rPr>
          <w:lang w:eastAsia="en-US"/>
        </w:rPr>
        <w:t xml:space="preserve"> %). Kljub vsemu je izvozna usmerjenost, ki se meri z deležem prihodkov od izvoza v celotnih prihodkih od prodaje, še vedno pod povprečjem slovenskih predelovalnih podjetij. Predelovalne dejavnosti (C) so namreč leta </w:t>
      </w:r>
      <w:r w:rsidR="00053207">
        <w:rPr>
          <w:lang w:eastAsia="en-US"/>
        </w:rPr>
        <w:t>2019</w:t>
      </w:r>
      <w:r w:rsidRPr="0047652B">
        <w:rPr>
          <w:lang w:eastAsia="en-US"/>
        </w:rPr>
        <w:t xml:space="preserve"> z izvozom ustvarile kar </w:t>
      </w:r>
      <w:r w:rsidR="00053207">
        <w:rPr>
          <w:lang w:eastAsia="en-US"/>
        </w:rPr>
        <w:t>72</w:t>
      </w:r>
      <w:r w:rsidRPr="0047652B">
        <w:rPr>
          <w:lang w:eastAsia="en-US"/>
        </w:rPr>
        <w:t xml:space="preserve"> % vseh prihodkov od izvoza. </w:t>
      </w:r>
      <w:r w:rsidR="00053207" w:rsidRPr="00053207">
        <w:rPr>
          <w:lang w:eastAsia="en-US"/>
        </w:rPr>
        <w:t xml:space="preserve">To kaže na pomembne strukturne spremembe, ki lahko nakazujejo zaostrene pogoje na slovenskem trgu z živili, zato so se podjetja strateško preusmerila na tuje trge. </w:t>
      </w:r>
    </w:p>
    <w:p w14:paraId="092C8428" w14:textId="2C027504" w:rsidR="00841B76" w:rsidRDefault="00841B76" w:rsidP="00EF1BAA">
      <w:pPr>
        <w:rPr>
          <w:lang w:eastAsia="en-US"/>
        </w:rPr>
      </w:pPr>
      <w:r w:rsidRPr="00CF63DC">
        <w:rPr>
          <w:lang w:eastAsia="en-US"/>
        </w:rPr>
        <w:t>Po deležu prihodko</w:t>
      </w:r>
      <w:r>
        <w:rPr>
          <w:lang w:eastAsia="en-US"/>
        </w:rPr>
        <w:t>v od prodaje na tujih trgih se</w:t>
      </w:r>
      <w:r w:rsidRPr="00CF63DC">
        <w:rPr>
          <w:lang w:eastAsia="en-US"/>
        </w:rPr>
        <w:t xml:space="preserve"> v zadnjih </w:t>
      </w:r>
      <w:r>
        <w:rPr>
          <w:lang w:eastAsia="en-US"/>
        </w:rPr>
        <w:t>letih</w:t>
      </w:r>
      <w:r w:rsidRPr="00CF63DC">
        <w:rPr>
          <w:lang w:eastAsia="en-US"/>
        </w:rPr>
        <w:t xml:space="preserve"> najvišje uvršča proizvodnja drugih prehrambnih izdelkov. </w:t>
      </w:r>
      <w:r>
        <w:rPr>
          <w:lang w:eastAsia="en-US"/>
        </w:rPr>
        <w:t xml:space="preserve">V letu 2019  je delež te panoge v celotnem izvozu ŽPI znašal 24,4 </w:t>
      </w:r>
      <w:r w:rsidRPr="00CF63DC">
        <w:rPr>
          <w:lang w:eastAsia="en-US"/>
        </w:rPr>
        <w:t>%.</w:t>
      </w:r>
      <w:r>
        <w:rPr>
          <w:lang w:eastAsia="en-US"/>
        </w:rPr>
        <w:t xml:space="preserve"> Druga in tretja izvozna dejavnost sta bili mesnopredelovalna industrija (</w:t>
      </w:r>
      <w:r w:rsidRPr="00CF63DC">
        <w:rPr>
          <w:lang w:eastAsia="en-US"/>
        </w:rPr>
        <w:t>2</w:t>
      </w:r>
      <w:r>
        <w:rPr>
          <w:lang w:eastAsia="en-US"/>
        </w:rPr>
        <w:t>4,6 %) in predelava mleka (23 %).</w:t>
      </w:r>
    </w:p>
    <w:p w14:paraId="16444E54" w14:textId="611041B5" w:rsidR="002B7243" w:rsidRPr="0047652B" w:rsidRDefault="002B7243" w:rsidP="00EF1BAA">
      <w:pPr>
        <w:rPr>
          <w:lang w:eastAsia="en-US"/>
        </w:rPr>
      </w:pPr>
      <w:r w:rsidRPr="0047652B">
        <w:rPr>
          <w:lang w:eastAsia="en-US"/>
        </w:rPr>
        <w:t xml:space="preserve">Enako kot v predhodnih letih je tudi v letu </w:t>
      </w:r>
      <w:r w:rsidR="00841B76">
        <w:rPr>
          <w:lang w:eastAsia="en-US"/>
        </w:rPr>
        <w:t>2019</w:t>
      </w:r>
      <w:r w:rsidRPr="0047652B">
        <w:rPr>
          <w:lang w:eastAsia="en-US"/>
        </w:rPr>
        <w:t xml:space="preserve"> največji delež prihodkov od izvoza v celotnih prihodkih od prodaje </w:t>
      </w:r>
      <w:r w:rsidR="00841B76">
        <w:rPr>
          <w:lang w:eastAsia="en-US"/>
        </w:rPr>
        <w:t xml:space="preserve">v posamezni panogi </w:t>
      </w:r>
      <w:r w:rsidRPr="0047652B">
        <w:rPr>
          <w:lang w:eastAsia="en-US"/>
        </w:rPr>
        <w:t>ustvarila dejavnost proizvodnje drugih prehrambnih izdelkov (</w:t>
      </w:r>
      <w:r w:rsidR="00841B76">
        <w:rPr>
          <w:lang w:eastAsia="en-US"/>
        </w:rPr>
        <w:t>55,3</w:t>
      </w:r>
      <w:r w:rsidRPr="0047652B">
        <w:rPr>
          <w:lang w:eastAsia="en-US"/>
        </w:rPr>
        <w:t xml:space="preserve"> %). </w:t>
      </w:r>
      <w:r w:rsidR="00841B76">
        <w:rPr>
          <w:lang w:eastAsia="en-US"/>
        </w:rPr>
        <w:t>S</w:t>
      </w:r>
      <w:r w:rsidRPr="0047652B">
        <w:rPr>
          <w:lang w:eastAsia="en-US"/>
        </w:rPr>
        <w:t xml:space="preserve">ledita predelava mleka </w:t>
      </w:r>
      <w:r w:rsidR="00841B76">
        <w:rPr>
          <w:lang w:eastAsia="en-US"/>
        </w:rPr>
        <w:t>(42,1</w:t>
      </w:r>
      <w:r w:rsidRPr="0047652B">
        <w:rPr>
          <w:lang w:eastAsia="en-US"/>
        </w:rPr>
        <w:t> % prihodkov</w:t>
      </w:r>
      <w:r w:rsidR="00841B76">
        <w:rPr>
          <w:lang w:eastAsia="en-US"/>
        </w:rPr>
        <w:t>)</w:t>
      </w:r>
      <w:r w:rsidRPr="0047652B">
        <w:rPr>
          <w:lang w:eastAsia="en-US"/>
        </w:rPr>
        <w:t xml:space="preserve"> ter predelava sadja in vrtnin </w:t>
      </w:r>
      <w:r w:rsidR="00841B76">
        <w:rPr>
          <w:lang w:eastAsia="en-US"/>
        </w:rPr>
        <w:t xml:space="preserve">(39,5 % prihodkov). </w:t>
      </w:r>
      <w:r w:rsidRPr="0047652B">
        <w:rPr>
          <w:lang w:eastAsia="en-US"/>
        </w:rPr>
        <w:t xml:space="preserve">Izrazita rast izvozne usmerjenosti je bila ugotovljena v oljarstvu, ki </w:t>
      </w:r>
      <w:r w:rsidR="00841B76" w:rsidRPr="00841B76">
        <w:rPr>
          <w:lang w:eastAsia="en-US"/>
        </w:rPr>
        <w:t xml:space="preserve">je v letu 2019 na tujih trgih ustvarila 40 % svojih prihodkov (v letu 2018 le 26 %). </w:t>
      </w:r>
    </w:p>
    <w:p w14:paraId="4EC60C93" w14:textId="7B95B6D8" w:rsidR="002B7243" w:rsidRPr="0047652B" w:rsidRDefault="002B7243" w:rsidP="00EF1BAA">
      <w:pPr>
        <w:rPr>
          <w:lang w:eastAsia="en-US"/>
        </w:rPr>
      </w:pPr>
      <w:r>
        <w:rPr>
          <w:lang w:eastAsia="en-US"/>
        </w:rPr>
        <w:t>V obdobju</w:t>
      </w:r>
      <w:r w:rsidRPr="0047652B">
        <w:rPr>
          <w:lang w:eastAsia="en-US"/>
        </w:rPr>
        <w:t xml:space="preserve"> </w:t>
      </w:r>
      <w:r w:rsidR="00053207">
        <w:rPr>
          <w:lang w:eastAsia="en-US"/>
        </w:rPr>
        <w:t>2015-2019</w:t>
      </w:r>
      <w:r w:rsidRPr="0047652B">
        <w:rPr>
          <w:lang w:eastAsia="en-US"/>
        </w:rPr>
        <w:t xml:space="preserve"> so se prihodki od prodaje na tujih trgih povečali za</w:t>
      </w:r>
      <w:r w:rsidR="00053207">
        <w:rPr>
          <w:lang w:eastAsia="en-US"/>
        </w:rPr>
        <w:t>36,9</w:t>
      </w:r>
      <w:r w:rsidRPr="0047652B">
        <w:rPr>
          <w:lang w:eastAsia="en-US"/>
        </w:rPr>
        <w:t xml:space="preserve"> %</w:t>
      </w:r>
      <w:r w:rsidR="00053207">
        <w:rPr>
          <w:lang w:eastAsia="en-US"/>
        </w:rPr>
        <w:t xml:space="preserve"> in so v letu 2019 znašali 686,1 mio evrov</w:t>
      </w:r>
      <w:r w:rsidRPr="0047652B">
        <w:rPr>
          <w:lang w:eastAsia="en-US"/>
        </w:rPr>
        <w:t xml:space="preserve">. </w:t>
      </w:r>
    </w:p>
    <w:p w14:paraId="75D5AD99" w14:textId="77777777" w:rsidR="00EB536B" w:rsidRDefault="00EB536B" w:rsidP="007613FE">
      <w:pPr>
        <w:spacing w:before="0" w:line="260" w:lineRule="atLeast"/>
        <w:rPr>
          <w:sz w:val="20"/>
          <w:szCs w:val="20"/>
          <w:lang w:eastAsia="en-US"/>
        </w:rPr>
      </w:pPr>
    </w:p>
    <w:p w14:paraId="46074AF2" w14:textId="61BD3B27" w:rsidR="00F067EF" w:rsidRPr="003C76BE" w:rsidRDefault="006845C5" w:rsidP="00EF1BAA">
      <w:pPr>
        <w:pStyle w:val="Naslov2"/>
      </w:pPr>
      <w:bookmarkStart w:id="3247" w:name="_Toc90462297"/>
      <w:r w:rsidRPr="003C76BE">
        <w:t>Potrebe po financiranju</w:t>
      </w:r>
      <w:r w:rsidR="005B0B0D">
        <w:t xml:space="preserve"> in</w:t>
      </w:r>
      <w:r w:rsidRPr="003C76BE">
        <w:t xml:space="preserve"> f</w:t>
      </w:r>
      <w:r w:rsidR="00F067EF" w:rsidRPr="003C76BE">
        <w:t xml:space="preserve">inančna vrzel v </w:t>
      </w:r>
      <w:r w:rsidR="005D06F0" w:rsidRPr="003C76BE">
        <w:t>ŽPI</w:t>
      </w:r>
      <w:r w:rsidR="00F067EF" w:rsidRPr="003C76BE">
        <w:t xml:space="preserve"> v Sloveniji</w:t>
      </w:r>
      <w:bookmarkEnd w:id="3247"/>
    </w:p>
    <w:p w14:paraId="20D30DB1" w14:textId="77777777" w:rsidR="00F067EF" w:rsidRDefault="00F067EF" w:rsidP="007613FE">
      <w:pPr>
        <w:spacing w:before="0" w:line="260" w:lineRule="atLeast"/>
        <w:rPr>
          <w:sz w:val="20"/>
          <w:szCs w:val="20"/>
        </w:rPr>
      </w:pPr>
    </w:p>
    <w:p w14:paraId="1B716F6C" w14:textId="34ECD36C" w:rsidR="008B0AA8" w:rsidRDefault="008B0AA8" w:rsidP="00B51933">
      <w:r>
        <w:t>Iz raziskave (</w:t>
      </w:r>
      <w:r w:rsidRPr="005B2A49">
        <w:t>fi compass</w:t>
      </w:r>
      <w:r>
        <w:t>, 2020) izhaja, da so se bruto investicije v ŽPI po letu 2015 povečale in dosegle 205 mio evrov v letu 2017. Ta rast je sledila padcu bruto investicij v obodbju 2008–2015 (-59 %)</w:t>
      </w:r>
      <w:r w:rsidRPr="00AE4DFA">
        <w:t xml:space="preserve">, ki je bil posledica gospodarske krize. Naložbe v sektorju </w:t>
      </w:r>
      <w:r>
        <w:t>so bile usmerjene zlasti v</w:t>
      </w:r>
      <w:r w:rsidRPr="00AE4DFA">
        <w:t xml:space="preserve"> posodobitev opreme, strojev in naprav, </w:t>
      </w:r>
      <w:r>
        <w:t>n</w:t>
      </w:r>
      <w:r w:rsidRPr="00AE4DFA">
        <w:t>aložb</w:t>
      </w:r>
      <w:r>
        <w:t>e</w:t>
      </w:r>
      <w:r w:rsidRPr="00AE4DFA">
        <w:t xml:space="preserve"> za ublažitev </w:t>
      </w:r>
      <w:r>
        <w:t>in prilagajanje podnebnim</w:t>
      </w:r>
      <w:r w:rsidRPr="00AE4DFA">
        <w:t xml:space="preserve"> sprememb</w:t>
      </w:r>
      <w:r>
        <w:t>am</w:t>
      </w:r>
      <w:r w:rsidRPr="00AE4DFA">
        <w:t xml:space="preserve"> in </w:t>
      </w:r>
      <w:r>
        <w:t xml:space="preserve">naložbe v </w:t>
      </w:r>
      <w:r w:rsidRPr="00AE4DFA">
        <w:t>povečanje proizvodnih zmogljivosti</w:t>
      </w:r>
      <w:r>
        <w:t>. ter</w:t>
      </w:r>
      <w:r w:rsidRPr="00AE4DFA">
        <w:t xml:space="preserve"> tudi </w:t>
      </w:r>
      <w:r>
        <w:t xml:space="preserve">v </w:t>
      </w:r>
      <w:r w:rsidRPr="00AE4DFA">
        <w:t>razvoj novih izdelkov, namenjen nišnim izdelkom za lokalne potrošnike in vstop</w:t>
      </w:r>
      <w:r>
        <w:t>u</w:t>
      </w:r>
      <w:r w:rsidRPr="00AE4DFA">
        <w:t xml:space="preserve"> na nove geografske trge.</w:t>
      </w:r>
      <w:r>
        <w:t xml:space="preserve"> N</w:t>
      </w:r>
      <w:r w:rsidRPr="00456D23">
        <w:t xml:space="preserve">aložbena podpora iz </w:t>
      </w:r>
      <w:r>
        <w:t>PRP</w:t>
      </w:r>
      <w:r w:rsidRPr="00456D23">
        <w:t xml:space="preserve"> </w:t>
      </w:r>
      <w:r>
        <w:t xml:space="preserve">2014–2020 je </w:t>
      </w:r>
      <w:r w:rsidRPr="00456D23">
        <w:t xml:space="preserve">pozitivno vplivala na </w:t>
      </w:r>
      <w:r>
        <w:t xml:space="preserve">investicijske </w:t>
      </w:r>
      <w:r w:rsidRPr="00456D23">
        <w:t xml:space="preserve">odločitve mnogih </w:t>
      </w:r>
      <w:r>
        <w:t>živilskopredelovalnih</w:t>
      </w:r>
      <w:r w:rsidRPr="00456D23">
        <w:t xml:space="preserve"> podjetij, zlasti ma</w:t>
      </w:r>
      <w:r>
        <w:t>jhn</w:t>
      </w:r>
      <w:r w:rsidRPr="00456D23">
        <w:t>ih</w:t>
      </w:r>
      <w:r>
        <w:t>.</w:t>
      </w:r>
    </w:p>
    <w:p w14:paraId="5AB0F33A" w14:textId="77777777" w:rsidR="008B0AA8" w:rsidRDefault="008B0AA8" w:rsidP="00EF1BAA">
      <w:r>
        <w:t>Ž</w:t>
      </w:r>
      <w:r w:rsidRPr="00971B5C">
        <w:t>ivilsk</w:t>
      </w:r>
      <w:r>
        <w:t>opredelovalna podjetja večinoma zaprošajo</w:t>
      </w:r>
      <w:r w:rsidRPr="00971B5C">
        <w:t xml:space="preserve"> za kratkoročna posojila</w:t>
      </w:r>
      <w:r>
        <w:t>, tudi za finciranje naložb, kar</w:t>
      </w:r>
      <w:r w:rsidRPr="00971B5C">
        <w:t xml:space="preserve"> kaže</w:t>
      </w:r>
      <w:r>
        <w:t xml:space="preserve"> na težave teh</w:t>
      </w:r>
      <w:r w:rsidRPr="00971B5C">
        <w:t xml:space="preserve"> pri dostopu do posojil z daljšo ročnostjo</w:t>
      </w:r>
      <w:r>
        <w:t xml:space="preserve"> (</w:t>
      </w:r>
      <w:r w:rsidRPr="00035252">
        <w:rPr>
          <w:i/>
        </w:rPr>
        <w:t>fi compass</w:t>
      </w:r>
      <w:r>
        <w:t>, 2020)</w:t>
      </w:r>
      <w:r w:rsidRPr="00971B5C">
        <w:t>.</w:t>
      </w:r>
    </w:p>
    <w:p w14:paraId="516FE012" w14:textId="77777777" w:rsidR="008B0AA8" w:rsidRPr="00456D23" w:rsidRDefault="008B0AA8" w:rsidP="007613FE">
      <w:pPr>
        <w:spacing w:before="0" w:line="260" w:lineRule="atLeast"/>
        <w:rPr>
          <w:sz w:val="20"/>
          <w:szCs w:val="20"/>
        </w:rPr>
      </w:pPr>
    </w:p>
    <w:p w14:paraId="4BF3F0E0" w14:textId="62E4B6A6" w:rsidR="008B0AA8" w:rsidRDefault="008B0AA8" w:rsidP="00EF1BAA">
      <w:r w:rsidRPr="00551D9B">
        <w:rPr>
          <w:b/>
        </w:rPr>
        <w:t xml:space="preserve">Finančna vrzel v živilskopredelovalnem sektorju je ocenjena na 127,4 </w:t>
      </w:r>
      <w:r w:rsidR="00D53725">
        <w:rPr>
          <w:b/>
        </w:rPr>
        <w:t>mio</w:t>
      </w:r>
      <w:r w:rsidRPr="00551D9B">
        <w:rPr>
          <w:b/>
        </w:rPr>
        <w:t xml:space="preserve"> EUR</w:t>
      </w:r>
      <w:r w:rsidRPr="00456D23">
        <w:t xml:space="preserve">. Majhna podjetja (&lt;50 zaposlenih) imajo največ težav pri dostopu do finančnih sredstev, zlasti </w:t>
      </w:r>
      <w:r>
        <w:t>do</w:t>
      </w:r>
      <w:r w:rsidRPr="00456D23">
        <w:t xml:space="preserve"> dolgoročnih posojil</w:t>
      </w:r>
      <w:r>
        <w:t>. Zanje znaša ocenjena finančna vrzel 110,9 mio EUR</w:t>
      </w:r>
      <w:r w:rsidRPr="00456D23">
        <w:t xml:space="preserve">. </w:t>
      </w:r>
      <w:r>
        <w:t xml:space="preserve">Med žvilsko predelovalnimi podjetji, ki so zaprosila za posojila, je bilo zavrnejnih 11 % vlog, hkrati pa </w:t>
      </w:r>
      <w:r w:rsidRPr="00456D23">
        <w:t>10</w:t>
      </w:r>
      <w:r>
        <w:t xml:space="preserve"> </w:t>
      </w:r>
      <w:r w:rsidRPr="00456D23">
        <w:t xml:space="preserve">% </w:t>
      </w:r>
      <w:r>
        <w:t>živilskopredelovalnih</w:t>
      </w:r>
      <w:r w:rsidRPr="00456D23">
        <w:t xml:space="preserve"> </w:t>
      </w:r>
      <w:r>
        <w:t>podjetij ne zaprosijo banke za posojilo</w:t>
      </w:r>
      <w:r w:rsidRPr="00456D23">
        <w:t xml:space="preserve"> zaradi </w:t>
      </w:r>
      <w:r>
        <w:t>bojazni</w:t>
      </w:r>
      <w:r w:rsidRPr="00456D23">
        <w:t xml:space="preserve"> pred zavrnitvijo.</w:t>
      </w:r>
      <w:r>
        <w:t xml:space="preserve"> (</w:t>
      </w:r>
      <w:r w:rsidRPr="00035252">
        <w:rPr>
          <w:i/>
        </w:rPr>
        <w:t>fi compass</w:t>
      </w:r>
      <w:r>
        <w:t>, 2020)</w:t>
      </w:r>
    </w:p>
    <w:p w14:paraId="27BC937A" w14:textId="5E99705A" w:rsidR="008B0AA8" w:rsidRDefault="008B0AA8" w:rsidP="00EF1BAA">
      <w:r>
        <w:t>Slabša poslovna uspešnost</w:t>
      </w:r>
      <w:r w:rsidRPr="00456D23">
        <w:t xml:space="preserve"> številnih živilsk</w:t>
      </w:r>
      <w:r>
        <w:t>opredelovalnih</w:t>
      </w:r>
      <w:r w:rsidRPr="00456D23">
        <w:t xml:space="preserve"> podjetij sproža vprašanja o</w:t>
      </w:r>
      <w:r>
        <w:t xml:space="preserve"> zmožnosti odplačevanja posojil ter tveganju, ki ga predstavljajo za banke. </w:t>
      </w:r>
      <w:r w:rsidRPr="00456D23">
        <w:t xml:space="preserve">Posledično imajo banke omejen interes za posojanje malim podjetjem v tem sektorju. Drugi dejavniki </w:t>
      </w:r>
      <w:r>
        <w:t xml:space="preserve">finančne </w:t>
      </w:r>
      <w:r w:rsidRPr="00456D23">
        <w:t>vrzeli živilsk</w:t>
      </w:r>
      <w:r>
        <w:t>opredelovalnih</w:t>
      </w:r>
      <w:r w:rsidRPr="00456D23">
        <w:t xml:space="preserve"> podjetij vključujejo pomanjkanje zavarovanja, pomanjkanje kreditne zgodovine</w:t>
      </w:r>
      <w:r>
        <w:t xml:space="preserve"> in</w:t>
      </w:r>
      <w:r w:rsidRPr="00456D23">
        <w:t xml:space="preserve"> obremenjujoč postopek zaprosila za posojilo</w:t>
      </w:r>
      <w:r>
        <w:t>.</w:t>
      </w:r>
      <w:r w:rsidRPr="00456D23">
        <w:t xml:space="preserve"> Poleg tega so pogoji posojila pogosto neugodni in niso prilagojeni posebnostim </w:t>
      </w:r>
      <w:r>
        <w:t>živilskopredelovalnega</w:t>
      </w:r>
      <w:r w:rsidRPr="00456D23">
        <w:t xml:space="preserve"> sektorja. </w:t>
      </w:r>
      <w:r>
        <w:t>(</w:t>
      </w:r>
      <w:r w:rsidRPr="00035252">
        <w:rPr>
          <w:i/>
        </w:rPr>
        <w:t>fi compass</w:t>
      </w:r>
      <w:r>
        <w:t>, 2020)</w:t>
      </w:r>
    </w:p>
    <w:p w14:paraId="08726DAA" w14:textId="77777777" w:rsidR="008B0AA8" w:rsidRDefault="008B0AA8" w:rsidP="007613FE">
      <w:pPr>
        <w:spacing w:before="0" w:line="260" w:lineRule="atLeast"/>
        <w:rPr>
          <w:sz w:val="20"/>
          <w:szCs w:val="20"/>
        </w:rPr>
      </w:pPr>
    </w:p>
    <w:p w14:paraId="28E5CB08" w14:textId="5099D514" w:rsidR="008B0AA8" w:rsidRPr="00FA1850" w:rsidRDefault="008B0AA8" w:rsidP="00EF1BAA">
      <w:pPr>
        <w:pStyle w:val="SCSlika0"/>
      </w:pPr>
      <w:bookmarkStart w:id="3248" w:name="_Toc89851137"/>
      <w:r w:rsidRPr="00FA1850">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95</w:t>
      </w:r>
      <w:r w:rsidR="009F2591">
        <w:rPr>
          <w:noProof/>
        </w:rPr>
        <w:fldChar w:fldCharType="end"/>
      </w:r>
      <w:r w:rsidRPr="00FA1850">
        <w:t xml:space="preserve">: Finančna vrzel v živilskopredelovalnem sektorju glede na produkt, v mio EUR in </w:t>
      </w:r>
      <w:r>
        <w:t>deležu</w:t>
      </w:r>
      <w:r w:rsidRPr="00FA1850">
        <w:t>, Slovenija, 2018</w:t>
      </w:r>
      <w:bookmarkEnd w:id="3248"/>
    </w:p>
    <w:p w14:paraId="12AAB532" w14:textId="77777777" w:rsidR="008B0AA8" w:rsidRDefault="008B0AA8" w:rsidP="008B0AA8">
      <w:pPr>
        <w:spacing w:before="0" w:line="276" w:lineRule="auto"/>
        <w:rPr>
          <w:sz w:val="20"/>
          <w:szCs w:val="20"/>
        </w:rPr>
      </w:pPr>
      <w:r>
        <w:rPr>
          <w:noProof/>
          <w:lang w:eastAsia="sl-SI"/>
        </w:rPr>
        <w:drawing>
          <wp:inline distT="0" distB="0" distL="0" distR="0" wp14:anchorId="2C1107C0" wp14:editId="2463214D">
            <wp:extent cx="5664200" cy="2438400"/>
            <wp:effectExtent l="0" t="0" r="12700" b="0"/>
            <wp:docPr id="1631865538" name="Grafikon 163186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9F5F6FD" w14:textId="77777777" w:rsidR="008B0AA8" w:rsidRPr="00852E36" w:rsidRDefault="008B0AA8" w:rsidP="008B0AA8">
      <w:pPr>
        <w:spacing w:before="0" w:line="276" w:lineRule="auto"/>
        <w:rPr>
          <w:sz w:val="16"/>
          <w:szCs w:val="16"/>
        </w:rPr>
      </w:pPr>
      <w:r w:rsidRPr="00852E36">
        <w:rPr>
          <w:sz w:val="16"/>
          <w:szCs w:val="16"/>
        </w:rPr>
        <w:t xml:space="preserve">Vir: </w:t>
      </w:r>
      <w:r w:rsidRPr="001362F9">
        <w:rPr>
          <w:i/>
          <w:sz w:val="16"/>
          <w:szCs w:val="16"/>
        </w:rPr>
        <w:t>fi compass</w:t>
      </w:r>
      <w:r>
        <w:rPr>
          <w:sz w:val="16"/>
          <w:szCs w:val="16"/>
        </w:rPr>
        <w:t xml:space="preserve"> (2020). </w:t>
      </w:r>
    </w:p>
    <w:p w14:paraId="6A653983" w14:textId="77777777" w:rsidR="008B0AA8" w:rsidRDefault="008B0AA8" w:rsidP="007613FE">
      <w:pPr>
        <w:pStyle w:val="Odstavek1"/>
      </w:pPr>
    </w:p>
    <w:p w14:paraId="3271FA08" w14:textId="5C76BEBA" w:rsidR="00EB536B" w:rsidRPr="00821CEE" w:rsidRDefault="00821CEE" w:rsidP="00EF1BAA">
      <w:pPr>
        <w:pStyle w:val="Naslov2"/>
        <w:rPr>
          <w:u w:val="single"/>
        </w:rPr>
      </w:pPr>
      <w:bookmarkStart w:id="3249" w:name="_Toc90462298"/>
      <w:r w:rsidRPr="008B0AA8">
        <w:t>Investicije</w:t>
      </w:r>
      <w:r w:rsidR="00EB536B" w:rsidRPr="008B0AA8">
        <w:t xml:space="preserve"> v ŽPI </w:t>
      </w:r>
      <w:r w:rsidRPr="008B0AA8">
        <w:t>preko</w:t>
      </w:r>
      <w:r w:rsidR="00EB536B" w:rsidRPr="008B0AA8">
        <w:t xml:space="preserve"> PRP </w:t>
      </w:r>
      <w:r w:rsidR="003C76BE" w:rsidRPr="00821CEE">
        <w:t>2007–2013 in PRP 2014-2020</w:t>
      </w:r>
      <w:bookmarkEnd w:id="3249"/>
    </w:p>
    <w:p w14:paraId="7E03CBB4" w14:textId="2114C036" w:rsidR="00EB536B" w:rsidRDefault="00EB536B" w:rsidP="007613FE">
      <w:pPr>
        <w:pStyle w:val="Odstavek1"/>
        <w:rPr>
          <w:b/>
          <w:i/>
          <w:u w:val="single"/>
        </w:rPr>
      </w:pPr>
    </w:p>
    <w:p w14:paraId="25A635EC" w14:textId="2C286326" w:rsidR="00F16C65" w:rsidRPr="0092558B" w:rsidRDefault="00F16C65" w:rsidP="007613FE">
      <w:pPr>
        <w:pStyle w:val="Odstavek1"/>
      </w:pPr>
      <w:r w:rsidRPr="0092558B">
        <w:t>Naložbe v osnovna sredstva v predelavo oz. trženje kmetijskih proizvodov so bila v zadnjih dveh programskih obdobjih 2007–2013 in 2014–2020 spodbujen</w:t>
      </w:r>
      <w:r w:rsidR="008B387B">
        <w:t>e</w:t>
      </w:r>
      <w:r w:rsidRPr="0092558B">
        <w:t xml:space="preserve"> tudi zaradi nepovratnih sredstev programa razvoja podeželja. </w:t>
      </w:r>
    </w:p>
    <w:p w14:paraId="21547724" w14:textId="77777777" w:rsidR="007E3EFC" w:rsidRDefault="007E3EFC" w:rsidP="007613FE">
      <w:pPr>
        <w:pStyle w:val="Odstavek1"/>
      </w:pPr>
    </w:p>
    <w:p w14:paraId="3AF689F0" w14:textId="77777777" w:rsidR="00D624E0" w:rsidRDefault="006C2146" w:rsidP="007613FE">
      <w:pPr>
        <w:pStyle w:val="Odstavek1"/>
      </w:pPr>
      <w:r w:rsidRPr="006C2146">
        <w:rPr>
          <w:rFonts w:eastAsiaTheme="minorHAnsi"/>
          <w:lang w:eastAsia="en-US"/>
        </w:rPr>
        <w:t xml:space="preserve">V programskem obdobju 2007–2013 je bilo s sredstvi PRP 2007–2013 </w:t>
      </w:r>
      <w:r w:rsidR="00E50B61">
        <w:rPr>
          <w:rFonts w:eastAsiaTheme="minorHAnsi"/>
          <w:lang w:eastAsia="en-US"/>
        </w:rPr>
        <w:t xml:space="preserve">v okviru ukrepa 123 Dodajanje vrednosti kmetijskim in gozdarskih proizvodov </w:t>
      </w:r>
      <w:r w:rsidR="00F16C65" w:rsidRPr="006C2146">
        <w:t xml:space="preserve">sofinanciranih 539 naložb v osnovna sredstva </w:t>
      </w:r>
      <w:r w:rsidR="00E50B61">
        <w:t xml:space="preserve">v ŽPI </w:t>
      </w:r>
      <w:r w:rsidR="00F16C65" w:rsidRPr="006C2146">
        <w:t>v skupni višini 83.260.014,49 evrov, pri čemer je povprečen izplačan znesek na odobreno vlogo znašal 154.471 evrov</w:t>
      </w:r>
      <w:r w:rsidR="005645BE" w:rsidRPr="006C2146">
        <w:t xml:space="preserve"> </w:t>
      </w:r>
      <w:r w:rsidRPr="006C2146">
        <w:t>(</w:t>
      </w:r>
      <w:r w:rsidR="005645BE" w:rsidRPr="006C2146">
        <w:t>za kmetije 79.868 evrov</w:t>
      </w:r>
      <w:r>
        <w:t xml:space="preserve"> in </w:t>
      </w:r>
      <w:r w:rsidR="005645BE" w:rsidRPr="006C2146">
        <w:t>za podjetja 259.438 evrov na vlogo</w:t>
      </w:r>
      <w:r w:rsidRPr="006C2146">
        <w:t>)</w:t>
      </w:r>
      <w:r w:rsidR="00F16C65" w:rsidRPr="006C2146">
        <w:t>.</w:t>
      </w:r>
      <w:r>
        <w:t xml:space="preserve"> </w:t>
      </w:r>
      <w:r w:rsidR="008B387B">
        <w:t>Izplačanih</w:t>
      </w:r>
      <w:r>
        <w:t xml:space="preserve"> je bilo 223 </w:t>
      </w:r>
      <w:r w:rsidRPr="0082708B">
        <w:t xml:space="preserve">vlog </w:t>
      </w:r>
      <w:r>
        <w:t xml:space="preserve">kmetij in 315 </w:t>
      </w:r>
      <w:r w:rsidRPr="0082708B">
        <w:t xml:space="preserve">vlog </w:t>
      </w:r>
      <w:r>
        <w:t>p</w:t>
      </w:r>
      <w:r w:rsidR="008B387B">
        <w:t>odjetij. Največ nepovratnih sredstev je bilo izplačanih mikro podjetjem in kmetijam (38 %), sledijo majhna podjetja (24 %), srednje velika podjetja (22 %) in velika podjetja (16 %).</w:t>
      </w:r>
    </w:p>
    <w:p w14:paraId="0EC7A227" w14:textId="4A8A694D" w:rsidR="008B0AA8" w:rsidRDefault="008B387B" w:rsidP="007613FE">
      <w:pPr>
        <w:pStyle w:val="Odstavek1"/>
      </w:pPr>
      <w:r>
        <w:t xml:space="preserve"> </w:t>
      </w:r>
    </w:p>
    <w:p w14:paraId="77726D53" w14:textId="5E19D52B" w:rsidR="008B0AA8" w:rsidRDefault="007E3EFC" w:rsidP="007613FE">
      <w:pPr>
        <w:pStyle w:val="Odstavek1"/>
      </w:pPr>
      <w:r w:rsidRPr="007E3EFC">
        <w:t xml:space="preserve">Celotna vrednost </w:t>
      </w:r>
      <w:r w:rsidR="006C2146">
        <w:t xml:space="preserve">sofinanciranih </w:t>
      </w:r>
      <w:r w:rsidRPr="007E3EFC">
        <w:t xml:space="preserve">naložb je </w:t>
      </w:r>
      <w:r w:rsidR="006C2146">
        <w:t xml:space="preserve">znašala </w:t>
      </w:r>
      <w:r w:rsidRPr="007E3EFC">
        <w:t>323</w:t>
      </w:r>
      <w:r w:rsidR="006C2146">
        <w:t>,</w:t>
      </w:r>
      <w:r w:rsidRPr="007E3EFC">
        <w:t>1</w:t>
      </w:r>
      <w:r w:rsidR="006C2146">
        <w:t xml:space="preserve"> mio</w:t>
      </w:r>
      <w:r w:rsidRPr="007E3EFC">
        <w:t xml:space="preserve"> </w:t>
      </w:r>
      <w:r w:rsidR="006C2146">
        <w:t>evrov</w:t>
      </w:r>
      <w:r w:rsidR="008B387B">
        <w:t>, pri čemer je bila v</w:t>
      </w:r>
      <w:r w:rsidR="008B0AA8">
        <w:t>ečina</w:t>
      </w:r>
      <w:r w:rsidR="008B0AA8" w:rsidRPr="00DD161D">
        <w:t xml:space="preserve"> </w:t>
      </w:r>
      <w:r w:rsidR="008B0AA8">
        <w:t>namenjena za r</w:t>
      </w:r>
      <w:r w:rsidR="008B0AA8" w:rsidRPr="00DD161D">
        <w:t>ekonstrukcije, dozidave in preureditve proizvodnje ter za nakup strojne opreme</w:t>
      </w:r>
      <w:r w:rsidR="008B0AA8">
        <w:t>. Najvišje v</w:t>
      </w:r>
      <w:r w:rsidR="008B0AA8" w:rsidRPr="0026160B">
        <w:t>rednosti celotnih naložb</w:t>
      </w:r>
      <w:r w:rsidR="008B0AA8">
        <w:t xml:space="preserve"> so bile pri predelavi mesa. </w:t>
      </w:r>
      <w:r w:rsidR="008B0AA8" w:rsidRPr="0082708B">
        <w:t>Največ sredstev je bilo izplačano v sektorju pijače (24</w:t>
      </w:r>
      <w:r w:rsidR="008B0AA8">
        <w:t xml:space="preserve"> </w:t>
      </w:r>
      <w:r w:rsidR="008B0AA8" w:rsidRPr="0082708B">
        <w:t>%), sledi sektor meso in užitni klavnični proizvodi (22 %) ter mleko in mlečni izdelki (15 %).</w:t>
      </w:r>
      <w:r w:rsidR="008B0AA8">
        <w:t xml:space="preserve"> </w:t>
      </w:r>
    </w:p>
    <w:p w14:paraId="1E963D7F" w14:textId="77777777" w:rsidR="008B387B" w:rsidRDefault="008B387B" w:rsidP="007613FE">
      <w:pPr>
        <w:pStyle w:val="Odstavek1"/>
      </w:pPr>
    </w:p>
    <w:p w14:paraId="6F528089" w14:textId="68EB9150" w:rsidR="00F16C65" w:rsidRDefault="007E3EFC" w:rsidP="007613FE">
      <w:pPr>
        <w:pStyle w:val="Odstavek1"/>
      </w:pPr>
      <w:r w:rsidRPr="007E3EFC">
        <w:t xml:space="preserve">Naložbe so pozitivno vplivale na </w:t>
      </w:r>
      <w:r w:rsidR="006C2146">
        <w:t>zvišanje</w:t>
      </w:r>
      <w:r w:rsidRPr="007E3EFC">
        <w:t xml:space="preserve"> </w:t>
      </w:r>
      <w:r w:rsidR="006C2146">
        <w:t xml:space="preserve">BDV, in sicer </w:t>
      </w:r>
      <w:r w:rsidRPr="007E3EFC">
        <w:t>v gospodarskih družbah</w:t>
      </w:r>
      <w:r w:rsidR="006C2146">
        <w:t xml:space="preserve"> v povprečju </w:t>
      </w:r>
      <w:r w:rsidR="006C2146" w:rsidRPr="007E3EFC">
        <w:t xml:space="preserve">za 0,6 mio </w:t>
      </w:r>
      <w:r w:rsidR="006C2146">
        <w:t>EUR/družbo</w:t>
      </w:r>
      <w:r w:rsidR="006C2146" w:rsidRPr="007E3EFC">
        <w:t xml:space="preserve">, </w:t>
      </w:r>
      <w:r w:rsidR="006C2146">
        <w:t>v zadrugah</w:t>
      </w:r>
      <w:r w:rsidR="006C2146" w:rsidRPr="007E3EFC">
        <w:t xml:space="preserve"> za 0,5 mio</w:t>
      </w:r>
      <w:r w:rsidR="006C2146">
        <w:t xml:space="preserve"> EUR/zadrugo ter na kmetijah za </w:t>
      </w:r>
      <w:r w:rsidRPr="007E3EFC">
        <w:t>5</w:t>
      </w:r>
      <w:r w:rsidR="00E50B61">
        <w:t>,4 tisoč</w:t>
      </w:r>
      <w:r w:rsidRPr="007E3EFC">
        <w:t xml:space="preserve"> </w:t>
      </w:r>
      <w:r>
        <w:t>EUR</w:t>
      </w:r>
      <w:r w:rsidR="006C2146">
        <w:t xml:space="preserve">/kmetijo. </w:t>
      </w:r>
    </w:p>
    <w:p w14:paraId="3032A0D3" w14:textId="77777777" w:rsidR="00E01889" w:rsidRDefault="00E01889" w:rsidP="007613FE">
      <w:pPr>
        <w:pStyle w:val="Odstavek1"/>
      </w:pPr>
    </w:p>
    <w:p w14:paraId="1AAB8E5E" w14:textId="238C7161" w:rsidR="008B387B" w:rsidRPr="003D2E71" w:rsidRDefault="008B387B" w:rsidP="007613FE">
      <w:pPr>
        <w:pStyle w:val="Odstavek1"/>
      </w:pPr>
      <w:r w:rsidRPr="003D2E71">
        <w:t xml:space="preserve">V programskem obdobju 2014-2020 je bila v okviru podukrepa M04.2 Naložbe v predelavo, trženje oz. razvoj kmetijskih proizvodov do 30. 4. 2020 odobrena </w:t>
      </w:r>
      <w:r w:rsidR="00206918" w:rsidRPr="003D2E71">
        <w:t>301</w:t>
      </w:r>
      <w:r w:rsidRPr="003D2E71">
        <w:t xml:space="preserve"> vlog</w:t>
      </w:r>
      <w:r w:rsidR="00206918" w:rsidRPr="003D2E71">
        <w:t>a</w:t>
      </w:r>
      <w:r w:rsidRPr="003D2E71">
        <w:t xml:space="preserve"> za naložbe, katerih celotna vrednost znaša </w:t>
      </w:r>
      <w:r w:rsidR="00206918" w:rsidRPr="003D2E71">
        <w:t>165</w:t>
      </w:r>
      <w:r w:rsidR="00D771B5" w:rsidRPr="003D2E71">
        <w:t>.</w:t>
      </w:r>
      <w:r w:rsidR="00206918" w:rsidRPr="003D2E71">
        <w:t>562</w:t>
      </w:r>
      <w:r w:rsidR="00D771B5" w:rsidRPr="003D2E71">
        <w:t>.</w:t>
      </w:r>
      <w:r w:rsidR="00206918" w:rsidRPr="003D2E71">
        <w:t>598</w:t>
      </w:r>
      <w:r w:rsidRPr="003D2E71" w:rsidDel="0080308B">
        <w:t xml:space="preserve"> </w:t>
      </w:r>
      <w:r w:rsidR="004E0036" w:rsidRPr="003D2E71">
        <w:t xml:space="preserve">evrov. Povprečna višina odobrenih sredstev na vlogo je 158.908 evrov, povprečna vrednost naložbe na odobreno vlogo pa 550.042 evrov. </w:t>
      </w:r>
    </w:p>
    <w:p w14:paraId="7C3629BE" w14:textId="77777777" w:rsidR="00501D81" w:rsidRDefault="00501D81" w:rsidP="007613FE">
      <w:pPr>
        <w:pStyle w:val="Odstavek1"/>
      </w:pPr>
    </w:p>
    <w:p w14:paraId="56D5D7FA" w14:textId="77777777" w:rsidR="00E50B61" w:rsidRDefault="00E50B61" w:rsidP="007613FE">
      <w:pPr>
        <w:pStyle w:val="Odstavek1"/>
      </w:pPr>
      <w:r>
        <w:t>N</w:t>
      </w:r>
      <w:r w:rsidRPr="009B331F">
        <w:t xml:space="preserve">ajveč sredstev </w:t>
      </w:r>
      <w:r>
        <w:t>je bilo odobrenih za nakup</w:t>
      </w:r>
      <w:r w:rsidRPr="009B331F">
        <w:t xml:space="preserve"> opreme (6</w:t>
      </w:r>
      <w:r>
        <w:t>1</w:t>
      </w:r>
      <w:r w:rsidRPr="009B331F">
        <w:t xml:space="preserve"> % </w:t>
      </w:r>
      <w:r>
        <w:t xml:space="preserve">vseh </w:t>
      </w:r>
      <w:r w:rsidRPr="009B331F">
        <w:t>odob</w:t>
      </w:r>
      <w:r>
        <w:t>renih sredstev) ter za novogradnje objektov (32</w:t>
      </w:r>
      <w:r w:rsidRPr="009B331F">
        <w:t xml:space="preserve"> %).</w:t>
      </w:r>
      <w:r>
        <w:t xml:space="preserve"> 7 % sredstev je bilo odobrenih za rekonstrukcije objektov, investicijsko vzdrževanje, ureditev dovoznih površin, naložbe v obnovljive vire energije in za ostale splošne stroške. </w:t>
      </w:r>
    </w:p>
    <w:p w14:paraId="294F9462" w14:textId="424F19BE" w:rsidR="00E50B61" w:rsidRDefault="00E50B61" w:rsidP="007613FE">
      <w:pPr>
        <w:pStyle w:val="Odstavek1"/>
      </w:pPr>
    </w:p>
    <w:p w14:paraId="7DC267D7" w14:textId="76CF7E05" w:rsidR="002E4D69" w:rsidRPr="002E4D69" w:rsidRDefault="002E4D69" w:rsidP="00EF1BAA">
      <w:pPr>
        <w:pStyle w:val="SCSlika0"/>
      </w:pPr>
      <w:bookmarkStart w:id="3250" w:name="_Toc89851138"/>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1B3E9B">
        <w:rPr>
          <w:noProof/>
        </w:rPr>
        <w:t>96</w:t>
      </w:r>
      <w:r w:rsidR="00072AFA">
        <w:rPr>
          <w:noProof/>
        </w:rPr>
        <w:fldChar w:fldCharType="end"/>
      </w:r>
      <w:r w:rsidRPr="00FA1850">
        <w:t xml:space="preserve">: </w:t>
      </w:r>
      <w:r w:rsidRPr="002E4D69">
        <w:rPr>
          <w:lang w:val="en-US"/>
        </w:rPr>
        <w:t>Delež odobrenih sredstev</w:t>
      </w:r>
      <w:r w:rsidRPr="002E4D69">
        <w:t xml:space="preserve"> glede na vrsto naložbe v okviru podukrepa M04.2 PRP 2014-2020, stanje 30.4.2020</w:t>
      </w:r>
      <w:bookmarkEnd w:id="3250"/>
      <w:r w:rsidRPr="002E4D69">
        <w:t xml:space="preserve"> </w:t>
      </w:r>
    </w:p>
    <w:p w14:paraId="70AC0015" w14:textId="4318099D" w:rsidR="00E50B61" w:rsidRDefault="00E50B61" w:rsidP="001C6C2C">
      <w:pPr>
        <w:spacing w:before="0" w:line="276" w:lineRule="auto"/>
        <w:rPr>
          <w:sz w:val="20"/>
          <w:szCs w:val="20"/>
        </w:rPr>
      </w:pPr>
      <w:r>
        <w:rPr>
          <w:noProof/>
          <w:lang w:eastAsia="sl-SI"/>
        </w:rPr>
        <w:drawing>
          <wp:inline distT="0" distB="0" distL="0" distR="0" wp14:anchorId="0C359C5D" wp14:editId="1BD1CF9C">
            <wp:extent cx="5486400" cy="2484120"/>
            <wp:effectExtent l="0" t="0" r="0" b="1143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DB3468C" w14:textId="13DC3E43" w:rsidR="00E50B61" w:rsidRPr="003A2226" w:rsidRDefault="002E4D69" w:rsidP="001C6C2C">
      <w:pPr>
        <w:spacing w:before="0" w:line="276" w:lineRule="auto"/>
        <w:rPr>
          <w:sz w:val="16"/>
          <w:szCs w:val="16"/>
        </w:rPr>
      </w:pPr>
      <w:r w:rsidRPr="003A2226">
        <w:rPr>
          <w:sz w:val="16"/>
          <w:szCs w:val="16"/>
        </w:rPr>
        <w:t>Vir: MKGP.</w:t>
      </w:r>
    </w:p>
    <w:p w14:paraId="72F79CD6" w14:textId="77777777" w:rsidR="002E4D69" w:rsidRDefault="002E4D69" w:rsidP="007613FE">
      <w:pPr>
        <w:pStyle w:val="Odstavek1"/>
      </w:pPr>
    </w:p>
    <w:p w14:paraId="34CBB422" w14:textId="5DE66E5A" w:rsidR="00F31A60" w:rsidRDefault="00CD3C2A" w:rsidP="007613FE">
      <w:pPr>
        <w:pStyle w:val="Odstavek1"/>
      </w:pPr>
      <w:r w:rsidRPr="00CD3C2A">
        <w:t>Glede na celotno vrednost naložb je največ podprtih naložb v dejavnosti vino (kjer je tudi največ podprtih vlog) - 19 % celotne vrednosti podprtih naložb predstavljajo naložbe v dejavnosti vino, sledijo naložbe v dejavnosti goveje meso (14 %), mleko (13 %), prašičje meso ter žita in proizvodi mlinske industrije (po 8 %) ter naložbe v dejavnosti zelenjava (7 %). Največje povprečne vrednosti naložb so pri dejavnostih meso drugo (2.568.455 evrov), sadje oreški (1.194.592 evrov), testenine (1.153.369 evrov), prašičje meso (1.062.702 evrov), jajca (979.796 evrov), mleko (734.398 evrov) in goveje meso (723.117 evrov).</w:t>
      </w:r>
    </w:p>
    <w:p w14:paraId="79B31879" w14:textId="5FE56671" w:rsidR="001C36FF" w:rsidRDefault="001C36FF" w:rsidP="007613FE">
      <w:pPr>
        <w:pStyle w:val="Odstavek1"/>
      </w:pPr>
    </w:p>
    <w:p w14:paraId="2C0D9B9A" w14:textId="0E69E7BC" w:rsidR="00B2017B" w:rsidRPr="002E4D69" w:rsidRDefault="00B2017B" w:rsidP="00EF1BAA">
      <w:pPr>
        <w:pStyle w:val="SCSlika0"/>
      </w:pPr>
      <w:bookmarkStart w:id="3251" w:name="_Toc89851139"/>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1B3E9B">
        <w:rPr>
          <w:noProof/>
        </w:rPr>
        <w:t>97</w:t>
      </w:r>
      <w:r w:rsidR="00072AFA">
        <w:rPr>
          <w:noProof/>
        </w:rPr>
        <w:fldChar w:fldCharType="end"/>
      </w:r>
      <w:r w:rsidRPr="00FA1850">
        <w:t xml:space="preserve">: </w:t>
      </w:r>
      <w:r>
        <w:rPr>
          <w:lang w:val="en-US"/>
        </w:rPr>
        <w:t>Število odobrenih vlog in povprečna vrednost naložbe na odobreno vlogo</w:t>
      </w:r>
      <w:r w:rsidRPr="002E4D69">
        <w:t xml:space="preserve"> glede na </w:t>
      </w:r>
      <w:r>
        <w:t>dejavnost</w:t>
      </w:r>
      <w:r w:rsidRPr="002E4D69">
        <w:t xml:space="preserve"> </w:t>
      </w:r>
      <w:r>
        <w:t xml:space="preserve">naložbe </w:t>
      </w:r>
      <w:r w:rsidRPr="002E4D69">
        <w:t>v okviru podukrepa M04.2 PRP 2014-2020, stanje 30.4.2020</w:t>
      </w:r>
      <w:bookmarkEnd w:id="3251"/>
      <w:r w:rsidRPr="002E4D69">
        <w:t xml:space="preserve"> </w:t>
      </w:r>
    </w:p>
    <w:p w14:paraId="7E97E366" w14:textId="31E3D3C2" w:rsidR="001C36FF" w:rsidRDefault="001C36FF" w:rsidP="007613FE">
      <w:pPr>
        <w:pStyle w:val="Odstavek1"/>
      </w:pPr>
    </w:p>
    <w:p w14:paraId="0C3F8109" w14:textId="0633B23D" w:rsidR="00986EEA" w:rsidRDefault="00986EEA" w:rsidP="004E0036">
      <w:pPr>
        <w:spacing w:before="0" w:line="276" w:lineRule="auto"/>
        <w:rPr>
          <w:sz w:val="20"/>
          <w:szCs w:val="20"/>
        </w:rPr>
      </w:pPr>
      <w:r w:rsidRPr="00986EEA">
        <w:rPr>
          <w:noProof/>
          <w:sz w:val="20"/>
          <w:szCs w:val="20"/>
          <w:lang w:eastAsia="sl-SI"/>
        </w:rPr>
        <w:drawing>
          <wp:inline distT="0" distB="0" distL="0" distR="0" wp14:anchorId="767A0BA4" wp14:editId="64E643E7">
            <wp:extent cx="5760720" cy="43586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4358640"/>
                    </a:xfrm>
                    <a:prstGeom prst="rect">
                      <a:avLst/>
                    </a:prstGeom>
                  </pic:spPr>
                </pic:pic>
              </a:graphicData>
            </a:graphic>
          </wp:inline>
        </w:drawing>
      </w:r>
    </w:p>
    <w:p w14:paraId="5261B0AD" w14:textId="5D7603DC" w:rsidR="00CD3C2A" w:rsidRPr="003A2226" w:rsidRDefault="00CD3C2A" w:rsidP="00CD3C2A">
      <w:pPr>
        <w:spacing w:before="0" w:line="276" w:lineRule="auto"/>
        <w:rPr>
          <w:sz w:val="16"/>
          <w:szCs w:val="16"/>
        </w:rPr>
      </w:pPr>
      <w:r w:rsidRPr="003A2226">
        <w:rPr>
          <w:sz w:val="16"/>
          <w:szCs w:val="16"/>
        </w:rPr>
        <w:t xml:space="preserve">Vir: MKGP. </w:t>
      </w:r>
    </w:p>
    <w:p w14:paraId="53754842" w14:textId="77777777" w:rsidR="00515BF6" w:rsidRDefault="00515BF6" w:rsidP="007613FE">
      <w:pPr>
        <w:spacing w:before="0" w:line="260" w:lineRule="atLeast"/>
        <w:rPr>
          <w:sz w:val="20"/>
          <w:szCs w:val="20"/>
        </w:rPr>
      </w:pPr>
    </w:p>
    <w:p w14:paraId="021051F2" w14:textId="51A4BA10" w:rsidR="00F31A60" w:rsidRPr="00EF1BAA" w:rsidRDefault="00F31A60" w:rsidP="007613FE">
      <w:pPr>
        <w:spacing w:before="0" w:line="260" w:lineRule="atLeast"/>
        <w:rPr>
          <w:szCs w:val="20"/>
        </w:rPr>
      </w:pPr>
      <w:r w:rsidRPr="00EF1BAA">
        <w:rPr>
          <w:szCs w:val="20"/>
        </w:rPr>
        <w:t>Med upravičenci prevladujejo mikro podjetja (64 %), glede na statusno obliko pa je največ podjetij (49 %), sledijo</w:t>
      </w:r>
      <w:r w:rsidR="00D73045" w:rsidRPr="00EF1BAA">
        <w:rPr>
          <w:szCs w:val="20"/>
        </w:rPr>
        <w:t xml:space="preserve"> kmetije</w:t>
      </w:r>
      <w:r w:rsidRPr="00EF1BAA">
        <w:rPr>
          <w:szCs w:val="20"/>
        </w:rPr>
        <w:t>, ki se ukvarjajo s predelavo ali trženje</w:t>
      </w:r>
      <w:r w:rsidR="007A011A" w:rsidRPr="00EF1BAA">
        <w:rPr>
          <w:szCs w:val="20"/>
        </w:rPr>
        <w:t>m</w:t>
      </w:r>
      <w:r w:rsidRPr="00EF1BAA">
        <w:rPr>
          <w:szCs w:val="20"/>
        </w:rPr>
        <w:t xml:space="preserve"> kmetijskih proizvodov (34 %) ter nosilci kmetije z dopolnilno dejavnostjo (17 %). </w:t>
      </w:r>
    </w:p>
    <w:p w14:paraId="272F9839" w14:textId="77777777" w:rsidR="00F31A60" w:rsidRPr="00EF1BAA" w:rsidRDefault="00F31A60" w:rsidP="007613FE">
      <w:pPr>
        <w:spacing w:before="0" w:line="260" w:lineRule="atLeast"/>
        <w:rPr>
          <w:szCs w:val="20"/>
        </w:rPr>
      </w:pPr>
    </w:p>
    <w:p w14:paraId="57CA2EAA" w14:textId="2D9193DB" w:rsidR="00F31A60" w:rsidRPr="00EF1BAA" w:rsidRDefault="00F31A60" w:rsidP="007613FE">
      <w:pPr>
        <w:spacing w:before="0" w:line="260" w:lineRule="atLeast"/>
        <w:rPr>
          <w:szCs w:val="20"/>
        </w:rPr>
      </w:pPr>
      <w:r w:rsidRPr="00EF1BAA">
        <w:rPr>
          <w:szCs w:val="20"/>
        </w:rPr>
        <w:t xml:space="preserve">Z vidika vira vhodnih surovin je bilo 52 % vlog odobrenih za kmetijstvo (vir vhodne surovine je lastna proizvodnja), sledita živilska industrija (vir vhodne surovine je odkup od drugih subjektov) - 36 % odobrenih vlog ter mešani sektor (vir vhodne surovine je lastna proizvodnja in odkup) s 12 % odobrenih vlog. </w:t>
      </w:r>
    </w:p>
    <w:p w14:paraId="44E20BE1" w14:textId="77777777" w:rsidR="00A15A53" w:rsidRPr="00EF1BAA" w:rsidRDefault="00A15A53" w:rsidP="007613FE">
      <w:pPr>
        <w:spacing w:before="0" w:line="260" w:lineRule="atLeast"/>
        <w:rPr>
          <w:szCs w:val="20"/>
        </w:rPr>
      </w:pPr>
    </w:p>
    <w:p w14:paraId="1C90DD60" w14:textId="6C2463E9" w:rsidR="00701BC9" w:rsidRPr="00EF1BAA" w:rsidRDefault="007137C5" w:rsidP="007613FE">
      <w:pPr>
        <w:spacing w:before="0" w:line="260" w:lineRule="atLeast"/>
        <w:rPr>
          <w:szCs w:val="20"/>
        </w:rPr>
      </w:pPr>
      <w:r w:rsidRPr="00EF1BAA">
        <w:rPr>
          <w:szCs w:val="20"/>
        </w:rPr>
        <w:t>Med odobrenimi vlogami v okviru podukrepa M04.2 je 35 % odobrenih vlog za naložbe v ekološko predelavo</w:t>
      </w:r>
      <w:r w:rsidR="0068471E" w:rsidRPr="00EF1BAA">
        <w:rPr>
          <w:szCs w:val="20"/>
        </w:rPr>
        <w:t xml:space="preserve"> oz.</w:t>
      </w:r>
      <w:r w:rsidRPr="00EF1BAA">
        <w:rPr>
          <w:szCs w:val="20"/>
        </w:rPr>
        <w:t xml:space="preserve"> 37 % vseh odobrenih sredstev</w:t>
      </w:r>
      <w:r w:rsidR="0068471E" w:rsidRPr="00EF1BAA">
        <w:rPr>
          <w:szCs w:val="20"/>
        </w:rPr>
        <w:t xml:space="preserve"> je namenjenih naložbam v ekološko predelavo</w:t>
      </w:r>
      <w:r w:rsidRPr="00EF1BAA">
        <w:rPr>
          <w:szCs w:val="20"/>
        </w:rPr>
        <w:t xml:space="preserve">. </w:t>
      </w:r>
      <w:r w:rsidR="0068471E" w:rsidRPr="00EF1BAA">
        <w:rPr>
          <w:szCs w:val="20"/>
        </w:rPr>
        <w:t>Povprečna vrednost naložbe v ekološko predelavo je za 6 % višja od povprečne vrednosti naložb v predelavo, ki ni ekološka.</w:t>
      </w:r>
    </w:p>
    <w:p w14:paraId="5BC6613E" w14:textId="77777777" w:rsidR="008949F4" w:rsidRPr="0047652B" w:rsidRDefault="008949F4" w:rsidP="007613FE">
      <w:pPr>
        <w:spacing w:before="0" w:line="260" w:lineRule="atLeast"/>
        <w:rPr>
          <w:sz w:val="20"/>
          <w:szCs w:val="20"/>
          <w:lang w:eastAsia="en-US"/>
        </w:rPr>
      </w:pPr>
    </w:p>
    <w:p w14:paraId="648D7777" w14:textId="44659882" w:rsidR="003406B9" w:rsidRPr="009F3567" w:rsidRDefault="003406B9" w:rsidP="005C6188">
      <w:pPr>
        <w:pStyle w:val="Naslov2"/>
      </w:pPr>
      <w:bookmarkStart w:id="3252" w:name="_Toc90462299"/>
      <w:r w:rsidRPr="009F3567">
        <w:t xml:space="preserve">Dopolnilne dejavnosti </w:t>
      </w:r>
      <w:r w:rsidR="00127DF7" w:rsidRPr="00127DF7">
        <w:t xml:space="preserve">predelave primarnih kmetijskih pridelkov </w:t>
      </w:r>
      <w:r w:rsidRPr="009F3567">
        <w:t>na kmetijah</w:t>
      </w:r>
      <w:bookmarkEnd w:id="3252"/>
    </w:p>
    <w:p w14:paraId="7126EA5D" w14:textId="77777777" w:rsidR="00EF1BAA" w:rsidRDefault="00EF1BAA" w:rsidP="007613FE">
      <w:pPr>
        <w:spacing w:before="0" w:line="260" w:lineRule="atLeast"/>
        <w:rPr>
          <w:sz w:val="20"/>
          <w:szCs w:val="20"/>
        </w:rPr>
      </w:pPr>
    </w:p>
    <w:p w14:paraId="323EADA4" w14:textId="5A2FA702" w:rsidR="003406B9" w:rsidRPr="0047652B" w:rsidRDefault="003406B9" w:rsidP="00EF1BAA">
      <w:r w:rsidRPr="0047652B">
        <w:t xml:space="preserve">Na kmetijah se večina predelave kmetijskih pridelkov in prodaje kmetijskih proizvodov opravlja kot dopolnilna dejavnost na kmetiji. Dopolnilne dejavnosti kmetom omogočajo boljšo rabo proizvodnih zmogljivosti in delovnih moči kmetije ter pridobivanje dodatnega dohodka na kmetiji. Za opravljanje dopolnilne dejavnosti predelava </w:t>
      </w:r>
      <w:r w:rsidR="009F55C8">
        <w:t xml:space="preserve">kmetijskih pridelkov </w:t>
      </w:r>
      <w:r w:rsidRPr="0047652B">
        <w:t>mora kmetija v koledarskem letu pridelati najmanj 50 % količin lastnih surovin, do 50 % količin surovin pa lahko dokupi z drugih kmetij.</w:t>
      </w:r>
      <w:r w:rsidR="003B41F6">
        <w:t xml:space="preserve"> Kmetija lahko predelane pridelke potroši v okviru lastnega turizma na kmetiji, ki je gostinska dejavnost ali j</w:t>
      </w:r>
      <w:r w:rsidR="00073827">
        <w:t>ih proda drugi kmetiji, ki opravlja turizem</w:t>
      </w:r>
      <w:r w:rsidR="00073827" w:rsidRPr="00073827">
        <w:t xml:space="preserve"> na kmetiji, ki je gostinska dejavnost</w:t>
      </w:r>
      <w:r w:rsidR="003B41F6" w:rsidRPr="00073827">
        <w:t xml:space="preserve"> </w:t>
      </w:r>
      <w:r w:rsidR="003B41F6">
        <w:t xml:space="preserve">dejavnostjo. </w:t>
      </w:r>
    </w:p>
    <w:p w14:paraId="4F65647A" w14:textId="7EA664D5" w:rsidR="003406B9" w:rsidRPr="0047652B" w:rsidRDefault="003406B9" w:rsidP="00EF1BAA">
      <w:r w:rsidRPr="0047652B">
        <w:t xml:space="preserve">Če kmetije opravljajo le predelavo lastnih pridelkov, jo lahko v okviru dopolnilne dejavnosti opravljajo kot majhen obseg prve stopnje predelave lastnih kmetijskih in gozdarskih pridelkov oziroma proizvajajo določene izdelke. </w:t>
      </w:r>
    </w:p>
    <w:p w14:paraId="62F787E4" w14:textId="12EA5824" w:rsidR="003406B9" w:rsidRDefault="0060013F" w:rsidP="00EF1BAA">
      <w:r w:rsidRPr="0060013F">
        <w:t>Po stanju na dan 29. 7. 2020 je imelo v Sloveniji dovoljenje za opravljanje dopolnilne dejavnosti 4.</w:t>
      </w:r>
      <w:r>
        <w:t>928</w:t>
      </w:r>
      <w:r w:rsidRPr="0060013F">
        <w:t xml:space="preserve"> kmetij</w:t>
      </w:r>
      <w:r w:rsidR="003406B9" w:rsidRPr="0047652B">
        <w:t>.</w:t>
      </w:r>
      <w:r w:rsidR="003406B9" w:rsidRPr="0047652B">
        <w:rPr>
          <w:rStyle w:val="Sprotnaopomba-sklic"/>
        </w:rPr>
        <w:footnoteReference w:id="26"/>
      </w:r>
      <w:r w:rsidR="003406B9" w:rsidRPr="0047652B">
        <w:t xml:space="preserve"> Skupaj se na teh kmetijah opravlja </w:t>
      </w:r>
      <w:r w:rsidR="00A448D2">
        <w:t>20.119</w:t>
      </w:r>
      <w:r w:rsidR="003406B9" w:rsidRPr="0047652B">
        <w:t xml:space="preserve"> različnih vrst dopolnilnih dejavnosti, od tega je </w:t>
      </w:r>
      <w:r w:rsidR="00B54CEC">
        <w:t>4.404</w:t>
      </w:r>
      <w:r w:rsidR="003406B9" w:rsidRPr="0047652B">
        <w:t xml:space="preserve"> dopolnilnih dejavnosti predelava primarnih kmetijskih pridelkov. V povprečju se na kmetijah opravljajo</w:t>
      </w:r>
      <w:r w:rsidR="00AD606E">
        <w:t xml:space="preserve"> po</w:t>
      </w:r>
      <w:r w:rsidR="003406B9" w:rsidRPr="0047652B">
        <w:t xml:space="preserve"> štiri dopolnilne dejavnosti.</w:t>
      </w:r>
    </w:p>
    <w:p w14:paraId="247D4646" w14:textId="57E42AE5" w:rsidR="003406B9" w:rsidRPr="0047652B" w:rsidRDefault="003406B9" w:rsidP="00EF1BAA">
      <w:r w:rsidRPr="0047652B">
        <w:t xml:space="preserve">Kmetije, ki opravljajo dopolnilne dejavnosti iz skupine predelava primarnih kmetijskih pridelkov, imajo povprečno 14,26 ha </w:t>
      </w:r>
      <w:r w:rsidR="00687C6E">
        <w:t>KZU</w:t>
      </w:r>
      <w:r w:rsidRPr="0047652B">
        <w:t xml:space="preserve">. Kmetije redijo povprečno 16,74 GVŽ/ha. Kmetije, ki opravljajo dopolnilne dejavnosti na OMD, imajo povprečno 13,40 ha </w:t>
      </w:r>
      <w:r w:rsidR="00687C6E">
        <w:t>KZU</w:t>
      </w:r>
      <w:r w:rsidRPr="0047652B">
        <w:t xml:space="preserve"> in redijo povprečno 15,98 GVŽ/ha.</w:t>
      </w:r>
      <w:r w:rsidR="00AD606E" w:rsidRPr="00AD606E">
        <w:t xml:space="preserve"> </w:t>
      </w:r>
      <w:r w:rsidR="00F02CB4">
        <w:t>Iz teh podatkov</w:t>
      </w:r>
      <w:r w:rsidR="00717E72">
        <w:t xml:space="preserve"> je razvidno, </w:t>
      </w:r>
      <w:r w:rsidR="00687C6E">
        <w:t xml:space="preserve">da </w:t>
      </w:r>
      <w:r w:rsidR="00717E72">
        <w:t>se p</w:t>
      </w:r>
      <w:r w:rsidR="00AD606E" w:rsidRPr="0047652B">
        <w:t xml:space="preserve">redelava kmetijskih pridelkov opravlja na </w:t>
      </w:r>
      <w:r w:rsidR="00717E72">
        <w:t>večjih</w:t>
      </w:r>
      <w:r w:rsidR="00AD606E" w:rsidRPr="0047652B">
        <w:t xml:space="preserve"> kmetijah</w:t>
      </w:r>
      <w:r w:rsidR="00217122">
        <w:t>.</w:t>
      </w:r>
      <w:r w:rsidR="006A1DB3">
        <w:t xml:space="preserve"> </w:t>
      </w:r>
      <w:r w:rsidR="006A1DB3" w:rsidRPr="006A1DB3">
        <w:t xml:space="preserve">Interes za opravljanje dopolnilh dejavnosti predelave kmetijskh proizvodov se stalno povečuje. Tri četrtine teh dejavnosti </w:t>
      </w:r>
      <w:r w:rsidR="00A3233A">
        <w:t xml:space="preserve">predelava </w:t>
      </w:r>
      <w:r w:rsidR="006A1DB3" w:rsidRPr="006A1DB3">
        <w:t>se opravlja na OMD</w:t>
      </w:r>
      <w:r w:rsidR="006A1DB3">
        <w:t xml:space="preserve">. </w:t>
      </w:r>
    </w:p>
    <w:p w14:paraId="446F11CB" w14:textId="62833EC7" w:rsidR="003406B9" w:rsidRPr="0047652B" w:rsidRDefault="003406B9" w:rsidP="00EF1BAA">
      <w:r w:rsidRPr="0047652B">
        <w:t xml:space="preserve">Iz analize naložbenih ukrepov PRP </w:t>
      </w:r>
      <w:r w:rsidR="00217122">
        <w:t>izhaja</w:t>
      </w:r>
      <w:r w:rsidRPr="0047652B">
        <w:t xml:space="preserve">, da </w:t>
      </w:r>
      <w:r w:rsidR="00B6239E">
        <w:t>vrednost podprtih</w:t>
      </w:r>
      <w:r w:rsidRPr="0047652B">
        <w:t xml:space="preserve"> naložb </w:t>
      </w:r>
      <w:r w:rsidR="00217122">
        <w:t xml:space="preserve">v </w:t>
      </w:r>
      <w:r w:rsidR="00217122" w:rsidRPr="0047652B">
        <w:t xml:space="preserve">predelavo ali trženje teh kmetijskih proizvodov </w:t>
      </w:r>
      <w:r w:rsidR="00B6239E">
        <w:t>ni sorazmer</w:t>
      </w:r>
      <w:r w:rsidR="00217122">
        <w:t>n</w:t>
      </w:r>
      <w:r w:rsidR="00B6239E">
        <w:t>a</w:t>
      </w:r>
      <w:r w:rsidR="00217122">
        <w:t xml:space="preserve"> </w:t>
      </w:r>
      <w:r w:rsidR="00B6239E">
        <w:t xml:space="preserve">vrednosti podprtih </w:t>
      </w:r>
      <w:r w:rsidR="00217122">
        <w:t xml:space="preserve">naložb </w:t>
      </w:r>
      <w:r w:rsidRPr="0047652B">
        <w:t xml:space="preserve">v posamezno osnovno kmetijsko proizvodnjo. </w:t>
      </w:r>
      <w:r w:rsidR="00B6239E">
        <w:t>Medtem ko je delež c</w:t>
      </w:r>
      <w:r w:rsidR="00E87F19">
        <w:t>elotne</w:t>
      </w:r>
      <w:r w:rsidR="00B6239E">
        <w:t xml:space="preserve"> vrednost</w:t>
      </w:r>
      <w:r w:rsidR="00687C6E">
        <w:t>i</w:t>
      </w:r>
      <w:r w:rsidR="00B6239E">
        <w:t xml:space="preserve"> podprtih </w:t>
      </w:r>
      <w:r w:rsidRPr="0047652B">
        <w:t xml:space="preserve">naložb v proizvodnjo mleka </w:t>
      </w:r>
      <w:r w:rsidR="00B6239E">
        <w:t xml:space="preserve">v okviru podukrepa M04.1 znašal 28 % celotne vrednosti </w:t>
      </w:r>
      <w:r w:rsidR="00687C6E">
        <w:t xml:space="preserve">vseh podprtih </w:t>
      </w:r>
      <w:r w:rsidR="00B6239E">
        <w:t>naložb, je znašal delež</w:t>
      </w:r>
      <w:r w:rsidRPr="0047652B">
        <w:t xml:space="preserve"> naložb v predelavo ali trženje mleka</w:t>
      </w:r>
      <w:r w:rsidR="00B6239E">
        <w:t xml:space="preserve"> v okviru podukrepa M04.2 le 7 % celotne vrednosti </w:t>
      </w:r>
      <w:r w:rsidR="00687C6E">
        <w:t xml:space="preserve">vseh podprtih </w:t>
      </w:r>
      <w:r w:rsidR="00B6239E">
        <w:t>naložb</w:t>
      </w:r>
      <w:r w:rsidRPr="0047652B">
        <w:t xml:space="preserve">. </w:t>
      </w:r>
    </w:p>
    <w:p w14:paraId="740A7162" w14:textId="77777777" w:rsidR="003406B9" w:rsidRPr="0047652B" w:rsidRDefault="003406B9" w:rsidP="007613FE">
      <w:pPr>
        <w:spacing w:before="0" w:line="260" w:lineRule="atLeast"/>
        <w:rPr>
          <w:sz w:val="20"/>
          <w:szCs w:val="20"/>
        </w:rPr>
      </w:pPr>
    </w:p>
    <w:p w14:paraId="08C96508" w14:textId="472E1C2B" w:rsidR="003406B9" w:rsidRPr="00451314" w:rsidRDefault="003406B9" w:rsidP="00EF1BAA">
      <w:pPr>
        <w:pStyle w:val="SCPreglednica"/>
      </w:pPr>
      <w:bookmarkStart w:id="3253" w:name="_Toc89861029"/>
      <w:r w:rsidRPr="00451314">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37</w:t>
      </w:r>
      <w:r w:rsidR="009F2591">
        <w:rPr>
          <w:noProof/>
        </w:rPr>
        <w:fldChar w:fldCharType="end"/>
      </w:r>
      <w:r w:rsidRPr="00451314">
        <w:t xml:space="preserve">: </w:t>
      </w:r>
      <w:r w:rsidR="003059B6" w:rsidRPr="00451314">
        <w:t>Število dovoljenj za opravljanje najpogostejših dopolniln</w:t>
      </w:r>
      <w:r w:rsidR="00874771" w:rsidRPr="00451314">
        <w:t>ih</w:t>
      </w:r>
      <w:r w:rsidR="003059B6" w:rsidRPr="00451314">
        <w:t xml:space="preserve"> dejavnosti p</w:t>
      </w:r>
      <w:r w:rsidRPr="00451314">
        <w:t>redelava primarnih kmetijskih pridelkov</w:t>
      </w:r>
      <w:bookmarkEnd w:id="3253"/>
    </w:p>
    <w:tbl>
      <w:tblPr>
        <w:tblW w:w="8931" w:type="dxa"/>
        <w:tblInd w:w="-5" w:type="dxa"/>
        <w:tblLayout w:type="fixed"/>
        <w:tblCellMar>
          <w:left w:w="70" w:type="dxa"/>
          <w:right w:w="70" w:type="dxa"/>
        </w:tblCellMar>
        <w:tblLook w:val="04A0" w:firstRow="1" w:lastRow="0" w:firstColumn="1" w:lastColumn="0" w:noHBand="0" w:noVBand="1"/>
      </w:tblPr>
      <w:tblGrid>
        <w:gridCol w:w="4253"/>
        <w:gridCol w:w="1701"/>
        <w:gridCol w:w="1701"/>
        <w:gridCol w:w="1276"/>
      </w:tblGrid>
      <w:tr w:rsidR="00307A17" w:rsidRPr="00307A17" w14:paraId="5B6D7FC4" w14:textId="77777777" w:rsidTr="00451314">
        <w:trPr>
          <w:trHeight w:val="504"/>
        </w:trPr>
        <w:tc>
          <w:tcPr>
            <w:tcW w:w="4253"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2374639B" w14:textId="6459447F" w:rsidR="00B54CEC" w:rsidRPr="00451314" w:rsidRDefault="00307A17" w:rsidP="00B54CEC">
            <w:pPr>
              <w:spacing w:before="0" w:line="240" w:lineRule="auto"/>
              <w:rPr>
                <w:bCs/>
                <w:color w:val="000000"/>
                <w:sz w:val="18"/>
                <w:szCs w:val="18"/>
                <w:lang w:eastAsia="sl-SI"/>
              </w:rPr>
            </w:pPr>
            <w:r w:rsidRPr="00451314">
              <w:rPr>
                <w:bCs/>
                <w:color w:val="000000"/>
                <w:sz w:val="18"/>
                <w:szCs w:val="18"/>
                <w:lang w:eastAsia="sl-SI"/>
              </w:rPr>
              <w:t>Vrsta dopolnilne dejavnosti</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431E09CD" w14:textId="4EAAF8E6" w:rsidR="00B54CEC" w:rsidRPr="00F3427A" w:rsidRDefault="00307A17" w:rsidP="00B54CEC">
            <w:pPr>
              <w:spacing w:before="0" w:line="240" w:lineRule="auto"/>
              <w:jc w:val="center"/>
              <w:rPr>
                <w:color w:val="000000"/>
                <w:sz w:val="18"/>
                <w:szCs w:val="18"/>
                <w:lang w:eastAsia="sl-SI"/>
              </w:rPr>
            </w:pPr>
            <w:r>
              <w:rPr>
                <w:color w:val="000000"/>
                <w:sz w:val="18"/>
                <w:szCs w:val="18"/>
                <w:lang w:eastAsia="sl-SI"/>
              </w:rPr>
              <w:t xml:space="preserve">Število na dan </w:t>
            </w:r>
            <w:r w:rsidR="00B54CEC" w:rsidRPr="00F3427A">
              <w:rPr>
                <w:color w:val="000000"/>
                <w:sz w:val="18"/>
                <w:szCs w:val="18"/>
                <w:lang w:eastAsia="sl-SI"/>
              </w:rPr>
              <w:t>1.1.2015</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726AC4CD" w14:textId="7E45BCD1" w:rsidR="00B54CEC" w:rsidRPr="00307A17" w:rsidRDefault="00307A17" w:rsidP="00A635F7">
            <w:pPr>
              <w:spacing w:before="0" w:line="240" w:lineRule="auto"/>
              <w:jc w:val="center"/>
              <w:rPr>
                <w:color w:val="000000"/>
                <w:sz w:val="18"/>
                <w:szCs w:val="18"/>
                <w:lang w:eastAsia="sl-SI"/>
              </w:rPr>
            </w:pPr>
            <w:r>
              <w:rPr>
                <w:color w:val="000000"/>
                <w:sz w:val="18"/>
                <w:szCs w:val="18"/>
                <w:lang w:eastAsia="sl-SI"/>
              </w:rPr>
              <w:t xml:space="preserve">Število na dan </w:t>
            </w:r>
            <w:r w:rsidR="00A635F7">
              <w:rPr>
                <w:color w:val="000000"/>
                <w:sz w:val="18"/>
                <w:szCs w:val="18"/>
                <w:lang w:eastAsia="sl-SI"/>
              </w:rPr>
              <w:t xml:space="preserve">29. 7. </w:t>
            </w:r>
            <w:r w:rsidR="003059B6" w:rsidRPr="00307A17">
              <w:rPr>
                <w:color w:val="000000"/>
                <w:sz w:val="18"/>
                <w:szCs w:val="18"/>
                <w:lang w:eastAsia="sl-SI"/>
              </w:rPr>
              <w:t>.</w:t>
            </w:r>
            <w:r w:rsidR="00B54CEC" w:rsidRPr="00307A17">
              <w:rPr>
                <w:color w:val="000000"/>
                <w:sz w:val="18"/>
                <w:szCs w:val="18"/>
                <w:lang w:eastAsia="sl-SI"/>
              </w:rPr>
              <w:t>2020</w:t>
            </w:r>
          </w:p>
        </w:tc>
        <w:tc>
          <w:tcPr>
            <w:tcW w:w="1276" w:type="dxa"/>
            <w:tcBorders>
              <w:top w:val="single" w:sz="4" w:space="0" w:color="auto"/>
              <w:left w:val="nil"/>
              <w:bottom w:val="single" w:sz="4" w:space="0" w:color="auto"/>
              <w:right w:val="single" w:sz="4" w:space="0" w:color="auto"/>
            </w:tcBorders>
            <w:shd w:val="clear" w:color="000000" w:fill="C6D9F1"/>
            <w:vAlign w:val="center"/>
            <w:hideMark/>
          </w:tcPr>
          <w:p w14:paraId="050CE9AF" w14:textId="00E2E912" w:rsidR="00B54CEC" w:rsidRPr="00307A17" w:rsidRDefault="00307A17" w:rsidP="00F3427A">
            <w:pPr>
              <w:spacing w:before="0" w:line="240" w:lineRule="auto"/>
              <w:jc w:val="center"/>
              <w:rPr>
                <w:color w:val="000000"/>
                <w:sz w:val="18"/>
                <w:szCs w:val="18"/>
                <w:lang w:eastAsia="sl-SI"/>
              </w:rPr>
            </w:pPr>
            <w:r w:rsidRPr="00307A17">
              <w:rPr>
                <w:color w:val="000000"/>
                <w:sz w:val="18"/>
                <w:szCs w:val="18"/>
                <w:lang w:eastAsia="sl-SI"/>
              </w:rPr>
              <w:t>Indeks 2020/2015</w:t>
            </w:r>
          </w:p>
        </w:tc>
      </w:tr>
      <w:tr w:rsidR="00307A17" w:rsidRPr="00B54CEC" w14:paraId="096BF1D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2CB6DF4"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in konzerviranje sadja in zelenjave</w:t>
            </w:r>
          </w:p>
        </w:tc>
        <w:tc>
          <w:tcPr>
            <w:tcW w:w="1701" w:type="dxa"/>
            <w:tcBorders>
              <w:top w:val="nil"/>
              <w:left w:val="nil"/>
              <w:bottom w:val="single" w:sz="4" w:space="0" w:color="auto"/>
              <w:right w:val="single" w:sz="4" w:space="0" w:color="auto"/>
            </w:tcBorders>
            <w:shd w:val="clear" w:color="auto" w:fill="auto"/>
            <w:noWrap/>
            <w:vAlign w:val="center"/>
            <w:hideMark/>
          </w:tcPr>
          <w:p w14:paraId="2145E4C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689</w:t>
            </w:r>
          </w:p>
        </w:tc>
        <w:tc>
          <w:tcPr>
            <w:tcW w:w="1701" w:type="dxa"/>
            <w:tcBorders>
              <w:top w:val="nil"/>
              <w:left w:val="nil"/>
              <w:bottom w:val="single" w:sz="4" w:space="0" w:color="auto"/>
              <w:right w:val="single" w:sz="4" w:space="0" w:color="auto"/>
            </w:tcBorders>
            <w:shd w:val="clear" w:color="auto" w:fill="auto"/>
            <w:noWrap/>
            <w:vAlign w:val="center"/>
            <w:hideMark/>
          </w:tcPr>
          <w:p w14:paraId="1165CC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748</w:t>
            </w:r>
          </w:p>
        </w:tc>
        <w:tc>
          <w:tcPr>
            <w:tcW w:w="1276" w:type="dxa"/>
            <w:tcBorders>
              <w:top w:val="nil"/>
              <w:left w:val="nil"/>
              <w:bottom w:val="single" w:sz="4" w:space="0" w:color="auto"/>
              <w:right w:val="single" w:sz="4" w:space="0" w:color="auto"/>
            </w:tcBorders>
            <w:shd w:val="clear" w:color="auto" w:fill="auto"/>
            <w:noWrap/>
            <w:vAlign w:val="center"/>
            <w:hideMark/>
          </w:tcPr>
          <w:p w14:paraId="095E804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109</w:t>
            </w:r>
          </w:p>
        </w:tc>
      </w:tr>
      <w:tr w:rsidR="00307A17" w:rsidRPr="00B54CEC" w14:paraId="03FDB3AD"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D2AB5D5"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sadnih in zelenjavnih sokov</w:t>
            </w:r>
          </w:p>
        </w:tc>
        <w:tc>
          <w:tcPr>
            <w:tcW w:w="1701" w:type="dxa"/>
            <w:tcBorders>
              <w:top w:val="nil"/>
              <w:left w:val="nil"/>
              <w:bottom w:val="single" w:sz="4" w:space="0" w:color="auto"/>
              <w:right w:val="single" w:sz="4" w:space="0" w:color="auto"/>
            </w:tcBorders>
            <w:shd w:val="clear" w:color="auto" w:fill="auto"/>
            <w:noWrap/>
            <w:vAlign w:val="center"/>
            <w:hideMark/>
          </w:tcPr>
          <w:p w14:paraId="3A8E5A3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701" w:type="dxa"/>
            <w:tcBorders>
              <w:top w:val="nil"/>
              <w:left w:val="nil"/>
              <w:bottom w:val="single" w:sz="4" w:space="0" w:color="auto"/>
              <w:right w:val="single" w:sz="4" w:space="0" w:color="auto"/>
            </w:tcBorders>
            <w:shd w:val="clear" w:color="auto" w:fill="auto"/>
            <w:noWrap/>
            <w:vAlign w:val="center"/>
            <w:hideMark/>
          </w:tcPr>
          <w:p w14:paraId="02288FE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556</w:t>
            </w:r>
          </w:p>
        </w:tc>
        <w:tc>
          <w:tcPr>
            <w:tcW w:w="1276" w:type="dxa"/>
            <w:tcBorders>
              <w:top w:val="nil"/>
              <w:left w:val="nil"/>
              <w:bottom w:val="single" w:sz="4" w:space="0" w:color="auto"/>
              <w:right w:val="single" w:sz="4" w:space="0" w:color="auto"/>
            </w:tcBorders>
            <w:shd w:val="clear" w:color="auto" w:fill="auto"/>
            <w:noWrap/>
            <w:vAlign w:val="center"/>
            <w:hideMark/>
          </w:tcPr>
          <w:p w14:paraId="6926790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174</w:t>
            </w:r>
          </w:p>
        </w:tc>
      </w:tr>
      <w:tr w:rsidR="00307A17" w:rsidRPr="00B54CEC" w14:paraId="0A43C89A"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6E2ABD2"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zakol živali in predelava mesa</w:t>
            </w:r>
          </w:p>
        </w:tc>
        <w:tc>
          <w:tcPr>
            <w:tcW w:w="1701" w:type="dxa"/>
            <w:tcBorders>
              <w:top w:val="nil"/>
              <w:left w:val="nil"/>
              <w:bottom w:val="single" w:sz="4" w:space="0" w:color="auto"/>
              <w:right w:val="single" w:sz="4" w:space="0" w:color="auto"/>
            </w:tcBorders>
            <w:shd w:val="clear" w:color="auto" w:fill="auto"/>
            <w:noWrap/>
            <w:vAlign w:val="center"/>
            <w:hideMark/>
          </w:tcPr>
          <w:p w14:paraId="30E6651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288</w:t>
            </w:r>
          </w:p>
        </w:tc>
        <w:tc>
          <w:tcPr>
            <w:tcW w:w="1701" w:type="dxa"/>
            <w:tcBorders>
              <w:top w:val="nil"/>
              <w:left w:val="nil"/>
              <w:bottom w:val="single" w:sz="4" w:space="0" w:color="auto"/>
              <w:right w:val="single" w:sz="4" w:space="0" w:color="auto"/>
            </w:tcBorders>
            <w:shd w:val="clear" w:color="auto" w:fill="auto"/>
            <w:noWrap/>
            <w:vAlign w:val="center"/>
            <w:hideMark/>
          </w:tcPr>
          <w:p w14:paraId="11C0057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0E9F246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161</w:t>
            </w:r>
          </w:p>
        </w:tc>
      </w:tr>
      <w:tr w:rsidR="00307A17" w:rsidRPr="00B54CEC" w14:paraId="1F783CBB"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5737F3B"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kisa</w:t>
            </w:r>
          </w:p>
        </w:tc>
        <w:tc>
          <w:tcPr>
            <w:tcW w:w="1701" w:type="dxa"/>
            <w:tcBorders>
              <w:top w:val="nil"/>
              <w:left w:val="nil"/>
              <w:bottom w:val="single" w:sz="4" w:space="0" w:color="auto"/>
              <w:right w:val="single" w:sz="4" w:space="0" w:color="auto"/>
            </w:tcBorders>
            <w:shd w:val="clear" w:color="auto" w:fill="auto"/>
            <w:noWrap/>
            <w:vAlign w:val="center"/>
            <w:hideMark/>
          </w:tcPr>
          <w:p w14:paraId="1AE4D89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58570B9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341</w:t>
            </w:r>
          </w:p>
        </w:tc>
        <w:tc>
          <w:tcPr>
            <w:tcW w:w="1276" w:type="dxa"/>
            <w:tcBorders>
              <w:top w:val="nil"/>
              <w:left w:val="nil"/>
              <w:bottom w:val="single" w:sz="4" w:space="0" w:color="auto"/>
              <w:right w:val="single" w:sz="4" w:space="0" w:color="auto"/>
            </w:tcBorders>
            <w:shd w:val="clear" w:color="auto" w:fill="auto"/>
            <w:noWrap/>
            <w:vAlign w:val="center"/>
            <w:hideMark/>
          </w:tcPr>
          <w:p w14:paraId="1E64E37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170</w:t>
            </w:r>
          </w:p>
        </w:tc>
      </w:tr>
      <w:tr w:rsidR="00307A17" w:rsidRPr="00B54CEC" w14:paraId="367164B9"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2BE913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žganih pijač</w:t>
            </w:r>
          </w:p>
        </w:tc>
        <w:tc>
          <w:tcPr>
            <w:tcW w:w="1701" w:type="dxa"/>
            <w:tcBorders>
              <w:top w:val="nil"/>
              <w:left w:val="nil"/>
              <w:bottom w:val="single" w:sz="4" w:space="0" w:color="auto"/>
              <w:right w:val="single" w:sz="4" w:space="0" w:color="auto"/>
            </w:tcBorders>
            <w:shd w:val="clear" w:color="auto" w:fill="auto"/>
            <w:noWrap/>
            <w:vAlign w:val="center"/>
            <w:hideMark/>
          </w:tcPr>
          <w:p w14:paraId="43D70A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294</w:t>
            </w:r>
          </w:p>
        </w:tc>
        <w:tc>
          <w:tcPr>
            <w:tcW w:w="1701" w:type="dxa"/>
            <w:tcBorders>
              <w:top w:val="nil"/>
              <w:left w:val="nil"/>
              <w:bottom w:val="single" w:sz="4" w:space="0" w:color="auto"/>
              <w:right w:val="single" w:sz="4" w:space="0" w:color="auto"/>
            </w:tcBorders>
            <w:shd w:val="clear" w:color="auto" w:fill="auto"/>
            <w:noWrap/>
            <w:vAlign w:val="center"/>
            <w:hideMark/>
          </w:tcPr>
          <w:p w14:paraId="2BB62C0B"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339</w:t>
            </w:r>
          </w:p>
        </w:tc>
        <w:tc>
          <w:tcPr>
            <w:tcW w:w="1276" w:type="dxa"/>
            <w:tcBorders>
              <w:top w:val="nil"/>
              <w:left w:val="nil"/>
              <w:bottom w:val="single" w:sz="4" w:space="0" w:color="auto"/>
              <w:right w:val="single" w:sz="4" w:space="0" w:color="auto"/>
            </w:tcBorders>
            <w:shd w:val="clear" w:color="auto" w:fill="auto"/>
            <w:noWrap/>
            <w:vAlign w:val="center"/>
            <w:hideMark/>
          </w:tcPr>
          <w:p w14:paraId="06C45EB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115</w:t>
            </w:r>
          </w:p>
        </w:tc>
      </w:tr>
      <w:tr w:rsidR="00307A17" w:rsidRPr="00B54CEC" w14:paraId="5147040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731DE6E"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rastlinskega olja in predelava semen oljnih rastlin</w:t>
            </w:r>
          </w:p>
        </w:tc>
        <w:tc>
          <w:tcPr>
            <w:tcW w:w="1701" w:type="dxa"/>
            <w:tcBorders>
              <w:top w:val="nil"/>
              <w:left w:val="nil"/>
              <w:bottom w:val="single" w:sz="4" w:space="0" w:color="auto"/>
              <w:right w:val="single" w:sz="4" w:space="0" w:color="auto"/>
            </w:tcBorders>
            <w:shd w:val="clear" w:color="auto" w:fill="auto"/>
            <w:noWrap/>
            <w:vAlign w:val="center"/>
            <w:hideMark/>
          </w:tcPr>
          <w:p w14:paraId="0F2EF7E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93</w:t>
            </w:r>
          </w:p>
        </w:tc>
        <w:tc>
          <w:tcPr>
            <w:tcW w:w="1701" w:type="dxa"/>
            <w:tcBorders>
              <w:top w:val="nil"/>
              <w:left w:val="nil"/>
              <w:bottom w:val="single" w:sz="4" w:space="0" w:color="auto"/>
              <w:right w:val="single" w:sz="4" w:space="0" w:color="auto"/>
            </w:tcBorders>
            <w:shd w:val="clear" w:color="auto" w:fill="auto"/>
            <w:noWrap/>
            <w:vAlign w:val="center"/>
            <w:hideMark/>
          </w:tcPr>
          <w:p w14:paraId="17E93FD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276" w:type="dxa"/>
            <w:tcBorders>
              <w:top w:val="nil"/>
              <w:left w:val="nil"/>
              <w:bottom w:val="single" w:sz="4" w:space="0" w:color="auto"/>
              <w:right w:val="single" w:sz="4" w:space="0" w:color="auto"/>
            </w:tcBorders>
            <w:shd w:val="clear" w:color="auto" w:fill="auto"/>
            <w:noWrap/>
            <w:vAlign w:val="center"/>
            <w:hideMark/>
          </w:tcPr>
          <w:p w14:paraId="6A44178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343</w:t>
            </w:r>
          </w:p>
        </w:tc>
      </w:tr>
      <w:tr w:rsidR="00307A17" w:rsidRPr="00B54CEC" w14:paraId="09726ADE"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C739CE0"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mleka</w:t>
            </w:r>
          </w:p>
        </w:tc>
        <w:tc>
          <w:tcPr>
            <w:tcW w:w="1701" w:type="dxa"/>
            <w:tcBorders>
              <w:top w:val="nil"/>
              <w:left w:val="nil"/>
              <w:bottom w:val="single" w:sz="4" w:space="0" w:color="auto"/>
              <w:right w:val="single" w:sz="4" w:space="0" w:color="auto"/>
            </w:tcBorders>
            <w:shd w:val="clear" w:color="auto" w:fill="auto"/>
            <w:noWrap/>
            <w:vAlign w:val="center"/>
            <w:hideMark/>
          </w:tcPr>
          <w:p w14:paraId="6A5606A7"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014A273D"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293</w:t>
            </w:r>
          </w:p>
        </w:tc>
        <w:tc>
          <w:tcPr>
            <w:tcW w:w="1276" w:type="dxa"/>
            <w:tcBorders>
              <w:top w:val="nil"/>
              <w:left w:val="nil"/>
              <w:bottom w:val="single" w:sz="4" w:space="0" w:color="auto"/>
              <w:right w:val="single" w:sz="4" w:space="0" w:color="auto"/>
            </w:tcBorders>
            <w:shd w:val="clear" w:color="auto" w:fill="auto"/>
            <w:noWrap/>
            <w:vAlign w:val="center"/>
            <w:hideMark/>
          </w:tcPr>
          <w:p w14:paraId="14CFF83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153</w:t>
            </w:r>
          </w:p>
        </w:tc>
      </w:tr>
      <w:tr w:rsidR="00307A17" w:rsidRPr="00B54CEC" w14:paraId="1E2217E7"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57A828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peka kruha in potic ter peciva in slaščic</w:t>
            </w:r>
          </w:p>
        </w:tc>
        <w:tc>
          <w:tcPr>
            <w:tcW w:w="1701" w:type="dxa"/>
            <w:tcBorders>
              <w:top w:val="nil"/>
              <w:left w:val="nil"/>
              <w:bottom w:val="single" w:sz="4" w:space="0" w:color="auto"/>
              <w:right w:val="single" w:sz="4" w:space="0" w:color="auto"/>
            </w:tcBorders>
            <w:shd w:val="clear" w:color="auto" w:fill="auto"/>
            <w:noWrap/>
            <w:vAlign w:val="center"/>
            <w:hideMark/>
          </w:tcPr>
          <w:p w14:paraId="47EF50B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322</w:t>
            </w:r>
          </w:p>
        </w:tc>
        <w:tc>
          <w:tcPr>
            <w:tcW w:w="1701" w:type="dxa"/>
            <w:tcBorders>
              <w:top w:val="nil"/>
              <w:left w:val="nil"/>
              <w:bottom w:val="single" w:sz="4" w:space="0" w:color="auto"/>
              <w:right w:val="single" w:sz="4" w:space="0" w:color="auto"/>
            </w:tcBorders>
            <w:shd w:val="clear" w:color="auto" w:fill="auto"/>
            <w:noWrap/>
            <w:vAlign w:val="center"/>
            <w:hideMark/>
          </w:tcPr>
          <w:p w14:paraId="42F998B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7C63DCF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84</w:t>
            </w:r>
          </w:p>
        </w:tc>
      </w:tr>
      <w:tr w:rsidR="00307A17" w:rsidRPr="00B54CEC" w14:paraId="55FFA905"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CFBB6BC"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moke in drugih mlevskih izdelkov</w:t>
            </w:r>
          </w:p>
        </w:tc>
        <w:tc>
          <w:tcPr>
            <w:tcW w:w="1701" w:type="dxa"/>
            <w:tcBorders>
              <w:top w:val="nil"/>
              <w:left w:val="nil"/>
              <w:bottom w:val="single" w:sz="4" w:space="0" w:color="auto"/>
              <w:right w:val="single" w:sz="4" w:space="0" w:color="auto"/>
            </w:tcBorders>
            <w:shd w:val="clear" w:color="auto" w:fill="auto"/>
            <w:noWrap/>
            <w:vAlign w:val="center"/>
            <w:hideMark/>
          </w:tcPr>
          <w:p w14:paraId="7F9E1E8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173</w:t>
            </w:r>
          </w:p>
        </w:tc>
        <w:tc>
          <w:tcPr>
            <w:tcW w:w="1701" w:type="dxa"/>
            <w:tcBorders>
              <w:top w:val="nil"/>
              <w:left w:val="nil"/>
              <w:bottom w:val="single" w:sz="4" w:space="0" w:color="auto"/>
              <w:right w:val="single" w:sz="4" w:space="0" w:color="auto"/>
            </w:tcBorders>
            <w:shd w:val="clear" w:color="auto" w:fill="auto"/>
            <w:noWrap/>
            <w:vAlign w:val="center"/>
            <w:hideMark/>
          </w:tcPr>
          <w:p w14:paraId="70058E1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251</w:t>
            </w:r>
          </w:p>
        </w:tc>
        <w:tc>
          <w:tcPr>
            <w:tcW w:w="1276" w:type="dxa"/>
            <w:tcBorders>
              <w:top w:val="nil"/>
              <w:left w:val="nil"/>
              <w:bottom w:val="single" w:sz="4" w:space="0" w:color="auto"/>
              <w:right w:val="single" w:sz="4" w:space="0" w:color="auto"/>
            </w:tcBorders>
            <w:shd w:val="clear" w:color="auto" w:fill="auto"/>
            <w:noWrap/>
            <w:vAlign w:val="center"/>
            <w:hideMark/>
          </w:tcPr>
          <w:p w14:paraId="2028BDA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145</w:t>
            </w:r>
          </w:p>
        </w:tc>
      </w:tr>
    </w:tbl>
    <w:p w14:paraId="6B863278" w14:textId="75DF30BF" w:rsidR="00B54CEC" w:rsidRPr="00451314" w:rsidRDefault="00307A17" w:rsidP="003406B9">
      <w:pPr>
        <w:spacing w:before="0" w:line="276" w:lineRule="auto"/>
        <w:ind w:left="425" w:hanging="425"/>
        <w:rPr>
          <w:sz w:val="16"/>
          <w:szCs w:val="20"/>
          <w:lang w:eastAsia="en-US"/>
        </w:rPr>
      </w:pPr>
      <w:r w:rsidRPr="00451314">
        <w:rPr>
          <w:sz w:val="16"/>
          <w:szCs w:val="20"/>
          <w:lang w:eastAsia="en-US"/>
        </w:rPr>
        <w:t>Vir: MKGP.</w:t>
      </w:r>
    </w:p>
    <w:p w14:paraId="3BE00A42" w14:textId="77777777" w:rsidR="00307A17" w:rsidRDefault="00307A17" w:rsidP="007613FE">
      <w:pPr>
        <w:spacing w:before="0" w:line="260" w:lineRule="atLeast"/>
        <w:rPr>
          <w:sz w:val="20"/>
          <w:szCs w:val="20"/>
        </w:rPr>
      </w:pPr>
    </w:p>
    <w:p w14:paraId="1511954B" w14:textId="77777777" w:rsidR="003406B9" w:rsidRPr="00EF1BAA" w:rsidRDefault="003406B9" w:rsidP="007613FE">
      <w:pPr>
        <w:spacing w:before="0" w:line="260" w:lineRule="atLeast"/>
        <w:rPr>
          <w:szCs w:val="22"/>
        </w:rPr>
      </w:pPr>
      <w:r w:rsidRPr="00EF1BAA">
        <w:rPr>
          <w:szCs w:val="22"/>
        </w:rPr>
        <w:t xml:space="preserve">V zadnjih dveh letih se je povečalo število dejavnosti proizvodnje rastlinskega olja in predelave semen oljnih rastlin. </w:t>
      </w:r>
    </w:p>
    <w:p w14:paraId="301345D9" w14:textId="77777777" w:rsidR="00E7393F" w:rsidRPr="00EF1BAA" w:rsidRDefault="00E7393F" w:rsidP="007613FE">
      <w:pPr>
        <w:spacing w:before="0" w:line="260" w:lineRule="atLeast"/>
        <w:rPr>
          <w:szCs w:val="22"/>
          <w:lang w:eastAsia="en-US"/>
        </w:rPr>
      </w:pPr>
    </w:p>
    <w:p w14:paraId="6E6B5FEF" w14:textId="597FA592" w:rsidR="003406B9" w:rsidRPr="00EF1BAA" w:rsidRDefault="003406B9" w:rsidP="005C6188">
      <w:pPr>
        <w:pStyle w:val="Naslov2"/>
      </w:pPr>
      <w:bookmarkStart w:id="3254" w:name="_Toc90462300"/>
      <w:r w:rsidRPr="00EF1BAA">
        <w:t>Ključne ugotovitve</w:t>
      </w:r>
      <w:bookmarkEnd w:id="3254"/>
    </w:p>
    <w:p w14:paraId="284C4651" w14:textId="77777777" w:rsidR="003406B9" w:rsidRPr="00EF1BAA" w:rsidRDefault="003406B9" w:rsidP="007613FE">
      <w:pPr>
        <w:spacing w:before="0" w:line="260" w:lineRule="atLeast"/>
        <w:rPr>
          <w:szCs w:val="22"/>
          <w:lang w:eastAsia="en-US"/>
        </w:rPr>
      </w:pPr>
    </w:p>
    <w:p w14:paraId="3D5418A4" w14:textId="77777777" w:rsidR="005B3E9B" w:rsidRDefault="00586A3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V obdobju </w:t>
      </w:r>
      <w:r w:rsidR="00510FE5" w:rsidRPr="00EF1BAA">
        <w:rPr>
          <w:rFonts w:ascii="Arial" w:hAnsi="Arial"/>
          <w:sz w:val="22"/>
          <w:szCs w:val="22"/>
        </w:rPr>
        <w:t>201</w:t>
      </w:r>
      <w:r w:rsidR="000D0720" w:rsidRPr="00EF1BAA">
        <w:rPr>
          <w:rFonts w:ascii="Arial" w:hAnsi="Arial"/>
          <w:sz w:val="22"/>
          <w:szCs w:val="22"/>
        </w:rPr>
        <w:t>4</w:t>
      </w:r>
      <w:r w:rsidR="00510FE5" w:rsidRPr="00EF1BAA">
        <w:rPr>
          <w:rFonts w:ascii="Arial" w:hAnsi="Arial"/>
          <w:sz w:val="22"/>
          <w:szCs w:val="22"/>
        </w:rPr>
        <w:t>-2019</w:t>
      </w:r>
      <w:r w:rsidRPr="00EF1BAA">
        <w:rPr>
          <w:rFonts w:ascii="Arial" w:hAnsi="Arial"/>
          <w:sz w:val="22"/>
          <w:szCs w:val="22"/>
        </w:rPr>
        <w:t xml:space="preserve"> je izkazano stabilnejše poslovanje ŽPI. </w:t>
      </w:r>
      <w:r w:rsidR="000D0720" w:rsidRPr="00EF1BAA">
        <w:rPr>
          <w:rFonts w:ascii="Arial" w:hAnsi="Arial"/>
          <w:sz w:val="22"/>
          <w:szCs w:val="22"/>
          <w:lang w:eastAsia="en-US"/>
        </w:rPr>
        <w:t xml:space="preserve">Številni kazalniki poslovanja podjetij ŽPI, kot so čisti prihodki na tujem trgu, zaposlenost in obseg izplačanih plač izkazujejo izboljšanje poslovanja celotne panoge. </w:t>
      </w:r>
    </w:p>
    <w:p w14:paraId="31B0028A" w14:textId="3227D646" w:rsidR="00586A30" w:rsidRPr="00EF1BAA" w:rsidRDefault="000D072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Na račun rasti števila zaposlenih pa se je zmanjšala produktivnost. Tako produktivnost kot tudi dodana vrednost na zaposlenega se v letu 2019 še vedno nista vrnili na raven pred gospodarsko-finančno krizo iz </w:t>
      </w:r>
      <w:r w:rsidR="00B3164C" w:rsidRPr="00EF1BAA">
        <w:rPr>
          <w:rFonts w:ascii="Arial" w:hAnsi="Arial"/>
          <w:sz w:val="22"/>
          <w:szCs w:val="22"/>
        </w:rPr>
        <w:t xml:space="preserve">l. </w:t>
      </w:r>
      <w:r w:rsidRPr="00EF1BAA">
        <w:rPr>
          <w:rFonts w:ascii="Arial" w:hAnsi="Arial"/>
          <w:sz w:val="22"/>
          <w:szCs w:val="22"/>
        </w:rPr>
        <w:t xml:space="preserve">2008. </w:t>
      </w:r>
    </w:p>
    <w:p w14:paraId="62DEC724" w14:textId="791BDCC6" w:rsidR="00F12C8C" w:rsidRPr="00EF1BAA" w:rsidRDefault="00F76D5C" w:rsidP="007613FE">
      <w:pPr>
        <w:pStyle w:val="Odstavekseznama"/>
        <w:numPr>
          <w:ilvl w:val="0"/>
          <w:numId w:val="75"/>
        </w:numPr>
        <w:spacing w:before="0" w:line="260" w:lineRule="atLeast"/>
        <w:ind w:left="426" w:hanging="284"/>
        <w:rPr>
          <w:rFonts w:ascii="Arial" w:hAnsi="Arial"/>
          <w:sz w:val="22"/>
          <w:szCs w:val="22"/>
          <w:lang w:eastAsia="en-US"/>
        </w:rPr>
      </w:pPr>
      <w:r w:rsidRPr="00EF1BAA">
        <w:rPr>
          <w:rFonts w:ascii="Arial" w:hAnsi="Arial"/>
          <w:sz w:val="22"/>
          <w:szCs w:val="22"/>
        </w:rPr>
        <w:t>Medtem ko č</w:t>
      </w:r>
      <w:r w:rsidR="00F12C8C" w:rsidRPr="00EF1BAA">
        <w:rPr>
          <w:rFonts w:ascii="Arial" w:hAnsi="Arial"/>
          <w:sz w:val="22"/>
          <w:szCs w:val="22"/>
        </w:rPr>
        <w:t xml:space="preserve">isti prihodki od prodaje na domačem trgu stagnirajo, </w:t>
      </w:r>
      <w:r w:rsidRPr="00EF1BAA">
        <w:rPr>
          <w:rFonts w:ascii="Arial" w:hAnsi="Arial"/>
          <w:sz w:val="22"/>
          <w:szCs w:val="22"/>
        </w:rPr>
        <w:t xml:space="preserve">se povečujejo </w:t>
      </w:r>
      <w:r w:rsidR="00F12C8C" w:rsidRPr="00EF1BAA">
        <w:rPr>
          <w:rFonts w:ascii="Arial" w:hAnsi="Arial"/>
          <w:sz w:val="22"/>
          <w:szCs w:val="22"/>
        </w:rPr>
        <w:t xml:space="preserve">čisti prihodki </w:t>
      </w:r>
      <w:r w:rsidRPr="00EF1BAA">
        <w:rPr>
          <w:rFonts w:ascii="Arial" w:hAnsi="Arial"/>
          <w:sz w:val="22"/>
          <w:szCs w:val="22"/>
        </w:rPr>
        <w:t xml:space="preserve">od prodaje </w:t>
      </w:r>
      <w:r w:rsidR="00F12C8C" w:rsidRPr="00EF1BAA">
        <w:rPr>
          <w:rFonts w:ascii="Arial" w:hAnsi="Arial"/>
          <w:sz w:val="22"/>
          <w:szCs w:val="22"/>
        </w:rPr>
        <w:t xml:space="preserve">na tujem trgu. </w:t>
      </w:r>
      <w:r w:rsidR="006B101E" w:rsidRPr="00EF1BAA">
        <w:rPr>
          <w:rFonts w:ascii="Arial" w:hAnsi="Arial"/>
          <w:sz w:val="22"/>
          <w:szCs w:val="22"/>
        </w:rPr>
        <w:t>Rast</w:t>
      </w:r>
      <w:r w:rsidR="00F12C8C" w:rsidRPr="00EF1BAA">
        <w:rPr>
          <w:rFonts w:ascii="Arial" w:hAnsi="Arial"/>
          <w:sz w:val="22"/>
          <w:szCs w:val="22"/>
        </w:rPr>
        <w:t xml:space="preserve"> izvoza kaže na rast konkurenčnosti slovenske </w:t>
      </w:r>
      <w:r w:rsidRPr="00EF1BAA">
        <w:rPr>
          <w:rFonts w:ascii="Arial" w:hAnsi="Arial"/>
          <w:sz w:val="22"/>
          <w:szCs w:val="22"/>
        </w:rPr>
        <w:t>ŽPI</w:t>
      </w:r>
      <w:r w:rsidR="00F12C8C" w:rsidRPr="00EF1BAA">
        <w:rPr>
          <w:rFonts w:ascii="Arial" w:hAnsi="Arial"/>
          <w:sz w:val="22"/>
          <w:szCs w:val="22"/>
        </w:rPr>
        <w:t xml:space="preserve"> na tujih trgih. Hkrati je izvoz nepredelanih kmetijskih surovin (mleko, živo govedo in prašiči) relativno visok</w:t>
      </w:r>
      <w:r w:rsidR="00B3164C" w:rsidRPr="00EF1BAA">
        <w:rPr>
          <w:rFonts w:ascii="Arial" w:hAnsi="Arial"/>
          <w:sz w:val="22"/>
          <w:szCs w:val="22"/>
        </w:rPr>
        <w:t>,</w:t>
      </w:r>
      <w:r w:rsidR="00F12C8C" w:rsidRPr="00EF1BAA">
        <w:rPr>
          <w:rFonts w:ascii="Arial" w:hAnsi="Arial"/>
          <w:sz w:val="22"/>
          <w:szCs w:val="22"/>
        </w:rPr>
        <w:t xml:space="preserve"> kar kaže na možnost</w:t>
      </w:r>
      <w:r w:rsidR="00B3164C" w:rsidRPr="00EF1BAA">
        <w:rPr>
          <w:rFonts w:ascii="Arial" w:hAnsi="Arial"/>
          <w:sz w:val="22"/>
          <w:szCs w:val="22"/>
        </w:rPr>
        <w:t>i</w:t>
      </w:r>
      <w:r w:rsidR="00F12C8C" w:rsidRPr="00EF1BAA">
        <w:rPr>
          <w:rFonts w:ascii="Arial" w:hAnsi="Arial"/>
          <w:sz w:val="22"/>
          <w:szCs w:val="22"/>
        </w:rPr>
        <w:t xml:space="preserve"> predelave teh surovin v Sloveniji in </w:t>
      </w:r>
      <w:r w:rsidRPr="00EF1BAA">
        <w:rPr>
          <w:rFonts w:ascii="Arial" w:hAnsi="Arial"/>
          <w:sz w:val="22"/>
          <w:szCs w:val="22"/>
        </w:rPr>
        <w:t>r</w:t>
      </w:r>
      <w:r w:rsidR="00610C3A" w:rsidRPr="00EF1BAA">
        <w:rPr>
          <w:rFonts w:ascii="Arial" w:hAnsi="Arial"/>
          <w:sz w:val="22"/>
          <w:szCs w:val="22"/>
        </w:rPr>
        <w:t>azvoj domačih</w:t>
      </w:r>
      <w:r w:rsidRPr="00EF1BAA">
        <w:rPr>
          <w:rFonts w:ascii="Arial" w:hAnsi="Arial"/>
          <w:sz w:val="22"/>
          <w:szCs w:val="22"/>
        </w:rPr>
        <w:t xml:space="preserve"> </w:t>
      </w:r>
      <w:r w:rsidR="00F12C8C" w:rsidRPr="00EF1BAA">
        <w:rPr>
          <w:rFonts w:ascii="Arial" w:hAnsi="Arial"/>
          <w:sz w:val="22"/>
          <w:szCs w:val="22"/>
        </w:rPr>
        <w:t xml:space="preserve">verig vrednosti. </w:t>
      </w:r>
    </w:p>
    <w:p w14:paraId="0F09B17B" w14:textId="5F0F2A31" w:rsidR="006B101E" w:rsidRPr="00EF1BAA" w:rsidRDefault="006B101E"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Zaradi manjše domače proizvodnje na določenih sektorjih, nepovezanosti primarnih proizvajalcev in višjih cen domačih kmetijskih surovin se ŽPI sooča s pomanjkanjem surovine, zaradi česar je odvisna od uvoza le-teh. </w:t>
      </w:r>
    </w:p>
    <w:p w14:paraId="6D41CC0A" w14:textId="657B6D40" w:rsidR="006B101E" w:rsidRPr="00EF1BAA" w:rsidRDefault="006B101E"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Kljub zavedanju o nujnosti</w:t>
      </w:r>
      <w:r w:rsidR="002E44F9" w:rsidRPr="00EF1BAA">
        <w:rPr>
          <w:rFonts w:ascii="Arial" w:hAnsi="Arial"/>
          <w:sz w:val="22"/>
          <w:szCs w:val="22"/>
        </w:rPr>
        <w:t xml:space="preserve"> povezovanja v verige vrednosti in zagotavljanja stabilne pridelave na območju države ni konkretnih rezultatov </w:t>
      </w:r>
      <w:r w:rsidR="00722CD0" w:rsidRPr="00EF1BAA">
        <w:rPr>
          <w:rFonts w:ascii="Arial" w:hAnsi="Arial"/>
          <w:sz w:val="22"/>
          <w:szCs w:val="22"/>
        </w:rPr>
        <w:t xml:space="preserve">povezovanja </w:t>
      </w:r>
      <w:r w:rsidR="002E44F9" w:rsidRPr="00EF1BAA">
        <w:rPr>
          <w:rFonts w:ascii="Arial" w:hAnsi="Arial"/>
          <w:sz w:val="22"/>
          <w:szCs w:val="22"/>
        </w:rPr>
        <w:t xml:space="preserve">ŽPI z domačimi </w:t>
      </w:r>
      <w:r w:rsidR="00722CD0" w:rsidRPr="00EF1BAA">
        <w:rPr>
          <w:rFonts w:ascii="Arial" w:hAnsi="Arial"/>
          <w:sz w:val="22"/>
          <w:szCs w:val="22"/>
        </w:rPr>
        <w:t>proizvajalci kmetijskih proizvodov na lokalnem trgu.</w:t>
      </w:r>
      <w:r w:rsidR="002E44F9" w:rsidRPr="00EF1BAA">
        <w:rPr>
          <w:rFonts w:ascii="Arial" w:hAnsi="Arial"/>
          <w:sz w:val="22"/>
          <w:szCs w:val="22"/>
        </w:rPr>
        <w:t xml:space="preserve"> </w:t>
      </w:r>
    </w:p>
    <w:p w14:paraId="6428B6E9" w14:textId="6098D5E7" w:rsidR="00162258" w:rsidRPr="00EF1BAA" w:rsidRDefault="00736BA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Povečuje </w:t>
      </w:r>
      <w:r w:rsidR="00586A30" w:rsidRPr="00EF1BAA">
        <w:rPr>
          <w:rFonts w:ascii="Arial" w:hAnsi="Arial"/>
          <w:sz w:val="22"/>
          <w:szCs w:val="22"/>
        </w:rPr>
        <w:t xml:space="preserve">se predelava kmetijskih pridelkov v </w:t>
      </w:r>
      <w:r w:rsidRPr="00EF1BAA">
        <w:rPr>
          <w:rFonts w:ascii="Arial" w:hAnsi="Arial"/>
          <w:sz w:val="22"/>
          <w:szCs w:val="22"/>
        </w:rPr>
        <w:t xml:space="preserve">okviru </w:t>
      </w:r>
      <w:r w:rsidR="00586A30" w:rsidRPr="00EF1BAA">
        <w:rPr>
          <w:rFonts w:ascii="Arial" w:hAnsi="Arial"/>
          <w:sz w:val="22"/>
          <w:szCs w:val="22"/>
        </w:rPr>
        <w:t>dopolniln</w:t>
      </w:r>
      <w:r w:rsidR="00B3164C" w:rsidRPr="00EF1BAA">
        <w:rPr>
          <w:rFonts w:ascii="Arial" w:hAnsi="Arial"/>
          <w:sz w:val="22"/>
          <w:szCs w:val="22"/>
        </w:rPr>
        <w:t>e</w:t>
      </w:r>
      <w:r w:rsidR="00586A30" w:rsidRPr="00EF1BAA">
        <w:rPr>
          <w:rFonts w:ascii="Arial" w:hAnsi="Arial"/>
          <w:sz w:val="22"/>
          <w:szCs w:val="22"/>
        </w:rPr>
        <w:t xml:space="preserve"> dejavnost</w:t>
      </w:r>
      <w:r w:rsidR="00B3164C" w:rsidRPr="00EF1BAA">
        <w:rPr>
          <w:rFonts w:ascii="Arial" w:hAnsi="Arial"/>
          <w:sz w:val="22"/>
          <w:szCs w:val="22"/>
        </w:rPr>
        <w:t>i</w:t>
      </w:r>
      <w:r w:rsidR="00586A30" w:rsidRPr="00EF1BAA">
        <w:rPr>
          <w:rFonts w:ascii="Arial" w:hAnsi="Arial"/>
          <w:sz w:val="22"/>
          <w:szCs w:val="22"/>
        </w:rPr>
        <w:t xml:space="preserve"> na kmetij</w:t>
      </w:r>
      <w:r w:rsidRPr="00EF1BAA">
        <w:rPr>
          <w:rFonts w:ascii="Arial" w:hAnsi="Arial"/>
          <w:sz w:val="22"/>
          <w:szCs w:val="22"/>
        </w:rPr>
        <w:t xml:space="preserve">ah, kar prinaša priložnost </w:t>
      </w:r>
      <w:r w:rsidR="00586A30" w:rsidRPr="00EF1BAA">
        <w:rPr>
          <w:rFonts w:ascii="Arial" w:hAnsi="Arial"/>
          <w:sz w:val="22"/>
          <w:szCs w:val="22"/>
        </w:rPr>
        <w:t>z vidika dodajanja vrednosti kmetijskim proizvodom in dodatn</w:t>
      </w:r>
      <w:r w:rsidRPr="00EF1BAA">
        <w:rPr>
          <w:rFonts w:ascii="Arial" w:hAnsi="Arial"/>
          <w:sz w:val="22"/>
          <w:szCs w:val="22"/>
        </w:rPr>
        <w:t>ega</w:t>
      </w:r>
      <w:r w:rsidR="00586A30" w:rsidRPr="00EF1BAA">
        <w:rPr>
          <w:rFonts w:ascii="Arial" w:hAnsi="Arial"/>
          <w:sz w:val="22"/>
          <w:szCs w:val="22"/>
        </w:rPr>
        <w:t xml:space="preserve"> vir</w:t>
      </w:r>
      <w:r w:rsidRPr="00EF1BAA">
        <w:rPr>
          <w:rFonts w:ascii="Arial" w:hAnsi="Arial"/>
          <w:sz w:val="22"/>
          <w:szCs w:val="22"/>
        </w:rPr>
        <w:t>a</w:t>
      </w:r>
      <w:r w:rsidR="00586A30" w:rsidRPr="00EF1BAA">
        <w:rPr>
          <w:rFonts w:ascii="Arial" w:hAnsi="Arial"/>
          <w:sz w:val="22"/>
          <w:szCs w:val="22"/>
        </w:rPr>
        <w:t xml:space="preserve"> dohodka na kmetiji.</w:t>
      </w:r>
    </w:p>
    <w:p w14:paraId="66224AFF" w14:textId="6252EE09" w:rsidR="00B3164C" w:rsidRPr="00EF1BAA" w:rsidRDefault="003000F3"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Naložbena podpora iz PRP 2014–2020 je pozitivno vplivala na investicijske odločitve, zlasti mikro in majhnih, pri čemer so bile naložbe usmerjene zlasti v nakup nove opreme, strojev in naprav, kar kaže na tehnološko posodabljanje sektorja. </w:t>
      </w:r>
    </w:p>
    <w:p w14:paraId="5002BFB2" w14:textId="6BE9B97A" w:rsidR="0012770D" w:rsidRPr="00EF1BAA" w:rsidRDefault="0012770D"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Počasneje se izvajajo procesi racionalizacije in prestrukturiranja v smeri razvoja inovativnih proizvodov, ki bi ustrezali novim trendom (zdrava prehrana prilagojena hitremu načinu življenja ter novi prehrambeni in drugi proizvodi kot npr. biorazgradljiva embalaža)</w:t>
      </w:r>
      <w:r w:rsidR="00B3164C" w:rsidRPr="00EF1BAA">
        <w:rPr>
          <w:rFonts w:ascii="Arial" w:hAnsi="Arial"/>
          <w:sz w:val="22"/>
          <w:szCs w:val="22"/>
        </w:rPr>
        <w:t>, digitalizacije, učinkovite rabe energije in krožnega gospodarstva</w:t>
      </w:r>
      <w:r w:rsidRPr="00EF1BAA">
        <w:rPr>
          <w:rFonts w:ascii="Arial" w:hAnsi="Arial"/>
          <w:sz w:val="22"/>
          <w:szCs w:val="22"/>
        </w:rPr>
        <w:t>.</w:t>
      </w:r>
    </w:p>
    <w:p w14:paraId="11764ED6" w14:textId="69706D8F" w:rsidR="0012770D" w:rsidRPr="00EF1BAA" w:rsidRDefault="0012770D"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Produktivnost, merjena s prihodki od prodaje na zaposlenega</w:t>
      </w:r>
      <w:r w:rsidR="00B3164C" w:rsidRPr="00EF1BAA">
        <w:rPr>
          <w:rFonts w:ascii="Arial" w:hAnsi="Arial"/>
          <w:sz w:val="22"/>
          <w:szCs w:val="22"/>
        </w:rPr>
        <w:t>,</w:t>
      </w:r>
      <w:r w:rsidRPr="00EF1BAA">
        <w:rPr>
          <w:rFonts w:ascii="Arial" w:hAnsi="Arial"/>
          <w:sz w:val="22"/>
          <w:szCs w:val="22"/>
        </w:rPr>
        <w:t xml:space="preserve"> je v </w:t>
      </w:r>
      <w:r w:rsidR="00B3164C" w:rsidRPr="00EF1BAA">
        <w:rPr>
          <w:rFonts w:ascii="Arial" w:hAnsi="Arial"/>
          <w:sz w:val="22"/>
          <w:szCs w:val="22"/>
        </w:rPr>
        <w:t>ŽPI</w:t>
      </w:r>
      <w:r w:rsidRPr="00EF1BAA">
        <w:rPr>
          <w:rFonts w:ascii="Arial" w:hAnsi="Arial"/>
          <w:sz w:val="22"/>
          <w:szCs w:val="22"/>
        </w:rPr>
        <w:t xml:space="preserve"> v povprečju nižja kot v ostalih predelovalnih dejavnostih, zato bodo potrebna dodatna vlaganja in dodatni napori za dvig produktivnost v živilskopredelovalni industriji (digitalizacija, učinkovita raba energije, krožno gospodarstvo).</w:t>
      </w:r>
    </w:p>
    <w:p w14:paraId="2EE4037A" w14:textId="73C5BE3F" w:rsidR="00F12C8C" w:rsidRPr="00EF1BAA" w:rsidRDefault="00F12C8C"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Živilskopredelovalna podjetja </w:t>
      </w:r>
      <w:r w:rsidR="00301906" w:rsidRPr="00EF1BAA">
        <w:rPr>
          <w:rFonts w:ascii="Arial" w:hAnsi="Arial"/>
          <w:sz w:val="22"/>
          <w:szCs w:val="22"/>
        </w:rPr>
        <w:t xml:space="preserve">tudi </w:t>
      </w:r>
      <w:r w:rsidR="00C65E69" w:rsidRPr="00EF1BAA">
        <w:rPr>
          <w:rFonts w:ascii="Arial" w:hAnsi="Arial"/>
          <w:sz w:val="22"/>
          <w:szCs w:val="22"/>
        </w:rPr>
        <w:t>z</w:t>
      </w:r>
      <w:r w:rsidR="00301906" w:rsidRPr="00EF1BAA">
        <w:rPr>
          <w:rFonts w:ascii="Arial" w:hAnsi="Arial"/>
          <w:sz w:val="22"/>
          <w:szCs w:val="22"/>
        </w:rPr>
        <w:t xml:space="preserve">a financiranje naložb </w:t>
      </w:r>
      <w:r w:rsidRPr="00EF1BAA">
        <w:rPr>
          <w:rFonts w:ascii="Arial" w:hAnsi="Arial"/>
          <w:sz w:val="22"/>
          <w:szCs w:val="22"/>
        </w:rPr>
        <w:t xml:space="preserve">večinoma zaprošajo za kratkoročna posojila, </w:t>
      </w:r>
      <w:r w:rsidR="00301906" w:rsidRPr="00EF1BAA">
        <w:rPr>
          <w:rFonts w:ascii="Arial" w:hAnsi="Arial"/>
          <w:sz w:val="22"/>
          <w:szCs w:val="22"/>
        </w:rPr>
        <w:t xml:space="preserve">kar kaže na težave </w:t>
      </w:r>
      <w:r w:rsidRPr="00EF1BAA">
        <w:rPr>
          <w:rFonts w:ascii="Arial" w:hAnsi="Arial"/>
          <w:sz w:val="22"/>
          <w:szCs w:val="22"/>
        </w:rPr>
        <w:t>pri dostopu do posojil z daljšo ročnostjo</w:t>
      </w:r>
      <w:r w:rsidR="00877627" w:rsidRPr="00EF1BAA">
        <w:rPr>
          <w:rFonts w:ascii="Arial" w:hAnsi="Arial"/>
          <w:sz w:val="22"/>
          <w:szCs w:val="22"/>
        </w:rPr>
        <w:t xml:space="preserve">, predvsem za majhna podjetja. </w:t>
      </w:r>
    </w:p>
    <w:p w14:paraId="49241256" w14:textId="1CB1FD5D" w:rsidR="00510FE5" w:rsidRPr="00EF1BAA" w:rsidRDefault="00301906"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Delež naložb v predelavo ali trženje kmetijskih proizvodov na kmetiji ni sorazmeren deležu naložb </w:t>
      </w:r>
      <w:r w:rsidR="00A466BB" w:rsidRPr="00EF1BAA">
        <w:rPr>
          <w:rFonts w:ascii="Arial" w:hAnsi="Arial"/>
          <w:sz w:val="22"/>
          <w:szCs w:val="22"/>
        </w:rPr>
        <w:t xml:space="preserve">v </w:t>
      </w:r>
      <w:r w:rsidRPr="00EF1BAA">
        <w:rPr>
          <w:rFonts w:ascii="Arial" w:hAnsi="Arial"/>
          <w:sz w:val="22"/>
          <w:szCs w:val="22"/>
        </w:rPr>
        <w:t xml:space="preserve">osnovno kmetijsko proizvodnjo, kar </w:t>
      </w:r>
      <w:r w:rsidR="00A466BB" w:rsidRPr="00EF1BAA">
        <w:rPr>
          <w:rFonts w:ascii="Arial" w:hAnsi="Arial"/>
          <w:sz w:val="22"/>
          <w:szCs w:val="22"/>
        </w:rPr>
        <w:t>predstavlja</w:t>
      </w:r>
      <w:r w:rsidRPr="00EF1BAA">
        <w:rPr>
          <w:rFonts w:ascii="Arial" w:hAnsi="Arial"/>
          <w:sz w:val="22"/>
          <w:szCs w:val="22"/>
        </w:rPr>
        <w:t xml:space="preserve"> </w:t>
      </w:r>
      <w:r w:rsidR="00A466BB" w:rsidRPr="00EF1BAA">
        <w:rPr>
          <w:rFonts w:ascii="Arial" w:hAnsi="Arial"/>
          <w:sz w:val="22"/>
          <w:szCs w:val="22"/>
        </w:rPr>
        <w:t>ne</w:t>
      </w:r>
      <w:r w:rsidRPr="00EF1BAA">
        <w:rPr>
          <w:rFonts w:ascii="Arial" w:hAnsi="Arial"/>
          <w:sz w:val="22"/>
          <w:szCs w:val="22"/>
        </w:rPr>
        <w:t xml:space="preserve">izkoriščen potencial za </w:t>
      </w:r>
      <w:r w:rsidR="00A466BB" w:rsidRPr="00EF1BAA">
        <w:rPr>
          <w:rFonts w:ascii="Arial" w:hAnsi="Arial"/>
          <w:sz w:val="22"/>
          <w:szCs w:val="22"/>
        </w:rPr>
        <w:t xml:space="preserve">predelavo ali trženje </w:t>
      </w:r>
      <w:r w:rsidRPr="00EF1BAA">
        <w:rPr>
          <w:rFonts w:ascii="Arial" w:hAnsi="Arial"/>
          <w:sz w:val="22"/>
          <w:szCs w:val="22"/>
        </w:rPr>
        <w:t>izdelk</w:t>
      </w:r>
      <w:r w:rsidR="00A466BB" w:rsidRPr="00EF1BAA">
        <w:rPr>
          <w:rFonts w:ascii="Arial" w:hAnsi="Arial"/>
          <w:sz w:val="22"/>
          <w:szCs w:val="22"/>
        </w:rPr>
        <w:t>ov z</w:t>
      </w:r>
      <w:r w:rsidRPr="00EF1BAA">
        <w:rPr>
          <w:rFonts w:ascii="Arial" w:hAnsi="Arial"/>
          <w:sz w:val="22"/>
          <w:szCs w:val="22"/>
        </w:rPr>
        <w:t xml:space="preserve"> višj</w:t>
      </w:r>
      <w:r w:rsidR="00A466BB" w:rsidRPr="00EF1BAA">
        <w:rPr>
          <w:rFonts w:ascii="Arial" w:hAnsi="Arial"/>
          <w:sz w:val="22"/>
          <w:szCs w:val="22"/>
        </w:rPr>
        <w:t>o</w:t>
      </w:r>
      <w:r w:rsidRPr="00EF1BAA">
        <w:rPr>
          <w:rFonts w:ascii="Arial" w:hAnsi="Arial"/>
          <w:sz w:val="22"/>
          <w:szCs w:val="22"/>
        </w:rPr>
        <w:t xml:space="preserve"> dodan</w:t>
      </w:r>
      <w:r w:rsidR="00A466BB" w:rsidRPr="00EF1BAA">
        <w:rPr>
          <w:rFonts w:ascii="Arial" w:hAnsi="Arial"/>
          <w:sz w:val="22"/>
          <w:szCs w:val="22"/>
        </w:rPr>
        <w:t>o vrednostjo</w:t>
      </w:r>
      <w:r w:rsidRPr="00EF1BAA">
        <w:rPr>
          <w:rFonts w:ascii="Arial" w:hAnsi="Arial"/>
          <w:sz w:val="22"/>
          <w:szCs w:val="22"/>
        </w:rPr>
        <w:t xml:space="preserve">. </w:t>
      </w:r>
    </w:p>
    <w:p w14:paraId="32C68E70" w14:textId="67E34DB0" w:rsidR="00CF22DF" w:rsidRPr="00EF1BAA" w:rsidRDefault="00B3164C"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w:t>
      </w:r>
      <w:r w:rsidR="00CF22DF" w:rsidRPr="00EF1BAA">
        <w:rPr>
          <w:rFonts w:ascii="Arial" w:hAnsi="Arial"/>
          <w:sz w:val="22"/>
          <w:szCs w:val="22"/>
        </w:rPr>
        <w:t>odprt</w:t>
      </w:r>
      <w:r w:rsidRPr="00EF1BAA">
        <w:rPr>
          <w:rFonts w:ascii="Arial" w:hAnsi="Arial"/>
          <w:sz w:val="22"/>
          <w:szCs w:val="22"/>
        </w:rPr>
        <w:t>e</w:t>
      </w:r>
      <w:r w:rsidR="00CF22DF" w:rsidRPr="00EF1BAA">
        <w:rPr>
          <w:rFonts w:ascii="Arial" w:hAnsi="Arial"/>
          <w:sz w:val="22"/>
          <w:szCs w:val="22"/>
        </w:rPr>
        <w:t xml:space="preserve"> naložb </w:t>
      </w:r>
      <w:r w:rsidR="00970AE5" w:rsidRPr="00EF1BAA">
        <w:rPr>
          <w:rFonts w:ascii="Arial" w:hAnsi="Arial"/>
          <w:sz w:val="22"/>
          <w:szCs w:val="22"/>
        </w:rPr>
        <w:t xml:space="preserve">na OMD - </w:t>
      </w:r>
      <w:r w:rsidR="00CF22DF" w:rsidRPr="00EF1BAA">
        <w:rPr>
          <w:rFonts w:ascii="Arial" w:hAnsi="Arial"/>
          <w:sz w:val="22"/>
          <w:szCs w:val="22"/>
        </w:rPr>
        <w:t>gorsk</w:t>
      </w:r>
      <w:r w:rsidR="00970AE5" w:rsidRPr="00EF1BAA">
        <w:rPr>
          <w:rFonts w:ascii="Arial" w:hAnsi="Arial"/>
          <w:sz w:val="22"/>
          <w:szCs w:val="22"/>
        </w:rPr>
        <w:t>a</w:t>
      </w:r>
      <w:r w:rsidR="00CF22DF" w:rsidRPr="00EF1BAA">
        <w:rPr>
          <w:rFonts w:ascii="Arial" w:hAnsi="Arial"/>
          <w:sz w:val="22"/>
          <w:szCs w:val="22"/>
        </w:rPr>
        <w:t xml:space="preserve"> območj</w:t>
      </w:r>
      <w:r w:rsidR="00970AE5" w:rsidRPr="00EF1BAA">
        <w:rPr>
          <w:rFonts w:ascii="Arial" w:hAnsi="Arial"/>
          <w:sz w:val="22"/>
          <w:szCs w:val="22"/>
        </w:rPr>
        <w:t>a</w:t>
      </w:r>
      <w:r w:rsidR="00CF22DF" w:rsidRPr="00EF1BAA">
        <w:rPr>
          <w:rFonts w:ascii="Arial" w:hAnsi="Arial"/>
          <w:sz w:val="22"/>
          <w:szCs w:val="22"/>
        </w:rPr>
        <w:t xml:space="preserve"> in v sektorji</w:t>
      </w:r>
      <w:r w:rsidR="00970AE5" w:rsidRPr="00EF1BAA">
        <w:rPr>
          <w:rFonts w:ascii="Arial" w:hAnsi="Arial"/>
          <w:sz w:val="22"/>
          <w:szCs w:val="22"/>
        </w:rPr>
        <w:t>h</w:t>
      </w:r>
      <w:r w:rsidR="00CF22DF" w:rsidRPr="00EF1BAA">
        <w:rPr>
          <w:rFonts w:ascii="Arial" w:hAnsi="Arial"/>
          <w:sz w:val="22"/>
          <w:szCs w:val="22"/>
        </w:rPr>
        <w:t xml:space="preserve"> z nižjo stopnjo samooskrbe predstavlja</w:t>
      </w:r>
      <w:r w:rsidRPr="00EF1BAA">
        <w:rPr>
          <w:rFonts w:ascii="Arial" w:hAnsi="Arial"/>
          <w:sz w:val="22"/>
          <w:szCs w:val="22"/>
        </w:rPr>
        <w:t>jo</w:t>
      </w:r>
      <w:r w:rsidR="00CF22DF" w:rsidRPr="00EF1BAA">
        <w:rPr>
          <w:rFonts w:ascii="Arial" w:hAnsi="Arial"/>
          <w:sz w:val="22"/>
          <w:szCs w:val="22"/>
        </w:rPr>
        <w:t xml:space="preserve"> </w:t>
      </w:r>
      <w:r w:rsidR="003B41F6" w:rsidRPr="00EF1BAA">
        <w:rPr>
          <w:rFonts w:ascii="Arial" w:hAnsi="Arial"/>
          <w:sz w:val="22"/>
          <w:szCs w:val="22"/>
        </w:rPr>
        <w:t xml:space="preserve">manjši delež glede na celotno vrednost podprtih naložb v okviru PRP 2014-2020. </w:t>
      </w:r>
    </w:p>
    <w:p w14:paraId="17F8EB20" w14:textId="39B01D32" w:rsidR="00C37E12" w:rsidRPr="00EF1BAA" w:rsidRDefault="007A46C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Približno</w:t>
      </w:r>
      <w:r w:rsidR="0068471E" w:rsidRPr="00EF1BAA">
        <w:rPr>
          <w:rFonts w:ascii="Arial" w:hAnsi="Arial"/>
          <w:sz w:val="22"/>
          <w:szCs w:val="22"/>
        </w:rPr>
        <w:t xml:space="preserve"> tretjina odobrenih sredstev v okviru podukrepa M04.2 je namenjena naložbam v ekološko predelavo</w:t>
      </w:r>
      <w:r w:rsidR="00D040FD" w:rsidRPr="00EF1BAA">
        <w:rPr>
          <w:rFonts w:ascii="Arial" w:hAnsi="Arial"/>
          <w:sz w:val="22"/>
          <w:szCs w:val="22"/>
        </w:rPr>
        <w:t xml:space="preserve"> ali trženje</w:t>
      </w:r>
      <w:r w:rsidR="0068471E" w:rsidRPr="00EF1BAA">
        <w:rPr>
          <w:rFonts w:ascii="Arial" w:hAnsi="Arial"/>
          <w:sz w:val="22"/>
          <w:szCs w:val="22"/>
        </w:rPr>
        <w:t>, pri čemer pa je njihova vrednost mal</w:t>
      </w:r>
      <w:r w:rsidR="00D040FD" w:rsidRPr="00EF1BAA">
        <w:rPr>
          <w:rFonts w:ascii="Arial" w:hAnsi="Arial"/>
          <w:sz w:val="22"/>
          <w:szCs w:val="22"/>
        </w:rPr>
        <w:t>o</w:t>
      </w:r>
      <w:r w:rsidR="0068471E" w:rsidRPr="00EF1BAA">
        <w:rPr>
          <w:rFonts w:ascii="Arial" w:hAnsi="Arial"/>
          <w:sz w:val="22"/>
          <w:szCs w:val="22"/>
        </w:rPr>
        <w:t xml:space="preserve"> višja od vrednosti drugih naložb v predelavo</w:t>
      </w:r>
      <w:r w:rsidR="00D040FD" w:rsidRPr="00EF1BAA">
        <w:rPr>
          <w:rFonts w:ascii="Arial" w:hAnsi="Arial"/>
          <w:sz w:val="22"/>
          <w:szCs w:val="22"/>
        </w:rPr>
        <w:t xml:space="preserve"> ali trženje</w:t>
      </w:r>
      <w:r w:rsidR="0068471E" w:rsidRPr="00EF1BAA">
        <w:rPr>
          <w:rFonts w:ascii="Arial" w:hAnsi="Arial"/>
          <w:sz w:val="22"/>
          <w:szCs w:val="22"/>
        </w:rPr>
        <w:t xml:space="preserve">. </w:t>
      </w:r>
    </w:p>
    <w:p w14:paraId="55BDC67F" w14:textId="77777777" w:rsidR="000A44F0" w:rsidRPr="000A44F0" w:rsidRDefault="000A44F0" w:rsidP="007613FE">
      <w:pPr>
        <w:spacing w:before="0" w:line="260" w:lineRule="atLeast"/>
      </w:pPr>
    </w:p>
    <w:p w14:paraId="3BB55918" w14:textId="77777777" w:rsidR="003406B9" w:rsidRPr="0047652B" w:rsidRDefault="003406B9" w:rsidP="007613FE">
      <w:pPr>
        <w:pStyle w:val="Odstavekseznama"/>
        <w:spacing w:before="0" w:line="260" w:lineRule="atLeast"/>
        <w:ind w:left="426"/>
        <w:rPr>
          <w:rFonts w:ascii="Arial" w:hAnsi="Arial"/>
          <w:lang w:eastAsia="en-US"/>
        </w:rPr>
      </w:pPr>
    </w:p>
    <w:p w14:paraId="0AD08387" w14:textId="77777777" w:rsidR="00954B88" w:rsidRDefault="00954B88">
      <w:pPr>
        <w:spacing w:before="0" w:after="200" w:line="276" w:lineRule="auto"/>
        <w:jc w:val="left"/>
        <w:rPr>
          <w:rFonts w:eastAsia="Calibri"/>
          <w:b/>
          <w:sz w:val="28"/>
          <w:szCs w:val="28"/>
          <w:lang w:eastAsia="en-US"/>
        </w:rPr>
      </w:pPr>
      <w:r>
        <w:rPr>
          <w:sz w:val="28"/>
          <w:szCs w:val="28"/>
        </w:rPr>
        <w:br w:type="page"/>
      </w:r>
    </w:p>
    <w:p w14:paraId="0BFA2C4E" w14:textId="455CB05E" w:rsidR="003406B9" w:rsidRDefault="00006AD8" w:rsidP="005C6188">
      <w:pPr>
        <w:pStyle w:val="Naslov1"/>
      </w:pPr>
      <w:bookmarkStart w:id="3255" w:name="_Toc90462301"/>
      <w:r>
        <w:t>T</w:t>
      </w:r>
      <w:r w:rsidRPr="00006AD8">
        <w:t>rgovinska bilanca z agro-živilskimi proizvodi</w:t>
      </w:r>
      <w:bookmarkEnd w:id="3255"/>
    </w:p>
    <w:p w14:paraId="3353BBA9" w14:textId="77777777" w:rsidR="003406B9" w:rsidRDefault="003406B9" w:rsidP="007613FE">
      <w:pPr>
        <w:pStyle w:val="1"/>
        <w:spacing w:before="0"/>
      </w:pPr>
    </w:p>
    <w:p w14:paraId="7C2E19BB" w14:textId="47D3F946" w:rsidR="0055789D" w:rsidRPr="00451314" w:rsidRDefault="0055789D" w:rsidP="005C6188">
      <w:pPr>
        <w:pStyle w:val="Naslov2"/>
      </w:pPr>
      <w:bookmarkStart w:id="3256" w:name="_Toc90462302"/>
      <w:r w:rsidRPr="00451314">
        <w:t xml:space="preserve">Trgovinska bilanca kmetijskih proizvodov po skupinah blaga </w:t>
      </w:r>
      <w:r w:rsidR="009C194F">
        <w:t>(C.30)</w:t>
      </w:r>
      <w:bookmarkEnd w:id="3256"/>
    </w:p>
    <w:p w14:paraId="280C85F2" w14:textId="74E55190" w:rsidR="0055789D" w:rsidRPr="0047652B" w:rsidRDefault="0055789D" w:rsidP="007613FE">
      <w:pPr>
        <w:pStyle w:val="1"/>
        <w:spacing w:before="0"/>
      </w:pPr>
    </w:p>
    <w:p w14:paraId="037B67B7" w14:textId="78C19151" w:rsidR="00F238AB" w:rsidRPr="005C6188" w:rsidRDefault="00F238AB" w:rsidP="007613FE">
      <w:pPr>
        <w:pStyle w:val="ZPtekst"/>
        <w:spacing w:before="0" w:line="260" w:lineRule="atLeast"/>
        <w:rPr>
          <w:szCs w:val="20"/>
        </w:rPr>
      </w:pPr>
      <w:r w:rsidRPr="005C6188">
        <w:rPr>
          <w:szCs w:val="20"/>
        </w:rPr>
        <w:t>V obdobju 2007</w:t>
      </w:r>
      <w:r w:rsidR="00F6748E" w:rsidRPr="005C6188">
        <w:rPr>
          <w:szCs w:val="20"/>
        </w:rPr>
        <w:t>-2019</w:t>
      </w:r>
      <w:r w:rsidRPr="005C6188">
        <w:rPr>
          <w:szCs w:val="20"/>
        </w:rPr>
        <w:t xml:space="preserve"> je bila pozitivna zunanjetrgovinska bilanca pri živih živalih, izdelkih iz mesa ter oljnih semenih in plodovih. Povečal se je presežek v skupini izdelki iz mesa, ki se povečuje po največjem padcu od leta 2012. Največji primanjkljaj je bil pri mesu in drugih klavničnih proizvodih, sadju, vrtninah, izdelkih iz žit ter izdelkih iz vrtnin in sadja. </w:t>
      </w:r>
      <w:r w:rsidR="005A59A3">
        <w:rPr>
          <w:szCs w:val="20"/>
        </w:rPr>
        <w:t xml:space="preserve">Skupna zunanjetrgovinska bilanca je sicer kljub izboljševanju izvozne konkurenčnosti slovenske ŽPI negativna, kar pomeni, da se uvozi več agro-živilskih proizvodov, kot se jih izvozi.  </w:t>
      </w:r>
    </w:p>
    <w:p w14:paraId="30467FF1" w14:textId="77777777" w:rsidR="00F238AB" w:rsidRDefault="00F238AB" w:rsidP="007613FE">
      <w:pPr>
        <w:pStyle w:val="ZPtekst"/>
        <w:spacing w:before="0" w:line="260" w:lineRule="atLeast"/>
        <w:rPr>
          <w:sz w:val="20"/>
          <w:szCs w:val="20"/>
        </w:rPr>
      </w:pPr>
    </w:p>
    <w:p w14:paraId="1BA71DB0" w14:textId="25AAFF4E" w:rsidR="00F238AB" w:rsidRDefault="00C438DF" w:rsidP="005C6188">
      <w:pPr>
        <w:pStyle w:val="SCSlika0"/>
      </w:pPr>
      <w:bookmarkStart w:id="3257" w:name="_Toc89851140"/>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98</w:t>
      </w:r>
      <w:r w:rsidR="009F2591">
        <w:rPr>
          <w:noProof/>
        </w:rPr>
        <w:fldChar w:fldCharType="end"/>
      </w:r>
      <w:r w:rsidR="00F238AB" w:rsidRPr="009F3567">
        <w:t>:</w:t>
      </w:r>
      <w:r w:rsidR="00F238AB" w:rsidRPr="009F3567">
        <w:rPr>
          <w:i/>
        </w:rPr>
        <w:t xml:space="preserve"> </w:t>
      </w:r>
      <w:r w:rsidR="00F238AB" w:rsidRPr="009F3567">
        <w:t xml:space="preserve">Zunanjetrgovinska bilanca agroživilstva po tarifnih skupinah </w:t>
      </w:r>
      <w:r w:rsidR="00F6748E">
        <w:t>v obdobjih 2007</w:t>
      </w:r>
      <w:r w:rsidR="00307A17">
        <w:t>–</w:t>
      </w:r>
      <w:r w:rsidR="00F6748E">
        <w:t>2013 in 2014</w:t>
      </w:r>
      <w:r w:rsidR="00307A17">
        <w:t>–</w:t>
      </w:r>
      <w:r w:rsidR="00F6748E">
        <w:t xml:space="preserve">2019, v </w:t>
      </w:r>
      <w:r w:rsidR="00F238AB" w:rsidRPr="009F3567">
        <w:t xml:space="preserve">mio </w:t>
      </w:r>
      <w:r w:rsidR="00F238AB" w:rsidRPr="00687C6E">
        <w:t>EUR (</w:t>
      </w:r>
      <w:r w:rsidR="00F238AB" w:rsidRPr="001261D8">
        <w:t>kazalnik stanja C.30)</w:t>
      </w:r>
      <w:bookmarkEnd w:id="3257"/>
    </w:p>
    <w:p w14:paraId="740DFB52" w14:textId="64E2E874" w:rsidR="00E77924" w:rsidRPr="00E77924" w:rsidRDefault="00E77924" w:rsidP="00E77924">
      <w:r>
        <w:rPr>
          <w:noProof/>
          <w:lang w:eastAsia="sl-SI"/>
        </w:rPr>
        <w:drawing>
          <wp:inline distT="0" distB="0" distL="0" distR="0" wp14:anchorId="6FFC9FDA" wp14:editId="159DCAA3">
            <wp:extent cx="4572000" cy="4941405"/>
            <wp:effectExtent l="0" t="0" r="0" b="12065"/>
            <wp:docPr id="1631865536" name="Grafikon 1631865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8DC8B41" w14:textId="190DE068" w:rsidR="00F238AB" w:rsidRPr="005A1BE2" w:rsidRDefault="00F238AB" w:rsidP="00451314">
      <w:pPr>
        <w:pStyle w:val="SCslika"/>
        <w:rPr>
          <w:szCs w:val="16"/>
        </w:rPr>
      </w:pPr>
      <w:r w:rsidRPr="00451314">
        <w:rPr>
          <w:sz w:val="16"/>
          <w:szCs w:val="16"/>
        </w:rPr>
        <w:t>Vir: SURS</w:t>
      </w:r>
      <w:r w:rsidR="00701BC9">
        <w:rPr>
          <w:sz w:val="16"/>
          <w:szCs w:val="16"/>
        </w:rPr>
        <w:t xml:space="preserve">. </w:t>
      </w:r>
    </w:p>
    <w:p w14:paraId="073EAFF7" w14:textId="77777777" w:rsidR="005C6188" w:rsidRDefault="005C6188" w:rsidP="007613FE">
      <w:pPr>
        <w:pStyle w:val="ZPtekst"/>
        <w:spacing w:before="0" w:line="260" w:lineRule="atLeast"/>
        <w:rPr>
          <w:szCs w:val="20"/>
        </w:rPr>
      </w:pPr>
    </w:p>
    <w:p w14:paraId="5614AB6C" w14:textId="1510C0B0" w:rsidR="00EF1C53" w:rsidRPr="005C6188" w:rsidRDefault="00422F49" w:rsidP="007613FE">
      <w:pPr>
        <w:pStyle w:val="ZPtekst"/>
        <w:spacing w:before="0" w:line="260" w:lineRule="atLeast"/>
        <w:rPr>
          <w:szCs w:val="20"/>
        </w:rPr>
      </w:pPr>
      <w:r w:rsidRPr="005C6188">
        <w:rPr>
          <w:szCs w:val="20"/>
        </w:rPr>
        <w:t>Vrednost kmetijsko-živilske trgovine se je v obdobju 2010-2020 razen letnih izjem (leti 2013 in 2014) ves</w:t>
      </w:r>
      <w:r w:rsidR="005B3E9B">
        <w:rPr>
          <w:szCs w:val="20"/>
        </w:rPr>
        <w:t xml:space="preserve"> </w:t>
      </w:r>
      <w:r w:rsidRPr="005C6188">
        <w:rPr>
          <w:szCs w:val="20"/>
        </w:rPr>
        <w:t xml:space="preserve">čas povečevala, tako znotraj EU kot tudi zunaj EU območja. </w:t>
      </w:r>
    </w:p>
    <w:p w14:paraId="534C6D86" w14:textId="75F6A05F" w:rsidR="007077A1" w:rsidRDefault="00EF1C53" w:rsidP="00275988">
      <w:pPr>
        <w:pStyle w:val="SCSlika0"/>
        <w:rPr>
          <w:sz w:val="20"/>
          <w:szCs w:val="20"/>
        </w:rPr>
      </w:pPr>
      <w:bookmarkStart w:id="3258" w:name="_Toc89851141"/>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99</w:t>
      </w:r>
      <w:r w:rsidR="009F2591">
        <w:rPr>
          <w:noProof/>
        </w:rPr>
        <w:fldChar w:fldCharType="end"/>
      </w:r>
      <w:r w:rsidRPr="009F3567">
        <w:t>:</w:t>
      </w:r>
      <w:r w:rsidRPr="009F3567">
        <w:rPr>
          <w:i/>
        </w:rPr>
        <w:t xml:space="preserve"> </w:t>
      </w:r>
      <w:r>
        <w:t xml:space="preserve">Skupna vrednost kmetijsko-živilske trgovine znotraj/zunaj EU v obdobju 2010-2020, v mrd EUR </w:t>
      </w:r>
      <w:r w:rsidRPr="00687C6E">
        <w:t xml:space="preserve"> (</w:t>
      </w:r>
      <w:r w:rsidRPr="001261D8">
        <w:t>kazalnik stanja C.30)</w:t>
      </w:r>
      <w:bookmarkEnd w:id="3258"/>
    </w:p>
    <w:p w14:paraId="31BF3394" w14:textId="7442C58B" w:rsidR="007077A1" w:rsidRDefault="00422F49" w:rsidP="005C6188">
      <w:r>
        <w:rPr>
          <w:noProof/>
          <w:lang w:eastAsia="sl-SI"/>
        </w:rPr>
        <w:drawing>
          <wp:inline distT="0" distB="0" distL="0" distR="0" wp14:anchorId="39A1ABFD" wp14:editId="416DBC5B">
            <wp:extent cx="6012873" cy="3211280"/>
            <wp:effectExtent l="0" t="0" r="6985" b="8255"/>
            <wp:docPr id="24169621" name="Slika 2416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23145" cy="3216766"/>
                    </a:xfrm>
                    <a:prstGeom prst="rect">
                      <a:avLst/>
                    </a:prstGeom>
                    <a:noFill/>
                  </pic:spPr>
                </pic:pic>
              </a:graphicData>
            </a:graphic>
          </wp:inline>
        </w:drawing>
      </w:r>
    </w:p>
    <w:p w14:paraId="03142061" w14:textId="3E78D316" w:rsidR="007077A1" w:rsidRPr="005B2A49" w:rsidRDefault="007077A1" w:rsidP="007613FE">
      <w:pPr>
        <w:pStyle w:val="ZPtekst"/>
        <w:spacing w:before="0" w:line="260" w:lineRule="atLeast"/>
        <w:rPr>
          <w:i/>
          <w:sz w:val="18"/>
          <w:szCs w:val="20"/>
        </w:rPr>
      </w:pPr>
      <w:r w:rsidRPr="005B2A49">
        <w:rPr>
          <w:i/>
          <w:sz w:val="18"/>
          <w:szCs w:val="20"/>
        </w:rPr>
        <w:t>Vir: DG-AGRI, Indicator Dashboard (kazalnik stanja C.30:  Kmetijski uvoz in izvoz (I.06)</w:t>
      </w:r>
      <w:r w:rsidR="00EF1C53">
        <w:rPr>
          <w:i/>
          <w:sz w:val="18"/>
          <w:szCs w:val="20"/>
        </w:rPr>
        <w:t xml:space="preserve">; </w:t>
      </w:r>
      <w:r w:rsidR="00EF1C53" w:rsidRPr="00EF1C53">
        <w:rPr>
          <w:i/>
          <w:sz w:val="18"/>
          <w:szCs w:val="20"/>
        </w:rPr>
        <w:t>https://agridata.ec.europa.eu/extensions/DashboardIndicators/DataExplorer.html</w:t>
      </w:r>
      <w:r w:rsidR="00EF1C53" w:rsidRPr="005B2A49">
        <w:rPr>
          <w:i/>
          <w:sz w:val="18"/>
          <w:szCs w:val="20"/>
        </w:rPr>
        <w:t>)</w:t>
      </w:r>
    </w:p>
    <w:p w14:paraId="128F14A5" w14:textId="77777777" w:rsidR="007077A1" w:rsidRDefault="007077A1" w:rsidP="007613FE">
      <w:pPr>
        <w:pStyle w:val="ZPtekst"/>
        <w:spacing w:before="0" w:line="260" w:lineRule="atLeast"/>
        <w:rPr>
          <w:sz w:val="20"/>
          <w:szCs w:val="20"/>
        </w:rPr>
      </w:pPr>
    </w:p>
    <w:p w14:paraId="2C26A936" w14:textId="706BF770" w:rsidR="00102C15" w:rsidRDefault="00102C15" w:rsidP="005C6188">
      <w:pPr>
        <w:pStyle w:val="SCPreglednica"/>
      </w:pPr>
      <w:bookmarkStart w:id="3259" w:name="_Toc89861030"/>
      <w:r w:rsidRPr="00451314">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38</w:t>
      </w:r>
      <w:r w:rsidR="009F2591">
        <w:rPr>
          <w:noProof/>
        </w:rPr>
        <w:fldChar w:fldCharType="end"/>
      </w:r>
      <w:r w:rsidRPr="00451314">
        <w:t xml:space="preserve">: </w:t>
      </w:r>
      <w:r>
        <w:t>Skupna vrednost kmetijsko-živilske trgovine, po posameznih letih v obdobju 2010-2020, v mrd EUR</w:t>
      </w:r>
      <w:bookmarkEnd w:id="3259"/>
    </w:p>
    <w:p w14:paraId="53D97EAD" w14:textId="39E8AF71" w:rsidR="00102C15" w:rsidRDefault="00102C15" w:rsidP="007613FE">
      <w:pPr>
        <w:pStyle w:val="ZPtekst"/>
        <w:spacing w:before="0" w:line="260" w:lineRule="atLeast"/>
        <w:rPr>
          <w:sz w:val="20"/>
          <w:szCs w:val="20"/>
        </w:rPr>
      </w:pPr>
      <w:r w:rsidRPr="00102C15">
        <w:rPr>
          <w:noProof/>
          <w:lang w:eastAsia="sl-SI"/>
        </w:rPr>
        <w:drawing>
          <wp:inline distT="0" distB="0" distL="0" distR="0" wp14:anchorId="05FE0F99" wp14:editId="6F8D4C40">
            <wp:extent cx="5760720" cy="2162613"/>
            <wp:effectExtent l="0" t="0" r="0" b="9525"/>
            <wp:docPr id="24169623" name="Slika 241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162613"/>
                    </a:xfrm>
                    <a:prstGeom prst="rect">
                      <a:avLst/>
                    </a:prstGeom>
                    <a:noFill/>
                    <a:ln>
                      <a:noFill/>
                    </a:ln>
                  </pic:spPr>
                </pic:pic>
              </a:graphicData>
            </a:graphic>
          </wp:inline>
        </w:drawing>
      </w:r>
    </w:p>
    <w:p w14:paraId="79045370" w14:textId="77777777" w:rsidR="00102C15" w:rsidRPr="005B2A49" w:rsidRDefault="00102C15" w:rsidP="00102C15">
      <w:pPr>
        <w:pStyle w:val="ZPtekst"/>
        <w:spacing w:before="0" w:line="260" w:lineRule="atLeast"/>
        <w:rPr>
          <w:i/>
          <w:sz w:val="18"/>
          <w:szCs w:val="20"/>
        </w:rPr>
      </w:pPr>
      <w:r w:rsidRPr="005B2A49">
        <w:rPr>
          <w:i/>
          <w:sz w:val="18"/>
          <w:szCs w:val="20"/>
        </w:rPr>
        <w:t>Vir: DG-AGRI, Indicator Dashboard (kazalnik stanja C.30:  Kmetijski uvoz in izvoz (I.06)</w:t>
      </w:r>
      <w:r>
        <w:rPr>
          <w:i/>
          <w:sz w:val="18"/>
          <w:szCs w:val="20"/>
        </w:rPr>
        <w:t xml:space="preserve">; </w:t>
      </w:r>
      <w:r w:rsidRPr="00EF1C53">
        <w:rPr>
          <w:i/>
          <w:sz w:val="18"/>
          <w:szCs w:val="20"/>
        </w:rPr>
        <w:t>https://agridata.ec.europa.eu/extensions/DashboardIndicators/DataExplorer.html</w:t>
      </w:r>
      <w:r w:rsidRPr="005B2A49">
        <w:rPr>
          <w:i/>
          <w:sz w:val="18"/>
          <w:szCs w:val="20"/>
        </w:rPr>
        <w:t>)</w:t>
      </w:r>
    </w:p>
    <w:p w14:paraId="26773E70" w14:textId="7CC7CCC8" w:rsidR="00102C15" w:rsidRDefault="00102C15" w:rsidP="007613FE">
      <w:pPr>
        <w:pStyle w:val="ZPtekst"/>
        <w:spacing w:before="0" w:line="260" w:lineRule="atLeast"/>
        <w:rPr>
          <w:sz w:val="20"/>
          <w:szCs w:val="20"/>
        </w:rPr>
      </w:pPr>
    </w:p>
    <w:p w14:paraId="18080966" w14:textId="77777777" w:rsidR="00102C15" w:rsidRDefault="00102C15" w:rsidP="007613FE">
      <w:pPr>
        <w:pStyle w:val="ZPtekst"/>
        <w:spacing w:before="0" w:line="260" w:lineRule="atLeast"/>
        <w:rPr>
          <w:sz w:val="20"/>
          <w:szCs w:val="20"/>
        </w:rPr>
      </w:pPr>
    </w:p>
    <w:p w14:paraId="313680C4" w14:textId="787755A1" w:rsidR="00301C1C" w:rsidRPr="005C6188" w:rsidRDefault="00301C1C" w:rsidP="00B558B1">
      <w:r w:rsidRPr="005C6188">
        <w:t>Svetovne cene kmetijskih proizvodov se zaradi odprtosti trgov prelivajo na raven domačih cen, kar povzroča cenovne pritiske in zahteve po zagotavljanju zadostnih količin proizvodov v obdobjih povpraševanja. Cene kmetijskih in živilskih proizvodov v Sloveniji so podvržene razmeram na tujih trgih in se prilagajajo uvoznim cenam.</w:t>
      </w:r>
      <w:r w:rsidR="00925249">
        <w:t xml:space="preserve"> </w:t>
      </w:r>
    </w:p>
    <w:p w14:paraId="03DF7A18" w14:textId="11785BD9" w:rsidR="00925249" w:rsidRDefault="00925249" w:rsidP="00B558B1">
      <w:r>
        <w:t xml:space="preserve">Trgovinska bilanca z agro-živilskimi proizvodi je </w:t>
      </w:r>
      <w:r w:rsidR="003F4281">
        <w:t>negativna</w:t>
      </w:r>
      <w:r>
        <w:t xml:space="preserve">. Izvozna usmerjenost agro-živilske panoge se sicer postopno povečuje, kar kaže na povečevanje njene konkurenčnosti na tujih trgih. </w:t>
      </w:r>
      <w:r w:rsidRPr="009F3567">
        <w:t xml:space="preserve">Zunanjetrgovinska bilanca agroživilstva po tarifnih skupinah </w:t>
      </w:r>
      <w:r>
        <w:t xml:space="preserve">v obdobju 2007–2019 pokaže, da se izvažajo predvsem žive živali in izdelki iz mesa, torej predvsem surovina, </w:t>
      </w:r>
      <w:r w:rsidRPr="005C6188">
        <w:t xml:space="preserve">kar je slabost z vidika doseganja višje dodane vrednosti izvoza. </w:t>
      </w:r>
      <w:r>
        <w:t xml:space="preserve">Hkrati </w:t>
      </w:r>
      <w:r w:rsidR="000B1D1C">
        <w:t xml:space="preserve">pa </w:t>
      </w:r>
      <w:r>
        <w:t xml:space="preserve">to dejstvo </w:t>
      </w:r>
      <w:r w:rsidR="000B1D1C">
        <w:t xml:space="preserve">in pa negativna trgovinska bilanca </w:t>
      </w:r>
      <w:r>
        <w:t>nakazuje</w:t>
      </w:r>
      <w:r w:rsidR="000B1D1C">
        <w:t>ta</w:t>
      </w:r>
      <w:r>
        <w:t xml:space="preserve"> na verjetno nezadostno povezanost kmetijske pridelave in predelave v S</w:t>
      </w:r>
      <w:r w:rsidR="000B1D1C">
        <w:t xml:space="preserve">loveniji.   </w:t>
      </w:r>
    </w:p>
    <w:p w14:paraId="67E25EE0" w14:textId="77777777" w:rsidR="000B1D1C" w:rsidRDefault="000B1D1C" w:rsidP="007613FE">
      <w:pPr>
        <w:pStyle w:val="ZPtekst"/>
        <w:spacing w:before="0" w:line="260" w:lineRule="atLeast"/>
        <w:rPr>
          <w:szCs w:val="20"/>
        </w:rPr>
      </w:pPr>
    </w:p>
    <w:p w14:paraId="5D054F54" w14:textId="51685684" w:rsidR="003D5D84" w:rsidRPr="005C6188" w:rsidRDefault="003D5D84" w:rsidP="007613FE">
      <w:pPr>
        <w:pStyle w:val="ZPtekst"/>
        <w:spacing w:before="0" w:line="260" w:lineRule="atLeast"/>
        <w:rPr>
          <w:szCs w:val="20"/>
        </w:rPr>
      </w:pPr>
      <w:r w:rsidRPr="005C6188">
        <w:rPr>
          <w:szCs w:val="20"/>
        </w:rPr>
        <w:t xml:space="preserve">Blagovna menjava z agroživilskimi proizvodi se je v letu 2019 povečala za 5,6 % in je presegla 4 </w:t>
      </w:r>
      <w:r w:rsidR="00D53725" w:rsidRPr="005C6188">
        <w:rPr>
          <w:szCs w:val="20"/>
        </w:rPr>
        <w:t>mrd</w:t>
      </w:r>
      <w:r w:rsidRPr="005C6188">
        <w:rPr>
          <w:szCs w:val="20"/>
        </w:rPr>
        <w:t xml:space="preserve"> EUR. Na večjo blagovno menjavo sta vplivala večji izvoz in uvoz, pri čemer se je izvoz povečal glede na leto 2018 za 7 %, uvoz pa za 5 %. V letu 2019 je znašala pokritost uvoza z izvozom 59,0 %. Delež zunanje trgovine z agroživilskimi proizvodi je v letu 2019 pris</w:t>
      </w:r>
      <w:r w:rsidR="00344274">
        <w:rPr>
          <w:szCs w:val="20"/>
        </w:rPr>
        <w:t>p</w:t>
      </w:r>
      <w:r w:rsidRPr="005C6188">
        <w:rPr>
          <w:szCs w:val="20"/>
        </w:rPr>
        <w:t>eval 6,0 % k skupni blagovni menjavi Slovenije z vsemi proizvodi.</w:t>
      </w:r>
    </w:p>
    <w:p w14:paraId="236FD4F4" w14:textId="3B9B865E" w:rsidR="003D5D84" w:rsidRPr="0047652B" w:rsidRDefault="003D5D84" w:rsidP="007613FE">
      <w:pPr>
        <w:pStyle w:val="ZPtekst"/>
        <w:spacing w:before="0" w:line="260" w:lineRule="atLeast"/>
        <w:rPr>
          <w:sz w:val="20"/>
          <w:szCs w:val="20"/>
        </w:rPr>
      </w:pPr>
    </w:p>
    <w:p w14:paraId="144963EB" w14:textId="2ACBF91F" w:rsidR="003D5D84" w:rsidRDefault="003D5D84" w:rsidP="005C6188">
      <w:pPr>
        <w:pStyle w:val="SCPreglednica"/>
      </w:pPr>
      <w:bookmarkStart w:id="3260" w:name="_Toc89861031"/>
      <w:r w:rsidRPr="009F3567">
        <w:t xml:space="preserve">Tabela </w:t>
      </w:r>
      <w:r w:rsidR="00451314">
        <w:rPr>
          <w:noProof/>
        </w:rPr>
        <w:fldChar w:fldCharType="begin"/>
      </w:r>
      <w:r w:rsidR="00451314">
        <w:rPr>
          <w:noProof/>
        </w:rPr>
        <w:instrText xml:space="preserve"> SEQ Tabela \* ARABIC </w:instrText>
      </w:r>
      <w:r w:rsidR="00451314">
        <w:rPr>
          <w:noProof/>
        </w:rPr>
        <w:fldChar w:fldCharType="separate"/>
      </w:r>
      <w:r w:rsidR="002E0D2A">
        <w:rPr>
          <w:noProof/>
        </w:rPr>
        <w:t>39</w:t>
      </w:r>
      <w:r w:rsidR="00451314">
        <w:rPr>
          <w:noProof/>
        </w:rPr>
        <w:fldChar w:fldCharType="end"/>
      </w:r>
      <w:r w:rsidRPr="009F3567">
        <w:t xml:space="preserve">: Blagovna menjava agroživilskih proizvodov; </w:t>
      </w:r>
      <w:r>
        <w:t>2015-2019</w:t>
      </w:r>
      <w:bookmarkEnd w:id="3260"/>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521"/>
        <w:gridCol w:w="750"/>
        <w:gridCol w:w="749"/>
        <w:gridCol w:w="749"/>
        <w:gridCol w:w="749"/>
        <w:gridCol w:w="749"/>
        <w:gridCol w:w="695"/>
      </w:tblGrid>
      <w:tr w:rsidR="003D5D84" w:rsidRPr="00DC3E16" w14:paraId="6E0E8F92" w14:textId="77777777" w:rsidTr="004C5161">
        <w:trPr>
          <w:trHeight w:val="227"/>
          <w:jc w:val="center"/>
        </w:trPr>
        <w:tc>
          <w:tcPr>
            <w:tcW w:w="2522" w:type="pct"/>
            <w:shd w:val="clear" w:color="auto" w:fill="C6D9F1" w:themeFill="text2" w:themeFillTint="33"/>
            <w:tcMar>
              <w:left w:w="57" w:type="dxa"/>
              <w:right w:w="57" w:type="dxa"/>
            </w:tcMar>
            <w:vAlign w:val="bottom"/>
          </w:tcPr>
          <w:p w14:paraId="5E8AE897" w14:textId="77777777" w:rsidR="003D5D84" w:rsidRPr="00DC3E16" w:rsidRDefault="003D5D84" w:rsidP="003D5D84">
            <w:pPr>
              <w:spacing w:before="0" w:line="276" w:lineRule="auto"/>
              <w:rPr>
                <w:b/>
                <w:sz w:val="16"/>
                <w:szCs w:val="16"/>
              </w:rPr>
            </w:pPr>
          </w:p>
        </w:tc>
        <w:tc>
          <w:tcPr>
            <w:tcW w:w="418" w:type="pct"/>
            <w:shd w:val="clear" w:color="auto" w:fill="C6D9F1" w:themeFill="text2" w:themeFillTint="33"/>
            <w:tcMar>
              <w:left w:w="57" w:type="dxa"/>
              <w:right w:w="57" w:type="dxa"/>
            </w:tcMar>
            <w:vAlign w:val="bottom"/>
          </w:tcPr>
          <w:p w14:paraId="1209C7DE" w14:textId="77777777" w:rsidR="003D5D84" w:rsidRPr="00DC3E16" w:rsidRDefault="003D5D84" w:rsidP="003D5D84">
            <w:pPr>
              <w:spacing w:before="0" w:line="276" w:lineRule="auto"/>
              <w:rPr>
                <w:b/>
                <w:sz w:val="16"/>
                <w:szCs w:val="16"/>
              </w:rPr>
            </w:pPr>
            <w:r w:rsidRPr="00DC3E16">
              <w:rPr>
                <w:b/>
                <w:sz w:val="16"/>
                <w:szCs w:val="16"/>
              </w:rPr>
              <w:t>2015</w:t>
            </w:r>
          </w:p>
        </w:tc>
        <w:tc>
          <w:tcPr>
            <w:tcW w:w="418" w:type="pct"/>
            <w:shd w:val="clear" w:color="auto" w:fill="C6D9F1" w:themeFill="text2" w:themeFillTint="33"/>
            <w:tcMar>
              <w:left w:w="57" w:type="dxa"/>
              <w:right w:w="57" w:type="dxa"/>
            </w:tcMar>
            <w:vAlign w:val="bottom"/>
          </w:tcPr>
          <w:p w14:paraId="1C454F6A" w14:textId="77777777" w:rsidR="003D5D84" w:rsidRPr="00DC3E16" w:rsidRDefault="003D5D84" w:rsidP="003D5D84">
            <w:pPr>
              <w:spacing w:before="0" w:line="276" w:lineRule="auto"/>
              <w:rPr>
                <w:b/>
                <w:sz w:val="16"/>
                <w:szCs w:val="16"/>
              </w:rPr>
            </w:pPr>
            <w:r w:rsidRPr="00DC3E16">
              <w:rPr>
                <w:b/>
                <w:sz w:val="16"/>
                <w:szCs w:val="16"/>
              </w:rPr>
              <w:t>2016</w:t>
            </w:r>
          </w:p>
        </w:tc>
        <w:tc>
          <w:tcPr>
            <w:tcW w:w="418" w:type="pct"/>
            <w:shd w:val="clear" w:color="auto" w:fill="C6D9F1" w:themeFill="text2" w:themeFillTint="33"/>
            <w:vAlign w:val="bottom"/>
          </w:tcPr>
          <w:p w14:paraId="2A045F17" w14:textId="77777777" w:rsidR="003D5D84" w:rsidRPr="00DC3E16" w:rsidRDefault="003D5D84" w:rsidP="003D5D84">
            <w:pPr>
              <w:spacing w:before="0" w:line="276" w:lineRule="auto"/>
              <w:rPr>
                <w:b/>
                <w:sz w:val="16"/>
                <w:szCs w:val="16"/>
              </w:rPr>
            </w:pPr>
            <w:r w:rsidRPr="00DC3E16">
              <w:rPr>
                <w:b/>
                <w:sz w:val="16"/>
                <w:szCs w:val="16"/>
              </w:rPr>
              <w:t>2017</w:t>
            </w:r>
          </w:p>
        </w:tc>
        <w:tc>
          <w:tcPr>
            <w:tcW w:w="418" w:type="pct"/>
            <w:shd w:val="clear" w:color="auto" w:fill="C6D9F1" w:themeFill="text2" w:themeFillTint="33"/>
            <w:vAlign w:val="bottom"/>
          </w:tcPr>
          <w:p w14:paraId="04C0B712" w14:textId="77777777" w:rsidR="003D5D84" w:rsidRPr="00DC3E16" w:rsidRDefault="003D5D84" w:rsidP="003D5D84">
            <w:pPr>
              <w:spacing w:before="0" w:line="276" w:lineRule="auto"/>
              <w:rPr>
                <w:b/>
                <w:sz w:val="16"/>
                <w:szCs w:val="16"/>
              </w:rPr>
            </w:pPr>
            <w:r w:rsidRPr="00DC3E16">
              <w:rPr>
                <w:b/>
                <w:sz w:val="16"/>
                <w:szCs w:val="16"/>
              </w:rPr>
              <w:t>2018</w:t>
            </w:r>
          </w:p>
        </w:tc>
        <w:tc>
          <w:tcPr>
            <w:tcW w:w="418" w:type="pct"/>
            <w:shd w:val="clear" w:color="auto" w:fill="C6D9F1" w:themeFill="text2" w:themeFillTint="33"/>
            <w:vAlign w:val="bottom"/>
          </w:tcPr>
          <w:p w14:paraId="703BEC7A" w14:textId="77777777" w:rsidR="003D5D84" w:rsidRPr="00DC3E16" w:rsidRDefault="003D5D84" w:rsidP="003D5D84">
            <w:pPr>
              <w:spacing w:before="0" w:line="276" w:lineRule="auto"/>
              <w:rPr>
                <w:b/>
                <w:sz w:val="16"/>
                <w:szCs w:val="16"/>
              </w:rPr>
            </w:pPr>
            <w:r w:rsidRPr="00DC3E16">
              <w:rPr>
                <w:b/>
                <w:sz w:val="16"/>
                <w:szCs w:val="16"/>
              </w:rPr>
              <w:t>2019*</w:t>
            </w:r>
          </w:p>
        </w:tc>
        <w:tc>
          <w:tcPr>
            <w:tcW w:w="388" w:type="pct"/>
            <w:shd w:val="clear" w:color="auto" w:fill="C6D9F1" w:themeFill="text2" w:themeFillTint="33"/>
            <w:tcMar>
              <w:left w:w="57" w:type="dxa"/>
              <w:right w:w="57" w:type="dxa"/>
            </w:tcMar>
            <w:vAlign w:val="bottom"/>
          </w:tcPr>
          <w:p w14:paraId="45EBF457" w14:textId="77777777" w:rsidR="003D5D84" w:rsidRPr="00DC3E16" w:rsidRDefault="003D5D84" w:rsidP="003D5D84">
            <w:pPr>
              <w:spacing w:before="0" w:line="276" w:lineRule="auto"/>
              <w:rPr>
                <w:b/>
                <w:sz w:val="16"/>
                <w:szCs w:val="16"/>
              </w:rPr>
            </w:pPr>
            <w:r w:rsidRPr="00DC3E16">
              <w:rPr>
                <w:b/>
                <w:sz w:val="16"/>
                <w:szCs w:val="16"/>
              </w:rPr>
              <w:t>Indeks</w:t>
            </w:r>
          </w:p>
          <w:p w14:paraId="0809765D" w14:textId="77777777" w:rsidR="003D5D84" w:rsidRPr="00DC3E16" w:rsidRDefault="003D5D84" w:rsidP="003D5D84">
            <w:pPr>
              <w:spacing w:before="0" w:line="276" w:lineRule="auto"/>
              <w:rPr>
                <w:b/>
                <w:sz w:val="16"/>
                <w:szCs w:val="16"/>
              </w:rPr>
            </w:pPr>
            <w:r w:rsidRPr="00DC3E16">
              <w:rPr>
                <w:b/>
                <w:sz w:val="16"/>
                <w:szCs w:val="16"/>
              </w:rPr>
              <w:t>2019/18</w:t>
            </w:r>
          </w:p>
        </w:tc>
      </w:tr>
      <w:tr w:rsidR="003D5D84" w:rsidRPr="00DC3E16" w14:paraId="1B361B4E" w14:textId="77777777" w:rsidTr="004C5161">
        <w:trPr>
          <w:trHeight w:val="227"/>
          <w:jc w:val="center"/>
        </w:trPr>
        <w:tc>
          <w:tcPr>
            <w:tcW w:w="2522" w:type="pct"/>
            <w:shd w:val="clear" w:color="auto" w:fill="C6D9F1" w:themeFill="text2" w:themeFillTint="33"/>
            <w:tcMar>
              <w:left w:w="57" w:type="dxa"/>
              <w:right w:w="57" w:type="dxa"/>
            </w:tcMar>
            <w:vAlign w:val="bottom"/>
          </w:tcPr>
          <w:p w14:paraId="3FA6C050" w14:textId="77777777" w:rsidR="003D5D84" w:rsidRPr="00DC3E16" w:rsidRDefault="003D5D84" w:rsidP="003D5D84">
            <w:pPr>
              <w:spacing w:before="0" w:line="276" w:lineRule="auto"/>
              <w:rPr>
                <w:sz w:val="16"/>
                <w:szCs w:val="16"/>
              </w:rPr>
            </w:pPr>
            <w:r w:rsidRPr="00DC3E16">
              <w:rPr>
                <w:sz w:val="16"/>
                <w:szCs w:val="16"/>
              </w:rPr>
              <w:t>Blagovna menjava agroživilstva (mio EUR)</w:t>
            </w:r>
          </w:p>
        </w:tc>
        <w:tc>
          <w:tcPr>
            <w:tcW w:w="418" w:type="pct"/>
            <w:shd w:val="clear" w:color="auto" w:fill="C6D9F1" w:themeFill="text2" w:themeFillTint="33"/>
            <w:tcMar>
              <w:left w:w="57" w:type="dxa"/>
              <w:right w:w="57" w:type="dxa"/>
            </w:tcMar>
            <w:vAlign w:val="bottom"/>
          </w:tcPr>
          <w:p w14:paraId="7B2C82AB" w14:textId="77777777" w:rsidR="003D5D84" w:rsidRPr="00DC3E16" w:rsidRDefault="003D5D84" w:rsidP="003D5D84">
            <w:pPr>
              <w:spacing w:before="0" w:line="276" w:lineRule="auto"/>
              <w:rPr>
                <w:sz w:val="16"/>
                <w:szCs w:val="16"/>
              </w:rPr>
            </w:pPr>
            <w:r w:rsidRPr="00DC3E16">
              <w:rPr>
                <w:sz w:val="16"/>
                <w:szCs w:val="16"/>
              </w:rPr>
              <w:t>3.157,5</w:t>
            </w:r>
          </w:p>
        </w:tc>
        <w:tc>
          <w:tcPr>
            <w:tcW w:w="418" w:type="pct"/>
            <w:shd w:val="clear" w:color="auto" w:fill="C6D9F1" w:themeFill="text2" w:themeFillTint="33"/>
            <w:tcMar>
              <w:left w:w="57" w:type="dxa"/>
              <w:right w:w="57" w:type="dxa"/>
            </w:tcMar>
            <w:vAlign w:val="bottom"/>
          </w:tcPr>
          <w:p w14:paraId="759DD081" w14:textId="77777777" w:rsidR="003D5D84" w:rsidRPr="00DC3E16" w:rsidRDefault="003D5D84" w:rsidP="003D5D84">
            <w:pPr>
              <w:spacing w:before="0" w:line="276" w:lineRule="auto"/>
              <w:rPr>
                <w:sz w:val="16"/>
                <w:szCs w:val="16"/>
              </w:rPr>
            </w:pPr>
            <w:r w:rsidRPr="00DC3E16">
              <w:rPr>
                <w:sz w:val="16"/>
                <w:szCs w:val="16"/>
              </w:rPr>
              <w:t>3.319,0</w:t>
            </w:r>
          </w:p>
        </w:tc>
        <w:tc>
          <w:tcPr>
            <w:tcW w:w="418" w:type="pct"/>
            <w:shd w:val="clear" w:color="auto" w:fill="C6D9F1" w:themeFill="text2" w:themeFillTint="33"/>
            <w:vAlign w:val="bottom"/>
          </w:tcPr>
          <w:p w14:paraId="4254E4C4" w14:textId="77777777" w:rsidR="003D5D84" w:rsidRPr="00DC3E16" w:rsidRDefault="003D5D84" w:rsidP="003D5D84">
            <w:pPr>
              <w:spacing w:before="0" w:line="276" w:lineRule="auto"/>
              <w:rPr>
                <w:sz w:val="16"/>
                <w:szCs w:val="16"/>
              </w:rPr>
            </w:pPr>
            <w:r w:rsidRPr="00DC3E16">
              <w:rPr>
                <w:sz w:val="16"/>
                <w:szCs w:val="16"/>
              </w:rPr>
              <w:t>3.602,1</w:t>
            </w:r>
          </w:p>
        </w:tc>
        <w:tc>
          <w:tcPr>
            <w:tcW w:w="418" w:type="pct"/>
            <w:shd w:val="clear" w:color="auto" w:fill="C6D9F1" w:themeFill="text2" w:themeFillTint="33"/>
            <w:vAlign w:val="bottom"/>
          </w:tcPr>
          <w:p w14:paraId="4DD90F70" w14:textId="77777777" w:rsidR="003D5D84" w:rsidRPr="00DC3E16" w:rsidRDefault="003D5D84" w:rsidP="003D5D84">
            <w:pPr>
              <w:spacing w:before="0" w:line="276" w:lineRule="auto"/>
              <w:rPr>
                <w:sz w:val="16"/>
                <w:szCs w:val="16"/>
              </w:rPr>
            </w:pPr>
            <w:r w:rsidRPr="00DC3E16">
              <w:rPr>
                <w:sz w:val="16"/>
                <w:szCs w:val="16"/>
              </w:rPr>
              <w:t>3.868,0</w:t>
            </w:r>
          </w:p>
        </w:tc>
        <w:tc>
          <w:tcPr>
            <w:tcW w:w="418" w:type="pct"/>
            <w:shd w:val="clear" w:color="auto" w:fill="C6D9F1" w:themeFill="text2" w:themeFillTint="33"/>
            <w:vAlign w:val="bottom"/>
          </w:tcPr>
          <w:p w14:paraId="1B322C88" w14:textId="77777777" w:rsidR="003D5D84" w:rsidRPr="00DC3E16" w:rsidRDefault="003D5D84" w:rsidP="003D5D84">
            <w:pPr>
              <w:spacing w:before="0" w:line="276" w:lineRule="auto"/>
              <w:rPr>
                <w:sz w:val="16"/>
                <w:szCs w:val="16"/>
              </w:rPr>
            </w:pPr>
            <w:r w:rsidRPr="00DC3E16">
              <w:rPr>
                <w:sz w:val="16"/>
                <w:szCs w:val="16"/>
              </w:rPr>
              <w:t>4.085,3</w:t>
            </w:r>
          </w:p>
        </w:tc>
        <w:tc>
          <w:tcPr>
            <w:tcW w:w="388" w:type="pct"/>
            <w:shd w:val="clear" w:color="auto" w:fill="C6D9F1" w:themeFill="text2" w:themeFillTint="33"/>
            <w:tcMar>
              <w:left w:w="57" w:type="dxa"/>
              <w:right w:w="57" w:type="dxa"/>
            </w:tcMar>
            <w:vAlign w:val="bottom"/>
          </w:tcPr>
          <w:p w14:paraId="6EE32602" w14:textId="77777777" w:rsidR="003D5D84" w:rsidRPr="00DC3E16" w:rsidRDefault="003D5D84" w:rsidP="003D5D84">
            <w:pPr>
              <w:spacing w:before="0" w:line="276" w:lineRule="auto"/>
              <w:rPr>
                <w:sz w:val="16"/>
                <w:szCs w:val="16"/>
              </w:rPr>
            </w:pPr>
            <w:r w:rsidRPr="00DC3E16">
              <w:rPr>
                <w:sz w:val="16"/>
                <w:szCs w:val="16"/>
              </w:rPr>
              <w:t>105,6</w:t>
            </w:r>
          </w:p>
        </w:tc>
      </w:tr>
      <w:tr w:rsidR="003D5D84" w:rsidRPr="00DC3E16" w14:paraId="5A5EC0D5" w14:textId="77777777" w:rsidTr="004C5161">
        <w:trPr>
          <w:trHeight w:val="227"/>
          <w:jc w:val="center"/>
        </w:trPr>
        <w:tc>
          <w:tcPr>
            <w:tcW w:w="2522" w:type="pct"/>
            <w:shd w:val="clear" w:color="auto" w:fill="auto"/>
            <w:tcMar>
              <w:left w:w="57" w:type="dxa"/>
              <w:right w:w="57" w:type="dxa"/>
            </w:tcMar>
            <w:vAlign w:val="bottom"/>
          </w:tcPr>
          <w:p w14:paraId="05C24D7D" w14:textId="77777777" w:rsidR="003D5D84" w:rsidRPr="00DC3E16" w:rsidRDefault="003D5D84" w:rsidP="003D5D84">
            <w:pPr>
              <w:spacing w:before="0" w:line="276" w:lineRule="auto"/>
              <w:rPr>
                <w:sz w:val="16"/>
                <w:szCs w:val="16"/>
              </w:rPr>
            </w:pPr>
            <w:r w:rsidRPr="00DC3E16">
              <w:rPr>
                <w:sz w:val="16"/>
                <w:szCs w:val="16"/>
              </w:rPr>
              <w:t>– izvoz (mio EUR)</w:t>
            </w:r>
          </w:p>
        </w:tc>
        <w:tc>
          <w:tcPr>
            <w:tcW w:w="418" w:type="pct"/>
            <w:shd w:val="clear" w:color="auto" w:fill="auto"/>
            <w:tcMar>
              <w:left w:w="57" w:type="dxa"/>
              <w:right w:w="57" w:type="dxa"/>
            </w:tcMar>
            <w:vAlign w:val="bottom"/>
          </w:tcPr>
          <w:p w14:paraId="0A237933" w14:textId="77777777" w:rsidR="003D5D84" w:rsidRPr="00DC3E16" w:rsidRDefault="003D5D84" w:rsidP="003D5D84">
            <w:pPr>
              <w:spacing w:before="0" w:line="276" w:lineRule="auto"/>
              <w:rPr>
                <w:sz w:val="16"/>
                <w:szCs w:val="16"/>
              </w:rPr>
            </w:pPr>
            <w:r w:rsidRPr="00DC3E16">
              <w:rPr>
                <w:sz w:val="16"/>
                <w:szCs w:val="16"/>
              </w:rPr>
              <w:t>1.060,1</w:t>
            </w:r>
          </w:p>
        </w:tc>
        <w:tc>
          <w:tcPr>
            <w:tcW w:w="418" w:type="pct"/>
            <w:shd w:val="clear" w:color="auto" w:fill="auto"/>
            <w:tcMar>
              <w:left w:w="57" w:type="dxa"/>
              <w:right w:w="57" w:type="dxa"/>
            </w:tcMar>
            <w:vAlign w:val="bottom"/>
          </w:tcPr>
          <w:p w14:paraId="0DED4344" w14:textId="77777777" w:rsidR="003D5D84" w:rsidRPr="00DC3E16" w:rsidRDefault="003D5D84" w:rsidP="003D5D84">
            <w:pPr>
              <w:spacing w:before="0" w:line="276" w:lineRule="auto"/>
              <w:rPr>
                <w:sz w:val="16"/>
                <w:szCs w:val="16"/>
              </w:rPr>
            </w:pPr>
            <w:r w:rsidRPr="00DC3E16">
              <w:rPr>
                <w:sz w:val="16"/>
                <w:szCs w:val="16"/>
              </w:rPr>
              <w:t>1.137,6</w:t>
            </w:r>
          </w:p>
        </w:tc>
        <w:tc>
          <w:tcPr>
            <w:tcW w:w="418" w:type="pct"/>
            <w:shd w:val="clear" w:color="auto" w:fill="auto"/>
            <w:vAlign w:val="bottom"/>
          </w:tcPr>
          <w:p w14:paraId="623A41D9" w14:textId="77777777" w:rsidR="003D5D84" w:rsidRPr="00DC3E16" w:rsidRDefault="003D5D84" w:rsidP="003D5D84">
            <w:pPr>
              <w:spacing w:before="0" w:line="276" w:lineRule="auto"/>
              <w:rPr>
                <w:sz w:val="16"/>
                <w:szCs w:val="16"/>
              </w:rPr>
            </w:pPr>
            <w:r w:rsidRPr="00DC3E16">
              <w:rPr>
                <w:sz w:val="16"/>
                <w:szCs w:val="16"/>
              </w:rPr>
              <w:t>1.270,5</w:t>
            </w:r>
          </w:p>
        </w:tc>
        <w:tc>
          <w:tcPr>
            <w:tcW w:w="418" w:type="pct"/>
            <w:shd w:val="clear" w:color="auto" w:fill="auto"/>
            <w:vAlign w:val="bottom"/>
          </w:tcPr>
          <w:p w14:paraId="6FFCF9DF" w14:textId="77777777" w:rsidR="003D5D84" w:rsidRPr="00DC3E16" w:rsidRDefault="003D5D84" w:rsidP="003D5D84">
            <w:pPr>
              <w:spacing w:before="0" w:line="276" w:lineRule="auto"/>
              <w:rPr>
                <w:sz w:val="16"/>
                <w:szCs w:val="16"/>
              </w:rPr>
            </w:pPr>
            <w:r w:rsidRPr="00DC3E16">
              <w:rPr>
                <w:sz w:val="16"/>
                <w:szCs w:val="16"/>
              </w:rPr>
              <w:t>1.415,5</w:t>
            </w:r>
          </w:p>
        </w:tc>
        <w:tc>
          <w:tcPr>
            <w:tcW w:w="418" w:type="pct"/>
            <w:shd w:val="clear" w:color="auto" w:fill="auto"/>
            <w:vAlign w:val="bottom"/>
          </w:tcPr>
          <w:p w14:paraId="570ACA42" w14:textId="77777777" w:rsidR="003D5D84" w:rsidRPr="00DC3E16" w:rsidRDefault="003D5D84" w:rsidP="003D5D84">
            <w:pPr>
              <w:spacing w:before="0" w:line="276" w:lineRule="auto"/>
              <w:rPr>
                <w:sz w:val="16"/>
                <w:szCs w:val="16"/>
              </w:rPr>
            </w:pPr>
            <w:r w:rsidRPr="00DC3E16">
              <w:rPr>
                <w:sz w:val="16"/>
                <w:szCs w:val="16"/>
              </w:rPr>
              <w:t>1.515,6</w:t>
            </w:r>
          </w:p>
        </w:tc>
        <w:tc>
          <w:tcPr>
            <w:tcW w:w="388" w:type="pct"/>
            <w:shd w:val="clear" w:color="auto" w:fill="auto"/>
            <w:tcMar>
              <w:left w:w="57" w:type="dxa"/>
              <w:right w:w="57" w:type="dxa"/>
            </w:tcMar>
            <w:vAlign w:val="bottom"/>
          </w:tcPr>
          <w:p w14:paraId="53FE35B2" w14:textId="77777777" w:rsidR="003D5D84" w:rsidRPr="00DC3E16" w:rsidRDefault="003D5D84" w:rsidP="003D5D84">
            <w:pPr>
              <w:spacing w:before="0" w:line="276" w:lineRule="auto"/>
              <w:rPr>
                <w:sz w:val="16"/>
                <w:szCs w:val="16"/>
              </w:rPr>
            </w:pPr>
            <w:r w:rsidRPr="00DC3E16">
              <w:rPr>
                <w:sz w:val="16"/>
                <w:szCs w:val="16"/>
              </w:rPr>
              <w:t>107,1</w:t>
            </w:r>
          </w:p>
        </w:tc>
      </w:tr>
      <w:tr w:rsidR="003D5D84" w:rsidRPr="00DC3E16" w14:paraId="74E14DB3" w14:textId="77777777" w:rsidTr="004C5161">
        <w:trPr>
          <w:trHeight w:val="227"/>
          <w:jc w:val="center"/>
        </w:trPr>
        <w:tc>
          <w:tcPr>
            <w:tcW w:w="2522" w:type="pct"/>
            <w:shd w:val="clear" w:color="auto" w:fill="C6D9F1" w:themeFill="text2" w:themeFillTint="33"/>
            <w:tcMar>
              <w:left w:w="57" w:type="dxa"/>
              <w:right w:w="57" w:type="dxa"/>
            </w:tcMar>
            <w:vAlign w:val="bottom"/>
          </w:tcPr>
          <w:p w14:paraId="00189D0D" w14:textId="77777777" w:rsidR="003D5D84" w:rsidRPr="00DC3E16" w:rsidRDefault="003D5D84" w:rsidP="003D5D84">
            <w:pPr>
              <w:spacing w:before="0" w:line="276" w:lineRule="auto"/>
              <w:rPr>
                <w:sz w:val="16"/>
                <w:szCs w:val="16"/>
              </w:rPr>
            </w:pPr>
            <w:r w:rsidRPr="00DC3E16">
              <w:rPr>
                <w:sz w:val="16"/>
                <w:szCs w:val="16"/>
              </w:rPr>
              <w:t>– uvoz (mio EUR)</w:t>
            </w:r>
          </w:p>
        </w:tc>
        <w:tc>
          <w:tcPr>
            <w:tcW w:w="418" w:type="pct"/>
            <w:shd w:val="clear" w:color="auto" w:fill="C6D9F1" w:themeFill="text2" w:themeFillTint="33"/>
            <w:tcMar>
              <w:left w:w="57" w:type="dxa"/>
              <w:right w:w="57" w:type="dxa"/>
            </w:tcMar>
            <w:vAlign w:val="bottom"/>
          </w:tcPr>
          <w:p w14:paraId="4B4D9DE4" w14:textId="77777777" w:rsidR="003D5D84" w:rsidRPr="00DC3E16" w:rsidRDefault="003D5D84" w:rsidP="003D5D84">
            <w:pPr>
              <w:spacing w:before="0" w:line="276" w:lineRule="auto"/>
              <w:rPr>
                <w:sz w:val="16"/>
                <w:szCs w:val="16"/>
              </w:rPr>
            </w:pPr>
            <w:r w:rsidRPr="00DC3E16">
              <w:rPr>
                <w:sz w:val="16"/>
                <w:szCs w:val="16"/>
              </w:rPr>
              <w:t>2.097,4</w:t>
            </w:r>
          </w:p>
        </w:tc>
        <w:tc>
          <w:tcPr>
            <w:tcW w:w="418" w:type="pct"/>
            <w:shd w:val="clear" w:color="auto" w:fill="C6D9F1" w:themeFill="text2" w:themeFillTint="33"/>
            <w:tcMar>
              <w:left w:w="57" w:type="dxa"/>
              <w:right w:w="57" w:type="dxa"/>
            </w:tcMar>
            <w:vAlign w:val="bottom"/>
          </w:tcPr>
          <w:p w14:paraId="7BAF0712" w14:textId="77777777" w:rsidR="003D5D84" w:rsidRPr="00DC3E16" w:rsidRDefault="003D5D84" w:rsidP="003D5D84">
            <w:pPr>
              <w:spacing w:before="0" w:line="276" w:lineRule="auto"/>
              <w:rPr>
                <w:sz w:val="16"/>
                <w:szCs w:val="16"/>
              </w:rPr>
            </w:pPr>
            <w:r w:rsidRPr="00DC3E16">
              <w:rPr>
                <w:sz w:val="16"/>
                <w:szCs w:val="16"/>
              </w:rPr>
              <w:t>2.181,3</w:t>
            </w:r>
          </w:p>
        </w:tc>
        <w:tc>
          <w:tcPr>
            <w:tcW w:w="418" w:type="pct"/>
            <w:shd w:val="clear" w:color="auto" w:fill="C6D9F1" w:themeFill="text2" w:themeFillTint="33"/>
            <w:vAlign w:val="bottom"/>
          </w:tcPr>
          <w:p w14:paraId="04AF43D1" w14:textId="77777777" w:rsidR="003D5D84" w:rsidRPr="00DC3E16" w:rsidRDefault="003D5D84" w:rsidP="003D5D84">
            <w:pPr>
              <w:spacing w:before="0" w:line="276" w:lineRule="auto"/>
              <w:rPr>
                <w:sz w:val="16"/>
                <w:szCs w:val="16"/>
              </w:rPr>
            </w:pPr>
            <w:r w:rsidRPr="00DC3E16">
              <w:rPr>
                <w:sz w:val="16"/>
                <w:szCs w:val="16"/>
              </w:rPr>
              <w:t>2.331,6</w:t>
            </w:r>
          </w:p>
        </w:tc>
        <w:tc>
          <w:tcPr>
            <w:tcW w:w="418" w:type="pct"/>
            <w:shd w:val="clear" w:color="auto" w:fill="C6D9F1" w:themeFill="text2" w:themeFillTint="33"/>
            <w:vAlign w:val="bottom"/>
          </w:tcPr>
          <w:p w14:paraId="52C94938" w14:textId="77777777" w:rsidR="003D5D84" w:rsidRPr="00DC3E16" w:rsidRDefault="003D5D84" w:rsidP="003D5D84">
            <w:pPr>
              <w:spacing w:before="0" w:line="276" w:lineRule="auto"/>
              <w:rPr>
                <w:sz w:val="16"/>
                <w:szCs w:val="16"/>
              </w:rPr>
            </w:pPr>
            <w:r w:rsidRPr="00DC3E16">
              <w:rPr>
                <w:sz w:val="16"/>
                <w:szCs w:val="16"/>
              </w:rPr>
              <w:t>2.452,5</w:t>
            </w:r>
          </w:p>
        </w:tc>
        <w:tc>
          <w:tcPr>
            <w:tcW w:w="418" w:type="pct"/>
            <w:shd w:val="clear" w:color="auto" w:fill="C6D9F1" w:themeFill="text2" w:themeFillTint="33"/>
            <w:vAlign w:val="bottom"/>
          </w:tcPr>
          <w:p w14:paraId="0F0ACE33" w14:textId="77777777" w:rsidR="003D5D84" w:rsidRPr="00DC3E16" w:rsidRDefault="003D5D84" w:rsidP="003D5D84">
            <w:pPr>
              <w:spacing w:before="0" w:line="276" w:lineRule="auto"/>
              <w:rPr>
                <w:sz w:val="16"/>
                <w:szCs w:val="16"/>
              </w:rPr>
            </w:pPr>
            <w:r w:rsidRPr="00DC3E16">
              <w:rPr>
                <w:sz w:val="16"/>
                <w:szCs w:val="16"/>
              </w:rPr>
              <w:t>2.569,8</w:t>
            </w:r>
          </w:p>
        </w:tc>
        <w:tc>
          <w:tcPr>
            <w:tcW w:w="388" w:type="pct"/>
            <w:shd w:val="clear" w:color="auto" w:fill="C6D9F1" w:themeFill="text2" w:themeFillTint="33"/>
            <w:tcMar>
              <w:left w:w="57" w:type="dxa"/>
              <w:right w:w="57" w:type="dxa"/>
            </w:tcMar>
            <w:vAlign w:val="bottom"/>
          </w:tcPr>
          <w:p w14:paraId="2C9540BD" w14:textId="77777777" w:rsidR="003D5D84" w:rsidRPr="00DC3E16" w:rsidRDefault="003D5D84" w:rsidP="003D5D84">
            <w:pPr>
              <w:spacing w:before="0" w:line="276" w:lineRule="auto"/>
              <w:rPr>
                <w:sz w:val="16"/>
                <w:szCs w:val="16"/>
              </w:rPr>
            </w:pPr>
            <w:r w:rsidRPr="00DC3E16">
              <w:rPr>
                <w:sz w:val="16"/>
                <w:szCs w:val="16"/>
              </w:rPr>
              <w:t>104,8</w:t>
            </w:r>
          </w:p>
        </w:tc>
      </w:tr>
      <w:tr w:rsidR="003D5D84" w:rsidRPr="00DC3E16" w14:paraId="334EEFD3" w14:textId="77777777" w:rsidTr="004C5161">
        <w:trPr>
          <w:trHeight w:val="227"/>
          <w:jc w:val="center"/>
        </w:trPr>
        <w:tc>
          <w:tcPr>
            <w:tcW w:w="2522" w:type="pct"/>
            <w:shd w:val="clear" w:color="auto" w:fill="C6D9F1" w:themeFill="text2" w:themeFillTint="33"/>
            <w:tcMar>
              <w:left w:w="57" w:type="dxa"/>
              <w:right w:w="57" w:type="dxa"/>
            </w:tcMar>
            <w:vAlign w:val="bottom"/>
          </w:tcPr>
          <w:p w14:paraId="026ED154" w14:textId="77777777" w:rsidR="003D5D84" w:rsidRPr="00DC3E16" w:rsidRDefault="003D5D84" w:rsidP="003D5D84">
            <w:pPr>
              <w:spacing w:before="0" w:line="276" w:lineRule="auto"/>
              <w:rPr>
                <w:sz w:val="16"/>
                <w:szCs w:val="16"/>
              </w:rPr>
            </w:pPr>
            <w:r w:rsidRPr="00DC3E16">
              <w:rPr>
                <w:sz w:val="16"/>
                <w:szCs w:val="16"/>
              </w:rPr>
              <w:t>– bilanca (mio EUR)</w:t>
            </w:r>
          </w:p>
        </w:tc>
        <w:tc>
          <w:tcPr>
            <w:tcW w:w="418" w:type="pct"/>
            <w:shd w:val="clear" w:color="auto" w:fill="C6D9F1" w:themeFill="text2" w:themeFillTint="33"/>
            <w:tcMar>
              <w:left w:w="57" w:type="dxa"/>
              <w:right w:w="57" w:type="dxa"/>
            </w:tcMar>
            <w:vAlign w:val="bottom"/>
          </w:tcPr>
          <w:p w14:paraId="70613C62" w14:textId="77777777" w:rsidR="003D5D84" w:rsidRPr="00DC3E16" w:rsidRDefault="003D5D84" w:rsidP="003D5D84">
            <w:pPr>
              <w:spacing w:before="0" w:line="276" w:lineRule="auto"/>
              <w:rPr>
                <w:sz w:val="16"/>
                <w:szCs w:val="16"/>
              </w:rPr>
            </w:pPr>
            <w:r w:rsidRPr="00DC3E16">
              <w:rPr>
                <w:sz w:val="16"/>
                <w:szCs w:val="16"/>
              </w:rPr>
              <w:t>–1.037,3</w:t>
            </w:r>
          </w:p>
        </w:tc>
        <w:tc>
          <w:tcPr>
            <w:tcW w:w="418" w:type="pct"/>
            <w:shd w:val="clear" w:color="auto" w:fill="C6D9F1" w:themeFill="text2" w:themeFillTint="33"/>
            <w:tcMar>
              <w:left w:w="57" w:type="dxa"/>
              <w:right w:w="57" w:type="dxa"/>
            </w:tcMar>
            <w:vAlign w:val="bottom"/>
          </w:tcPr>
          <w:p w14:paraId="5D5676A2" w14:textId="77777777" w:rsidR="003D5D84" w:rsidRPr="00DC3E16" w:rsidRDefault="003D5D84" w:rsidP="003D5D84">
            <w:pPr>
              <w:spacing w:before="0" w:line="276" w:lineRule="auto"/>
              <w:rPr>
                <w:sz w:val="16"/>
                <w:szCs w:val="16"/>
              </w:rPr>
            </w:pPr>
            <w:r w:rsidRPr="00DC3E16">
              <w:rPr>
                <w:sz w:val="16"/>
                <w:szCs w:val="16"/>
              </w:rPr>
              <w:t>–1.043,7</w:t>
            </w:r>
          </w:p>
        </w:tc>
        <w:tc>
          <w:tcPr>
            <w:tcW w:w="418" w:type="pct"/>
            <w:shd w:val="clear" w:color="auto" w:fill="C6D9F1" w:themeFill="text2" w:themeFillTint="33"/>
            <w:vAlign w:val="bottom"/>
          </w:tcPr>
          <w:p w14:paraId="59121F82" w14:textId="77777777" w:rsidR="003D5D84" w:rsidRPr="00DC3E16" w:rsidRDefault="003D5D84" w:rsidP="003D5D84">
            <w:pPr>
              <w:spacing w:before="0" w:line="276" w:lineRule="auto"/>
              <w:rPr>
                <w:sz w:val="16"/>
                <w:szCs w:val="16"/>
              </w:rPr>
            </w:pPr>
            <w:r w:rsidRPr="00DC3E16">
              <w:rPr>
                <w:sz w:val="16"/>
                <w:szCs w:val="16"/>
              </w:rPr>
              <w:t>–1.061,1</w:t>
            </w:r>
          </w:p>
        </w:tc>
        <w:tc>
          <w:tcPr>
            <w:tcW w:w="418" w:type="pct"/>
            <w:shd w:val="clear" w:color="auto" w:fill="C6D9F1" w:themeFill="text2" w:themeFillTint="33"/>
            <w:vAlign w:val="bottom"/>
          </w:tcPr>
          <w:p w14:paraId="274FA554" w14:textId="77777777" w:rsidR="003D5D84" w:rsidRPr="00DC3E16" w:rsidRDefault="003D5D84" w:rsidP="003D5D84">
            <w:pPr>
              <w:spacing w:before="0" w:line="276" w:lineRule="auto"/>
              <w:rPr>
                <w:sz w:val="16"/>
                <w:szCs w:val="16"/>
              </w:rPr>
            </w:pPr>
            <w:r w:rsidRPr="00DC3E16">
              <w:rPr>
                <w:sz w:val="16"/>
                <w:szCs w:val="16"/>
              </w:rPr>
              <w:t>–1.037,1</w:t>
            </w:r>
          </w:p>
        </w:tc>
        <w:tc>
          <w:tcPr>
            <w:tcW w:w="418" w:type="pct"/>
            <w:shd w:val="clear" w:color="auto" w:fill="C6D9F1" w:themeFill="text2" w:themeFillTint="33"/>
            <w:vAlign w:val="bottom"/>
          </w:tcPr>
          <w:p w14:paraId="35865EF5" w14:textId="77777777" w:rsidR="003D5D84" w:rsidRPr="00DC3E16" w:rsidRDefault="003D5D84" w:rsidP="003D5D84">
            <w:pPr>
              <w:spacing w:before="0" w:line="276" w:lineRule="auto"/>
              <w:rPr>
                <w:sz w:val="16"/>
                <w:szCs w:val="16"/>
              </w:rPr>
            </w:pPr>
            <w:r w:rsidRPr="00DC3E16">
              <w:rPr>
                <w:sz w:val="16"/>
                <w:szCs w:val="16"/>
              </w:rPr>
              <w:t>–1.054,2</w:t>
            </w:r>
          </w:p>
        </w:tc>
        <w:tc>
          <w:tcPr>
            <w:tcW w:w="388" w:type="pct"/>
            <w:shd w:val="clear" w:color="auto" w:fill="C6D9F1" w:themeFill="text2" w:themeFillTint="33"/>
            <w:tcMar>
              <w:left w:w="57" w:type="dxa"/>
              <w:right w:w="57" w:type="dxa"/>
            </w:tcMar>
            <w:vAlign w:val="bottom"/>
          </w:tcPr>
          <w:p w14:paraId="7EF5B5DE" w14:textId="77777777" w:rsidR="003D5D84" w:rsidRPr="00DC3E16" w:rsidRDefault="003D5D84" w:rsidP="003D5D84">
            <w:pPr>
              <w:spacing w:before="0" w:line="276" w:lineRule="auto"/>
              <w:rPr>
                <w:sz w:val="16"/>
                <w:szCs w:val="16"/>
              </w:rPr>
            </w:pPr>
            <w:r w:rsidRPr="00DC3E16">
              <w:rPr>
                <w:sz w:val="16"/>
                <w:szCs w:val="16"/>
              </w:rPr>
              <w:t>101,7</w:t>
            </w:r>
          </w:p>
        </w:tc>
      </w:tr>
      <w:tr w:rsidR="003D5D84" w:rsidRPr="00DC3E16" w14:paraId="2577FE43" w14:textId="77777777" w:rsidTr="004C5161">
        <w:trPr>
          <w:trHeight w:val="227"/>
          <w:jc w:val="center"/>
        </w:trPr>
        <w:tc>
          <w:tcPr>
            <w:tcW w:w="2522" w:type="pct"/>
            <w:shd w:val="clear" w:color="auto" w:fill="C6D9F1" w:themeFill="text2" w:themeFillTint="33"/>
            <w:tcMar>
              <w:left w:w="57" w:type="dxa"/>
              <w:right w:w="57" w:type="dxa"/>
            </w:tcMar>
            <w:vAlign w:val="bottom"/>
          </w:tcPr>
          <w:p w14:paraId="765333F6" w14:textId="77777777" w:rsidR="003D5D84" w:rsidRPr="00DC3E16" w:rsidRDefault="003D5D84" w:rsidP="003D5D84">
            <w:pPr>
              <w:spacing w:before="0" w:line="276" w:lineRule="auto"/>
              <w:rPr>
                <w:sz w:val="16"/>
                <w:szCs w:val="16"/>
              </w:rPr>
            </w:pPr>
            <w:r w:rsidRPr="00DC3E16">
              <w:rPr>
                <w:sz w:val="16"/>
                <w:szCs w:val="16"/>
              </w:rPr>
              <w:t>Pokritost uvoza z izvozom (%)</w:t>
            </w:r>
          </w:p>
        </w:tc>
        <w:tc>
          <w:tcPr>
            <w:tcW w:w="418" w:type="pct"/>
            <w:shd w:val="clear" w:color="auto" w:fill="C6D9F1" w:themeFill="text2" w:themeFillTint="33"/>
            <w:tcMar>
              <w:left w:w="57" w:type="dxa"/>
              <w:right w:w="57" w:type="dxa"/>
            </w:tcMar>
            <w:vAlign w:val="bottom"/>
          </w:tcPr>
          <w:p w14:paraId="70FD5B0D" w14:textId="77777777" w:rsidR="003D5D84" w:rsidRPr="00DC3E16" w:rsidRDefault="003D5D84" w:rsidP="00451314">
            <w:pPr>
              <w:spacing w:before="0" w:line="276" w:lineRule="auto"/>
              <w:jc w:val="right"/>
              <w:rPr>
                <w:sz w:val="16"/>
                <w:szCs w:val="16"/>
              </w:rPr>
            </w:pPr>
            <w:r w:rsidRPr="00DC3E16">
              <w:rPr>
                <w:sz w:val="16"/>
                <w:szCs w:val="16"/>
              </w:rPr>
              <w:t>50,5</w:t>
            </w:r>
          </w:p>
        </w:tc>
        <w:tc>
          <w:tcPr>
            <w:tcW w:w="418" w:type="pct"/>
            <w:shd w:val="clear" w:color="auto" w:fill="C6D9F1" w:themeFill="text2" w:themeFillTint="33"/>
            <w:tcMar>
              <w:left w:w="57" w:type="dxa"/>
              <w:right w:w="57" w:type="dxa"/>
            </w:tcMar>
            <w:vAlign w:val="bottom"/>
          </w:tcPr>
          <w:p w14:paraId="429AF723" w14:textId="77777777" w:rsidR="003D5D84" w:rsidRPr="00DC3E16" w:rsidRDefault="003D5D84" w:rsidP="00451314">
            <w:pPr>
              <w:spacing w:before="0" w:line="276" w:lineRule="auto"/>
              <w:jc w:val="right"/>
              <w:rPr>
                <w:sz w:val="16"/>
                <w:szCs w:val="16"/>
              </w:rPr>
            </w:pPr>
            <w:r w:rsidRPr="00DC3E16">
              <w:rPr>
                <w:sz w:val="16"/>
                <w:szCs w:val="16"/>
              </w:rPr>
              <w:t>52,2</w:t>
            </w:r>
          </w:p>
        </w:tc>
        <w:tc>
          <w:tcPr>
            <w:tcW w:w="418" w:type="pct"/>
            <w:shd w:val="clear" w:color="auto" w:fill="C6D9F1" w:themeFill="text2" w:themeFillTint="33"/>
            <w:vAlign w:val="bottom"/>
          </w:tcPr>
          <w:p w14:paraId="4E07C578" w14:textId="77777777" w:rsidR="003D5D84" w:rsidRPr="00DC3E16" w:rsidRDefault="003D5D84" w:rsidP="00451314">
            <w:pPr>
              <w:spacing w:before="0" w:line="276" w:lineRule="auto"/>
              <w:jc w:val="right"/>
              <w:rPr>
                <w:sz w:val="16"/>
                <w:szCs w:val="16"/>
              </w:rPr>
            </w:pPr>
            <w:r w:rsidRPr="00DC3E16">
              <w:rPr>
                <w:sz w:val="16"/>
                <w:szCs w:val="16"/>
              </w:rPr>
              <w:t>54,5</w:t>
            </w:r>
          </w:p>
        </w:tc>
        <w:tc>
          <w:tcPr>
            <w:tcW w:w="418" w:type="pct"/>
            <w:shd w:val="clear" w:color="auto" w:fill="C6D9F1" w:themeFill="text2" w:themeFillTint="33"/>
            <w:vAlign w:val="bottom"/>
          </w:tcPr>
          <w:p w14:paraId="1B2F5893" w14:textId="77777777" w:rsidR="003D5D84" w:rsidRPr="00DC3E16" w:rsidRDefault="003D5D84" w:rsidP="00451314">
            <w:pPr>
              <w:spacing w:before="0" w:line="276" w:lineRule="auto"/>
              <w:jc w:val="right"/>
              <w:rPr>
                <w:sz w:val="16"/>
                <w:szCs w:val="16"/>
              </w:rPr>
            </w:pPr>
            <w:r w:rsidRPr="00DC3E16">
              <w:rPr>
                <w:sz w:val="16"/>
                <w:szCs w:val="16"/>
              </w:rPr>
              <w:t>57,7</w:t>
            </w:r>
          </w:p>
        </w:tc>
        <w:tc>
          <w:tcPr>
            <w:tcW w:w="418" w:type="pct"/>
            <w:shd w:val="clear" w:color="auto" w:fill="C6D9F1" w:themeFill="text2" w:themeFillTint="33"/>
            <w:vAlign w:val="bottom"/>
          </w:tcPr>
          <w:p w14:paraId="0265B9ED" w14:textId="77777777" w:rsidR="003D5D84" w:rsidRPr="00DC3E16" w:rsidRDefault="003D5D84" w:rsidP="00451314">
            <w:pPr>
              <w:spacing w:before="0" w:line="276" w:lineRule="auto"/>
              <w:jc w:val="right"/>
              <w:rPr>
                <w:sz w:val="16"/>
                <w:szCs w:val="16"/>
              </w:rPr>
            </w:pPr>
            <w:r w:rsidRPr="00DC3E16">
              <w:rPr>
                <w:sz w:val="16"/>
                <w:szCs w:val="16"/>
              </w:rPr>
              <w:t>59,0</w:t>
            </w:r>
          </w:p>
        </w:tc>
        <w:tc>
          <w:tcPr>
            <w:tcW w:w="388" w:type="pct"/>
            <w:shd w:val="clear" w:color="auto" w:fill="C6D9F1" w:themeFill="text2" w:themeFillTint="33"/>
            <w:tcMar>
              <w:left w:w="57" w:type="dxa"/>
              <w:right w:w="57" w:type="dxa"/>
            </w:tcMar>
            <w:vAlign w:val="bottom"/>
          </w:tcPr>
          <w:p w14:paraId="139A6742" w14:textId="77777777" w:rsidR="003D5D84" w:rsidRPr="00DC3E16" w:rsidRDefault="003D5D84" w:rsidP="003D5D84">
            <w:pPr>
              <w:spacing w:before="0" w:line="276" w:lineRule="auto"/>
              <w:rPr>
                <w:sz w:val="16"/>
                <w:szCs w:val="16"/>
              </w:rPr>
            </w:pPr>
          </w:p>
        </w:tc>
      </w:tr>
      <w:tr w:rsidR="003D5D84" w:rsidRPr="00DC3E16" w14:paraId="56644A2A" w14:textId="77777777" w:rsidTr="004C5161">
        <w:trPr>
          <w:trHeight w:val="227"/>
          <w:jc w:val="center"/>
        </w:trPr>
        <w:tc>
          <w:tcPr>
            <w:tcW w:w="2522" w:type="pct"/>
            <w:shd w:val="clear" w:color="auto" w:fill="C6D9F1" w:themeFill="text2" w:themeFillTint="33"/>
            <w:tcMar>
              <w:left w:w="57" w:type="dxa"/>
              <w:right w:w="57" w:type="dxa"/>
            </w:tcMar>
            <w:vAlign w:val="bottom"/>
          </w:tcPr>
          <w:p w14:paraId="07620C10" w14:textId="77777777" w:rsidR="003D5D84" w:rsidRPr="00DC3E16" w:rsidRDefault="003D5D84" w:rsidP="003D5D84">
            <w:pPr>
              <w:spacing w:before="0" w:line="276" w:lineRule="auto"/>
              <w:rPr>
                <w:sz w:val="16"/>
                <w:szCs w:val="16"/>
              </w:rPr>
            </w:pPr>
            <w:r w:rsidRPr="00DC3E16">
              <w:rPr>
                <w:sz w:val="16"/>
                <w:szCs w:val="16"/>
              </w:rPr>
              <w:t>Delež agroživilskih proizvodov v skupni blagovni menjavi (%)</w:t>
            </w:r>
          </w:p>
        </w:tc>
        <w:tc>
          <w:tcPr>
            <w:tcW w:w="418" w:type="pct"/>
            <w:shd w:val="clear" w:color="auto" w:fill="C6D9F1" w:themeFill="text2" w:themeFillTint="33"/>
            <w:tcMar>
              <w:left w:w="57" w:type="dxa"/>
              <w:right w:w="57" w:type="dxa"/>
            </w:tcMar>
            <w:vAlign w:val="bottom"/>
          </w:tcPr>
          <w:p w14:paraId="57756C5F" w14:textId="77777777" w:rsidR="003D5D84" w:rsidRPr="00DC3E16" w:rsidRDefault="003D5D84" w:rsidP="00451314">
            <w:pPr>
              <w:spacing w:before="0" w:line="276" w:lineRule="auto"/>
              <w:jc w:val="right"/>
              <w:rPr>
                <w:sz w:val="16"/>
                <w:szCs w:val="16"/>
              </w:rPr>
            </w:pPr>
            <w:r w:rsidRPr="00DC3E16">
              <w:rPr>
                <w:sz w:val="16"/>
                <w:szCs w:val="16"/>
              </w:rPr>
              <w:t>6,7</w:t>
            </w:r>
          </w:p>
        </w:tc>
        <w:tc>
          <w:tcPr>
            <w:tcW w:w="418" w:type="pct"/>
            <w:shd w:val="clear" w:color="auto" w:fill="C6D9F1" w:themeFill="text2" w:themeFillTint="33"/>
            <w:tcMar>
              <w:left w:w="57" w:type="dxa"/>
              <w:right w:w="57" w:type="dxa"/>
            </w:tcMar>
            <w:vAlign w:val="bottom"/>
          </w:tcPr>
          <w:p w14:paraId="4ECB58F2" w14:textId="77777777" w:rsidR="003D5D84" w:rsidRPr="00DC3E16" w:rsidRDefault="003D5D84" w:rsidP="00451314">
            <w:pPr>
              <w:spacing w:before="0" w:line="276" w:lineRule="auto"/>
              <w:jc w:val="right"/>
              <w:rPr>
                <w:sz w:val="16"/>
                <w:szCs w:val="16"/>
              </w:rPr>
            </w:pPr>
            <w:r w:rsidRPr="00DC3E16">
              <w:rPr>
                <w:sz w:val="16"/>
                <w:szCs w:val="16"/>
              </w:rPr>
              <w:t>6,8</w:t>
            </w:r>
          </w:p>
        </w:tc>
        <w:tc>
          <w:tcPr>
            <w:tcW w:w="418" w:type="pct"/>
            <w:shd w:val="clear" w:color="auto" w:fill="C6D9F1" w:themeFill="text2" w:themeFillTint="33"/>
            <w:vAlign w:val="bottom"/>
          </w:tcPr>
          <w:p w14:paraId="6A200CFC" w14:textId="77777777" w:rsidR="003D5D84" w:rsidRPr="00DC3E16" w:rsidRDefault="003D5D84" w:rsidP="00451314">
            <w:pPr>
              <w:spacing w:before="0" w:line="276" w:lineRule="auto"/>
              <w:jc w:val="right"/>
              <w:rPr>
                <w:sz w:val="16"/>
                <w:szCs w:val="16"/>
              </w:rPr>
            </w:pPr>
            <w:r w:rsidRPr="00DC3E16">
              <w:rPr>
                <w:sz w:val="16"/>
                <w:szCs w:val="16"/>
              </w:rPr>
              <w:t>6,4</w:t>
            </w:r>
          </w:p>
        </w:tc>
        <w:tc>
          <w:tcPr>
            <w:tcW w:w="418" w:type="pct"/>
            <w:shd w:val="clear" w:color="auto" w:fill="C6D9F1" w:themeFill="text2" w:themeFillTint="33"/>
            <w:vAlign w:val="bottom"/>
          </w:tcPr>
          <w:p w14:paraId="6A9F0DEA" w14:textId="77777777" w:rsidR="003D5D84" w:rsidRPr="00DC3E16" w:rsidRDefault="003D5D84" w:rsidP="00451314">
            <w:pPr>
              <w:spacing w:before="0" w:line="276" w:lineRule="auto"/>
              <w:jc w:val="right"/>
              <w:rPr>
                <w:sz w:val="16"/>
                <w:szCs w:val="16"/>
              </w:rPr>
            </w:pPr>
            <w:r w:rsidRPr="00DC3E16">
              <w:rPr>
                <w:sz w:val="16"/>
                <w:szCs w:val="16"/>
              </w:rPr>
              <w:t>6,3</w:t>
            </w:r>
          </w:p>
        </w:tc>
        <w:tc>
          <w:tcPr>
            <w:tcW w:w="418" w:type="pct"/>
            <w:shd w:val="clear" w:color="auto" w:fill="C6D9F1" w:themeFill="text2" w:themeFillTint="33"/>
            <w:vAlign w:val="bottom"/>
          </w:tcPr>
          <w:p w14:paraId="72E5B933" w14:textId="77777777" w:rsidR="003D5D84" w:rsidRPr="00DC3E16" w:rsidRDefault="003D5D84" w:rsidP="00451314">
            <w:pPr>
              <w:spacing w:before="0" w:line="276" w:lineRule="auto"/>
              <w:jc w:val="right"/>
              <w:rPr>
                <w:sz w:val="16"/>
                <w:szCs w:val="16"/>
              </w:rPr>
            </w:pPr>
            <w:r w:rsidRPr="00DC3E16">
              <w:rPr>
                <w:sz w:val="16"/>
                <w:szCs w:val="16"/>
              </w:rPr>
              <w:t>6,0</w:t>
            </w:r>
          </w:p>
        </w:tc>
        <w:tc>
          <w:tcPr>
            <w:tcW w:w="388" w:type="pct"/>
            <w:shd w:val="clear" w:color="auto" w:fill="C6D9F1" w:themeFill="text2" w:themeFillTint="33"/>
            <w:tcMar>
              <w:left w:w="57" w:type="dxa"/>
              <w:right w:w="57" w:type="dxa"/>
            </w:tcMar>
            <w:vAlign w:val="bottom"/>
          </w:tcPr>
          <w:p w14:paraId="71FEC8A5" w14:textId="77777777" w:rsidR="003D5D84" w:rsidRPr="00DC3E16" w:rsidRDefault="003D5D84" w:rsidP="003D5D84">
            <w:pPr>
              <w:spacing w:before="0" w:line="276" w:lineRule="auto"/>
              <w:rPr>
                <w:sz w:val="16"/>
                <w:szCs w:val="16"/>
              </w:rPr>
            </w:pPr>
          </w:p>
        </w:tc>
      </w:tr>
      <w:tr w:rsidR="003D5D84" w:rsidRPr="00DC3E16" w14:paraId="66C9234F" w14:textId="77777777" w:rsidTr="004C5161">
        <w:trPr>
          <w:trHeight w:val="227"/>
          <w:jc w:val="center"/>
        </w:trPr>
        <w:tc>
          <w:tcPr>
            <w:tcW w:w="2522" w:type="pct"/>
            <w:shd w:val="clear" w:color="auto" w:fill="C6D9F1" w:themeFill="text2" w:themeFillTint="33"/>
            <w:tcMar>
              <w:left w:w="57" w:type="dxa"/>
              <w:right w:w="57" w:type="dxa"/>
            </w:tcMar>
            <w:vAlign w:val="bottom"/>
          </w:tcPr>
          <w:p w14:paraId="607E2092" w14:textId="77777777" w:rsidR="003D5D84" w:rsidRPr="00DC3E16" w:rsidRDefault="003D5D84" w:rsidP="003D5D84">
            <w:pPr>
              <w:spacing w:before="0" w:line="276" w:lineRule="auto"/>
              <w:rPr>
                <w:sz w:val="16"/>
                <w:szCs w:val="16"/>
              </w:rPr>
            </w:pPr>
            <w:r w:rsidRPr="00DC3E16">
              <w:rPr>
                <w:sz w:val="16"/>
                <w:szCs w:val="16"/>
              </w:rPr>
              <w:t>Delež agroživilskih proizvodov v skupnem izvozu blaga (%)</w:t>
            </w:r>
          </w:p>
        </w:tc>
        <w:tc>
          <w:tcPr>
            <w:tcW w:w="418" w:type="pct"/>
            <w:shd w:val="clear" w:color="auto" w:fill="C6D9F1" w:themeFill="text2" w:themeFillTint="33"/>
            <w:tcMar>
              <w:left w:w="57" w:type="dxa"/>
              <w:right w:w="57" w:type="dxa"/>
            </w:tcMar>
            <w:vAlign w:val="bottom"/>
          </w:tcPr>
          <w:p w14:paraId="61B46FC8" w14:textId="77777777" w:rsidR="003D5D84" w:rsidRPr="00DC3E16" w:rsidRDefault="003D5D84" w:rsidP="00451314">
            <w:pPr>
              <w:spacing w:before="0" w:line="276" w:lineRule="auto"/>
              <w:jc w:val="right"/>
              <w:rPr>
                <w:sz w:val="16"/>
                <w:szCs w:val="16"/>
              </w:rPr>
            </w:pPr>
            <w:r w:rsidRPr="00DC3E16">
              <w:rPr>
                <w:sz w:val="16"/>
                <w:szCs w:val="16"/>
              </w:rPr>
              <w:t>4,4</w:t>
            </w:r>
          </w:p>
        </w:tc>
        <w:tc>
          <w:tcPr>
            <w:tcW w:w="418" w:type="pct"/>
            <w:shd w:val="clear" w:color="auto" w:fill="C6D9F1" w:themeFill="text2" w:themeFillTint="33"/>
            <w:tcMar>
              <w:left w:w="57" w:type="dxa"/>
              <w:right w:w="57" w:type="dxa"/>
            </w:tcMar>
            <w:vAlign w:val="bottom"/>
          </w:tcPr>
          <w:p w14:paraId="62313754"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5246C08" w14:textId="77777777" w:rsidR="003D5D84" w:rsidRPr="00DC3E16" w:rsidRDefault="003D5D84" w:rsidP="00451314">
            <w:pPr>
              <w:spacing w:before="0" w:line="276" w:lineRule="auto"/>
              <w:jc w:val="right"/>
              <w:rPr>
                <w:sz w:val="16"/>
                <w:szCs w:val="16"/>
              </w:rPr>
            </w:pPr>
            <w:r w:rsidRPr="00DC3E16">
              <w:rPr>
                <w:sz w:val="16"/>
                <w:szCs w:val="16"/>
              </w:rPr>
              <w:t>4,5</w:t>
            </w:r>
          </w:p>
        </w:tc>
        <w:tc>
          <w:tcPr>
            <w:tcW w:w="418" w:type="pct"/>
            <w:shd w:val="clear" w:color="auto" w:fill="C6D9F1" w:themeFill="text2" w:themeFillTint="33"/>
            <w:vAlign w:val="bottom"/>
          </w:tcPr>
          <w:p w14:paraId="31513291"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30DBF58" w14:textId="77777777" w:rsidR="003D5D84" w:rsidRPr="00DC3E16" w:rsidRDefault="003D5D84" w:rsidP="00451314">
            <w:pPr>
              <w:spacing w:before="0" w:line="276" w:lineRule="auto"/>
              <w:jc w:val="right"/>
              <w:rPr>
                <w:sz w:val="16"/>
                <w:szCs w:val="16"/>
              </w:rPr>
            </w:pPr>
            <w:r w:rsidRPr="00DC3E16">
              <w:rPr>
                <w:sz w:val="16"/>
                <w:szCs w:val="16"/>
              </w:rPr>
              <w:t>4,5</w:t>
            </w:r>
          </w:p>
        </w:tc>
        <w:tc>
          <w:tcPr>
            <w:tcW w:w="388" w:type="pct"/>
            <w:shd w:val="clear" w:color="auto" w:fill="C6D9F1" w:themeFill="text2" w:themeFillTint="33"/>
            <w:tcMar>
              <w:left w:w="57" w:type="dxa"/>
              <w:right w:w="57" w:type="dxa"/>
            </w:tcMar>
            <w:vAlign w:val="bottom"/>
          </w:tcPr>
          <w:p w14:paraId="11723E35" w14:textId="77777777" w:rsidR="003D5D84" w:rsidRPr="00DC3E16" w:rsidRDefault="003D5D84" w:rsidP="003D5D84">
            <w:pPr>
              <w:spacing w:before="0" w:line="276" w:lineRule="auto"/>
              <w:rPr>
                <w:sz w:val="16"/>
                <w:szCs w:val="16"/>
              </w:rPr>
            </w:pPr>
          </w:p>
        </w:tc>
      </w:tr>
      <w:tr w:rsidR="003D5D84" w:rsidRPr="00DC3E16" w14:paraId="69536569" w14:textId="77777777" w:rsidTr="004C5161">
        <w:trPr>
          <w:trHeight w:val="227"/>
          <w:jc w:val="center"/>
        </w:trPr>
        <w:tc>
          <w:tcPr>
            <w:tcW w:w="2522" w:type="pct"/>
            <w:shd w:val="clear" w:color="auto" w:fill="C6D9F1" w:themeFill="text2" w:themeFillTint="33"/>
            <w:tcMar>
              <w:left w:w="57" w:type="dxa"/>
              <w:right w:w="57" w:type="dxa"/>
            </w:tcMar>
            <w:vAlign w:val="bottom"/>
          </w:tcPr>
          <w:p w14:paraId="4D5C8669" w14:textId="77777777" w:rsidR="003D5D84" w:rsidRPr="00DC3E16" w:rsidRDefault="003D5D84" w:rsidP="003D5D84">
            <w:pPr>
              <w:spacing w:before="0" w:line="276" w:lineRule="auto"/>
              <w:rPr>
                <w:sz w:val="16"/>
                <w:szCs w:val="16"/>
              </w:rPr>
            </w:pPr>
            <w:r w:rsidRPr="00DC3E16">
              <w:rPr>
                <w:sz w:val="16"/>
                <w:szCs w:val="16"/>
              </w:rPr>
              <w:t>Delež agroživilskih proizvodov v skupnem uvozu blaga (%)</w:t>
            </w:r>
          </w:p>
        </w:tc>
        <w:tc>
          <w:tcPr>
            <w:tcW w:w="418" w:type="pct"/>
            <w:shd w:val="clear" w:color="auto" w:fill="C6D9F1" w:themeFill="text2" w:themeFillTint="33"/>
            <w:tcMar>
              <w:left w:w="57" w:type="dxa"/>
              <w:right w:w="57" w:type="dxa"/>
            </w:tcMar>
            <w:vAlign w:val="bottom"/>
          </w:tcPr>
          <w:p w14:paraId="719D3585"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tcMar>
              <w:left w:w="57" w:type="dxa"/>
              <w:right w:w="57" w:type="dxa"/>
            </w:tcMar>
            <w:vAlign w:val="bottom"/>
          </w:tcPr>
          <w:p w14:paraId="371B252E"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vAlign w:val="bottom"/>
          </w:tcPr>
          <w:p w14:paraId="276E24E9" w14:textId="77777777" w:rsidR="003D5D84" w:rsidRPr="00DC3E16" w:rsidRDefault="003D5D84" w:rsidP="00451314">
            <w:pPr>
              <w:spacing w:before="0" w:line="276" w:lineRule="auto"/>
              <w:jc w:val="right"/>
              <w:rPr>
                <w:sz w:val="16"/>
                <w:szCs w:val="16"/>
              </w:rPr>
            </w:pPr>
            <w:r w:rsidRPr="00DC3E16">
              <w:rPr>
                <w:sz w:val="16"/>
                <w:szCs w:val="16"/>
              </w:rPr>
              <w:t>8,4</w:t>
            </w:r>
          </w:p>
        </w:tc>
        <w:tc>
          <w:tcPr>
            <w:tcW w:w="418" w:type="pct"/>
            <w:shd w:val="clear" w:color="auto" w:fill="C6D9F1" w:themeFill="text2" w:themeFillTint="33"/>
            <w:vAlign w:val="bottom"/>
          </w:tcPr>
          <w:p w14:paraId="478AD842" w14:textId="77777777" w:rsidR="003D5D84" w:rsidRPr="00DC3E16" w:rsidRDefault="003D5D84" w:rsidP="00451314">
            <w:pPr>
              <w:spacing w:before="0" w:line="276" w:lineRule="auto"/>
              <w:jc w:val="right"/>
              <w:rPr>
                <w:sz w:val="16"/>
                <w:szCs w:val="16"/>
              </w:rPr>
            </w:pPr>
            <w:r w:rsidRPr="00DC3E16">
              <w:rPr>
                <w:sz w:val="16"/>
                <w:szCs w:val="16"/>
              </w:rPr>
              <w:t>8,0</w:t>
            </w:r>
          </w:p>
        </w:tc>
        <w:tc>
          <w:tcPr>
            <w:tcW w:w="418" w:type="pct"/>
            <w:shd w:val="clear" w:color="auto" w:fill="C6D9F1" w:themeFill="text2" w:themeFillTint="33"/>
            <w:vAlign w:val="bottom"/>
          </w:tcPr>
          <w:p w14:paraId="34973F1C" w14:textId="77777777" w:rsidR="003D5D84" w:rsidRPr="00DC3E16" w:rsidRDefault="003D5D84" w:rsidP="00451314">
            <w:pPr>
              <w:spacing w:before="0" w:line="276" w:lineRule="auto"/>
              <w:jc w:val="right"/>
              <w:rPr>
                <w:sz w:val="16"/>
                <w:szCs w:val="16"/>
              </w:rPr>
            </w:pPr>
            <w:r w:rsidRPr="00DC3E16">
              <w:rPr>
                <w:sz w:val="16"/>
                <w:szCs w:val="16"/>
              </w:rPr>
              <w:t>7,5</w:t>
            </w:r>
          </w:p>
        </w:tc>
        <w:tc>
          <w:tcPr>
            <w:tcW w:w="388" w:type="pct"/>
            <w:shd w:val="clear" w:color="auto" w:fill="C6D9F1" w:themeFill="text2" w:themeFillTint="33"/>
            <w:tcMar>
              <w:left w:w="57" w:type="dxa"/>
              <w:right w:w="57" w:type="dxa"/>
            </w:tcMar>
            <w:vAlign w:val="bottom"/>
          </w:tcPr>
          <w:p w14:paraId="295CD490" w14:textId="77777777" w:rsidR="003D5D84" w:rsidRPr="00DC3E16" w:rsidRDefault="003D5D84" w:rsidP="003D5D84">
            <w:pPr>
              <w:spacing w:before="0" w:line="276" w:lineRule="auto"/>
              <w:rPr>
                <w:sz w:val="16"/>
                <w:szCs w:val="16"/>
              </w:rPr>
            </w:pPr>
          </w:p>
        </w:tc>
      </w:tr>
    </w:tbl>
    <w:p w14:paraId="3F6669D3" w14:textId="77777777" w:rsidR="003D5D84" w:rsidRPr="00E94325" w:rsidRDefault="003D5D84" w:rsidP="00451314">
      <w:pPr>
        <w:pStyle w:val="1"/>
        <w:spacing w:before="0"/>
        <w:rPr>
          <w:szCs w:val="16"/>
        </w:rPr>
      </w:pPr>
      <w:r w:rsidRPr="00451314">
        <w:rPr>
          <w:sz w:val="16"/>
          <w:szCs w:val="16"/>
        </w:rPr>
        <w:t>* Začasni podatki.</w:t>
      </w:r>
    </w:p>
    <w:p w14:paraId="56F6A715" w14:textId="08FC0D11" w:rsidR="003D5D84" w:rsidRPr="00E94325" w:rsidRDefault="003D5D84" w:rsidP="00451314">
      <w:pPr>
        <w:pStyle w:val="1"/>
        <w:spacing w:before="0"/>
        <w:rPr>
          <w:szCs w:val="16"/>
        </w:rPr>
      </w:pPr>
      <w:r w:rsidRPr="00451314">
        <w:rPr>
          <w:sz w:val="16"/>
          <w:szCs w:val="16"/>
        </w:rPr>
        <w:t xml:space="preserve">Vir: SURS in </w:t>
      </w:r>
      <w:r w:rsidRPr="00307A17">
        <w:rPr>
          <w:sz w:val="16"/>
          <w:szCs w:val="16"/>
        </w:rPr>
        <w:t>Poročilo o stanju kmetijstva, živilstva, gozdarstva in ribištva v letu 2019</w:t>
      </w:r>
    </w:p>
    <w:p w14:paraId="5A0557AF" w14:textId="77777777" w:rsidR="003D5D84" w:rsidRDefault="003D5D84" w:rsidP="007613FE">
      <w:pPr>
        <w:pStyle w:val="Odstavek1"/>
      </w:pPr>
    </w:p>
    <w:p w14:paraId="50D72449" w14:textId="527D4413" w:rsidR="003D5D84" w:rsidRDefault="003D5D84" w:rsidP="005C6188">
      <w:pPr>
        <w:pStyle w:val="SCSlika0"/>
      </w:pPr>
      <w:bookmarkStart w:id="3261" w:name="_Toc89851142"/>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1B3E9B">
        <w:rPr>
          <w:noProof/>
          <w:szCs w:val="16"/>
        </w:rPr>
        <w:t>100</w:t>
      </w:r>
      <w:r w:rsidRPr="009F3567">
        <w:rPr>
          <w:noProof/>
          <w:szCs w:val="16"/>
        </w:rPr>
        <w:fldChar w:fldCharType="end"/>
      </w:r>
      <w:r w:rsidRPr="009F3567">
        <w:rPr>
          <w:szCs w:val="16"/>
        </w:rPr>
        <w:t>:</w:t>
      </w:r>
      <w:r w:rsidRPr="009F3567">
        <w:rPr>
          <w:i/>
        </w:rPr>
        <w:t xml:space="preserve"> </w:t>
      </w:r>
      <w:r w:rsidRPr="009F3567">
        <w:t xml:space="preserve">Izvoz in uvoz ter zunanjetrgovinska bilanca agroživilskih proizvodov (mio EUR); </w:t>
      </w:r>
      <w:r>
        <w:t>2007</w:t>
      </w:r>
      <w:r w:rsidR="00307A17">
        <w:t>–</w:t>
      </w:r>
      <w:r>
        <w:t>2019</w:t>
      </w:r>
      <w:bookmarkEnd w:id="3261"/>
    </w:p>
    <w:p w14:paraId="6897F210" w14:textId="77777777" w:rsidR="003D5D84" w:rsidRDefault="003D5D84" w:rsidP="003D5D84">
      <w:r w:rsidRPr="00366CA0">
        <w:rPr>
          <w:noProof/>
          <w:lang w:eastAsia="sl-SI"/>
        </w:rPr>
        <w:drawing>
          <wp:inline distT="0" distB="0" distL="0" distR="0" wp14:anchorId="7E9F0B7D" wp14:editId="3688B5BE">
            <wp:extent cx="4752340" cy="248412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52340" cy="2484120"/>
                    </a:xfrm>
                    <a:prstGeom prst="rect">
                      <a:avLst/>
                    </a:prstGeom>
                    <a:noFill/>
                  </pic:spPr>
                </pic:pic>
              </a:graphicData>
            </a:graphic>
          </wp:inline>
        </w:drawing>
      </w:r>
    </w:p>
    <w:p w14:paraId="282E3F15" w14:textId="77777777" w:rsidR="003D5D84" w:rsidRPr="005E591B" w:rsidRDefault="003D5D84" w:rsidP="003D5D84">
      <w:pPr>
        <w:pStyle w:val="ZPpodnapis"/>
        <w:spacing w:before="0" w:after="0" w:line="276" w:lineRule="auto"/>
        <w:ind w:left="0" w:firstLine="0"/>
        <w:rPr>
          <w:szCs w:val="20"/>
        </w:rPr>
      </w:pPr>
      <w:r w:rsidRPr="005E591B">
        <w:rPr>
          <w:szCs w:val="20"/>
        </w:rPr>
        <w:t>Vir: SURS</w:t>
      </w:r>
      <w:r>
        <w:rPr>
          <w:szCs w:val="20"/>
        </w:rPr>
        <w:t xml:space="preserve"> in </w:t>
      </w:r>
      <w:r w:rsidRPr="00C53FDC">
        <w:rPr>
          <w:szCs w:val="16"/>
        </w:rPr>
        <w:t>Poročilo o stanju kmetijstva, živilstva, gozdarstva in ribištva v letu 201</w:t>
      </w:r>
      <w:r>
        <w:rPr>
          <w:szCs w:val="16"/>
        </w:rPr>
        <w:t>9</w:t>
      </w:r>
    </w:p>
    <w:p w14:paraId="18D71C93" w14:textId="77777777" w:rsidR="003D5D84" w:rsidRPr="0047652B" w:rsidRDefault="003D5D84" w:rsidP="007613FE">
      <w:pPr>
        <w:pStyle w:val="SCslika"/>
        <w:spacing w:before="0" w:after="0" w:line="260" w:lineRule="atLeast"/>
      </w:pPr>
    </w:p>
    <w:p w14:paraId="543833AF" w14:textId="3B71C14F" w:rsidR="003D5D84" w:rsidRPr="005C6188" w:rsidRDefault="00D22DB1" w:rsidP="007613FE">
      <w:pPr>
        <w:pStyle w:val="ZPtekst"/>
        <w:spacing w:before="0" w:line="260" w:lineRule="atLeast"/>
        <w:rPr>
          <w:szCs w:val="20"/>
        </w:rPr>
      </w:pPr>
      <w:r w:rsidRPr="005C6188">
        <w:rPr>
          <w:szCs w:val="20"/>
        </w:rPr>
        <w:t xml:space="preserve"> </w:t>
      </w:r>
    </w:p>
    <w:p w14:paraId="755B3802" w14:textId="77777777" w:rsidR="00D22DB1" w:rsidRPr="005C6188" w:rsidRDefault="00D22DB1" w:rsidP="007613FE">
      <w:pPr>
        <w:pStyle w:val="1"/>
        <w:spacing w:before="0"/>
        <w:rPr>
          <w:sz w:val="22"/>
          <w:u w:val="single"/>
        </w:rPr>
      </w:pPr>
    </w:p>
    <w:p w14:paraId="3FDCDC51" w14:textId="00F2956D" w:rsidR="003D5D84" w:rsidRPr="005C6188" w:rsidRDefault="003D5D84" w:rsidP="007613FE">
      <w:pPr>
        <w:pStyle w:val="1"/>
        <w:spacing w:before="0"/>
        <w:rPr>
          <w:i/>
          <w:sz w:val="22"/>
          <w:u w:val="single"/>
        </w:rPr>
      </w:pPr>
      <w:r w:rsidRPr="005C6188">
        <w:rPr>
          <w:sz w:val="22"/>
          <w:u w:val="single"/>
        </w:rPr>
        <w:t>Izvoz</w:t>
      </w:r>
    </w:p>
    <w:p w14:paraId="7DEFB9FF" w14:textId="57988FBC" w:rsidR="003D5D84" w:rsidRPr="005C6188" w:rsidRDefault="003D5D84" w:rsidP="007613FE">
      <w:pPr>
        <w:pStyle w:val="1"/>
        <w:spacing w:before="0"/>
        <w:rPr>
          <w:sz w:val="22"/>
        </w:rPr>
      </w:pPr>
      <w:r w:rsidRPr="005C6188">
        <w:rPr>
          <w:sz w:val="22"/>
        </w:rPr>
        <w:t>V letih 2014–2019 je znašal delež izvoza v države EU–28 okoli 75 %, delež izvoza v države nekdanje Jugoslavije ostaja pri 14 %, delež izvoza v druge države pa znaša okoli 10 %.</w:t>
      </w:r>
    </w:p>
    <w:p w14:paraId="70BF5702" w14:textId="77777777" w:rsidR="003D5D84" w:rsidRDefault="003D5D84" w:rsidP="007613FE">
      <w:pPr>
        <w:pStyle w:val="1"/>
        <w:spacing w:before="0"/>
        <w:rPr>
          <w:i/>
        </w:rPr>
      </w:pPr>
    </w:p>
    <w:p w14:paraId="16B2D607" w14:textId="1A6FB4BE" w:rsidR="003D5D84" w:rsidRDefault="003D5D84" w:rsidP="005C6188">
      <w:pPr>
        <w:pStyle w:val="SCSlika0"/>
        <w:rPr>
          <w:i/>
          <w:sz w:val="24"/>
          <w:szCs w:val="20"/>
        </w:rPr>
      </w:pPr>
      <w:bookmarkStart w:id="3262" w:name="_Toc89851143"/>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101</w:t>
      </w:r>
      <w:r w:rsidR="009F2591">
        <w:rPr>
          <w:noProof/>
        </w:rPr>
        <w:fldChar w:fldCharType="end"/>
      </w:r>
      <w:r w:rsidRPr="009F3567">
        <w:t>:</w:t>
      </w:r>
      <w:r w:rsidRPr="009F3567">
        <w:rPr>
          <w:i/>
        </w:rPr>
        <w:t xml:space="preserve"> </w:t>
      </w:r>
      <w:r w:rsidRPr="009F3567">
        <w:t xml:space="preserve">Struktura izvoza in uvoza agroživilstva po skupinah držav; </w:t>
      </w:r>
      <w:r>
        <w:t>2014-2019</w:t>
      </w:r>
      <w:bookmarkEnd w:id="3262"/>
    </w:p>
    <w:p w14:paraId="65C98044" w14:textId="77777777" w:rsidR="003D5D84" w:rsidRPr="009F3567" w:rsidRDefault="003D5D84" w:rsidP="003D5D84">
      <w:pPr>
        <w:spacing w:before="0" w:line="276" w:lineRule="auto"/>
        <w:rPr>
          <w:i/>
          <w:sz w:val="24"/>
          <w:szCs w:val="20"/>
        </w:rPr>
      </w:pPr>
      <w:r w:rsidRPr="004F5B32">
        <w:rPr>
          <w:noProof/>
          <w:lang w:eastAsia="sl-SI"/>
        </w:rPr>
        <w:drawing>
          <wp:inline distT="0" distB="0" distL="0" distR="0" wp14:anchorId="6A36FF44" wp14:editId="5AEBC54B">
            <wp:extent cx="5247640" cy="2369379"/>
            <wp:effectExtent l="19050" t="19050" r="10160" b="1206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a:extLst>
                        <a:ext uri="{28A0092B-C50C-407E-A947-70E740481C1C}">
                          <a14:useLocalDpi xmlns:a14="http://schemas.microsoft.com/office/drawing/2010/main" val="0"/>
                        </a:ext>
                      </a:extLst>
                    </a:blip>
                    <a:srcRect t="2931"/>
                    <a:stretch/>
                  </pic:blipFill>
                  <pic:spPr bwMode="auto">
                    <a:xfrm>
                      <a:off x="0" y="0"/>
                      <a:ext cx="5252776" cy="23716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0D9886" w14:textId="7133130C" w:rsidR="003D5D84" w:rsidRPr="005E591B" w:rsidRDefault="003D5D84" w:rsidP="003D5D84">
      <w:pPr>
        <w:pStyle w:val="ZPpodnapis"/>
        <w:spacing w:before="0" w:after="0" w:line="276" w:lineRule="auto"/>
        <w:ind w:left="0" w:firstLine="0"/>
        <w:rPr>
          <w:szCs w:val="20"/>
        </w:rPr>
      </w:pPr>
      <w:r w:rsidRPr="00597DFB">
        <w:rPr>
          <w:szCs w:val="20"/>
        </w:rPr>
        <w:t xml:space="preserve">Vir: </w:t>
      </w:r>
      <w:r w:rsidRPr="00597DFB">
        <w:rPr>
          <w:szCs w:val="16"/>
        </w:rPr>
        <w:t>Poročilo</w:t>
      </w:r>
      <w:r w:rsidRPr="00C36861">
        <w:rPr>
          <w:szCs w:val="16"/>
        </w:rPr>
        <w:t xml:space="preserve"> o stanju kmetijstva, živilstva, gozdarstva in ribištva v letu 2019</w:t>
      </w:r>
    </w:p>
    <w:p w14:paraId="3AA0FFDB" w14:textId="77777777" w:rsidR="003D5D84" w:rsidRPr="0047652B" w:rsidRDefault="003D5D84" w:rsidP="007613FE">
      <w:pPr>
        <w:pStyle w:val="ZPtekst"/>
        <w:spacing w:before="0" w:line="260" w:lineRule="atLeast"/>
        <w:rPr>
          <w:sz w:val="20"/>
          <w:szCs w:val="20"/>
        </w:rPr>
      </w:pPr>
    </w:p>
    <w:p w14:paraId="4D8450B8" w14:textId="77777777" w:rsidR="003D5D84" w:rsidRPr="005C6188" w:rsidRDefault="003D5D84" w:rsidP="007613FE">
      <w:pPr>
        <w:pStyle w:val="1"/>
        <w:spacing w:before="0"/>
        <w:rPr>
          <w:i/>
          <w:sz w:val="22"/>
          <w:u w:val="single"/>
        </w:rPr>
      </w:pPr>
      <w:r w:rsidRPr="005C6188">
        <w:rPr>
          <w:sz w:val="22"/>
          <w:u w:val="single"/>
        </w:rPr>
        <w:t>Uvoz</w:t>
      </w:r>
    </w:p>
    <w:p w14:paraId="37383B92" w14:textId="1AF220C8" w:rsidR="003D5D84" w:rsidRPr="005C6188" w:rsidRDefault="003D5D84" w:rsidP="007613FE">
      <w:pPr>
        <w:pStyle w:val="1"/>
        <w:spacing w:before="0"/>
        <w:rPr>
          <w:sz w:val="22"/>
        </w:rPr>
      </w:pPr>
      <w:r w:rsidRPr="005C6188">
        <w:rPr>
          <w:sz w:val="22"/>
        </w:rPr>
        <w:t>V letih 2014–2019 ostaja struktura uvoza skoraj nespremenjena; delež uvoza iz EU–28 ostaja pri 85 %, delež uvoza iz drugih držav okoli 12 %, iz držav na območju nekdanje Jugoslavije pa je bilo uvoženih za okoli 3 % agroživilskih proizvodov.</w:t>
      </w:r>
    </w:p>
    <w:p w14:paraId="2D5450AF" w14:textId="15B6BE0D" w:rsidR="003D5D84" w:rsidRPr="005C6188" w:rsidRDefault="003D5D84" w:rsidP="007613FE">
      <w:pPr>
        <w:pStyle w:val="1"/>
        <w:spacing w:before="0"/>
        <w:rPr>
          <w:sz w:val="22"/>
        </w:rPr>
      </w:pPr>
    </w:p>
    <w:p w14:paraId="16A80226" w14:textId="1EA5A2E9" w:rsidR="003D5D84" w:rsidRPr="005C6188" w:rsidRDefault="003D5D84" w:rsidP="007613FE">
      <w:pPr>
        <w:pStyle w:val="1"/>
        <w:spacing w:before="0"/>
        <w:rPr>
          <w:sz w:val="22"/>
          <w:u w:val="single"/>
        </w:rPr>
      </w:pPr>
      <w:r w:rsidRPr="005C6188">
        <w:rPr>
          <w:sz w:val="22"/>
          <w:u w:val="single"/>
        </w:rPr>
        <w:t>Zunanjetrgovinska bilanca po državah v letu 2019</w:t>
      </w:r>
    </w:p>
    <w:p w14:paraId="7DF3F5A4" w14:textId="45EDA3F1" w:rsidR="003D5D84" w:rsidRPr="005C6188" w:rsidRDefault="003D5D84" w:rsidP="007613FE">
      <w:pPr>
        <w:pStyle w:val="1"/>
        <w:spacing w:before="0"/>
        <w:rPr>
          <w:sz w:val="22"/>
        </w:rPr>
      </w:pPr>
      <w:r w:rsidRPr="005C6188">
        <w:rPr>
          <w:sz w:val="22"/>
        </w:rPr>
        <w:t xml:space="preserve">V letu 2019 ostaja zunanjetrgovinska bilanca po skupinah držav nespremenjena. Primanjkljaj z državami EU–28 se je glede na predhodno leto povečal kljub hitrejši rasti izvoza v primerjavi z uvozom in je dosegel 1.047 </w:t>
      </w:r>
      <w:r w:rsidR="00D53725" w:rsidRPr="005C6188">
        <w:rPr>
          <w:sz w:val="22"/>
        </w:rPr>
        <w:t>mio</w:t>
      </w:r>
      <w:r w:rsidRPr="005C6188">
        <w:rPr>
          <w:sz w:val="22"/>
        </w:rPr>
        <w:t xml:space="preserve"> EUR. Blagovna menjava z državami na ozemlju nekdanje Jugoslavije je bila tudi v letu 2019 pozitivna (130 </w:t>
      </w:r>
      <w:r w:rsidR="00D53725" w:rsidRPr="005C6188">
        <w:rPr>
          <w:sz w:val="22"/>
        </w:rPr>
        <w:t>mio</w:t>
      </w:r>
      <w:r w:rsidRPr="005C6188">
        <w:rPr>
          <w:sz w:val="22"/>
        </w:rPr>
        <w:t xml:space="preserve"> EUR). Primanjkljaj v trgovini s tretjimi državami se je klljub povečanju izvoza in zmanjšanju uvoza zmanjšal za 4 % (s 143 </w:t>
      </w:r>
      <w:r w:rsidR="00D53725" w:rsidRPr="005C6188">
        <w:rPr>
          <w:sz w:val="22"/>
        </w:rPr>
        <w:t>mio</w:t>
      </w:r>
      <w:r w:rsidRPr="005C6188">
        <w:rPr>
          <w:sz w:val="22"/>
        </w:rPr>
        <w:t xml:space="preserve"> EUR v letu 2018 na 137 </w:t>
      </w:r>
      <w:r w:rsidR="00D53725" w:rsidRPr="005C6188">
        <w:rPr>
          <w:sz w:val="22"/>
        </w:rPr>
        <w:t>mio</w:t>
      </w:r>
      <w:r w:rsidRPr="005C6188">
        <w:rPr>
          <w:sz w:val="22"/>
        </w:rPr>
        <w:t xml:space="preserve"> EUR).</w:t>
      </w:r>
    </w:p>
    <w:p w14:paraId="48B72CF8" w14:textId="77777777" w:rsidR="00D22DB1" w:rsidRPr="005C6188" w:rsidRDefault="00D22DB1" w:rsidP="007613FE">
      <w:pPr>
        <w:pStyle w:val="1"/>
        <w:spacing w:before="0"/>
        <w:rPr>
          <w:sz w:val="22"/>
        </w:rPr>
      </w:pPr>
    </w:p>
    <w:p w14:paraId="1323A2A5" w14:textId="7FD61793" w:rsidR="003D5D84" w:rsidRPr="005C6188" w:rsidRDefault="003D5D84" w:rsidP="007613FE">
      <w:pPr>
        <w:pStyle w:val="1"/>
        <w:spacing w:before="0"/>
        <w:rPr>
          <w:sz w:val="22"/>
        </w:rPr>
      </w:pPr>
      <w:r w:rsidRPr="005C6188">
        <w:rPr>
          <w:sz w:val="22"/>
        </w:rPr>
        <w:t xml:space="preserve">Zunanjetrgovinska bilanca Slovenije z Nemčijo, Avstrijo in Poljsko je negativna, pozitivna pa z nekaterimi državami bivše Jugoslavije – Bosno in Hercegovino, Kosovom in Makedonijo. Trgovske verige, ki so del tujih trgovskih verig, uvažajo nekatere živilske proizvode iz držav EU preko svojih nabavnih poti. </w:t>
      </w:r>
    </w:p>
    <w:p w14:paraId="59235667" w14:textId="77777777" w:rsidR="003D5D84" w:rsidRDefault="003D5D84" w:rsidP="007613FE">
      <w:pPr>
        <w:spacing w:before="0" w:line="260" w:lineRule="atLeast"/>
        <w:rPr>
          <w:sz w:val="20"/>
          <w:szCs w:val="20"/>
        </w:rPr>
      </w:pPr>
    </w:p>
    <w:p w14:paraId="3BB68BAE" w14:textId="13BA8D3A" w:rsidR="003D5D84" w:rsidRPr="0047652B" w:rsidRDefault="003D5D84" w:rsidP="005C6188">
      <w:pPr>
        <w:pStyle w:val="SCSlika0"/>
        <w:rPr>
          <w:szCs w:val="20"/>
        </w:rPr>
      </w:pPr>
      <w:bookmarkStart w:id="3263" w:name="_Toc89851144"/>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102</w:t>
      </w:r>
      <w:r w:rsidR="009F2591">
        <w:rPr>
          <w:noProof/>
        </w:rPr>
        <w:fldChar w:fldCharType="end"/>
      </w:r>
      <w:r w:rsidRPr="009F3567">
        <w:t>:</w:t>
      </w:r>
      <w:r>
        <w:t xml:space="preserve"> Zunanjetrgovinska bilanca agroživilskih proizvodov po državah v letu </w:t>
      </w:r>
      <w:r w:rsidRPr="00515A40">
        <w:t>2018</w:t>
      </w:r>
      <w:bookmarkEnd w:id="3263"/>
      <w:r w:rsidRPr="00515A40">
        <w:rPr>
          <w:i/>
        </w:rPr>
        <w:t xml:space="preserve"> </w:t>
      </w:r>
    </w:p>
    <w:p w14:paraId="65195904" w14:textId="77777777" w:rsidR="003D5D84" w:rsidRPr="0047652B" w:rsidRDefault="003D5D84" w:rsidP="003D5D84">
      <w:pPr>
        <w:spacing w:before="0" w:line="276" w:lineRule="auto"/>
        <w:rPr>
          <w:sz w:val="20"/>
          <w:szCs w:val="20"/>
        </w:rPr>
      </w:pPr>
      <w:r w:rsidRPr="0047652B">
        <w:rPr>
          <w:noProof/>
          <w:sz w:val="20"/>
          <w:szCs w:val="20"/>
          <w:lang w:eastAsia="sl-SI"/>
        </w:rPr>
        <w:drawing>
          <wp:inline distT="0" distB="0" distL="0" distR="0" wp14:anchorId="5F6C8797" wp14:editId="619A9A39">
            <wp:extent cx="5760720" cy="3935730"/>
            <wp:effectExtent l="0" t="0" r="0" b="7620"/>
            <wp:docPr id="1631865356" name="Slika 163186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anca Slo-druge drzave.png"/>
                    <pic:cNvPicPr/>
                  </pic:nvPicPr>
                  <pic:blipFill>
                    <a:blip r:embed="rId137" cstate="email">
                      <a:extLst>
                        <a:ext uri="{28A0092B-C50C-407E-A947-70E740481C1C}">
                          <a14:useLocalDpi xmlns:a14="http://schemas.microsoft.com/office/drawing/2010/main"/>
                        </a:ext>
                      </a:extLst>
                    </a:blip>
                    <a:stretch>
                      <a:fillRect/>
                    </a:stretch>
                  </pic:blipFill>
                  <pic:spPr>
                    <a:xfrm>
                      <a:off x="0" y="0"/>
                      <a:ext cx="5760720" cy="3935730"/>
                    </a:xfrm>
                    <a:prstGeom prst="rect">
                      <a:avLst/>
                    </a:prstGeom>
                  </pic:spPr>
                </pic:pic>
              </a:graphicData>
            </a:graphic>
          </wp:inline>
        </w:drawing>
      </w:r>
    </w:p>
    <w:p w14:paraId="09A3E68D" w14:textId="5C2C6BB6" w:rsidR="003D5D84" w:rsidRPr="00451314" w:rsidRDefault="003D5D84" w:rsidP="00451314">
      <w:pPr>
        <w:pStyle w:val="ZPpodnapis"/>
        <w:rPr>
          <w:szCs w:val="16"/>
        </w:rPr>
      </w:pPr>
      <w:r w:rsidRPr="00F3427A">
        <w:rPr>
          <w:szCs w:val="16"/>
        </w:rPr>
        <w:t xml:space="preserve">Vir: </w:t>
      </w:r>
      <w:r w:rsidR="00307A17" w:rsidRPr="00451314">
        <w:rPr>
          <w:color w:val="000000" w:themeColor="text1"/>
          <w:szCs w:val="16"/>
        </w:rPr>
        <w:t>Kuhar,</w:t>
      </w:r>
      <w:r w:rsidR="00CD63B1" w:rsidRPr="00451314">
        <w:rPr>
          <w:color w:val="000000" w:themeColor="text1"/>
          <w:szCs w:val="16"/>
        </w:rPr>
        <w:t xml:space="preserve"> </w:t>
      </w:r>
      <w:r w:rsidR="00307A17" w:rsidRPr="00451314">
        <w:rPr>
          <w:color w:val="000000" w:themeColor="text1"/>
          <w:szCs w:val="16"/>
        </w:rPr>
        <w:t xml:space="preserve">2019: Gibanje realnih cen v živilski verigi, Analiza poslovanja živilske panoge v 2018. dostopno na: </w:t>
      </w:r>
      <w:hyperlink r:id="rId138" w:history="1">
        <w:r w:rsidR="00CD63B1" w:rsidRPr="00451314">
          <w:rPr>
            <w:rStyle w:val="Hiperpovezava"/>
            <w:szCs w:val="16"/>
          </w:rPr>
          <w:t>https://vrh-zkzp.gzs.si/Portals/Portal-Vrhzkzp/7.%20GZS_2019.pdf</w:t>
        </w:r>
      </w:hyperlink>
      <w:r w:rsidR="00CD63B1">
        <w:rPr>
          <w:szCs w:val="16"/>
        </w:rPr>
        <w:t xml:space="preserve"> </w:t>
      </w:r>
    </w:p>
    <w:p w14:paraId="3BA37725" w14:textId="25C5D7EF" w:rsidR="00301C1C" w:rsidRPr="005C6188" w:rsidRDefault="00301C1C" w:rsidP="007613FE">
      <w:pPr>
        <w:pStyle w:val="ZPtekst"/>
        <w:spacing w:before="0" w:line="260" w:lineRule="atLeast"/>
        <w:rPr>
          <w:szCs w:val="20"/>
        </w:rPr>
      </w:pPr>
      <w:r w:rsidRPr="005C6188">
        <w:rPr>
          <w:szCs w:val="20"/>
        </w:rPr>
        <w:t xml:space="preserve">Slovenija je neto uvoznica večine kmetijskih proizvodov, razen izdelkov iz skupin Izdelki iz mesa, Žive živali, Oljna semena in plodovi ter Mlečni izdelki, jajca in med. </w:t>
      </w:r>
    </w:p>
    <w:p w14:paraId="4C4110D0" w14:textId="77777777" w:rsidR="00CD63B1" w:rsidRDefault="00CD63B1" w:rsidP="007613FE">
      <w:pPr>
        <w:spacing w:before="0" w:line="260" w:lineRule="atLeast"/>
        <w:rPr>
          <w:b/>
          <w:bCs/>
          <w:sz w:val="20"/>
          <w:szCs w:val="20"/>
        </w:rPr>
      </w:pPr>
    </w:p>
    <w:p w14:paraId="7A72AFE5" w14:textId="27A40C4C" w:rsidR="003A2226" w:rsidRPr="009F3567" w:rsidRDefault="003D5D84" w:rsidP="006D4C94">
      <w:pPr>
        <w:pStyle w:val="Naslov2"/>
      </w:pPr>
      <w:bookmarkStart w:id="3264" w:name="_Toc90462303"/>
      <w:r>
        <w:t>S</w:t>
      </w:r>
      <w:r w:rsidR="003A2226">
        <w:t>amooskrb</w:t>
      </w:r>
      <w:r>
        <w:t>a</w:t>
      </w:r>
      <w:r w:rsidR="003A2226">
        <w:t xml:space="preserve"> s kmetijskimi proizvodi</w:t>
      </w:r>
      <w:bookmarkEnd w:id="3264"/>
    </w:p>
    <w:p w14:paraId="1CD2E8E4" w14:textId="77777777" w:rsidR="003A2226" w:rsidRPr="00F3427A" w:rsidRDefault="003A2226" w:rsidP="007613FE">
      <w:pPr>
        <w:pStyle w:val="1"/>
        <w:spacing w:before="0"/>
      </w:pPr>
    </w:p>
    <w:p w14:paraId="2BBC36C4" w14:textId="1B20213A" w:rsidR="00FE3970" w:rsidRPr="006D4C94" w:rsidRDefault="003A2226" w:rsidP="007613FE">
      <w:pPr>
        <w:pStyle w:val="1"/>
        <w:spacing w:before="0"/>
        <w:rPr>
          <w:sz w:val="22"/>
        </w:rPr>
      </w:pPr>
      <w:r w:rsidRPr="006D4C94">
        <w:rPr>
          <w:sz w:val="22"/>
        </w:rPr>
        <w:t xml:space="preserve">Slovenija s svojo pridelavo hrane in predelavo ne pokriva vseh domačih potreb. Obseg kmetijskih obdelovalnih površin je majhen, poleg tega pa je velik delež zemljišč na OMD. </w:t>
      </w:r>
      <w:r w:rsidR="00D22DB1" w:rsidRPr="006D4C94">
        <w:rPr>
          <w:sz w:val="22"/>
        </w:rPr>
        <w:t xml:space="preserve">Iz tega izhaja strateška usmeritev, </w:t>
      </w:r>
      <w:r w:rsidRPr="006D4C94">
        <w:rPr>
          <w:sz w:val="22"/>
        </w:rPr>
        <w:t xml:space="preserve">da se pridelavo rastlinske hrane za ljudi usmeri na njivah, živinoreja pa se preusmeri v hribovit, gričevnat svet ter na območja zaraščanja, saj ta območja niso primerna za poljedelstvo. </w:t>
      </w:r>
      <w:r w:rsidR="00FE3970" w:rsidRPr="006D4C94">
        <w:rPr>
          <w:sz w:val="22"/>
        </w:rPr>
        <w:t xml:space="preserve">V času kriz in nepredvidenih dogodkov lahko v sektorjih z večjim primanjkljajem pričakujemo oteženo preskrbo s surovinami za kmetijsko proizvodnjo in živili. </w:t>
      </w:r>
    </w:p>
    <w:p w14:paraId="5237B332" w14:textId="77777777" w:rsidR="00D22DB1" w:rsidRPr="006D4C94" w:rsidRDefault="00D22DB1" w:rsidP="007613FE">
      <w:pPr>
        <w:pStyle w:val="1"/>
        <w:spacing w:before="0"/>
        <w:rPr>
          <w:sz w:val="22"/>
        </w:rPr>
      </w:pPr>
    </w:p>
    <w:p w14:paraId="623D40AD" w14:textId="71902376" w:rsidR="003A2226" w:rsidRDefault="003A2226" w:rsidP="007613FE">
      <w:pPr>
        <w:pStyle w:val="1"/>
        <w:spacing w:before="0"/>
        <w:rPr>
          <w:sz w:val="22"/>
        </w:rPr>
      </w:pPr>
      <w:r w:rsidRPr="006D4C94">
        <w:rPr>
          <w:sz w:val="22"/>
        </w:rPr>
        <w:t>Prevladujoča kmetijska panoga v Sloveniji je živinoreja, posledično pa je tudi stopnja samooskrbe višja pri živalskih proizvodih kot pri rastlinskih proizvodih. Posebej izstopa prireja mleka, perutnine, govejega mesa. Na področju rastlinske pridelave pa izstopa pridelava vina in hmelja.</w:t>
      </w:r>
    </w:p>
    <w:p w14:paraId="41AD4806" w14:textId="77777777" w:rsidR="003F4281" w:rsidRPr="006D4C94" w:rsidRDefault="003F4281" w:rsidP="007613FE">
      <w:pPr>
        <w:pStyle w:val="1"/>
        <w:spacing w:before="0"/>
        <w:rPr>
          <w:sz w:val="22"/>
        </w:rPr>
      </w:pPr>
    </w:p>
    <w:p w14:paraId="62E7227C" w14:textId="198AE1EA" w:rsidR="003A2226" w:rsidRPr="006D4C94" w:rsidRDefault="003A2226" w:rsidP="007613FE">
      <w:pPr>
        <w:pStyle w:val="1"/>
        <w:spacing w:before="0"/>
        <w:rPr>
          <w:sz w:val="22"/>
        </w:rPr>
      </w:pPr>
      <w:r w:rsidRPr="006D4C94">
        <w:rPr>
          <w:sz w:val="22"/>
        </w:rPr>
        <w:t>Pokritost uvoza z izvozom je bila v letu 2019 59,0 %. Od leta 2014 do leta 2019 se je pokritost povečala za kar deset odstotnih točk.</w:t>
      </w:r>
    </w:p>
    <w:p w14:paraId="6A3F87E4" w14:textId="3AD7A527" w:rsidR="00CD63B1" w:rsidRDefault="00CD63B1" w:rsidP="007613FE">
      <w:pPr>
        <w:spacing w:before="0" w:line="260" w:lineRule="atLeast"/>
      </w:pPr>
    </w:p>
    <w:p w14:paraId="73254106" w14:textId="2B2EA403" w:rsidR="008C6F8F" w:rsidRDefault="00CD63B1" w:rsidP="006D4C94">
      <w:pPr>
        <w:pStyle w:val="SCSlika0"/>
        <w:rPr>
          <w:szCs w:val="16"/>
        </w:rPr>
      </w:pPr>
      <w:bookmarkStart w:id="3265" w:name="_Toc89851145"/>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1B3E9B">
        <w:rPr>
          <w:noProof/>
          <w:szCs w:val="16"/>
        </w:rPr>
        <w:t>103</w:t>
      </w:r>
      <w:r w:rsidRPr="009F3567">
        <w:rPr>
          <w:noProof/>
          <w:szCs w:val="16"/>
        </w:rPr>
        <w:fldChar w:fldCharType="end"/>
      </w:r>
      <w:r w:rsidRPr="009F3567">
        <w:rPr>
          <w:szCs w:val="16"/>
        </w:rPr>
        <w:t>:</w:t>
      </w:r>
      <w:r w:rsidRPr="00CD63B1">
        <w:rPr>
          <w:szCs w:val="16"/>
        </w:rPr>
        <w:t xml:space="preserve"> </w:t>
      </w:r>
      <w:r w:rsidRPr="00965506">
        <w:t xml:space="preserve">Stopnja samooskrbe s pridelanimi in predelanimi kmetijskimi proizvodi </w:t>
      </w:r>
      <w:r w:rsidRPr="00F3427A">
        <w:t>v obdobjih 2007</w:t>
      </w:r>
      <w:r>
        <w:t>–</w:t>
      </w:r>
      <w:r w:rsidRPr="00F3427A">
        <w:t>2013 in 2014</w:t>
      </w:r>
      <w:r>
        <w:t>–</w:t>
      </w:r>
      <w:r w:rsidRPr="00965506">
        <w:t>2019, v %</w:t>
      </w:r>
      <w:bookmarkEnd w:id="3265"/>
      <w:r>
        <w:rPr>
          <w:szCs w:val="16"/>
        </w:rPr>
        <w:t xml:space="preserve"> </w:t>
      </w:r>
    </w:p>
    <w:p w14:paraId="13959540" w14:textId="6E365A0F" w:rsidR="008C6F8F" w:rsidRDefault="00ED35F3" w:rsidP="003A2226">
      <w:pPr>
        <w:pStyle w:val="ZPtekst"/>
        <w:spacing w:before="0" w:line="276" w:lineRule="auto"/>
        <w:rPr>
          <w:szCs w:val="16"/>
        </w:rPr>
      </w:pPr>
      <w:r>
        <w:rPr>
          <w:noProof/>
          <w:szCs w:val="16"/>
          <w:lang w:eastAsia="sl-SI"/>
        </w:rPr>
        <w:drawing>
          <wp:inline distT="0" distB="0" distL="0" distR="0" wp14:anchorId="2D7288CA" wp14:editId="419797B1">
            <wp:extent cx="5726058" cy="6065520"/>
            <wp:effectExtent l="0" t="0" r="8255" b="0"/>
            <wp:docPr id="1631865367" name="Slika 163186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2811" cy="6072674"/>
                    </a:xfrm>
                    <a:prstGeom prst="rect">
                      <a:avLst/>
                    </a:prstGeom>
                    <a:noFill/>
                  </pic:spPr>
                </pic:pic>
              </a:graphicData>
            </a:graphic>
          </wp:inline>
        </w:drawing>
      </w:r>
    </w:p>
    <w:p w14:paraId="7AF99153" w14:textId="056D7F3E" w:rsidR="00F72EC7" w:rsidRPr="00451314" w:rsidRDefault="00813595" w:rsidP="003A2226">
      <w:pPr>
        <w:pStyle w:val="ZPtekst"/>
        <w:spacing w:before="0" w:line="276" w:lineRule="auto"/>
        <w:rPr>
          <w:sz w:val="16"/>
          <w:szCs w:val="16"/>
        </w:rPr>
      </w:pPr>
      <w:r w:rsidRPr="00451314">
        <w:rPr>
          <w:sz w:val="16"/>
          <w:szCs w:val="16"/>
        </w:rPr>
        <w:t xml:space="preserve">Vir: MKGP. </w:t>
      </w:r>
    </w:p>
    <w:p w14:paraId="2532BAF2" w14:textId="5A99F3D4" w:rsidR="003E4D1B" w:rsidRDefault="003E4D1B" w:rsidP="007613FE">
      <w:pPr>
        <w:pStyle w:val="ZPtekst"/>
        <w:spacing w:before="0" w:line="260" w:lineRule="atLeast"/>
        <w:rPr>
          <w:sz w:val="20"/>
          <w:szCs w:val="20"/>
        </w:rPr>
      </w:pPr>
    </w:p>
    <w:p w14:paraId="382FED04" w14:textId="0D17FCBB" w:rsidR="00F3427A" w:rsidRPr="00451314" w:rsidRDefault="00F3427A" w:rsidP="006D4C94">
      <w:pPr>
        <w:pStyle w:val="Naslov3"/>
      </w:pPr>
      <w:bookmarkStart w:id="3266" w:name="_Toc90462304"/>
      <w:r w:rsidRPr="00451314">
        <w:t xml:space="preserve">Pregled primanjkljajev </w:t>
      </w:r>
      <w:r w:rsidR="00AF590F">
        <w:t>oziroma</w:t>
      </w:r>
      <w:r w:rsidRPr="00451314">
        <w:t xml:space="preserve"> presežkov po posameznih skupinah kmetijskih proizvodov</w:t>
      </w:r>
      <w:bookmarkEnd w:id="3266"/>
    </w:p>
    <w:p w14:paraId="10FE1649" w14:textId="77777777" w:rsidR="00F3427A" w:rsidRDefault="00F3427A" w:rsidP="007613FE">
      <w:pPr>
        <w:pStyle w:val="ZPtekst"/>
        <w:spacing w:before="0" w:line="260" w:lineRule="atLeast"/>
        <w:rPr>
          <w:sz w:val="20"/>
          <w:szCs w:val="20"/>
        </w:rPr>
      </w:pPr>
    </w:p>
    <w:p w14:paraId="12D4006C" w14:textId="1F47CB79" w:rsidR="003D5D84" w:rsidRPr="006D4C94" w:rsidRDefault="00AC5499" w:rsidP="007613FE">
      <w:pPr>
        <w:spacing w:before="0" w:line="260" w:lineRule="atLeast"/>
        <w:rPr>
          <w:szCs w:val="20"/>
          <w:u w:val="single"/>
        </w:rPr>
      </w:pPr>
      <w:r w:rsidRPr="006D4C94">
        <w:rPr>
          <w:szCs w:val="20"/>
          <w:u w:val="single"/>
        </w:rPr>
        <w:t>Sadje</w:t>
      </w:r>
    </w:p>
    <w:p w14:paraId="4C82376F" w14:textId="2B2A090F" w:rsidR="00F3427A" w:rsidRPr="006D4C94" w:rsidRDefault="00F3427A" w:rsidP="007613FE">
      <w:pPr>
        <w:spacing w:before="0" w:line="260" w:lineRule="atLeast"/>
        <w:rPr>
          <w:bCs/>
          <w:szCs w:val="20"/>
        </w:rPr>
      </w:pPr>
      <w:r w:rsidRPr="006D4C94">
        <w:rPr>
          <w:bCs/>
          <w:szCs w:val="20"/>
        </w:rPr>
        <w:t xml:space="preserve">Pri sadju se je v obdobju 2014–2019 glede na obdobje 2007–2013 povečal tako uvoz, kot tudi izvoz. Izvožene količine so v obsegu pridelanih količin, uvožene količine pa v obsegu domače porabe. Stopnja samooskrbe se je v tem obdobju ob nespremenjeni porabi in manjšani pridelavi zmanjšala za 12 odstotnh točk na 48 %. </w:t>
      </w:r>
    </w:p>
    <w:p w14:paraId="492084C1" w14:textId="4F115ECA" w:rsidR="00F3427A" w:rsidRDefault="00F3427A" w:rsidP="007613FE">
      <w:pPr>
        <w:spacing w:before="0" w:line="260" w:lineRule="atLeast"/>
        <w:rPr>
          <w:sz w:val="20"/>
          <w:szCs w:val="20"/>
          <w:u w:val="single"/>
        </w:rPr>
      </w:pPr>
    </w:p>
    <w:p w14:paraId="686E442C" w14:textId="5EA4E737" w:rsidR="00F3427A" w:rsidRPr="00F3427A" w:rsidRDefault="00F3427A" w:rsidP="006D4C94">
      <w:pPr>
        <w:pStyle w:val="SCSlika0"/>
        <w:rPr>
          <w:u w:val="single"/>
        </w:rPr>
      </w:pPr>
      <w:bookmarkStart w:id="3267" w:name="_Toc89851146"/>
      <w:r w:rsidRPr="00F3427A">
        <w:t xml:space="preserve">Slika </w:t>
      </w:r>
      <w:r w:rsidRPr="00F3427A">
        <w:fldChar w:fldCharType="begin"/>
      </w:r>
      <w:r w:rsidRPr="00875637">
        <w:instrText xml:space="preserve"> SEQ Slika \* ARABIC </w:instrText>
      </w:r>
      <w:r w:rsidRPr="00F3427A">
        <w:fldChar w:fldCharType="separate"/>
      </w:r>
      <w:r w:rsidR="001B3E9B">
        <w:rPr>
          <w:noProof/>
        </w:rPr>
        <w:t>104</w:t>
      </w:r>
      <w:r w:rsidRPr="00F3427A">
        <w:rPr>
          <w:noProof/>
        </w:rPr>
        <w:fldChar w:fldCharType="end"/>
      </w:r>
      <w:r w:rsidRPr="00F3427A">
        <w:t>:</w:t>
      </w:r>
      <w:r w:rsidR="0023520B" w:rsidRPr="00C37E12">
        <w:t xml:space="preserve"> Domača p</w:t>
      </w:r>
      <w:r w:rsidR="0023520B">
        <w:t>oraba</w:t>
      </w:r>
      <w:r w:rsidRPr="00451314">
        <w:t xml:space="preserve">, pridelava, uvoz in izvoz </w:t>
      </w:r>
      <w:r>
        <w:t xml:space="preserve">- </w:t>
      </w:r>
      <w:r w:rsidRPr="00451314">
        <w:t>sadj</w:t>
      </w:r>
      <w:r>
        <w:t>e</w:t>
      </w:r>
      <w:r w:rsidRPr="00F3427A">
        <w:t>, v tisoč t</w:t>
      </w:r>
      <w:bookmarkEnd w:id="3267"/>
    </w:p>
    <w:p w14:paraId="3033BF0E" w14:textId="2029ED0B" w:rsidR="00F3427A" w:rsidRDefault="00F3427A" w:rsidP="003D5D84">
      <w:pPr>
        <w:spacing w:before="0" w:line="276" w:lineRule="auto"/>
        <w:rPr>
          <w:sz w:val="20"/>
          <w:szCs w:val="20"/>
          <w:u w:val="single"/>
        </w:rPr>
      </w:pPr>
      <w:r>
        <w:rPr>
          <w:noProof/>
          <w:lang w:eastAsia="sl-SI"/>
        </w:rPr>
        <w:drawing>
          <wp:inline distT="0" distB="0" distL="0" distR="0" wp14:anchorId="6402CA59" wp14:editId="21DECC94">
            <wp:extent cx="2849880" cy="2217420"/>
            <wp:effectExtent l="0" t="0" r="7620" b="11430"/>
            <wp:docPr id="1631865540" name="Grafikon 1631865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37790D3" w14:textId="6DFD6FB7" w:rsidR="00F3427A" w:rsidRPr="00451314" w:rsidRDefault="00F3427A" w:rsidP="003D5D84">
      <w:pPr>
        <w:spacing w:before="0" w:line="276" w:lineRule="auto"/>
        <w:rPr>
          <w:sz w:val="16"/>
          <w:szCs w:val="16"/>
        </w:rPr>
      </w:pPr>
      <w:r w:rsidRPr="00451314">
        <w:rPr>
          <w:sz w:val="16"/>
          <w:szCs w:val="16"/>
        </w:rPr>
        <w:t xml:space="preserve">Vir: MKGP. </w:t>
      </w:r>
    </w:p>
    <w:p w14:paraId="1CEEBD73" w14:textId="77777777" w:rsidR="00F3427A" w:rsidRDefault="00F3427A" w:rsidP="007613FE">
      <w:pPr>
        <w:pStyle w:val="ZPtekst"/>
        <w:spacing w:before="0" w:line="260" w:lineRule="atLeast"/>
        <w:rPr>
          <w:sz w:val="20"/>
          <w:szCs w:val="20"/>
        </w:rPr>
      </w:pPr>
    </w:p>
    <w:p w14:paraId="691C68C1" w14:textId="77777777" w:rsidR="00B2104E" w:rsidRPr="006D4C94" w:rsidRDefault="00B2104E" w:rsidP="007613FE">
      <w:pPr>
        <w:pStyle w:val="ZPtekst"/>
        <w:spacing w:before="0" w:line="260" w:lineRule="atLeast"/>
        <w:rPr>
          <w:szCs w:val="20"/>
        </w:rPr>
      </w:pPr>
      <w:r w:rsidRPr="006D4C94">
        <w:rPr>
          <w:szCs w:val="20"/>
        </w:rPr>
        <w:t xml:space="preserve">Pri svežem sadju je letni primanjkljaj v višini 128 tisoč t, 3 tisoč t sadja za predelavo, 4 tisoč t zamrznjenega sadja, skoraj 2,5 tisoč t suhega sadja ter 26 tisoč t proizvodov iz sadja. Po posameznih vrsta sadja je: </w:t>
      </w:r>
    </w:p>
    <w:p w14:paraId="01EB9DD7" w14:textId="77777777" w:rsidR="00B2104E" w:rsidRPr="006D4C94" w:rsidRDefault="00B2104E" w:rsidP="007613FE">
      <w:pPr>
        <w:pStyle w:val="ZPtekst"/>
        <w:spacing w:before="0" w:line="260" w:lineRule="atLeast"/>
        <w:rPr>
          <w:szCs w:val="20"/>
        </w:rPr>
      </w:pPr>
      <w:r w:rsidRPr="006D4C94">
        <w:rPr>
          <w:szCs w:val="20"/>
        </w:rPr>
        <w:t xml:space="preserve">- 2.200 t presežka svežih jabolk in primanjkljaja 5.600 t jabolčnega soka, </w:t>
      </w:r>
    </w:p>
    <w:p w14:paraId="4712FFE5" w14:textId="77777777" w:rsidR="00B2104E" w:rsidRPr="006D4C94" w:rsidRDefault="00B2104E" w:rsidP="007613FE">
      <w:pPr>
        <w:pStyle w:val="ZPtekst"/>
        <w:spacing w:before="0" w:line="260" w:lineRule="atLeast"/>
        <w:rPr>
          <w:szCs w:val="20"/>
        </w:rPr>
      </w:pPr>
      <w:r w:rsidRPr="006D4C94">
        <w:rPr>
          <w:szCs w:val="20"/>
        </w:rPr>
        <w:t xml:space="preserve">- 2.300 t primanjkljaja svežih jagod in 11.200 t proizvodov iz jagod (marmelade, džemi…) ter </w:t>
      </w:r>
    </w:p>
    <w:p w14:paraId="3EEFD646" w14:textId="77777777" w:rsidR="00B2104E" w:rsidRPr="006D4C94" w:rsidRDefault="00B2104E" w:rsidP="007613FE">
      <w:pPr>
        <w:pStyle w:val="ZPtekst"/>
        <w:spacing w:before="0" w:line="260" w:lineRule="atLeast"/>
        <w:rPr>
          <w:szCs w:val="20"/>
        </w:rPr>
      </w:pPr>
      <w:r w:rsidRPr="006D4C94">
        <w:rPr>
          <w:szCs w:val="20"/>
        </w:rPr>
        <w:t>- 800 t primanjkljaja svežega jagodičja in 1.000 t zamrznjenega jagodičja.</w:t>
      </w:r>
    </w:p>
    <w:p w14:paraId="0980FEFC" w14:textId="52AC6848" w:rsidR="003D5D84" w:rsidRPr="006D4C94" w:rsidRDefault="003D5D84" w:rsidP="007613FE">
      <w:pPr>
        <w:spacing w:before="0" w:line="260" w:lineRule="atLeast"/>
        <w:rPr>
          <w:szCs w:val="20"/>
        </w:rPr>
      </w:pPr>
    </w:p>
    <w:p w14:paraId="2D89E479" w14:textId="08591810" w:rsidR="00B2104E" w:rsidRPr="006D4C94" w:rsidRDefault="00F3427A" w:rsidP="007613FE">
      <w:pPr>
        <w:spacing w:before="0" w:line="260" w:lineRule="atLeast"/>
        <w:rPr>
          <w:noProof/>
          <w:szCs w:val="20"/>
          <w:u w:val="single"/>
          <w:lang w:eastAsia="sl-SI"/>
        </w:rPr>
      </w:pPr>
      <w:r w:rsidRPr="006D4C94">
        <w:rPr>
          <w:noProof/>
          <w:szCs w:val="20"/>
          <w:u w:val="single"/>
          <w:lang w:eastAsia="sl-SI"/>
        </w:rPr>
        <w:t>Zelenjadnice</w:t>
      </w:r>
    </w:p>
    <w:p w14:paraId="0C8C0E0E" w14:textId="5B3BE0EC" w:rsidR="00F3427A" w:rsidRPr="006D4C94" w:rsidRDefault="00F3427A" w:rsidP="007613FE">
      <w:pPr>
        <w:spacing w:before="0" w:line="260" w:lineRule="atLeast"/>
        <w:rPr>
          <w:bCs/>
          <w:szCs w:val="20"/>
        </w:rPr>
      </w:pPr>
      <w:r w:rsidRPr="006D4C94">
        <w:rPr>
          <w:bCs/>
          <w:szCs w:val="20"/>
        </w:rPr>
        <w:t>Pri zelenjadnicah se je v obdobju 2014-2019 glede na obdobje 2007-2013 povečala pridelava za 39 %. Uvoz se je povečal za 11 %, izvoz za kar 52 %, pri čemer pa izvoz v obdobju 2014-2020 v celotni porabi predstavlja le 7 %. Stopnja samooskrbe se je pri povečanju porabe in pride</w:t>
      </w:r>
      <w:r w:rsidR="00B3164C" w:rsidRPr="006D4C94">
        <w:rPr>
          <w:bCs/>
          <w:szCs w:val="20"/>
        </w:rPr>
        <w:t>lave povečala za 4,2 odstotne t</w:t>
      </w:r>
      <w:r w:rsidRPr="006D4C94">
        <w:rPr>
          <w:bCs/>
          <w:szCs w:val="20"/>
        </w:rPr>
        <w:t>očke na 29 %.</w:t>
      </w:r>
    </w:p>
    <w:p w14:paraId="5CFCD5C8" w14:textId="6E3A3A06" w:rsidR="00F3427A" w:rsidRDefault="00F3427A" w:rsidP="007613FE">
      <w:pPr>
        <w:spacing w:before="0" w:line="260" w:lineRule="atLeast"/>
        <w:rPr>
          <w:noProof/>
          <w:sz w:val="20"/>
          <w:szCs w:val="20"/>
          <w:u w:val="single"/>
          <w:lang w:eastAsia="sl-SI"/>
        </w:rPr>
      </w:pPr>
    </w:p>
    <w:p w14:paraId="25433BD8" w14:textId="5434F48A" w:rsidR="00F3427A" w:rsidRPr="00F3427A" w:rsidRDefault="00F3427A" w:rsidP="006D4C94">
      <w:pPr>
        <w:pStyle w:val="SCSlika0"/>
        <w:rPr>
          <w:u w:val="single"/>
        </w:rPr>
      </w:pPr>
      <w:bookmarkStart w:id="3268" w:name="_Toc89851147"/>
      <w:r w:rsidRPr="00F3427A">
        <w:t xml:space="preserve">Slika </w:t>
      </w:r>
      <w:r w:rsidRPr="00F3427A">
        <w:fldChar w:fldCharType="begin"/>
      </w:r>
      <w:r w:rsidRPr="00B42E90">
        <w:instrText xml:space="preserve"> SEQ Slika \* ARABIC </w:instrText>
      </w:r>
      <w:r w:rsidRPr="00F3427A">
        <w:fldChar w:fldCharType="separate"/>
      </w:r>
      <w:r w:rsidR="001B3E9B">
        <w:rPr>
          <w:noProof/>
        </w:rPr>
        <w:t>105</w:t>
      </w:r>
      <w:r w:rsidRPr="00F3427A">
        <w:rPr>
          <w:noProof/>
        </w:rPr>
        <w:fldChar w:fldCharType="end"/>
      </w:r>
      <w:r w:rsidRPr="00F3427A">
        <w:t>:</w:t>
      </w:r>
      <w:r w:rsidR="0023520B">
        <w:t xml:space="preserve"> Domača poraba</w:t>
      </w:r>
      <w:r w:rsidRPr="00B42E90">
        <w:t>, pridelava</w:t>
      </w:r>
      <w:r>
        <w:t>, uvoz in izvoz - zelenjadnice</w:t>
      </w:r>
      <w:r w:rsidRPr="00F3427A">
        <w:t>, v tisoč t</w:t>
      </w:r>
      <w:bookmarkEnd w:id="3268"/>
    </w:p>
    <w:p w14:paraId="4AD0F9E1" w14:textId="77777777" w:rsidR="00F3427A" w:rsidRDefault="00F3427A" w:rsidP="007613FE">
      <w:pPr>
        <w:spacing w:before="0" w:line="260" w:lineRule="atLeast"/>
        <w:rPr>
          <w:noProof/>
          <w:sz w:val="20"/>
          <w:szCs w:val="20"/>
          <w:u w:val="single"/>
          <w:lang w:eastAsia="sl-SI"/>
        </w:rPr>
      </w:pPr>
    </w:p>
    <w:p w14:paraId="0A28DB38" w14:textId="72C864B4" w:rsidR="00F3427A" w:rsidRPr="00451314" w:rsidRDefault="00F3427A" w:rsidP="003D5D84">
      <w:pPr>
        <w:spacing w:before="0" w:line="276" w:lineRule="auto"/>
        <w:rPr>
          <w:noProof/>
          <w:sz w:val="20"/>
          <w:szCs w:val="20"/>
          <w:u w:val="single"/>
          <w:lang w:eastAsia="sl-SI"/>
        </w:rPr>
      </w:pPr>
      <w:r>
        <w:rPr>
          <w:noProof/>
          <w:lang w:eastAsia="sl-SI"/>
        </w:rPr>
        <w:drawing>
          <wp:inline distT="0" distB="0" distL="0" distR="0" wp14:anchorId="0CCC346C" wp14:editId="2477A63D">
            <wp:extent cx="2772410" cy="2217420"/>
            <wp:effectExtent l="0" t="0" r="8890" b="11430"/>
            <wp:docPr id="1631865543" name="Grafikon 163186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A91FA2F" w14:textId="77777777" w:rsidR="00F3427A" w:rsidRPr="00B42E90" w:rsidRDefault="00F3427A" w:rsidP="00F3427A">
      <w:pPr>
        <w:spacing w:before="0" w:line="276" w:lineRule="auto"/>
        <w:rPr>
          <w:sz w:val="16"/>
          <w:szCs w:val="16"/>
        </w:rPr>
      </w:pPr>
      <w:r w:rsidRPr="00B42E90">
        <w:rPr>
          <w:sz w:val="16"/>
          <w:szCs w:val="16"/>
        </w:rPr>
        <w:t xml:space="preserve">Vir: MKGP. </w:t>
      </w:r>
    </w:p>
    <w:p w14:paraId="3BC7C639" w14:textId="77777777" w:rsidR="00F3427A" w:rsidRDefault="00F3427A" w:rsidP="007613FE">
      <w:pPr>
        <w:pStyle w:val="ZPtekst"/>
        <w:spacing w:before="0" w:line="260" w:lineRule="atLeast"/>
        <w:rPr>
          <w:bCs/>
          <w:sz w:val="20"/>
          <w:szCs w:val="20"/>
        </w:rPr>
      </w:pPr>
    </w:p>
    <w:p w14:paraId="78B6289F" w14:textId="77777777" w:rsidR="00B2104E" w:rsidRPr="006D4C94" w:rsidRDefault="00B2104E" w:rsidP="007613FE">
      <w:pPr>
        <w:pStyle w:val="ZPtekst"/>
        <w:spacing w:before="0" w:line="260" w:lineRule="atLeast"/>
        <w:rPr>
          <w:szCs w:val="20"/>
        </w:rPr>
      </w:pPr>
      <w:r w:rsidRPr="006D4C94">
        <w:rPr>
          <w:szCs w:val="20"/>
        </w:rPr>
        <w:t xml:space="preserve">Pri zelenjavi letno primanjkuje 88 tisoč t sveže, 10 tisoč t zamrznjene zelenjave ter 30 tisoč t proizvodov iz zelenjave letno. Od tega znaša primanjkljaj: </w:t>
      </w:r>
    </w:p>
    <w:p w14:paraId="7F4161BB" w14:textId="77777777" w:rsidR="00B2104E" w:rsidRPr="006D4C94" w:rsidRDefault="00B2104E" w:rsidP="007613FE">
      <w:pPr>
        <w:pStyle w:val="ZPtekst"/>
        <w:spacing w:before="0" w:line="260" w:lineRule="atLeast"/>
        <w:rPr>
          <w:szCs w:val="20"/>
        </w:rPr>
      </w:pPr>
      <w:r w:rsidRPr="006D4C94">
        <w:rPr>
          <w:szCs w:val="20"/>
        </w:rPr>
        <w:t xml:space="preserve">- 10.000 t svežega paradižnika in 9.100 t izdelkov iz paradižnika (pelati, omake, ketchup), </w:t>
      </w:r>
    </w:p>
    <w:p w14:paraId="0A4F3A73" w14:textId="77777777" w:rsidR="00B2104E" w:rsidRPr="006D4C94" w:rsidRDefault="00B2104E" w:rsidP="007613FE">
      <w:pPr>
        <w:pStyle w:val="ZPtekst"/>
        <w:spacing w:before="0" w:line="260" w:lineRule="atLeast"/>
        <w:rPr>
          <w:szCs w:val="20"/>
        </w:rPr>
      </w:pPr>
      <w:r w:rsidRPr="006D4C94">
        <w:rPr>
          <w:szCs w:val="20"/>
        </w:rPr>
        <w:t xml:space="preserve">- 9.000 t sveže paprike in 1.200 t proizvodov iz paprike (vložena paprika), </w:t>
      </w:r>
    </w:p>
    <w:p w14:paraId="1C81F677" w14:textId="77777777" w:rsidR="00B2104E" w:rsidRPr="006D4C94" w:rsidRDefault="00B2104E" w:rsidP="007613FE">
      <w:pPr>
        <w:pStyle w:val="ZPtekst"/>
        <w:spacing w:before="0" w:line="260" w:lineRule="atLeast"/>
        <w:rPr>
          <w:szCs w:val="20"/>
        </w:rPr>
      </w:pPr>
      <w:r w:rsidRPr="006D4C94">
        <w:rPr>
          <w:szCs w:val="20"/>
        </w:rPr>
        <w:t>- 4.000 t svežega zelja in 630 t pripravljenega zelja drugače kot v kisu in</w:t>
      </w:r>
    </w:p>
    <w:p w14:paraId="40D8FEE9" w14:textId="77777777" w:rsidR="00B2104E" w:rsidRPr="006D4C94" w:rsidRDefault="00B2104E" w:rsidP="007613FE">
      <w:pPr>
        <w:pStyle w:val="ZPtekst"/>
        <w:spacing w:before="0" w:line="260" w:lineRule="atLeast"/>
        <w:rPr>
          <w:szCs w:val="20"/>
        </w:rPr>
      </w:pPr>
      <w:r w:rsidRPr="006D4C94">
        <w:rPr>
          <w:szCs w:val="20"/>
        </w:rPr>
        <w:t xml:space="preserve">- 9.000 t sveže solate. </w:t>
      </w:r>
    </w:p>
    <w:p w14:paraId="3DA8414D" w14:textId="77777777" w:rsidR="00357B10" w:rsidRPr="006D4C94" w:rsidRDefault="00357B10" w:rsidP="007613FE">
      <w:pPr>
        <w:spacing w:before="0" w:line="260" w:lineRule="atLeast"/>
        <w:rPr>
          <w:bCs/>
          <w:szCs w:val="20"/>
          <w:u w:val="single"/>
        </w:rPr>
      </w:pPr>
    </w:p>
    <w:p w14:paraId="03690044" w14:textId="7B7C928C" w:rsidR="00B2104E" w:rsidRPr="006D4C94" w:rsidRDefault="00F3427A" w:rsidP="007613FE">
      <w:pPr>
        <w:spacing w:before="0" w:line="260" w:lineRule="atLeast"/>
        <w:rPr>
          <w:bCs/>
          <w:szCs w:val="20"/>
          <w:u w:val="single"/>
        </w:rPr>
      </w:pPr>
      <w:r w:rsidRPr="006D4C94">
        <w:rPr>
          <w:bCs/>
          <w:szCs w:val="20"/>
          <w:u w:val="single"/>
        </w:rPr>
        <w:t>Govedo</w:t>
      </w:r>
    </w:p>
    <w:p w14:paraId="4CAB1657" w14:textId="0D19FBF3" w:rsidR="0023520B" w:rsidRPr="006D4C94" w:rsidRDefault="00B2104E" w:rsidP="007613FE">
      <w:pPr>
        <w:spacing w:before="0" w:line="260" w:lineRule="atLeast"/>
        <w:rPr>
          <w:szCs w:val="20"/>
        </w:rPr>
      </w:pPr>
      <w:r w:rsidRPr="006D4C94">
        <w:rPr>
          <w:szCs w:val="20"/>
        </w:rPr>
        <w:t>Po vklj</w:t>
      </w:r>
      <w:r w:rsidR="00F3427A" w:rsidRPr="006D4C94">
        <w:rPr>
          <w:szCs w:val="20"/>
        </w:rPr>
        <w:t>u</w:t>
      </w:r>
      <w:r w:rsidRPr="006D4C94">
        <w:rPr>
          <w:szCs w:val="20"/>
        </w:rPr>
        <w:t>čitvi Slovenije v sk</w:t>
      </w:r>
      <w:r w:rsidR="00F3427A" w:rsidRPr="006D4C94">
        <w:rPr>
          <w:szCs w:val="20"/>
        </w:rPr>
        <w:t>u</w:t>
      </w:r>
      <w:r w:rsidRPr="006D4C94">
        <w:rPr>
          <w:szCs w:val="20"/>
        </w:rPr>
        <w:t xml:space="preserve">pni trg EU se je obseg zunanje trgovine z govedom močno povečal, ob tem so bile opazne tudi precejšnje spremembe v strukturi, zlasti pri izvozu. Izvoz se je preusmeril od izvoza mesa k neposrednemu izvozu živih živali. Čeprav je izvoz mesa in izdelkov v letu 2019 skoraj trikrat tolikšen kot pred desetletjem, delež izvoza živih živali še vedno ostaja velik. Uvoz pa se je od živih živali preusmeril k uvozu govejega mesa. Letno se uvozi 31.000 govejih živali, največ pri starosti 6 mesecev, na mesečnem nivoju je potrebno uvoziti približno 1.500 telet. </w:t>
      </w:r>
    </w:p>
    <w:p w14:paraId="5464D7A6" w14:textId="77777777" w:rsidR="0023520B" w:rsidRPr="006D4C94" w:rsidRDefault="00B2104E" w:rsidP="007613FE">
      <w:pPr>
        <w:pStyle w:val="ZPtekst"/>
        <w:spacing w:before="0" w:line="260" w:lineRule="atLeast"/>
        <w:rPr>
          <w:szCs w:val="20"/>
        </w:rPr>
      </w:pPr>
      <w:r w:rsidRPr="006D4C94">
        <w:rPr>
          <w:szCs w:val="20"/>
        </w:rPr>
        <w:t>V povprečju zadnjih 3 let je primanjkljaj</w:t>
      </w:r>
      <w:r w:rsidR="0023520B" w:rsidRPr="006D4C94">
        <w:rPr>
          <w:szCs w:val="20"/>
        </w:rPr>
        <w:t>:</w:t>
      </w:r>
    </w:p>
    <w:p w14:paraId="7FFB3429" w14:textId="77777777" w:rsidR="0023520B" w:rsidRPr="006D4C94" w:rsidRDefault="0023520B" w:rsidP="007613FE">
      <w:pPr>
        <w:pStyle w:val="ZPtekst"/>
        <w:spacing w:before="0" w:line="260" w:lineRule="atLeast"/>
        <w:rPr>
          <w:szCs w:val="20"/>
        </w:rPr>
      </w:pPr>
      <w:r w:rsidRPr="006D4C94">
        <w:rPr>
          <w:szCs w:val="20"/>
        </w:rPr>
        <w:t>-</w:t>
      </w:r>
      <w:r w:rsidR="00B2104E" w:rsidRPr="006D4C94">
        <w:rPr>
          <w:szCs w:val="20"/>
        </w:rPr>
        <w:t xml:space="preserve"> 23 tisoč goved (mase 160-300 kg) za nadaljnje pitanje, </w:t>
      </w:r>
    </w:p>
    <w:p w14:paraId="09326F64" w14:textId="77777777" w:rsidR="0023520B" w:rsidRPr="006D4C94" w:rsidRDefault="0023520B" w:rsidP="007613FE">
      <w:pPr>
        <w:pStyle w:val="ZPtekst"/>
        <w:spacing w:before="0" w:line="260" w:lineRule="atLeast"/>
        <w:rPr>
          <w:szCs w:val="20"/>
        </w:rPr>
      </w:pPr>
      <w:r w:rsidRPr="006D4C94">
        <w:rPr>
          <w:szCs w:val="20"/>
        </w:rPr>
        <w:t xml:space="preserve">- </w:t>
      </w:r>
      <w:r w:rsidR="00B2104E" w:rsidRPr="006D4C94">
        <w:rPr>
          <w:szCs w:val="20"/>
        </w:rPr>
        <w:t xml:space="preserve">3 tisoč t svežega ali ohlajenega ter </w:t>
      </w:r>
    </w:p>
    <w:p w14:paraId="2C43DED0" w14:textId="38B12AED" w:rsidR="00B2104E" w:rsidRPr="006D4C94" w:rsidRDefault="0023520B" w:rsidP="007613FE">
      <w:pPr>
        <w:pStyle w:val="ZPtekst"/>
        <w:spacing w:before="0" w:line="260" w:lineRule="atLeast"/>
        <w:rPr>
          <w:szCs w:val="20"/>
        </w:rPr>
      </w:pPr>
      <w:r w:rsidRPr="006D4C94">
        <w:rPr>
          <w:szCs w:val="20"/>
        </w:rPr>
        <w:t xml:space="preserve">- </w:t>
      </w:r>
      <w:r w:rsidR="00B2104E" w:rsidRPr="006D4C94">
        <w:rPr>
          <w:szCs w:val="20"/>
        </w:rPr>
        <w:t xml:space="preserve">2 tisoč t zamrznjenega govejega mesa. </w:t>
      </w:r>
    </w:p>
    <w:p w14:paraId="42C78F14" w14:textId="2B07D2A8" w:rsidR="00B2104E" w:rsidRPr="00D967FE" w:rsidRDefault="00B2104E" w:rsidP="007613FE">
      <w:pPr>
        <w:pStyle w:val="ZPtekst"/>
        <w:spacing w:before="0" w:line="260" w:lineRule="atLeast"/>
        <w:ind w:left="360"/>
        <w:rPr>
          <w:sz w:val="20"/>
          <w:szCs w:val="20"/>
        </w:rPr>
      </w:pPr>
    </w:p>
    <w:p w14:paraId="5D9A7267" w14:textId="04339243" w:rsidR="008C4D3F" w:rsidRPr="00F3427A" w:rsidRDefault="008C4D3F" w:rsidP="006D4C94">
      <w:pPr>
        <w:pStyle w:val="SCSlika0"/>
        <w:rPr>
          <w:u w:val="single"/>
        </w:rPr>
      </w:pPr>
      <w:bookmarkStart w:id="3269" w:name="_Toc89851148"/>
      <w:r w:rsidRPr="00F3427A">
        <w:t xml:space="preserve">Slika </w:t>
      </w:r>
      <w:r w:rsidRPr="00F3427A">
        <w:fldChar w:fldCharType="begin"/>
      </w:r>
      <w:r w:rsidRPr="00B42E90">
        <w:instrText xml:space="preserve"> SEQ Slika \* ARABIC </w:instrText>
      </w:r>
      <w:r w:rsidRPr="00F3427A">
        <w:fldChar w:fldCharType="separate"/>
      </w:r>
      <w:r w:rsidR="001B3E9B">
        <w:rPr>
          <w:noProof/>
        </w:rPr>
        <w:t>106</w:t>
      </w:r>
      <w:r w:rsidRPr="00F3427A">
        <w:rPr>
          <w:noProof/>
        </w:rPr>
        <w:fldChar w:fldCharType="end"/>
      </w:r>
      <w:r w:rsidRPr="00F3427A">
        <w:t>:</w:t>
      </w:r>
      <w:r w:rsidR="0023520B">
        <w:t xml:space="preserve"> Domača poraba</w:t>
      </w:r>
      <w:r w:rsidRPr="00B42E90">
        <w:t xml:space="preserve">, </w:t>
      </w:r>
      <w:r w:rsidR="0023520B">
        <w:t>prireja mesa, izvoz in uvoz živih živali ter uvoz in izvoz mesa in izdelkov</w:t>
      </w:r>
      <w:r>
        <w:t xml:space="preserve"> – </w:t>
      </w:r>
      <w:r w:rsidRPr="009E52D9">
        <w:t>govedo, v tisoč</w:t>
      </w:r>
      <w:r w:rsidRPr="00F3427A">
        <w:t xml:space="preserve"> t</w:t>
      </w:r>
      <w:bookmarkEnd w:id="3269"/>
    </w:p>
    <w:p w14:paraId="12455983" w14:textId="77777777" w:rsidR="003D5D84" w:rsidRDefault="003D5D84" w:rsidP="003D5D84">
      <w:pPr>
        <w:spacing w:before="0" w:line="276" w:lineRule="auto"/>
        <w:rPr>
          <w:bCs/>
          <w:sz w:val="20"/>
          <w:szCs w:val="20"/>
        </w:rPr>
      </w:pPr>
      <w:r>
        <w:rPr>
          <w:noProof/>
          <w:lang w:eastAsia="sl-SI"/>
        </w:rPr>
        <w:drawing>
          <wp:inline distT="0" distB="0" distL="0" distR="0" wp14:anchorId="5BA325BE" wp14:editId="4CA326B1">
            <wp:extent cx="3835400" cy="2560320"/>
            <wp:effectExtent l="0" t="0" r="12700" b="1143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5263B34" w14:textId="77777777" w:rsidR="008C4D3F" w:rsidRPr="00B42E90" w:rsidRDefault="008C4D3F" w:rsidP="008C4D3F">
      <w:pPr>
        <w:spacing w:before="0" w:line="276" w:lineRule="auto"/>
        <w:rPr>
          <w:sz w:val="16"/>
          <w:szCs w:val="16"/>
        </w:rPr>
      </w:pPr>
      <w:r w:rsidRPr="00B42E90">
        <w:rPr>
          <w:sz w:val="16"/>
          <w:szCs w:val="16"/>
        </w:rPr>
        <w:t xml:space="preserve">Vir: MKGP. </w:t>
      </w:r>
    </w:p>
    <w:p w14:paraId="09879F0E" w14:textId="77777777" w:rsidR="003D5D84" w:rsidRDefault="003D5D84" w:rsidP="007613FE">
      <w:pPr>
        <w:pStyle w:val="Odstavek1"/>
      </w:pPr>
    </w:p>
    <w:p w14:paraId="32ED92DC" w14:textId="32447545" w:rsidR="003D5D84" w:rsidRDefault="003D5D84" w:rsidP="007613FE">
      <w:pPr>
        <w:pStyle w:val="Odstavek1"/>
      </w:pPr>
      <w:r w:rsidRPr="00BB3A5C">
        <w:t xml:space="preserve">Pri </w:t>
      </w:r>
      <w:r>
        <w:t xml:space="preserve">govedu </w:t>
      </w:r>
      <w:r w:rsidRPr="00BB3A5C">
        <w:t>se je v obdobju 2014</w:t>
      </w:r>
      <w:r w:rsidR="008C4D3F">
        <w:t>–</w:t>
      </w:r>
      <w:r w:rsidRPr="00BB3A5C">
        <w:t>20</w:t>
      </w:r>
      <w:r w:rsidR="008C4D3F">
        <w:t>19</w:t>
      </w:r>
      <w:r w:rsidRPr="00BB3A5C">
        <w:t xml:space="preserve"> glede na obdobje 2007-2013 </w:t>
      </w:r>
      <w:r>
        <w:t>pri skoraj nespremenjeni domači prireji in porabi povečal uvoz mesa in mesnih izdelkov</w:t>
      </w:r>
      <w:r w:rsidRPr="00774A8C">
        <w:t xml:space="preserve"> </w:t>
      </w:r>
      <w:r>
        <w:t>za 53 %, manjše pa je bilo povečanje izvoza živih živali (za 19 %). V obdobju 2014</w:t>
      </w:r>
      <w:r w:rsidR="008C4D3F">
        <w:t>–</w:t>
      </w:r>
      <w:r>
        <w:t>20</w:t>
      </w:r>
      <w:r w:rsidR="008C4D3F">
        <w:t>19</w:t>
      </w:r>
      <w:r>
        <w:t xml:space="preserve"> je bil uvoz mesa in mesnih izdelkov za 68 % večji od izvoza mesa in mesnih izdelkov. Izvoz živih živali je bil za 67 % večji od </w:t>
      </w:r>
      <w:r w:rsidRPr="00816B16">
        <w:t>izvoza mesa in mesnih izdelkov</w:t>
      </w:r>
      <w:r>
        <w:t xml:space="preserve">. </w:t>
      </w:r>
      <w:r w:rsidRPr="002A20C5">
        <w:t xml:space="preserve">Čeprav je izvoz mesa in izdelkov v letu 2017 skoraj trikrat večji kot pred desetletjem, delež izvoza živih živali še vedno ostaja visok. Prav nasprotne so bile smeri sprememb pri uvozu, ki se je preusmeril od živih živali k mesu. </w:t>
      </w:r>
      <w:r>
        <w:t>Delež izvoza živih živali je skoraj tri krat večji kot uvoz živih živali.</w:t>
      </w:r>
      <w:r w:rsidRPr="00BB3A5C">
        <w:t xml:space="preserve"> Stopnja samooskrbe</w:t>
      </w:r>
      <w:r>
        <w:t xml:space="preserve"> se ni bistveno spremenila in je znašala 105 %. </w:t>
      </w:r>
      <w:r w:rsidR="00BB4027">
        <w:t xml:space="preserve">Pri govedu je z vidika vključevanja v shemo Izbrana kakovost, kjer se zahteva, da je žival tudi rojena v Sloveniji, problematično pomanjkanje govejih telet za nadaljnje pitanje. </w:t>
      </w:r>
    </w:p>
    <w:p w14:paraId="5F27D34B" w14:textId="77777777" w:rsidR="003D5D84" w:rsidRDefault="003D5D84" w:rsidP="007613FE">
      <w:pPr>
        <w:pStyle w:val="Odstavek1"/>
      </w:pPr>
    </w:p>
    <w:p w14:paraId="15E1C821" w14:textId="12FD1F06" w:rsidR="003D5D84" w:rsidRPr="00597DFB" w:rsidRDefault="008C4D3F" w:rsidP="007613FE">
      <w:pPr>
        <w:pStyle w:val="Odstavek1"/>
        <w:rPr>
          <w:u w:val="single"/>
        </w:rPr>
      </w:pPr>
      <w:r w:rsidRPr="00597DFB">
        <w:rPr>
          <w:u w:val="single"/>
        </w:rPr>
        <w:t>Pra</w:t>
      </w:r>
      <w:r w:rsidR="009E52D9">
        <w:rPr>
          <w:u w:val="single"/>
        </w:rPr>
        <w:t>šiči</w:t>
      </w:r>
    </w:p>
    <w:p w14:paraId="5001420C" w14:textId="06C5A3D4" w:rsidR="008C4D3F" w:rsidRPr="00BB3A5C" w:rsidRDefault="008C4D3F" w:rsidP="007613FE">
      <w:pPr>
        <w:pStyle w:val="Odstavek1"/>
      </w:pPr>
      <w:r w:rsidRPr="00BB3A5C">
        <w:t xml:space="preserve">Pri </w:t>
      </w:r>
      <w:r>
        <w:t xml:space="preserve">prašičih </w:t>
      </w:r>
      <w:r w:rsidRPr="00BB3A5C">
        <w:t>se je v obdobju 2014-20</w:t>
      </w:r>
      <w:r>
        <w:t>19</w:t>
      </w:r>
      <w:r w:rsidRPr="00BB3A5C">
        <w:t xml:space="preserve"> glede na obdobje 2007-2013 </w:t>
      </w:r>
      <w:r>
        <w:t xml:space="preserve">pri zmanjšanju domače prireje za 37 % za četrtino </w:t>
      </w:r>
      <w:r w:rsidRPr="00BB3A5C">
        <w:t xml:space="preserve">povečal </w:t>
      </w:r>
      <w:r>
        <w:t xml:space="preserve">uvoz I. stopnje predelave – mesa. Izvoz mesa iz izdelkov se je povečal za 37 %, ki pa v obdobju 2014-2019 predstavlja 22 % domače porabe. V obdobju 2014-2019 predstavlja uvoz I. stopnje predelave – mesa skoraj dva kratni obseg domače prireje, pri tem pa predstavlja je uvoz živih živali zelo majhen obseg (2,3 % porabe). </w:t>
      </w:r>
      <w:r w:rsidRPr="00BB3A5C">
        <w:t>Stopnja samooskrbe se je zmanjša</w:t>
      </w:r>
      <w:r>
        <w:t xml:space="preserve">la 18 odstotnih točk </w:t>
      </w:r>
      <w:r w:rsidRPr="00BB3A5C">
        <w:t xml:space="preserve">na </w:t>
      </w:r>
      <w:r>
        <w:t>37</w:t>
      </w:r>
      <w:r w:rsidRPr="00BB3A5C">
        <w:t xml:space="preserve"> %.</w:t>
      </w:r>
    </w:p>
    <w:p w14:paraId="298317B9" w14:textId="15762382" w:rsidR="00B2104E" w:rsidRDefault="00B2104E" w:rsidP="007613FE">
      <w:pPr>
        <w:pStyle w:val="Odstavek1"/>
      </w:pPr>
    </w:p>
    <w:p w14:paraId="4BCB2810" w14:textId="2ED45979" w:rsidR="008C4D3F" w:rsidRPr="00F3427A" w:rsidRDefault="008C4D3F" w:rsidP="006D4C94">
      <w:pPr>
        <w:pStyle w:val="SCSlika0"/>
        <w:rPr>
          <w:u w:val="single"/>
        </w:rPr>
      </w:pPr>
      <w:bookmarkStart w:id="3270" w:name="_Toc89851149"/>
      <w:r w:rsidRPr="009E52D9">
        <w:t xml:space="preserve">Slika </w:t>
      </w:r>
      <w:r w:rsidR="00072AFA">
        <w:rPr>
          <w:noProof/>
        </w:rPr>
        <w:fldChar w:fldCharType="begin"/>
      </w:r>
      <w:r w:rsidR="00072AFA">
        <w:rPr>
          <w:noProof/>
        </w:rPr>
        <w:instrText xml:space="preserve"> SEQ Slika \* ARABIC </w:instrText>
      </w:r>
      <w:r w:rsidR="00072AFA">
        <w:rPr>
          <w:noProof/>
        </w:rPr>
        <w:fldChar w:fldCharType="separate"/>
      </w:r>
      <w:r w:rsidR="001B3E9B">
        <w:rPr>
          <w:noProof/>
        </w:rPr>
        <w:t>107</w:t>
      </w:r>
      <w:r w:rsidR="00072AFA">
        <w:rPr>
          <w:noProof/>
        </w:rPr>
        <w:fldChar w:fldCharType="end"/>
      </w:r>
      <w:r w:rsidR="0023520B" w:rsidRPr="009E52D9">
        <w:t>: Domača poraba</w:t>
      </w:r>
      <w:r w:rsidR="0023520B" w:rsidRPr="00B73498">
        <w:t>, pri</w:t>
      </w:r>
      <w:r w:rsidR="0023520B" w:rsidRPr="009E52D9">
        <w:t>reja</w:t>
      </w:r>
      <w:r w:rsidRPr="009E52D9">
        <w:t>, uvoz in izvoz –</w:t>
      </w:r>
      <w:r w:rsidR="009E52D9" w:rsidRPr="00597DFB">
        <w:t>prašič</w:t>
      </w:r>
      <w:r w:rsidR="009E52D9" w:rsidRPr="009E52D9">
        <w:t>i</w:t>
      </w:r>
      <w:r w:rsidRPr="009E52D9">
        <w:t>, v tisoč t</w:t>
      </w:r>
      <w:bookmarkEnd w:id="3270"/>
    </w:p>
    <w:p w14:paraId="11C75256" w14:textId="7DC863C5" w:rsidR="003D5D84" w:rsidRPr="00797A13" w:rsidRDefault="003D5D84" w:rsidP="003D5D84">
      <w:pPr>
        <w:spacing w:before="0" w:line="276" w:lineRule="auto"/>
        <w:rPr>
          <w:bCs/>
          <w:sz w:val="20"/>
          <w:szCs w:val="20"/>
        </w:rPr>
      </w:pPr>
      <w:r>
        <w:rPr>
          <w:noProof/>
          <w:lang w:eastAsia="sl-SI"/>
        </w:rPr>
        <w:drawing>
          <wp:inline distT="0" distB="0" distL="0" distR="0" wp14:anchorId="1EBF84B0" wp14:editId="7FF2755A">
            <wp:extent cx="3757930" cy="2476500"/>
            <wp:effectExtent l="0" t="0" r="1397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23791983" w14:textId="77777777" w:rsidR="008C4D3F" w:rsidRPr="00B42E90" w:rsidRDefault="008C4D3F" w:rsidP="008C4D3F">
      <w:pPr>
        <w:spacing w:before="0" w:line="276" w:lineRule="auto"/>
        <w:rPr>
          <w:sz w:val="16"/>
          <w:szCs w:val="16"/>
        </w:rPr>
      </w:pPr>
      <w:r w:rsidRPr="00B42E90">
        <w:rPr>
          <w:sz w:val="16"/>
          <w:szCs w:val="16"/>
        </w:rPr>
        <w:t xml:space="preserve">Vir: MKGP. </w:t>
      </w:r>
    </w:p>
    <w:p w14:paraId="26AE777F" w14:textId="6522B3A7" w:rsidR="003D5D84" w:rsidRDefault="003D5D84" w:rsidP="007613FE">
      <w:pPr>
        <w:pStyle w:val="Odstavek1"/>
      </w:pPr>
    </w:p>
    <w:p w14:paraId="6BA516D8" w14:textId="77777777" w:rsidR="008C4D3F" w:rsidRPr="00597DFB" w:rsidRDefault="008C4D3F" w:rsidP="007613FE">
      <w:pPr>
        <w:pStyle w:val="Odstavek1"/>
      </w:pPr>
      <w:r w:rsidRPr="00597DFB">
        <w:t>V povprečju primanjkuje 38 tisoč ton svežega ali ohlajenega ter 6 tisoč ton zmrznjenega prašičjega mesa.</w:t>
      </w:r>
    </w:p>
    <w:p w14:paraId="270C141B" w14:textId="77777777" w:rsidR="003D5D84" w:rsidRDefault="003D5D84" w:rsidP="007613FE">
      <w:pPr>
        <w:pStyle w:val="Odstavek1"/>
      </w:pPr>
    </w:p>
    <w:p w14:paraId="32943A63" w14:textId="5B53E3B8" w:rsidR="00B2104E" w:rsidRPr="00970036" w:rsidRDefault="0023520B" w:rsidP="007613FE">
      <w:pPr>
        <w:pStyle w:val="Odstavek1"/>
        <w:rPr>
          <w:u w:val="single"/>
        </w:rPr>
      </w:pPr>
      <w:r w:rsidRPr="00970036">
        <w:rPr>
          <w:u w:val="single"/>
        </w:rPr>
        <w:t>Mleko</w:t>
      </w:r>
    </w:p>
    <w:p w14:paraId="4DBCC5B1" w14:textId="77777777" w:rsidR="00AE036F" w:rsidRPr="006B101E" w:rsidRDefault="00AE036F" w:rsidP="007613FE">
      <w:pPr>
        <w:pStyle w:val="Odstavek1"/>
      </w:pPr>
      <w:r w:rsidRPr="000D0720">
        <w:t xml:space="preserve">V zadnjih nekaj letih obseg zunanje trgovine z mlekom narašča. V strukturi skupnega izvoza prevladuje izvoz surovega mleka. Po obdobju 2013-2015, ko je znašal okoli 60 %, se delež izvoza surovega mleka zmanjšuje in je leta 2019 znašal 51 %. S spremembami v lastništvu mlekarn so se spremenili tudi zunanjetrgovinski tokovi za posamezne kategorije mlečnih izdelkov. To se v zadnjih nekaj letih kaže na primer v izrazitem povečanju izvoza svežega konzumnega mleka, v katerem je zajeto tudi mleko za predelavo, ki se nato znova prikazuje predvsem kot večji uvoz sirov in skute. </w:t>
      </w:r>
    </w:p>
    <w:p w14:paraId="388CB5C5" w14:textId="77777777" w:rsidR="00AE1F83" w:rsidRDefault="00AE1F83" w:rsidP="007613FE">
      <w:pPr>
        <w:pStyle w:val="Odstavek1"/>
      </w:pPr>
    </w:p>
    <w:p w14:paraId="464CC1FB" w14:textId="51800D57" w:rsidR="0023520B" w:rsidRDefault="0023520B" w:rsidP="007613FE">
      <w:pPr>
        <w:pStyle w:val="Odstavek1"/>
      </w:pPr>
      <w:r>
        <w:t xml:space="preserve">Pri mleku se je v obdobju 2014-2019 </w:t>
      </w:r>
      <w:r w:rsidRPr="00797A13">
        <w:t>glede na obdobje 2007-2013</w:t>
      </w:r>
      <w:r>
        <w:t xml:space="preserve"> pri skoraj enaki količini proizvedenega mleka povečal izvoz surovega mleka za 15 %, uvoz surovega mleka pa se je zmanjšal za 60 %. Povečala sta se tako uvoz izdelkov (za 29 %), kot tudi izvoz izdelkov (za 28 %). </w:t>
      </w:r>
    </w:p>
    <w:p w14:paraId="7AE40B99" w14:textId="77777777" w:rsidR="00AE1F83" w:rsidRDefault="00AE1F83" w:rsidP="007613FE">
      <w:pPr>
        <w:pStyle w:val="Odstavek1"/>
      </w:pPr>
    </w:p>
    <w:p w14:paraId="09BA81BE" w14:textId="607EC8A3" w:rsidR="0023520B" w:rsidRDefault="0023520B" w:rsidP="007613FE">
      <w:pPr>
        <w:pStyle w:val="Odstavek1"/>
      </w:pPr>
      <w:r>
        <w:t xml:space="preserve">V obdobju 2014-2019 predstavlja izvoz surovega mleka kar 30 % vsega namolzenega mleka, uvoz surovega mleka pa le 2 %. </w:t>
      </w:r>
      <w:r w:rsidRPr="006F1906">
        <w:t>Uvoz mlečnih izdelkov predstavlja 35 % vsega namolzenega mleka in je za 13 odst</w:t>
      </w:r>
      <w:r w:rsidRPr="002B7243">
        <w:t>otnih točk večji od izvoza izdelkov.</w:t>
      </w:r>
      <w:r>
        <w:t xml:space="preserve"> </w:t>
      </w:r>
    </w:p>
    <w:p w14:paraId="39B5C62A" w14:textId="77777777" w:rsidR="00AE1F83" w:rsidRDefault="00AE1F83" w:rsidP="007613FE">
      <w:pPr>
        <w:pStyle w:val="Odstavek1"/>
      </w:pPr>
    </w:p>
    <w:p w14:paraId="53101B68" w14:textId="77777777" w:rsidR="0023520B" w:rsidRDefault="0023520B" w:rsidP="007613FE">
      <w:pPr>
        <w:pStyle w:val="Odstavek1"/>
      </w:pPr>
      <w:r>
        <w:t xml:space="preserve">Stopnja samooskrbe se je povečala za 10 odstotnih točk in znaša 128 %.  </w:t>
      </w:r>
    </w:p>
    <w:p w14:paraId="2BF84644" w14:textId="77777777" w:rsidR="0023520B" w:rsidRDefault="0023520B" w:rsidP="007613FE">
      <w:pPr>
        <w:pStyle w:val="Odstavek1"/>
      </w:pPr>
    </w:p>
    <w:p w14:paraId="32A69862" w14:textId="1400F539" w:rsidR="0023520B" w:rsidRPr="00F3427A" w:rsidRDefault="0023520B" w:rsidP="006D4C94">
      <w:pPr>
        <w:pStyle w:val="SCSlika0"/>
        <w:rPr>
          <w:u w:val="single"/>
        </w:rPr>
      </w:pPr>
      <w:bookmarkStart w:id="3271" w:name="_Toc89851150"/>
      <w:r w:rsidRPr="00B42E90">
        <w:t xml:space="preserve">Slika </w:t>
      </w:r>
      <w:r w:rsidR="00072AFA">
        <w:rPr>
          <w:noProof/>
        </w:rPr>
        <w:fldChar w:fldCharType="begin"/>
      </w:r>
      <w:r w:rsidR="00072AFA">
        <w:rPr>
          <w:noProof/>
        </w:rPr>
        <w:instrText xml:space="preserve"> SEQ Slika \* ARABIC </w:instrText>
      </w:r>
      <w:r w:rsidR="00072AFA">
        <w:rPr>
          <w:noProof/>
        </w:rPr>
        <w:fldChar w:fldCharType="separate"/>
      </w:r>
      <w:r w:rsidR="001B3E9B">
        <w:rPr>
          <w:noProof/>
        </w:rPr>
        <w:t>108</w:t>
      </w:r>
      <w:r w:rsidR="00072AFA">
        <w:rPr>
          <w:noProof/>
        </w:rPr>
        <w:fldChar w:fldCharType="end"/>
      </w:r>
      <w:r w:rsidRPr="00B42E90">
        <w:t xml:space="preserve">: Domača pridelava, uvoz in izvoz – </w:t>
      </w:r>
      <w:r>
        <w:t>mleko</w:t>
      </w:r>
      <w:r w:rsidRPr="00B42E90">
        <w:t>, v tisoč t</w:t>
      </w:r>
      <w:bookmarkEnd w:id="3271"/>
    </w:p>
    <w:p w14:paraId="156C1CD6" w14:textId="043CF543" w:rsidR="003D5D84" w:rsidRDefault="003D5D84" w:rsidP="003D5D84">
      <w:pPr>
        <w:spacing w:before="0" w:line="276" w:lineRule="auto"/>
        <w:rPr>
          <w:bCs/>
          <w:sz w:val="20"/>
          <w:szCs w:val="20"/>
        </w:rPr>
      </w:pPr>
      <w:r>
        <w:rPr>
          <w:noProof/>
          <w:lang w:eastAsia="sl-SI"/>
        </w:rPr>
        <w:drawing>
          <wp:inline distT="0" distB="0" distL="0" distR="0" wp14:anchorId="4CF2BCA6" wp14:editId="11308DB2">
            <wp:extent cx="4602480" cy="2209800"/>
            <wp:effectExtent l="0" t="0" r="7620" b="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672EBB90" w14:textId="77777777" w:rsidR="0023520B" w:rsidRPr="00B42E90" w:rsidRDefault="0023520B" w:rsidP="0023520B">
      <w:pPr>
        <w:spacing w:before="0" w:line="276" w:lineRule="auto"/>
        <w:rPr>
          <w:sz w:val="16"/>
          <w:szCs w:val="16"/>
        </w:rPr>
      </w:pPr>
      <w:r w:rsidRPr="00B42E90">
        <w:rPr>
          <w:sz w:val="16"/>
          <w:szCs w:val="16"/>
        </w:rPr>
        <w:t xml:space="preserve">Vir: MKGP. </w:t>
      </w:r>
    </w:p>
    <w:p w14:paraId="6F9B0D17" w14:textId="38F935FF" w:rsidR="003D5D84" w:rsidRDefault="003D5D84" w:rsidP="003D5D84">
      <w:pPr>
        <w:spacing w:before="0" w:line="276" w:lineRule="auto"/>
        <w:rPr>
          <w:bCs/>
          <w:sz w:val="20"/>
          <w:szCs w:val="20"/>
        </w:rPr>
      </w:pPr>
    </w:p>
    <w:p w14:paraId="4B9942DD" w14:textId="6268D5F4" w:rsidR="00AE036F" w:rsidRDefault="00AE036F" w:rsidP="003D5D84">
      <w:pPr>
        <w:spacing w:before="0" w:line="276" w:lineRule="auto"/>
        <w:rPr>
          <w:bCs/>
          <w:sz w:val="20"/>
          <w:szCs w:val="20"/>
        </w:rPr>
      </w:pPr>
    </w:p>
    <w:p w14:paraId="30C93472" w14:textId="6734A029" w:rsidR="0023520B" w:rsidRPr="009F3567" w:rsidRDefault="0023520B" w:rsidP="006D4C94">
      <w:pPr>
        <w:pStyle w:val="Naslov2"/>
      </w:pPr>
      <w:bookmarkStart w:id="3272" w:name="_Toc90462305"/>
      <w:r w:rsidRPr="009F3567">
        <w:t>Ključne ugotovitve</w:t>
      </w:r>
      <w:bookmarkEnd w:id="3272"/>
    </w:p>
    <w:p w14:paraId="4AA16357" w14:textId="77777777" w:rsidR="00AE1F83" w:rsidRDefault="00AE1F83" w:rsidP="006249A0">
      <w:pPr>
        <w:pStyle w:val="Odstavekseznama"/>
        <w:spacing w:before="0" w:line="260" w:lineRule="atLeast"/>
        <w:ind w:left="426"/>
        <w:rPr>
          <w:rFonts w:ascii="Arial" w:hAnsi="Arial"/>
        </w:rPr>
      </w:pPr>
    </w:p>
    <w:p w14:paraId="32C77AF6" w14:textId="0AE9E922" w:rsidR="00687C6E" w:rsidRPr="006D4C94" w:rsidRDefault="00687C6E"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Z vključitvijo Slovenije v Evropsko unijo blagovna menjava agroživilstva v glavnem poteka z državami EU.</w:t>
      </w:r>
      <w:r w:rsidR="00B3164C" w:rsidRPr="006D4C94">
        <w:rPr>
          <w:rFonts w:ascii="Arial" w:hAnsi="Arial"/>
          <w:sz w:val="22"/>
        </w:rPr>
        <w:t xml:space="preserve"> Slovenija je neto uvoznica večine kmetijskih proizvodov.</w:t>
      </w:r>
    </w:p>
    <w:p w14:paraId="1C823DEB" w14:textId="50211F7C" w:rsidR="00AE036F" w:rsidRPr="006D4C94" w:rsidRDefault="00AE036F"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Na račun povečevanja izvozne aktivnosti se izboljšuje zunanjetrgovinska bilanca živilskih proizvodov. Pri izvozu osnovnih kmetijskih proizvodov prevladuje surovo mleko, sledi izvoz živih živali (prevladuje govedo), kar je </w:t>
      </w:r>
      <w:r w:rsidR="00B3164C" w:rsidRPr="006D4C94">
        <w:rPr>
          <w:rFonts w:ascii="Arial" w:hAnsi="Arial"/>
          <w:sz w:val="22"/>
        </w:rPr>
        <w:t>z vidika</w:t>
      </w:r>
      <w:r w:rsidRPr="006D4C94">
        <w:rPr>
          <w:rFonts w:ascii="Arial" w:hAnsi="Arial"/>
          <w:sz w:val="22"/>
        </w:rPr>
        <w:t xml:space="preserve"> dodane vrednosti</w:t>
      </w:r>
      <w:r w:rsidR="00B3164C" w:rsidRPr="006D4C94">
        <w:rPr>
          <w:rFonts w:ascii="Arial" w:hAnsi="Arial"/>
          <w:sz w:val="22"/>
        </w:rPr>
        <w:t xml:space="preserve"> neugodno</w:t>
      </w:r>
      <w:r w:rsidRPr="006D4C94">
        <w:rPr>
          <w:rFonts w:ascii="Arial" w:hAnsi="Arial"/>
          <w:sz w:val="22"/>
        </w:rPr>
        <w:t xml:space="preserve">. </w:t>
      </w:r>
    </w:p>
    <w:p w14:paraId="5858B531" w14:textId="77777777"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Kljub izkazani povečani izvozni naravnanosti kmetijske ter živilskopredelovalne industrije ni izkazana trajna izvozna usmerjenost, temelječa na povečanju dodane vrednosti. Zaradi neurejene horizontalne in vertikalne povezanosti kmetijske pridelave in predelave in s tem neusklajenega nastopa na tujih trgih je še vedno velik izvoz osnovnih kmetijskih proizvodov, kar ne omogoča doseganja višje dodane vrednosti izvoza. V Sloveniji se poleg potreb sodelovanja trgovcev s slovenskimi ponudniki hrane, kažejo potrebe po skladiščnih kapacitetah, skupnih zbirnih centrih, pakirnih linijah, hladilnicah ipd., s katerimi bi omogočili bolj racionalno proizvodnjo, večjo ekonomičnost pridelave, doseganje ekonomije obsega in tudi zagotavljanje kmetijskih proizvodov v daljšem časovnem obdobju (s skladiščenjem, hladilnicami). </w:t>
      </w:r>
    </w:p>
    <w:p w14:paraId="781C8C96" w14:textId="0482B17B"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V zadnjih letih beležimo preusmeritev od izvoza mesa k neposrednemu izvozu živih živali, torej od izvoza proizvodov z višjo dodano vrednostjo k izvozu osnovnih proizvodov oziroma surovin. </w:t>
      </w:r>
    </w:p>
    <w:p w14:paraId="24DF78D4" w14:textId="5460F637"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Glede na domačo pridelavo in potrošnjo beležimo primanjkljaj predvsem pri </w:t>
      </w:r>
      <w:r w:rsidR="0062445D" w:rsidRPr="006D4C94">
        <w:rPr>
          <w:rFonts w:ascii="Arial" w:hAnsi="Arial"/>
          <w:sz w:val="22"/>
        </w:rPr>
        <w:t xml:space="preserve">žitih, </w:t>
      </w:r>
      <w:r w:rsidRPr="006D4C94">
        <w:rPr>
          <w:rFonts w:ascii="Arial" w:hAnsi="Arial"/>
          <w:sz w:val="22"/>
        </w:rPr>
        <w:t xml:space="preserve">sadju, zelenjadnicah in prašičih. </w:t>
      </w:r>
    </w:p>
    <w:p w14:paraId="3BCACF6E" w14:textId="08707528"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Pri zelenjavi se </w:t>
      </w:r>
      <w:r w:rsidR="00C37E12" w:rsidRPr="006D4C94">
        <w:rPr>
          <w:rFonts w:ascii="Arial" w:hAnsi="Arial"/>
          <w:sz w:val="22"/>
        </w:rPr>
        <w:t xml:space="preserve">samooskrba </w:t>
      </w:r>
      <w:r w:rsidRPr="006D4C94">
        <w:rPr>
          <w:rFonts w:ascii="Arial" w:hAnsi="Arial"/>
          <w:sz w:val="22"/>
        </w:rPr>
        <w:t xml:space="preserve">ni bistveno povečala. Povečanje produktivnosti, konkurenčnosti in stabilnosti pridelave zelenjave se lahko zagotovi s postavitvijo rastlinjakov za hidroponsko celoletno pridelavo posameznih vrst zelenjave (vsaj 20 ha) in rastlinjakov za podaljšanje sezone pridelave, kjer pridelava poteka v tleh </w:t>
      </w:r>
    </w:p>
    <w:p w14:paraId="6CDFF962" w14:textId="596A2754"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V skladu s smernicami za krompir bo treba zagotavljati lasten semenski krompir ter povečati proizvodnjo mladega krompirja</w:t>
      </w:r>
      <w:r w:rsidR="00B3164C" w:rsidRPr="006D4C94">
        <w:rPr>
          <w:rFonts w:ascii="Arial" w:hAnsi="Arial"/>
          <w:sz w:val="22"/>
        </w:rPr>
        <w:t>.</w:t>
      </w:r>
    </w:p>
    <w:p w14:paraId="676F251A" w14:textId="0399FDF3"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Proizvodnja mleka za skoraj tretjino presega domačo porabo, kar podobno kot pri govejem mesu predstavlja težavo pri prodaji v času kriz in zapore trgov. </w:t>
      </w:r>
    </w:p>
    <w:p w14:paraId="4BA6E805" w14:textId="77777777" w:rsidR="006C3D01" w:rsidRDefault="00687C6E"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Zaradi krize v prašičereji se niža samooskrba s prašičjim mesom. Kritična je prevelika odvisnost od uvoza prašičev mase pod 50 kg</w:t>
      </w:r>
      <w:r w:rsidR="006C3D01">
        <w:rPr>
          <w:rFonts w:ascii="Arial" w:hAnsi="Arial"/>
          <w:sz w:val="22"/>
        </w:rPr>
        <w:t>.</w:t>
      </w:r>
    </w:p>
    <w:p w14:paraId="3976E2EF" w14:textId="4829DAC0" w:rsidR="00687C6E" w:rsidRPr="006D4C94" w:rsidRDefault="006C3D01" w:rsidP="007613FE">
      <w:pPr>
        <w:pStyle w:val="Odstavekseznama"/>
        <w:numPr>
          <w:ilvl w:val="0"/>
          <w:numId w:val="75"/>
        </w:numPr>
        <w:spacing w:before="0" w:line="260" w:lineRule="atLeast"/>
        <w:ind w:left="426" w:hanging="284"/>
        <w:rPr>
          <w:rFonts w:ascii="Arial" w:hAnsi="Arial"/>
          <w:sz w:val="22"/>
        </w:rPr>
      </w:pPr>
      <w:r>
        <w:rPr>
          <w:rFonts w:ascii="Arial" w:hAnsi="Arial"/>
          <w:sz w:val="22"/>
        </w:rPr>
        <w:t>Problematična z vidika lastne samooskrbe in pa vključevanja v shemo Izbrana kakovost, kjer se zahteva, da mora biti žival rojena in rejena v Sloveniji, je tudi prevelika odvisnost od</w:t>
      </w:r>
      <w:r w:rsidR="00687C6E" w:rsidRPr="006D4C94">
        <w:rPr>
          <w:rFonts w:ascii="Arial" w:hAnsi="Arial"/>
          <w:sz w:val="22"/>
        </w:rPr>
        <w:t xml:space="preserve"> </w:t>
      </w:r>
      <w:r>
        <w:rPr>
          <w:rFonts w:ascii="Arial" w:hAnsi="Arial"/>
          <w:sz w:val="22"/>
        </w:rPr>
        <w:t xml:space="preserve">uvoza </w:t>
      </w:r>
      <w:r w:rsidR="007E4EB7" w:rsidRPr="006D4C94">
        <w:rPr>
          <w:rFonts w:ascii="Arial" w:hAnsi="Arial"/>
          <w:sz w:val="22"/>
        </w:rPr>
        <w:t xml:space="preserve">govejih </w:t>
      </w:r>
      <w:r w:rsidR="00687C6E" w:rsidRPr="006D4C94">
        <w:rPr>
          <w:rFonts w:ascii="Arial" w:hAnsi="Arial"/>
          <w:sz w:val="22"/>
        </w:rPr>
        <w:t>telet za nadaljnje pitanje.</w:t>
      </w:r>
    </w:p>
    <w:p w14:paraId="6496FA71" w14:textId="0985AC56" w:rsidR="005A0803" w:rsidRPr="006D4C94" w:rsidRDefault="005A0803"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Uvoz določenih živilskih proizvodov je odvisen tudi od lastniške strukture trgovskih verig v Sloveniji.</w:t>
      </w:r>
    </w:p>
    <w:p w14:paraId="15CB1F90" w14:textId="0A0D220C" w:rsidR="00894129" w:rsidRPr="006D4C94" w:rsidRDefault="00894129"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Ob izrednih razmerah na trgu (v primeru motenega delovanja notranjega trga EU in mednarodne trgovine</w:t>
      </w:r>
      <w:r w:rsidR="007E4EB7" w:rsidRPr="006D4C94">
        <w:rPr>
          <w:rFonts w:ascii="Arial" w:hAnsi="Arial"/>
          <w:sz w:val="22"/>
        </w:rPr>
        <w:t xml:space="preserve">, kot tudi v </w:t>
      </w:r>
      <w:r w:rsidRPr="006D4C94">
        <w:rPr>
          <w:rFonts w:ascii="Arial" w:hAnsi="Arial"/>
          <w:sz w:val="22"/>
        </w:rPr>
        <w:t>obdobju obsežne pandemije</w:t>
      </w:r>
      <w:r w:rsidR="007E4EB7" w:rsidRPr="006D4C94">
        <w:rPr>
          <w:rFonts w:ascii="Arial" w:hAnsi="Arial"/>
          <w:sz w:val="22"/>
        </w:rPr>
        <w:t>)</w:t>
      </w:r>
      <w:r w:rsidRPr="006D4C94">
        <w:rPr>
          <w:rFonts w:ascii="Arial" w:hAnsi="Arial"/>
          <w:sz w:val="22"/>
        </w:rPr>
        <w:t>, prihaja do zrušitve trgov</w:t>
      </w:r>
      <w:r w:rsidR="007E4EB7" w:rsidRPr="006D4C94">
        <w:rPr>
          <w:rFonts w:ascii="Arial" w:hAnsi="Arial"/>
          <w:sz w:val="22"/>
        </w:rPr>
        <w:t xml:space="preserve"> in do problemov pri preskrbi prebivalstva s hrano</w:t>
      </w:r>
      <w:r w:rsidRPr="006D4C94">
        <w:rPr>
          <w:rFonts w:ascii="Arial" w:hAnsi="Arial"/>
          <w:sz w:val="22"/>
        </w:rPr>
        <w:t>, kar povzroča izredne tržne razmere s presežki mleka in govejega mesa, po drugi strani pa pomanjkanjem v sektorjih z nizko samooskrbo (žita, sadje, zelenjava in prašičje meso).</w:t>
      </w:r>
    </w:p>
    <w:p w14:paraId="53E168A6" w14:textId="6D285B59" w:rsidR="003154B3" w:rsidRDefault="003154B3" w:rsidP="00FA3FBA">
      <w:pPr>
        <w:pStyle w:val="Odstavekseznama"/>
        <w:spacing w:before="0" w:line="260" w:lineRule="atLeast"/>
        <w:ind w:left="426"/>
        <w:rPr>
          <w:rFonts w:ascii="Arial" w:hAnsi="Arial"/>
        </w:rPr>
      </w:pPr>
    </w:p>
    <w:p w14:paraId="36D836AF" w14:textId="77777777" w:rsidR="00157FC2" w:rsidRPr="0047652B" w:rsidRDefault="00157FC2" w:rsidP="00FA3FBA">
      <w:pPr>
        <w:pStyle w:val="ZPtekst"/>
        <w:spacing w:before="0" w:line="260" w:lineRule="atLeast"/>
        <w:rPr>
          <w:sz w:val="20"/>
          <w:szCs w:val="20"/>
        </w:rPr>
      </w:pPr>
    </w:p>
    <w:p w14:paraId="318332E8" w14:textId="77777777" w:rsidR="00954B88" w:rsidRDefault="00954B88">
      <w:pPr>
        <w:spacing w:before="0" w:after="200" w:line="276" w:lineRule="auto"/>
        <w:jc w:val="left"/>
        <w:rPr>
          <w:rFonts w:eastAsia="Calibri"/>
          <w:b/>
          <w:sz w:val="28"/>
          <w:szCs w:val="28"/>
          <w:lang w:eastAsia="en-US"/>
        </w:rPr>
      </w:pPr>
      <w:bookmarkStart w:id="3273" w:name="_Toc51056932"/>
      <w:bookmarkStart w:id="3274" w:name="_Toc51058353"/>
      <w:bookmarkStart w:id="3275" w:name="_Toc51059770"/>
      <w:bookmarkStart w:id="3276" w:name="_Toc51061186"/>
      <w:bookmarkStart w:id="3277" w:name="_Toc51062602"/>
      <w:bookmarkStart w:id="3278" w:name="_Toc51064018"/>
      <w:bookmarkStart w:id="3279" w:name="_Toc51065451"/>
      <w:bookmarkStart w:id="3280" w:name="_Toc51066866"/>
      <w:bookmarkStart w:id="3281" w:name="_Toc51068914"/>
      <w:bookmarkStart w:id="3282" w:name="_Toc51105930"/>
      <w:bookmarkStart w:id="3283" w:name="_Toc51107358"/>
      <w:bookmarkStart w:id="3284" w:name="_Toc51109681"/>
      <w:bookmarkStart w:id="3285" w:name="_Toc51056933"/>
      <w:bookmarkStart w:id="3286" w:name="_Toc51058354"/>
      <w:bookmarkStart w:id="3287" w:name="_Toc51059771"/>
      <w:bookmarkStart w:id="3288" w:name="_Toc51061187"/>
      <w:bookmarkStart w:id="3289" w:name="_Toc51062603"/>
      <w:bookmarkStart w:id="3290" w:name="_Toc51064019"/>
      <w:bookmarkStart w:id="3291" w:name="_Toc51065452"/>
      <w:bookmarkStart w:id="3292" w:name="_Toc51066867"/>
      <w:bookmarkStart w:id="3293" w:name="_Toc51068915"/>
      <w:bookmarkStart w:id="3294" w:name="_Toc51105931"/>
      <w:bookmarkStart w:id="3295" w:name="_Toc51107359"/>
      <w:bookmarkStart w:id="3296" w:name="_Toc51109682"/>
      <w:bookmarkStart w:id="3297" w:name="_Toc51056935"/>
      <w:bookmarkStart w:id="3298" w:name="_Toc51058356"/>
      <w:bookmarkStart w:id="3299" w:name="_Toc51059773"/>
      <w:bookmarkStart w:id="3300" w:name="_Toc51061189"/>
      <w:bookmarkStart w:id="3301" w:name="_Toc51062605"/>
      <w:bookmarkStart w:id="3302" w:name="_Toc51064021"/>
      <w:bookmarkStart w:id="3303" w:name="_Toc51065454"/>
      <w:bookmarkStart w:id="3304" w:name="_Toc51066869"/>
      <w:bookmarkStart w:id="3305" w:name="_Toc51068917"/>
      <w:bookmarkStart w:id="3306" w:name="_Toc51105933"/>
      <w:bookmarkStart w:id="3307" w:name="_Toc51107361"/>
      <w:bookmarkStart w:id="3308" w:name="_Toc51109684"/>
      <w:bookmarkStart w:id="3309" w:name="_Toc51056937"/>
      <w:bookmarkStart w:id="3310" w:name="_Toc51058358"/>
      <w:bookmarkStart w:id="3311" w:name="_Toc51059775"/>
      <w:bookmarkStart w:id="3312" w:name="_Toc51061191"/>
      <w:bookmarkStart w:id="3313" w:name="_Toc51062607"/>
      <w:bookmarkStart w:id="3314" w:name="_Toc51064023"/>
      <w:bookmarkStart w:id="3315" w:name="_Toc51065456"/>
      <w:bookmarkStart w:id="3316" w:name="_Toc51066871"/>
      <w:bookmarkStart w:id="3317" w:name="_Toc51068919"/>
      <w:bookmarkStart w:id="3318" w:name="_Toc51105935"/>
      <w:bookmarkStart w:id="3319" w:name="_Toc51107363"/>
      <w:bookmarkStart w:id="3320" w:name="_Toc51109686"/>
      <w:bookmarkStart w:id="3321" w:name="_Toc51056939"/>
      <w:bookmarkStart w:id="3322" w:name="_Toc51058360"/>
      <w:bookmarkStart w:id="3323" w:name="_Toc51059777"/>
      <w:bookmarkStart w:id="3324" w:name="_Toc51061193"/>
      <w:bookmarkStart w:id="3325" w:name="_Toc51062609"/>
      <w:bookmarkStart w:id="3326" w:name="_Toc51064025"/>
      <w:bookmarkStart w:id="3327" w:name="_Toc51065458"/>
      <w:bookmarkStart w:id="3328" w:name="_Toc51066873"/>
      <w:bookmarkStart w:id="3329" w:name="_Toc51068921"/>
      <w:bookmarkStart w:id="3330" w:name="_Toc51105937"/>
      <w:bookmarkStart w:id="3331" w:name="_Toc51107365"/>
      <w:bookmarkStart w:id="3332" w:name="_Toc51109688"/>
      <w:bookmarkStart w:id="3333" w:name="_Toc51056941"/>
      <w:bookmarkStart w:id="3334" w:name="_Toc51058362"/>
      <w:bookmarkStart w:id="3335" w:name="_Toc51059779"/>
      <w:bookmarkStart w:id="3336" w:name="_Toc51061195"/>
      <w:bookmarkStart w:id="3337" w:name="_Toc51062611"/>
      <w:bookmarkStart w:id="3338" w:name="_Toc51064027"/>
      <w:bookmarkStart w:id="3339" w:name="_Toc51065460"/>
      <w:bookmarkStart w:id="3340" w:name="_Toc51066875"/>
      <w:bookmarkStart w:id="3341" w:name="_Toc51068923"/>
      <w:bookmarkStart w:id="3342" w:name="_Toc51105939"/>
      <w:bookmarkStart w:id="3343" w:name="_Toc51107367"/>
      <w:bookmarkStart w:id="3344" w:name="_Toc51109690"/>
      <w:bookmarkStart w:id="3345" w:name="_Toc51056943"/>
      <w:bookmarkStart w:id="3346" w:name="_Toc51058364"/>
      <w:bookmarkStart w:id="3347" w:name="_Toc51059781"/>
      <w:bookmarkStart w:id="3348" w:name="_Toc51061197"/>
      <w:bookmarkStart w:id="3349" w:name="_Toc51062613"/>
      <w:bookmarkStart w:id="3350" w:name="_Toc51064029"/>
      <w:bookmarkStart w:id="3351" w:name="_Toc51065462"/>
      <w:bookmarkStart w:id="3352" w:name="_Toc51066877"/>
      <w:bookmarkStart w:id="3353" w:name="_Toc51068925"/>
      <w:bookmarkStart w:id="3354" w:name="_Toc51105941"/>
      <w:bookmarkStart w:id="3355" w:name="_Toc51107369"/>
      <w:bookmarkStart w:id="3356" w:name="_Toc51109692"/>
      <w:bookmarkStart w:id="3357" w:name="_Toc51056945"/>
      <w:bookmarkStart w:id="3358" w:name="_Toc51058366"/>
      <w:bookmarkStart w:id="3359" w:name="_Toc51059783"/>
      <w:bookmarkStart w:id="3360" w:name="_Toc51061199"/>
      <w:bookmarkStart w:id="3361" w:name="_Toc51062615"/>
      <w:bookmarkStart w:id="3362" w:name="_Toc51064031"/>
      <w:bookmarkStart w:id="3363" w:name="_Toc51065464"/>
      <w:bookmarkStart w:id="3364" w:name="_Toc51066879"/>
      <w:bookmarkStart w:id="3365" w:name="_Toc51068927"/>
      <w:bookmarkStart w:id="3366" w:name="_Toc51105943"/>
      <w:bookmarkStart w:id="3367" w:name="_Toc51107371"/>
      <w:bookmarkStart w:id="3368" w:name="_Toc51109694"/>
      <w:bookmarkStart w:id="3369" w:name="_Toc51056947"/>
      <w:bookmarkStart w:id="3370" w:name="_Toc51058368"/>
      <w:bookmarkStart w:id="3371" w:name="_Toc51059785"/>
      <w:bookmarkStart w:id="3372" w:name="_Toc51061201"/>
      <w:bookmarkStart w:id="3373" w:name="_Toc51062617"/>
      <w:bookmarkStart w:id="3374" w:name="_Toc51064033"/>
      <w:bookmarkStart w:id="3375" w:name="_Toc51065466"/>
      <w:bookmarkStart w:id="3376" w:name="_Toc51066881"/>
      <w:bookmarkStart w:id="3377" w:name="_Toc51068929"/>
      <w:bookmarkStart w:id="3378" w:name="_Toc51105945"/>
      <w:bookmarkStart w:id="3379" w:name="_Toc51107373"/>
      <w:bookmarkStart w:id="3380" w:name="_Toc51109696"/>
      <w:bookmarkStart w:id="3381" w:name="_Toc51056949"/>
      <w:bookmarkStart w:id="3382" w:name="_Toc51058370"/>
      <w:bookmarkStart w:id="3383" w:name="_Toc51059787"/>
      <w:bookmarkStart w:id="3384" w:name="_Toc51061203"/>
      <w:bookmarkStart w:id="3385" w:name="_Toc51062619"/>
      <w:bookmarkStart w:id="3386" w:name="_Toc51064035"/>
      <w:bookmarkStart w:id="3387" w:name="_Toc51065468"/>
      <w:bookmarkStart w:id="3388" w:name="_Toc51066883"/>
      <w:bookmarkStart w:id="3389" w:name="_Toc51068931"/>
      <w:bookmarkStart w:id="3390" w:name="_Toc51105947"/>
      <w:bookmarkStart w:id="3391" w:name="_Toc51107375"/>
      <w:bookmarkStart w:id="3392" w:name="_Toc51109698"/>
      <w:bookmarkStart w:id="3393" w:name="_Toc51056951"/>
      <w:bookmarkStart w:id="3394" w:name="_Toc51058372"/>
      <w:bookmarkStart w:id="3395" w:name="_Toc51059789"/>
      <w:bookmarkStart w:id="3396" w:name="_Toc51061205"/>
      <w:bookmarkStart w:id="3397" w:name="_Toc51062621"/>
      <w:bookmarkStart w:id="3398" w:name="_Toc51064037"/>
      <w:bookmarkStart w:id="3399" w:name="_Toc51065470"/>
      <w:bookmarkStart w:id="3400" w:name="_Toc51066885"/>
      <w:bookmarkStart w:id="3401" w:name="_Toc51068933"/>
      <w:bookmarkStart w:id="3402" w:name="_Toc51105949"/>
      <w:bookmarkStart w:id="3403" w:name="_Toc51107377"/>
      <w:bookmarkStart w:id="3404" w:name="_Toc51109700"/>
      <w:bookmarkStart w:id="3405" w:name="_Toc51056953"/>
      <w:bookmarkStart w:id="3406" w:name="_Toc51058374"/>
      <w:bookmarkStart w:id="3407" w:name="_Toc51059791"/>
      <w:bookmarkStart w:id="3408" w:name="_Toc51061207"/>
      <w:bookmarkStart w:id="3409" w:name="_Toc51062623"/>
      <w:bookmarkStart w:id="3410" w:name="_Toc51064039"/>
      <w:bookmarkStart w:id="3411" w:name="_Toc51065472"/>
      <w:bookmarkStart w:id="3412" w:name="_Toc51066887"/>
      <w:bookmarkStart w:id="3413" w:name="_Toc51068935"/>
      <w:bookmarkStart w:id="3414" w:name="_Toc51105951"/>
      <w:bookmarkStart w:id="3415" w:name="_Toc51107379"/>
      <w:bookmarkStart w:id="3416" w:name="_Toc51109702"/>
      <w:bookmarkStart w:id="3417" w:name="_Toc51056955"/>
      <w:bookmarkStart w:id="3418" w:name="_Toc51058376"/>
      <w:bookmarkStart w:id="3419" w:name="_Toc51059793"/>
      <w:bookmarkStart w:id="3420" w:name="_Toc51061209"/>
      <w:bookmarkStart w:id="3421" w:name="_Toc51062625"/>
      <w:bookmarkStart w:id="3422" w:name="_Toc51064041"/>
      <w:bookmarkStart w:id="3423" w:name="_Toc51065474"/>
      <w:bookmarkStart w:id="3424" w:name="_Toc51066889"/>
      <w:bookmarkStart w:id="3425" w:name="_Toc51068937"/>
      <w:bookmarkStart w:id="3426" w:name="_Toc51105953"/>
      <w:bookmarkStart w:id="3427" w:name="_Toc51107381"/>
      <w:bookmarkStart w:id="3428" w:name="_Toc51109704"/>
      <w:bookmarkStart w:id="3429" w:name="_Toc51056956"/>
      <w:bookmarkStart w:id="3430" w:name="_Toc51058377"/>
      <w:bookmarkStart w:id="3431" w:name="_Toc51059794"/>
      <w:bookmarkStart w:id="3432" w:name="_Toc51061210"/>
      <w:bookmarkStart w:id="3433" w:name="_Toc51062626"/>
      <w:bookmarkStart w:id="3434" w:name="_Toc51064042"/>
      <w:bookmarkStart w:id="3435" w:name="_Toc51065475"/>
      <w:bookmarkStart w:id="3436" w:name="_Toc51066890"/>
      <w:bookmarkStart w:id="3437" w:name="_Toc51068938"/>
      <w:bookmarkStart w:id="3438" w:name="_Toc51105954"/>
      <w:bookmarkStart w:id="3439" w:name="_Toc51107382"/>
      <w:bookmarkStart w:id="3440" w:name="_Toc51109705"/>
      <w:bookmarkStart w:id="3441" w:name="_Toc51056957"/>
      <w:bookmarkStart w:id="3442" w:name="_Toc51058378"/>
      <w:bookmarkStart w:id="3443" w:name="_Toc51059795"/>
      <w:bookmarkStart w:id="3444" w:name="_Toc51061211"/>
      <w:bookmarkStart w:id="3445" w:name="_Toc51062627"/>
      <w:bookmarkStart w:id="3446" w:name="_Toc51064043"/>
      <w:bookmarkStart w:id="3447" w:name="_Toc51065476"/>
      <w:bookmarkStart w:id="3448" w:name="_Toc51066891"/>
      <w:bookmarkStart w:id="3449" w:name="_Toc51068939"/>
      <w:bookmarkStart w:id="3450" w:name="_Toc51105955"/>
      <w:bookmarkStart w:id="3451" w:name="_Toc51107383"/>
      <w:bookmarkStart w:id="3452" w:name="_Toc51109706"/>
      <w:bookmarkStart w:id="3453" w:name="_Toc51056959"/>
      <w:bookmarkStart w:id="3454" w:name="_Toc51058380"/>
      <w:bookmarkStart w:id="3455" w:name="_Toc51059797"/>
      <w:bookmarkStart w:id="3456" w:name="_Toc51061213"/>
      <w:bookmarkStart w:id="3457" w:name="_Toc51062629"/>
      <w:bookmarkStart w:id="3458" w:name="_Toc51064045"/>
      <w:bookmarkStart w:id="3459" w:name="_Toc51065478"/>
      <w:bookmarkStart w:id="3460" w:name="_Toc51066893"/>
      <w:bookmarkStart w:id="3461" w:name="_Toc51068941"/>
      <w:bookmarkStart w:id="3462" w:name="_Toc51105957"/>
      <w:bookmarkStart w:id="3463" w:name="_Toc51107385"/>
      <w:bookmarkStart w:id="3464" w:name="_Toc51109708"/>
      <w:bookmarkStart w:id="3465" w:name="_Toc51056961"/>
      <w:bookmarkStart w:id="3466" w:name="_Toc51058382"/>
      <w:bookmarkStart w:id="3467" w:name="_Toc51059799"/>
      <w:bookmarkStart w:id="3468" w:name="_Toc51061215"/>
      <w:bookmarkStart w:id="3469" w:name="_Toc51062631"/>
      <w:bookmarkStart w:id="3470" w:name="_Toc51064047"/>
      <w:bookmarkStart w:id="3471" w:name="_Toc51065480"/>
      <w:bookmarkStart w:id="3472" w:name="_Toc51066895"/>
      <w:bookmarkStart w:id="3473" w:name="_Toc51068943"/>
      <w:bookmarkStart w:id="3474" w:name="_Toc51105959"/>
      <w:bookmarkStart w:id="3475" w:name="_Toc51107387"/>
      <w:bookmarkStart w:id="3476" w:name="_Toc51109710"/>
      <w:bookmarkStart w:id="3477" w:name="_Toc51056963"/>
      <w:bookmarkStart w:id="3478" w:name="_Toc51058384"/>
      <w:bookmarkStart w:id="3479" w:name="_Toc51059801"/>
      <w:bookmarkStart w:id="3480" w:name="_Toc51061217"/>
      <w:bookmarkStart w:id="3481" w:name="_Toc51062633"/>
      <w:bookmarkStart w:id="3482" w:name="_Toc51064049"/>
      <w:bookmarkStart w:id="3483" w:name="_Toc51065482"/>
      <w:bookmarkStart w:id="3484" w:name="_Toc51066897"/>
      <w:bookmarkStart w:id="3485" w:name="_Toc51068945"/>
      <w:bookmarkStart w:id="3486" w:name="_Toc51105961"/>
      <w:bookmarkStart w:id="3487" w:name="_Toc51107389"/>
      <w:bookmarkStart w:id="3488" w:name="_Toc51109712"/>
      <w:bookmarkStart w:id="3489" w:name="_Toc51056965"/>
      <w:bookmarkStart w:id="3490" w:name="_Toc51058386"/>
      <w:bookmarkStart w:id="3491" w:name="_Toc51059803"/>
      <w:bookmarkStart w:id="3492" w:name="_Toc51061219"/>
      <w:bookmarkStart w:id="3493" w:name="_Toc51062635"/>
      <w:bookmarkStart w:id="3494" w:name="_Toc51064051"/>
      <w:bookmarkStart w:id="3495" w:name="_Toc51065484"/>
      <w:bookmarkStart w:id="3496" w:name="_Toc51066899"/>
      <w:bookmarkStart w:id="3497" w:name="_Toc51068947"/>
      <w:bookmarkStart w:id="3498" w:name="_Toc51105963"/>
      <w:bookmarkStart w:id="3499" w:name="_Toc51107391"/>
      <w:bookmarkStart w:id="3500" w:name="_Toc51109714"/>
      <w:bookmarkStart w:id="3501" w:name="_Toc51056967"/>
      <w:bookmarkStart w:id="3502" w:name="_Toc51058388"/>
      <w:bookmarkStart w:id="3503" w:name="_Toc51059805"/>
      <w:bookmarkStart w:id="3504" w:name="_Toc51061221"/>
      <w:bookmarkStart w:id="3505" w:name="_Toc51062637"/>
      <w:bookmarkStart w:id="3506" w:name="_Toc51064053"/>
      <w:bookmarkStart w:id="3507" w:name="_Toc51065486"/>
      <w:bookmarkStart w:id="3508" w:name="_Toc51066901"/>
      <w:bookmarkStart w:id="3509" w:name="_Toc51068949"/>
      <w:bookmarkStart w:id="3510" w:name="_Toc51105965"/>
      <w:bookmarkStart w:id="3511" w:name="_Toc51107393"/>
      <w:bookmarkStart w:id="3512" w:name="_Toc51109716"/>
      <w:bookmarkStart w:id="3513" w:name="_Toc51056969"/>
      <w:bookmarkStart w:id="3514" w:name="_Toc51058390"/>
      <w:bookmarkStart w:id="3515" w:name="_Toc51059807"/>
      <w:bookmarkStart w:id="3516" w:name="_Toc51061223"/>
      <w:bookmarkStart w:id="3517" w:name="_Toc51062639"/>
      <w:bookmarkStart w:id="3518" w:name="_Toc51064055"/>
      <w:bookmarkStart w:id="3519" w:name="_Toc51065488"/>
      <w:bookmarkStart w:id="3520" w:name="_Toc51066903"/>
      <w:bookmarkStart w:id="3521" w:name="_Toc51068951"/>
      <w:bookmarkStart w:id="3522" w:name="_Toc51105967"/>
      <w:bookmarkStart w:id="3523" w:name="_Toc51107395"/>
      <w:bookmarkStart w:id="3524" w:name="_Toc51109718"/>
      <w:bookmarkStart w:id="3525" w:name="_Toc51056971"/>
      <w:bookmarkStart w:id="3526" w:name="_Toc51058392"/>
      <w:bookmarkStart w:id="3527" w:name="_Toc51059809"/>
      <w:bookmarkStart w:id="3528" w:name="_Toc51061225"/>
      <w:bookmarkStart w:id="3529" w:name="_Toc51062641"/>
      <w:bookmarkStart w:id="3530" w:name="_Toc51064057"/>
      <w:bookmarkStart w:id="3531" w:name="_Toc51065490"/>
      <w:bookmarkStart w:id="3532" w:name="_Toc51066905"/>
      <w:bookmarkStart w:id="3533" w:name="_Toc51068953"/>
      <w:bookmarkStart w:id="3534" w:name="_Toc51105969"/>
      <w:bookmarkStart w:id="3535" w:name="_Toc51107397"/>
      <w:bookmarkStart w:id="3536" w:name="_Toc51109720"/>
      <w:bookmarkStart w:id="3537" w:name="_Toc51056972"/>
      <w:bookmarkStart w:id="3538" w:name="_Toc51058393"/>
      <w:bookmarkStart w:id="3539" w:name="_Toc51059810"/>
      <w:bookmarkStart w:id="3540" w:name="_Toc51061226"/>
      <w:bookmarkStart w:id="3541" w:name="_Toc51062642"/>
      <w:bookmarkStart w:id="3542" w:name="_Toc51064058"/>
      <w:bookmarkStart w:id="3543" w:name="_Toc51065491"/>
      <w:bookmarkStart w:id="3544" w:name="_Toc51066906"/>
      <w:bookmarkStart w:id="3545" w:name="_Toc51068954"/>
      <w:bookmarkStart w:id="3546" w:name="_Toc51105970"/>
      <w:bookmarkStart w:id="3547" w:name="_Toc51107398"/>
      <w:bookmarkStart w:id="3548" w:name="_Toc51109721"/>
      <w:bookmarkStart w:id="3549" w:name="_Toc51056974"/>
      <w:bookmarkStart w:id="3550" w:name="_Toc51058395"/>
      <w:bookmarkStart w:id="3551" w:name="_Toc51059812"/>
      <w:bookmarkStart w:id="3552" w:name="_Toc51061228"/>
      <w:bookmarkStart w:id="3553" w:name="_Toc51062644"/>
      <w:bookmarkStart w:id="3554" w:name="_Toc51064060"/>
      <w:bookmarkStart w:id="3555" w:name="_Toc51065493"/>
      <w:bookmarkStart w:id="3556" w:name="_Toc51066908"/>
      <w:bookmarkStart w:id="3557" w:name="_Toc51068956"/>
      <w:bookmarkStart w:id="3558" w:name="_Toc51105972"/>
      <w:bookmarkStart w:id="3559" w:name="_Toc51107400"/>
      <w:bookmarkStart w:id="3560" w:name="_Toc51109723"/>
      <w:bookmarkStart w:id="3561" w:name="_Toc51056975"/>
      <w:bookmarkStart w:id="3562" w:name="_Toc51058396"/>
      <w:bookmarkStart w:id="3563" w:name="_Toc51059813"/>
      <w:bookmarkStart w:id="3564" w:name="_Toc51061229"/>
      <w:bookmarkStart w:id="3565" w:name="_Toc51062645"/>
      <w:bookmarkStart w:id="3566" w:name="_Toc51064061"/>
      <w:bookmarkStart w:id="3567" w:name="_Toc51065494"/>
      <w:bookmarkStart w:id="3568" w:name="_Toc51066909"/>
      <w:bookmarkStart w:id="3569" w:name="_Toc51068957"/>
      <w:bookmarkStart w:id="3570" w:name="_Toc51105973"/>
      <w:bookmarkStart w:id="3571" w:name="_Toc51107401"/>
      <w:bookmarkStart w:id="3572" w:name="_Toc51109724"/>
      <w:bookmarkStart w:id="3573" w:name="_Toc51056976"/>
      <w:bookmarkStart w:id="3574" w:name="_Toc51058397"/>
      <w:bookmarkStart w:id="3575" w:name="_Toc51059814"/>
      <w:bookmarkStart w:id="3576" w:name="_Toc51061230"/>
      <w:bookmarkStart w:id="3577" w:name="_Toc51062646"/>
      <w:bookmarkStart w:id="3578" w:name="_Toc51064062"/>
      <w:bookmarkStart w:id="3579" w:name="_Toc51065495"/>
      <w:bookmarkStart w:id="3580" w:name="_Toc51066910"/>
      <w:bookmarkStart w:id="3581" w:name="_Toc51068958"/>
      <w:bookmarkStart w:id="3582" w:name="_Toc51105974"/>
      <w:bookmarkStart w:id="3583" w:name="_Toc51107402"/>
      <w:bookmarkStart w:id="3584" w:name="_Toc51109725"/>
      <w:bookmarkStart w:id="3585" w:name="_Toc51056978"/>
      <w:bookmarkStart w:id="3586" w:name="_Toc51058399"/>
      <w:bookmarkStart w:id="3587" w:name="_Toc51059816"/>
      <w:bookmarkStart w:id="3588" w:name="_Toc51061232"/>
      <w:bookmarkStart w:id="3589" w:name="_Toc51062648"/>
      <w:bookmarkStart w:id="3590" w:name="_Toc51064064"/>
      <w:bookmarkStart w:id="3591" w:name="_Toc51065497"/>
      <w:bookmarkStart w:id="3592" w:name="_Toc51066912"/>
      <w:bookmarkStart w:id="3593" w:name="_Toc51068960"/>
      <w:bookmarkStart w:id="3594" w:name="_Toc51105976"/>
      <w:bookmarkStart w:id="3595" w:name="_Toc51107404"/>
      <w:bookmarkStart w:id="3596" w:name="_Toc51109727"/>
      <w:bookmarkStart w:id="3597" w:name="_Toc51056980"/>
      <w:bookmarkStart w:id="3598" w:name="_Toc51058401"/>
      <w:bookmarkStart w:id="3599" w:name="_Toc51059818"/>
      <w:bookmarkStart w:id="3600" w:name="_Toc51061234"/>
      <w:bookmarkStart w:id="3601" w:name="_Toc51062650"/>
      <w:bookmarkStart w:id="3602" w:name="_Toc51064066"/>
      <w:bookmarkStart w:id="3603" w:name="_Toc51065499"/>
      <w:bookmarkStart w:id="3604" w:name="_Toc51066914"/>
      <w:bookmarkStart w:id="3605" w:name="_Toc51068962"/>
      <w:bookmarkStart w:id="3606" w:name="_Toc51105978"/>
      <w:bookmarkStart w:id="3607" w:name="_Toc51107406"/>
      <w:bookmarkStart w:id="3608" w:name="_Toc51109729"/>
      <w:bookmarkStart w:id="3609" w:name="_Toc51056982"/>
      <w:bookmarkStart w:id="3610" w:name="_Toc51058403"/>
      <w:bookmarkStart w:id="3611" w:name="_Toc51059820"/>
      <w:bookmarkStart w:id="3612" w:name="_Toc51061236"/>
      <w:bookmarkStart w:id="3613" w:name="_Toc51062652"/>
      <w:bookmarkStart w:id="3614" w:name="_Toc51064068"/>
      <w:bookmarkStart w:id="3615" w:name="_Toc51065501"/>
      <w:bookmarkStart w:id="3616" w:name="_Toc51066916"/>
      <w:bookmarkStart w:id="3617" w:name="_Toc51068964"/>
      <w:bookmarkStart w:id="3618" w:name="_Toc51105980"/>
      <w:bookmarkStart w:id="3619" w:name="_Toc51107408"/>
      <w:bookmarkStart w:id="3620" w:name="_Toc51109731"/>
      <w:bookmarkStart w:id="3621" w:name="_Toc51056983"/>
      <w:bookmarkStart w:id="3622" w:name="_Toc51058404"/>
      <w:bookmarkStart w:id="3623" w:name="_Toc51059821"/>
      <w:bookmarkStart w:id="3624" w:name="_Toc51061237"/>
      <w:bookmarkStart w:id="3625" w:name="_Toc51062653"/>
      <w:bookmarkStart w:id="3626" w:name="_Toc51064069"/>
      <w:bookmarkStart w:id="3627" w:name="_Toc51065502"/>
      <w:bookmarkStart w:id="3628" w:name="_Toc51066917"/>
      <w:bookmarkStart w:id="3629" w:name="_Toc51068965"/>
      <w:bookmarkStart w:id="3630" w:name="_Toc51105981"/>
      <w:bookmarkStart w:id="3631" w:name="_Toc51107409"/>
      <w:bookmarkStart w:id="3632" w:name="_Toc51109732"/>
      <w:bookmarkStart w:id="3633" w:name="_Toc51056984"/>
      <w:bookmarkStart w:id="3634" w:name="_Toc51058405"/>
      <w:bookmarkStart w:id="3635" w:name="_Toc51059822"/>
      <w:bookmarkStart w:id="3636" w:name="_Toc51061238"/>
      <w:bookmarkStart w:id="3637" w:name="_Toc51062654"/>
      <w:bookmarkStart w:id="3638" w:name="_Toc51064070"/>
      <w:bookmarkStart w:id="3639" w:name="_Toc51065503"/>
      <w:bookmarkStart w:id="3640" w:name="_Toc51066918"/>
      <w:bookmarkStart w:id="3641" w:name="_Toc51068966"/>
      <w:bookmarkStart w:id="3642" w:name="_Toc51105982"/>
      <w:bookmarkStart w:id="3643" w:name="_Toc51107410"/>
      <w:bookmarkStart w:id="3644" w:name="_Toc51109733"/>
      <w:bookmarkStart w:id="3645" w:name="_Toc51056986"/>
      <w:bookmarkStart w:id="3646" w:name="_Toc51058407"/>
      <w:bookmarkStart w:id="3647" w:name="_Toc51059824"/>
      <w:bookmarkStart w:id="3648" w:name="_Toc51061240"/>
      <w:bookmarkStart w:id="3649" w:name="_Toc51062656"/>
      <w:bookmarkStart w:id="3650" w:name="_Toc51064072"/>
      <w:bookmarkStart w:id="3651" w:name="_Toc51065505"/>
      <w:bookmarkStart w:id="3652" w:name="_Toc51066920"/>
      <w:bookmarkStart w:id="3653" w:name="_Toc51068968"/>
      <w:bookmarkStart w:id="3654" w:name="_Toc51105984"/>
      <w:bookmarkStart w:id="3655" w:name="_Toc51107412"/>
      <w:bookmarkStart w:id="3656" w:name="_Toc51109735"/>
      <w:bookmarkStart w:id="3657" w:name="_Toc51056989"/>
      <w:bookmarkStart w:id="3658" w:name="_Toc51058410"/>
      <w:bookmarkStart w:id="3659" w:name="_Toc51059827"/>
      <w:bookmarkStart w:id="3660" w:name="_Toc51061243"/>
      <w:bookmarkStart w:id="3661" w:name="_Toc51062659"/>
      <w:bookmarkStart w:id="3662" w:name="_Toc51064075"/>
      <w:bookmarkStart w:id="3663" w:name="_Toc51065508"/>
      <w:bookmarkStart w:id="3664" w:name="_Toc51066923"/>
      <w:bookmarkStart w:id="3665" w:name="_Toc51068971"/>
      <w:bookmarkStart w:id="3666" w:name="_Toc51105987"/>
      <w:bookmarkStart w:id="3667" w:name="_Toc51107415"/>
      <w:bookmarkStart w:id="3668" w:name="_Toc51109738"/>
      <w:bookmarkStart w:id="3669" w:name="_Toc51056991"/>
      <w:bookmarkStart w:id="3670" w:name="_Toc51058412"/>
      <w:bookmarkStart w:id="3671" w:name="_Toc51059829"/>
      <w:bookmarkStart w:id="3672" w:name="_Toc51061245"/>
      <w:bookmarkStart w:id="3673" w:name="_Toc51062661"/>
      <w:bookmarkStart w:id="3674" w:name="_Toc51064077"/>
      <w:bookmarkStart w:id="3675" w:name="_Toc51065510"/>
      <w:bookmarkStart w:id="3676" w:name="_Toc51066925"/>
      <w:bookmarkStart w:id="3677" w:name="_Toc51068973"/>
      <w:bookmarkStart w:id="3678" w:name="_Toc51105989"/>
      <w:bookmarkStart w:id="3679" w:name="_Toc51107417"/>
      <w:bookmarkStart w:id="3680" w:name="_Toc51109740"/>
      <w:bookmarkStart w:id="3681" w:name="_Toc51056993"/>
      <w:bookmarkStart w:id="3682" w:name="_Toc51058414"/>
      <w:bookmarkStart w:id="3683" w:name="_Toc51059831"/>
      <w:bookmarkStart w:id="3684" w:name="_Toc51061247"/>
      <w:bookmarkStart w:id="3685" w:name="_Toc51062663"/>
      <w:bookmarkStart w:id="3686" w:name="_Toc51064079"/>
      <w:bookmarkStart w:id="3687" w:name="_Toc51065512"/>
      <w:bookmarkStart w:id="3688" w:name="_Toc51066927"/>
      <w:bookmarkStart w:id="3689" w:name="_Toc51068975"/>
      <w:bookmarkStart w:id="3690" w:name="_Toc51105991"/>
      <w:bookmarkStart w:id="3691" w:name="_Toc51107419"/>
      <w:bookmarkStart w:id="3692" w:name="_Toc51109742"/>
      <w:bookmarkStart w:id="3693" w:name="_Toc51056995"/>
      <w:bookmarkStart w:id="3694" w:name="_Toc51058416"/>
      <w:bookmarkStart w:id="3695" w:name="_Toc51059833"/>
      <w:bookmarkStart w:id="3696" w:name="_Toc51061249"/>
      <w:bookmarkStart w:id="3697" w:name="_Toc51062665"/>
      <w:bookmarkStart w:id="3698" w:name="_Toc51064081"/>
      <w:bookmarkStart w:id="3699" w:name="_Toc51065514"/>
      <w:bookmarkStart w:id="3700" w:name="_Toc51066929"/>
      <w:bookmarkStart w:id="3701" w:name="_Toc51068977"/>
      <w:bookmarkStart w:id="3702" w:name="_Toc51105993"/>
      <w:bookmarkStart w:id="3703" w:name="_Toc51107421"/>
      <w:bookmarkStart w:id="3704" w:name="_Toc51109744"/>
      <w:bookmarkStart w:id="3705" w:name="_Toc51056996"/>
      <w:bookmarkStart w:id="3706" w:name="_Toc51058417"/>
      <w:bookmarkStart w:id="3707" w:name="_Toc51059834"/>
      <w:bookmarkStart w:id="3708" w:name="_Toc51061250"/>
      <w:bookmarkStart w:id="3709" w:name="_Toc51062666"/>
      <w:bookmarkStart w:id="3710" w:name="_Toc51064082"/>
      <w:bookmarkStart w:id="3711" w:name="_Toc51065515"/>
      <w:bookmarkStart w:id="3712" w:name="_Toc51066930"/>
      <w:bookmarkStart w:id="3713" w:name="_Toc51068978"/>
      <w:bookmarkStart w:id="3714" w:name="_Toc51105994"/>
      <w:bookmarkStart w:id="3715" w:name="_Toc51107422"/>
      <w:bookmarkStart w:id="3716" w:name="_Toc51109745"/>
      <w:bookmarkStart w:id="3717" w:name="_Toc51056997"/>
      <w:bookmarkStart w:id="3718" w:name="_Toc51058418"/>
      <w:bookmarkStart w:id="3719" w:name="_Toc51059835"/>
      <w:bookmarkStart w:id="3720" w:name="_Toc51061251"/>
      <w:bookmarkStart w:id="3721" w:name="_Toc51062667"/>
      <w:bookmarkStart w:id="3722" w:name="_Toc51064083"/>
      <w:bookmarkStart w:id="3723" w:name="_Toc51065516"/>
      <w:bookmarkStart w:id="3724" w:name="_Toc51066931"/>
      <w:bookmarkStart w:id="3725" w:name="_Toc51068979"/>
      <w:bookmarkStart w:id="3726" w:name="_Toc51105995"/>
      <w:bookmarkStart w:id="3727" w:name="_Toc51107423"/>
      <w:bookmarkStart w:id="3728" w:name="_Toc51109746"/>
      <w:bookmarkStart w:id="3729" w:name="_Toc51057021"/>
      <w:bookmarkStart w:id="3730" w:name="_Toc51058442"/>
      <w:bookmarkStart w:id="3731" w:name="_Toc51059859"/>
      <w:bookmarkStart w:id="3732" w:name="_Toc51061275"/>
      <w:bookmarkStart w:id="3733" w:name="_Toc51062691"/>
      <w:bookmarkStart w:id="3734" w:name="_Toc51064107"/>
      <w:bookmarkStart w:id="3735" w:name="_Toc51065540"/>
      <w:bookmarkStart w:id="3736" w:name="_Toc51066955"/>
      <w:bookmarkStart w:id="3737" w:name="_Toc51069003"/>
      <w:bookmarkStart w:id="3738" w:name="_Toc51106019"/>
      <w:bookmarkStart w:id="3739" w:name="_Toc51107447"/>
      <w:bookmarkStart w:id="3740" w:name="_Toc51109770"/>
      <w:bookmarkStart w:id="3741" w:name="_Toc51057022"/>
      <w:bookmarkStart w:id="3742" w:name="_Toc51058443"/>
      <w:bookmarkStart w:id="3743" w:name="_Toc51059860"/>
      <w:bookmarkStart w:id="3744" w:name="_Toc51061276"/>
      <w:bookmarkStart w:id="3745" w:name="_Toc51062692"/>
      <w:bookmarkStart w:id="3746" w:name="_Toc51064108"/>
      <w:bookmarkStart w:id="3747" w:name="_Toc51065541"/>
      <w:bookmarkStart w:id="3748" w:name="_Toc51066956"/>
      <w:bookmarkStart w:id="3749" w:name="_Toc51069004"/>
      <w:bookmarkStart w:id="3750" w:name="_Toc51106020"/>
      <w:bookmarkStart w:id="3751" w:name="_Toc51107448"/>
      <w:bookmarkStart w:id="3752" w:name="_Toc51109771"/>
      <w:bookmarkStart w:id="3753" w:name="_Toc51057024"/>
      <w:bookmarkStart w:id="3754" w:name="_Toc51058445"/>
      <w:bookmarkStart w:id="3755" w:name="_Toc51059862"/>
      <w:bookmarkStart w:id="3756" w:name="_Toc51061278"/>
      <w:bookmarkStart w:id="3757" w:name="_Toc51062694"/>
      <w:bookmarkStart w:id="3758" w:name="_Toc51064110"/>
      <w:bookmarkStart w:id="3759" w:name="_Toc51065543"/>
      <w:bookmarkStart w:id="3760" w:name="_Toc51066958"/>
      <w:bookmarkStart w:id="3761" w:name="_Toc51069006"/>
      <w:bookmarkStart w:id="3762" w:name="_Toc51106022"/>
      <w:bookmarkStart w:id="3763" w:name="_Toc51107450"/>
      <w:bookmarkStart w:id="3764" w:name="_Toc51109773"/>
      <w:bookmarkStart w:id="3765" w:name="_Toc51057025"/>
      <w:bookmarkStart w:id="3766" w:name="_Toc51058446"/>
      <w:bookmarkStart w:id="3767" w:name="_Toc51059863"/>
      <w:bookmarkStart w:id="3768" w:name="_Toc51061279"/>
      <w:bookmarkStart w:id="3769" w:name="_Toc51062695"/>
      <w:bookmarkStart w:id="3770" w:name="_Toc51064111"/>
      <w:bookmarkStart w:id="3771" w:name="_Toc51065544"/>
      <w:bookmarkStart w:id="3772" w:name="_Toc51066959"/>
      <w:bookmarkStart w:id="3773" w:name="_Toc51069007"/>
      <w:bookmarkStart w:id="3774" w:name="_Toc51106023"/>
      <w:bookmarkStart w:id="3775" w:name="_Toc51107451"/>
      <w:bookmarkStart w:id="3776" w:name="_Toc51109774"/>
      <w:bookmarkStart w:id="3777" w:name="_Toc51057026"/>
      <w:bookmarkStart w:id="3778" w:name="_Toc51058447"/>
      <w:bookmarkStart w:id="3779" w:name="_Toc51059864"/>
      <w:bookmarkStart w:id="3780" w:name="_Toc51061280"/>
      <w:bookmarkStart w:id="3781" w:name="_Toc51062696"/>
      <w:bookmarkStart w:id="3782" w:name="_Toc51064112"/>
      <w:bookmarkStart w:id="3783" w:name="_Toc51065545"/>
      <w:bookmarkStart w:id="3784" w:name="_Toc51066960"/>
      <w:bookmarkStart w:id="3785" w:name="_Toc51069008"/>
      <w:bookmarkStart w:id="3786" w:name="_Toc51106024"/>
      <w:bookmarkStart w:id="3787" w:name="_Toc51107452"/>
      <w:bookmarkStart w:id="3788" w:name="_Toc51109775"/>
      <w:bookmarkStart w:id="3789" w:name="_Toc51057027"/>
      <w:bookmarkStart w:id="3790" w:name="_Toc51058448"/>
      <w:bookmarkStart w:id="3791" w:name="_Toc51059865"/>
      <w:bookmarkStart w:id="3792" w:name="_Toc51061281"/>
      <w:bookmarkStart w:id="3793" w:name="_Toc51062697"/>
      <w:bookmarkStart w:id="3794" w:name="_Toc51064113"/>
      <w:bookmarkStart w:id="3795" w:name="_Toc51065546"/>
      <w:bookmarkStart w:id="3796" w:name="_Toc51066961"/>
      <w:bookmarkStart w:id="3797" w:name="_Toc51069009"/>
      <w:bookmarkStart w:id="3798" w:name="_Toc51106025"/>
      <w:bookmarkStart w:id="3799" w:name="_Toc51107453"/>
      <w:bookmarkStart w:id="3800" w:name="_Toc51109776"/>
      <w:bookmarkStart w:id="3801" w:name="_Toc51057029"/>
      <w:bookmarkStart w:id="3802" w:name="_Toc51058450"/>
      <w:bookmarkStart w:id="3803" w:name="_Toc51059867"/>
      <w:bookmarkStart w:id="3804" w:name="_Toc51061283"/>
      <w:bookmarkStart w:id="3805" w:name="_Toc51062699"/>
      <w:bookmarkStart w:id="3806" w:name="_Toc51064115"/>
      <w:bookmarkStart w:id="3807" w:name="_Toc51065548"/>
      <w:bookmarkStart w:id="3808" w:name="_Toc51066963"/>
      <w:bookmarkStart w:id="3809" w:name="_Toc51069011"/>
      <w:bookmarkStart w:id="3810" w:name="_Toc51106027"/>
      <w:bookmarkStart w:id="3811" w:name="_Toc51107455"/>
      <w:bookmarkStart w:id="3812" w:name="_Toc51109778"/>
      <w:bookmarkStart w:id="3813" w:name="_Toc51057030"/>
      <w:bookmarkStart w:id="3814" w:name="_Toc51058451"/>
      <w:bookmarkStart w:id="3815" w:name="_Toc51059868"/>
      <w:bookmarkStart w:id="3816" w:name="_Toc51061284"/>
      <w:bookmarkStart w:id="3817" w:name="_Toc51062700"/>
      <w:bookmarkStart w:id="3818" w:name="_Toc51064116"/>
      <w:bookmarkStart w:id="3819" w:name="_Toc51065549"/>
      <w:bookmarkStart w:id="3820" w:name="_Toc51066964"/>
      <w:bookmarkStart w:id="3821" w:name="_Toc51069012"/>
      <w:bookmarkStart w:id="3822" w:name="_Toc51106028"/>
      <w:bookmarkStart w:id="3823" w:name="_Toc51107456"/>
      <w:bookmarkStart w:id="3824" w:name="_Toc51109779"/>
      <w:bookmarkStart w:id="3825" w:name="_Toc51057031"/>
      <w:bookmarkStart w:id="3826" w:name="_Toc51058452"/>
      <w:bookmarkStart w:id="3827" w:name="_Toc51059869"/>
      <w:bookmarkStart w:id="3828" w:name="_Toc51061285"/>
      <w:bookmarkStart w:id="3829" w:name="_Toc51062701"/>
      <w:bookmarkStart w:id="3830" w:name="_Toc51064117"/>
      <w:bookmarkStart w:id="3831" w:name="_Toc51065550"/>
      <w:bookmarkStart w:id="3832" w:name="_Toc51066965"/>
      <w:bookmarkStart w:id="3833" w:name="_Toc51069013"/>
      <w:bookmarkStart w:id="3834" w:name="_Toc51106029"/>
      <w:bookmarkStart w:id="3835" w:name="_Toc51107457"/>
      <w:bookmarkStart w:id="3836" w:name="_Toc51109780"/>
      <w:bookmarkStart w:id="3837" w:name="_Toc51057032"/>
      <w:bookmarkStart w:id="3838" w:name="_Toc51058453"/>
      <w:bookmarkStart w:id="3839" w:name="_Toc51059870"/>
      <w:bookmarkStart w:id="3840" w:name="_Toc51061286"/>
      <w:bookmarkStart w:id="3841" w:name="_Toc51062702"/>
      <w:bookmarkStart w:id="3842" w:name="_Toc51064118"/>
      <w:bookmarkStart w:id="3843" w:name="_Toc51065551"/>
      <w:bookmarkStart w:id="3844" w:name="_Toc51066966"/>
      <w:bookmarkStart w:id="3845" w:name="_Toc51069014"/>
      <w:bookmarkStart w:id="3846" w:name="_Toc51106030"/>
      <w:bookmarkStart w:id="3847" w:name="_Toc51107458"/>
      <w:bookmarkStart w:id="3848" w:name="_Toc51109781"/>
      <w:bookmarkStart w:id="3849" w:name="_Toc51057033"/>
      <w:bookmarkStart w:id="3850" w:name="_Toc51058454"/>
      <w:bookmarkStart w:id="3851" w:name="_Toc51059871"/>
      <w:bookmarkStart w:id="3852" w:name="_Toc51061287"/>
      <w:bookmarkStart w:id="3853" w:name="_Toc51062703"/>
      <w:bookmarkStart w:id="3854" w:name="_Toc51064119"/>
      <w:bookmarkStart w:id="3855" w:name="_Toc51065552"/>
      <w:bookmarkStart w:id="3856" w:name="_Toc51066967"/>
      <w:bookmarkStart w:id="3857" w:name="_Toc51069015"/>
      <w:bookmarkStart w:id="3858" w:name="_Toc51106031"/>
      <w:bookmarkStart w:id="3859" w:name="_Toc51107459"/>
      <w:bookmarkStart w:id="3860" w:name="_Toc51109782"/>
      <w:bookmarkStart w:id="3861" w:name="_Toc51057035"/>
      <w:bookmarkStart w:id="3862" w:name="_Toc51058456"/>
      <w:bookmarkStart w:id="3863" w:name="_Toc51059873"/>
      <w:bookmarkStart w:id="3864" w:name="_Toc51061289"/>
      <w:bookmarkStart w:id="3865" w:name="_Toc51062705"/>
      <w:bookmarkStart w:id="3866" w:name="_Toc51064121"/>
      <w:bookmarkStart w:id="3867" w:name="_Toc51065554"/>
      <w:bookmarkStart w:id="3868" w:name="_Toc51066969"/>
      <w:bookmarkStart w:id="3869" w:name="_Toc51069017"/>
      <w:bookmarkStart w:id="3870" w:name="_Toc51106033"/>
      <w:bookmarkStart w:id="3871" w:name="_Toc51107461"/>
      <w:bookmarkStart w:id="3872" w:name="_Toc51109784"/>
      <w:bookmarkStart w:id="3873" w:name="_Toc51057037"/>
      <w:bookmarkStart w:id="3874" w:name="_Toc51058458"/>
      <w:bookmarkStart w:id="3875" w:name="_Toc51059875"/>
      <w:bookmarkStart w:id="3876" w:name="_Toc51061291"/>
      <w:bookmarkStart w:id="3877" w:name="_Toc51062707"/>
      <w:bookmarkStart w:id="3878" w:name="_Toc51064123"/>
      <w:bookmarkStart w:id="3879" w:name="_Toc51065556"/>
      <w:bookmarkStart w:id="3880" w:name="_Toc51066971"/>
      <w:bookmarkStart w:id="3881" w:name="_Toc51069019"/>
      <w:bookmarkStart w:id="3882" w:name="_Toc51106035"/>
      <w:bookmarkStart w:id="3883" w:name="_Toc51107463"/>
      <w:bookmarkStart w:id="3884" w:name="_Toc51109786"/>
      <w:bookmarkStart w:id="3885" w:name="_Toc51057039"/>
      <w:bookmarkStart w:id="3886" w:name="_Toc51058460"/>
      <w:bookmarkStart w:id="3887" w:name="_Toc51059877"/>
      <w:bookmarkStart w:id="3888" w:name="_Toc51061293"/>
      <w:bookmarkStart w:id="3889" w:name="_Toc51062709"/>
      <w:bookmarkStart w:id="3890" w:name="_Toc51064125"/>
      <w:bookmarkStart w:id="3891" w:name="_Toc51065558"/>
      <w:bookmarkStart w:id="3892" w:name="_Toc51066973"/>
      <w:bookmarkStart w:id="3893" w:name="_Toc51069021"/>
      <w:bookmarkStart w:id="3894" w:name="_Toc51106037"/>
      <w:bookmarkStart w:id="3895" w:name="_Toc51107465"/>
      <w:bookmarkStart w:id="3896" w:name="_Toc51109788"/>
      <w:bookmarkStart w:id="3897" w:name="_Toc51057057"/>
      <w:bookmarkStart w:id="3898" w:name="_Toc51058478"/>
      <w:bookmarkStart w:id="3899" w:name="_Toc51059895"/>
      <w:bookmarkStart w:id="3900" w:name="_Toc51061311"/>
      <w:bookmarkStart w:id="3901" w:name="_Toc51062727"/>
      <w:bookmarkStart w:id="3902" w:name="_Toc51064143"/>
      <w:bookmarkStart w:id="3903" w:name="_Toc51065576"/>
      <w:bookmarkStart w:id="3904" w:name="_Toc51066991"/>
      <w:bookmarkStart w:id="3905" w:name="_Toc51069039"/>
      <w:bookmarkStart w:id="3906" w:name="_Toc51106055"/>
      <w:bookmarkStart w:id="3907" w:name="_Toc51107483"/>
      <w:bookmarkStart w:id="3908" w:name="_Toc51109806"/>
      <w:bookmarkStart w:id="3909" w:name="_Toc51057058"/>
      <w:bookmarkStart w:id="3910" w:name="_Toc51058479"/>
      <w:bookmarkStart w:id="3911" w:name="_Toc51059896"/>
      <w:bookmarkStart w:id="3912" w:name="_Toc51061312"/>
      <w:bookmarkStart w:id="3913" w:name="_Toc51062728"/>
      <w:bookmarkStart w:id="3914" w:name="_Toc51064144"/>
      <w:bookmarkStart w:id="3915" w:name="_Toc51065577"/>
      <w:bookmarkStart w:id="3916" w:name="_Toc51066992"/>
      <w:bookmarkStart w:id="3917" w:name="_Toc51069040"/>
      <w:bookmarkStart w:id="3918" w:name="_Toc51106056"/>
      <w:bookmarkStart w:id="3919" w:name="_Toc51107484"/>
      <w:bookmarkStart w:id="3920" w:name="_Toc51109807"/>
      <w:bookmarkStart w:id="3921" w:name="_Toc51057060"/>
      <w:bookmarkStart w:id="3922" w:name="_Toc51058481"/>
      <w:bookmarkStart w:id="3923" w:name="_Toc51059898"/>
      <w:bookmarkStart w:id="3924" w:name="_Toc51061314"/>
      <w:bookmarkStart w:id="3925" w:name="_Toc51062730"/>
      <w:bookmarkStart w:id="3926" w:name="_Toc51064146"/>
      <w:bookmarkStart w:id="3927" w:name="_Toc51065579"/>
      <w:bookmarkStart w:id="3928" w:name="_Toc51066994"/>
      <w:bookmarkStart w:id="3929" w:name="_Toc51069042"/>
      <w:bookmarkStart w:id="3930" w:name="_Toc51106058"/>
      <w:bookmarkStart w:id="3931" w:name="_Toc51107486"/>
      <w:bookmarkStart w:id="3932" w:name="_Toc51109809"/>
      <w:bookmarkStart w:id="3933" w:name="_Toc51057061"/>
      <w:bookmarkStart w:id="3934" w:name="_Toc51058482"/>
      <w:bookmarkStart w:id="3935" w:name="_Toc51059899"/>
      <w:bookmarkStart w:id="3936" w:name="_Toc51061315"/>
      <w:bookmarkStart w:id="3937" w:name="_Toc51062731"/>
      <w:bookmarkStart w:id="3938" w:name="_Toc51064147"/>
      <w:bookmarkStart w:id="3939" w:name="_Toc51065580"/>
      <w:bookmarkStart w:id="3940" w:name="_Toc51066995"/>
      <w:bookmarkStart w:id="3941" w:name="_Toc51069043"/>
      <w:bookmarkStart w:id="3942" w:name="_Toc51106059"/>
      <w:bookmarkStart w:id="3943" w:name="_Toc51107487"/>
      <w:bookmarkStart w:id="3944" w:name="_Toc51109810"/>
      <w:bookmarkStart w:id="3945" w:name="_Toc51057062"/>
      <w:bookmarkStart w:id="3946" w:name="_Toc51058483"/>
      <w:bookmarkStart w:id="3947" w:name="_Toc51059900"/>
      <w:bookmarkStart w:id="3948" w:name="_Toc51061316"/>
      <w:bookmarkStart w:id="3949" w:name="_Toc51062732"/>
      <w:bookmarkStart w:id="3950" w:name="_Toc51064148"/>
      <w:bookmarkStart w:id="3951" w:name="_Toc51065581"/>
      <w:bookmarkStart w:id="3952" w:name="_Toc51066996"/>
      <w:bookmarkStart w:id="3953" w:name="_Toc51069044"/>
      <w:bookmarkStart w:id="3954" w:name="_Toc51106060"/>
      <w:bookmarkStart w:id="3955" w:name="_Toc51107488"/>
      <w:bookmarkStart w:id="3956" w:name="_Toc51109811"/>
      <w:bookmarkStart w:id="3957" w:name="_Toc51057064"/>
      <w:bookmarkStart w:id="3958" w:name="_Toc51058485"/>
      <w:bookmarkStart w:id="3959" w:name="_Toc51059902"/>
      <w:bookmarkStart w:id="3960" w:name="_Toc51061318"/>
      <w:bookmarkStart w:id="3961" w:name="_Toc51062734"/>
      <w:bookmarkStart w:id="3962" w:name="_Toc51064150"/>
      <w:bookmarkStart w:id="3963" w:name="_Toc51065583"/>
      <w:bookmarkStart w:id="3964" w:name="_Toc51066998"/>
      <w:bookmarkStart w:id="3965" w:name="_Toc51069046"/>
      <w:bookmarkStart w:id="3966" w:name="_Toc51106062"/>
      <w:bookmarkStart w:id="3967" w:name="_Toc51107490"/>
      <w:bookmarkStart w:id="3968" w:name="_Toc51109813"/>
      <w:bookmarkStart w:id="3969" w:name="_Toc51057066"/>
      <w:bookmarkStart w:id="3970" w:name="_Toc51058487"/>
      <w:bookmarkStart w:id="3971" w:name="_Toc51059904"/>
      <w:bookmarkStart w:id="3972" w:name="_Toc51061320"/>
      <w:bookmarkStart w:id="3973" w:name="_Toc51062736"/>
      <w:bookmarkStart w:id="3974" w:name="_Toc51064152"/>
      <w:bookmarkStart w:id="3975" w:name="_Toc51065585"/>
      <w:bookmarkStart w:id="3976" w:name="_Toc51067000"/>
      <w:bookmarkStart w:id="3977" w:name="_Toc51069048"/>
      <w:bookmarkStart w:id="3978" w:name="_Toc51106064"/>
      <w:bookmarkStart w:id="3979" w:name="_Toc51107492"/>
      <w:bookmarkStart w:id="3980" w:name="_Toc51109815"/>
      <w:bookmarkStart w:id="3981" w:name="_Toc51057068"/>
      <w:bookmarkStart w:id="3982" w:name="_Toc51058489"/>
      <w:bookmarkStart w:id="3983" w:name="_Toc51059906"/>
      <w:bookmarkStart w:id="3984" w:name="_Toc51061322"/>
      <w:bookmarkStart w:id="3985" w:name="_Toc51062738"/>
      <w:bookmarkStart w:id="3986" w:name="_Toc51064154"/>
      <w:bookmarkStart w:id="3987" w:name="_Toc51065587"/>
      <w:bookmarkStart w:id="3988" w:name="_Toc51067002"/>
      <w:bookmarkStart w:id="3989" w:name="_Toc51069050"/>
      <w:bookmarkStart w:id="3990" w:name="_Toc51106066"/>
      <w:bookmarkStart w:id="3991" w:name="_Toc51107494"/>
      <w:bookmarkStart w:id="3992" w:name="_Toc51109817"/>
      <w:bookmarkStart w:id="3993" w:name="_Toc51057069"/>
      <w:bookmarkStart w:id="3994" w:name="_Toc51058490"/>
      <w:bookmarkStart w:id="3995" w:name="_Toc51059907"/>
      <w:bookmarkStart w:id="3996" w:name="_Toc51061323"/>
      <w:bookmarkStart w:id="3997" w:name="_Toc51062739"/>
      <w:bookmarkStart w:id="3998" w:name="_Toc51064155"/>
      <w:bookmarkStart w:id="3999" w:name="_Toc51065588"/>
      <w:bookmarkStart w:id="4000" w:name="_Toc51067003"/>
      <w:bookmarkStart w:id="4001" w:name="_Toc51069051"/>
      <w:bookmarkStart w:id="4002" w:name="_Toc51106067"/>
      <w:bookmarkStart w:id="4003" w:name="_Toc51107495"/>
      <w:bookmarkStart w:id="4004" w:name="_Toc51109818"/>
      <w:bookmarkStart w:id="4005" w:name="_Toc51057070"/>
      <w:bookmarkStart w:id="4006" w:name="_Toc51058491"/>
      <w:bookmarkStart w:id="4007" w:name="_Toc51059908"/>
      <w:bookmarkStart w:id="4008" w:name="_Toc51061324"/>
      <w:bookmarkStart w:id="4009" w:name="_Toc51062740"/>
      <w:bookmarkStart w:id="4010" w:name="_Toc51064156"/>
      <w:bookmarkStart w:id="4011" w:name="_Toc51065589"/>
      <w:bookmarkStart w:id="4012" w:name="_Toc51067004"/>
      <w:bookmarkStart w:id="4013" w:name="_Toc51069052"/>
      <w:bookmarkStart w:id="4014" w:name="_Toc51106068"/>
      <w:bookmarkStart w:id="4015" w:name="_Toc51107496"/>
      <w:bookmarkStart w:id="4016" w:name="_Toc51109819"/>
      <w:bookmarkStart w:id="4017" w:name="_Toc51057072"/>
      <w:bookmarkStart w:id="4018" w:name="_Toc51058493"/>
      <w:bookmarkStart w:id="4019" w:name="_Toc51059910"/>
      <w:bookmarkStart w:id="4020" w:name="_Toc51061326"/>
      <w:bookmarkStart w:id="4021" w:name="_Toc51062742"/>
      <w:bookmarkStart w:id="4022" w:name="_Toc51064158"/>
      <w:bookmarkStart w:id="4023" w:name="_Toc51065591"/>
      <w:bookmarkStart w:id="4024" w:name="_Toc51067006"/>
      <w:bookmarkStart w:id="4025" w:name="_Toc51069054"/>
      <w:bookmarkStart w:id="4026" w:name="_Toc51106070"/>
      <w:bookmarkStart w:id="4027" w:name="_Toc51107498"/>
      <w:bookmarkStart w:id="4028" w:name="_Toc51109821"/>
      <w:bookmarkStart w:id="4029" w:name="_Toc51057074"/>
      <w:bookmarkStart w:id="4030" w:name="_Toc51058495"/>
      <w:bookmarkStart w:id="4031" w:name="_Toc51059912"/>
      <w:bookmarkStart w:id="4032" w:name="_Toc51061328"/>
      <w:bookmarkStart w:id="4033" w:name="_Toc51062744"/>
      <w:bookmarkStart w:id="4034" w:name="_Toc51064160"/>
      <w:bookmarkStart w:id="4035" w:name="_Toc51065593"/>
      <w:bookmarkStart w:id="4036" w:name="_Toc51067008"/>
      <w:bookmarkStart w:id="4037" w:name="_Toc51069056"/>
      <w:bookmarkStart w:id="4038" w:name="_Toc51106072"/>
      <w:bookmarkStart w:id="4039" w:name="_Toc51107500"/>
      <w:bookmarkStart w:id="4040" w:name="_Toc51109823"/>
      <w:bookmarkStart w:id="4041" w:name="_Toc51057076"/>
      <w:bookmarkStart w:id="4042" w:name="_Toc51058497"/>
      <w:bookmarkStart w:id="4043" w:name="_Toc51059914"/>
      <w:bookmarkStart w:id="4044" w:name="_Toc51061330"/>
      <w:bookmarkStart w:id="4045" w:name="_Toc51062746"/>
      <w:bookmarkStart w:id="4046" w:name="_Toc51064162"/>
      <w:bookmarkStart w:id="4047" w:name="_Toc51065595"/>
      <w:bookmarkStart w:id="4048" w:name="_Toc51067010"/>
      <w:bookmarkStart w:id="4049" w:name="_Toc51069058"/>
      <w:bookmarkStart w:id="4050" w:name="_Toc51106074"/>
      <w:bookmarkStart w:id="4051" w:name="_Toc51107502"/>
      <w:bookmarkStart w:id="4052" w:name="_Toc51109825"/>
      <w:bookmarkStart w:id="4053" w:name="_Toc51057077"/>
      <w:bookmarkStart w:id="4054" w:name="_Toc51058498"/>
      <w:bookmarkStart w:id="4055" w:name="_Toc51059915"/>
      <w:bookmarkStart w:id="4056" w:name="_Toc51061331"/>
      <w:bookmarkStart w:id="4057" w:name="_Toc51062747"/>
      <w:bookmarkStart w:id="4058" w:name="_Toc51064163"/>
      <w:bookmarkStart w:id="4059" w:name="_Toc51065596"/>
      <w:bookmarkStart w:id="4060" w:name="_Toc51067011"/>
      <w:bookmarkStart w:id="4061" w:name="_Toc51069059"/>
      <w:bookmarkStart w:id="4062" w:name="_Toc51106075"/>
      <w:bookmarkStart w:id="4063" w:name="_Toc51107503"/>
      <w:bookmarkStart w:id="4064" w:name="_Toc51109826"/>
      <w:bookmarkStart w:id="4065" w:name="_Toc51057078"/>
      <w:bookmarkStart w:id="4066" w:name="_Toc51058499"/>
      <w:bookmarkStart w:id="4067" w:name="_Toc51059916"/>
      <w:bookmarkStart w:id="4068" w:name="_Toc51061332"/>
      <w:bookmarkStart w:id="4069" w:name="_Toc51062748"/>
      <w:bookmarkStart w:id="4070" w:name="_Toc51064164"/>
      <w:bookmarkStart w:id="4071" w:name="_Toc51065597"/>
      <w:bookmarkStart w:id="4072" w:name="_Toc51067012"/>
      <w:bookmarkStart w:id="4073" w:name="_Toc51069060"/>
      <w:bookmarkStart w:id="4074" w:name="_Toc51106076"/>
      <w:bookmarkStart w:id="4075" w:name="_Toc51107504"/>
      <w:bookmarkStart w:id="4076" w:name="_Toc51109827"/>
      <w:bookmarkStart w:id="4077" w:name="_Toc51057079"/>
      <w:bookmarkStart w:id="4078" w:name="_Toc51058500"/>
      <w:bookmarkStart w:id="4079" w:name="_Toc51059917"/>
      <w:bookmarkStart w:id="4080" w:name="_Toc51061333"/>
      <w:bookmarkStart w:id="4081" w:name="_Toc51062749"/>
      <w:bookmarkStart w:id="4082" w:name="_Toc51064165"/>
      <w:bookmarkStart w:id="4083" w:name="_Toc51065598"/>
      <w:bookmarkStart w:id="4084" w:name="_Toc51067013"/>
      <w:bookmarkStart w:id="4085" w:name="_Toc51069061"/>
      <w:bookmarkStart w:id="4086" w:name="_Toc51106077"/>
      <w:bookmarkStart w:id="4087" w:name="_Toc51107505"/>
      <w:bookmarkStart w:id="4088" w:name="_Toc51109828"/>
      <w:bookmarkStart w:id="4089" w:name="_Toc51057080"/>
      <w:bookmarkStart w:id="4090" w:name="_Toc51058501"/>
      <w:bookmarkStart w:id="4091" w:name="_Toc51059918"/>
      <w:bookmarkStart w:id="4092" w:name="_Toc51061334"/>
      <w:bookmarkStart w:id="4093" w:name="_Toc51062750"/>
      <w:bookmarkStart w:id="4094" w:name="_Toc51064166"/>
      <w:bookmarkStart w:id="4095" w:name="_Toc51065599"/>
      <w:bookmarkStart w:id="4096" w:name="_Toc51067014"/>
      <w:bookmarkStart w:id="4097" w:name="_Toc51069062"/>
      <w:bookmarkStart w:id="4098" w:name="_Toc51106078"/>
      <w:bookmarkStart w:id="4099" w:name="_Toc51107506"/>
      <w:bookmarkStart w:id="4100" w:name="_Toc51109829"/>
      <w:bookmarkStart w:id="4101" w:name="_Toc51057082"/>
      <w:bookmarkStart w:id="4102" w:name="_Toc51058503"/>
      <w:bookmarkStart w:id="4103" w:name="_Toc51059920"/>
      <w:bookmarkStart w:id="4104" w:name="_Toc51061336"/>
      <w:bookmarkStart w:id="4105" w:name="_Toc51062752"/>
      <w:bookmarkStart w:id="4106" w:name="_Toc51064168"/>
      <w:bookmarkStart w:id="4107" w:name="_Toc51065601"/>
      <w:bookmarkStart w:id="4108" w:name="_Toc51067016"/>
      <w:bookmarkStart w:id="4109" w:name="_Toc51069064"/>
      <w:bookmarkStart w:id="4110" w:name="_Toc51106080"/>
      <w:bookmarkStart w:id="4111" w:name="_Toc51107508"/>
      <w:bookmarkStart w:id="4112" w:name="_Toc51109831"/>
      <w:bookmarkStart w:id="4113" w:name="_Toc51057084"/>
      <w:bookmarkStart w:id="4114" w:name="_Toc51058505"/>
      <w:bookmarkStart w:id="4115" w:name="_Toc51059922"/>
      <w:bookmarkStart w:id="4116" w:name="_Toc51061338"/>
      <w:bookmarkStart w:id="4117" w:name="_Toc51062754"/>
      <w:bookmarkStart w:id="4118" w:name="_Toc51064170"/>
      <w:bookmarkStart w:id="4119" w:name="_Toc51065603"/>
      <w:bookmarkStart w:id="4120" w:name="_Toc51067018"/>
      <w:bookmarkStart w:id="4121" w:name="_Toc51069066"/>
      <w:bookmarkStart w:id="4122" w:name="_Toc51106082"/>
      <w:bookmarkStart w:id="4123" w:name="_Toc51107510"/>
      <w:bookmarkStart w:id="4124" w:name="_Toc51109833"/>
      <w:bookmarkStart w:id="4125" w:name="_Toc51057087"/>
      <w:bookmarkStart w:id="4126" w:name="_Toc51058508"/>
      <w:bookmarkStart w:id="4127" w:name="_Toc51059925"/>
      <w:bookmarkStart w:id="4128" w:name="_Toc51061341"/>
      <w:bookmarkStart w:id="4129" w:name="_Toc51062757"/>
      <w:bookmarkStart w:id="4130" w:name="_Toc51064173"/>
      <w:bookmarkStart w:id="4131" w:name="_Toc51065606"/>
      <w:bookmarkStart w:id="4132" w:name="_Toc51067021"/>
      <w:bookmarkStart w:id="4133" w:name="_Toc51069069"/>
      <w:bookmarkStart w:id="4134" w:name="_Toc51106085"/>
      <w:bookmarkStart w:id="4135" w:name="_Toc51107513"/>
      <w:bookmarkStart w:id="4136" w:name="_Toc51109836"/>
      <w:bookmarkStart w:id="4137" w:name="_Toc51057089"/>
      <w:bookmarkStart w:id="4138" w:name="_Toc51058510"/>
      <w:bookmarkStart w:id="4139" w:name="_Toc51059927"/>
      <w:bookmarkStart w:id="4140" w:name="_Toc51061343"/>
      <w:bookmarkStart w:id="4141" w:name="_Toc51062759"/>
      <w:bookmarkStart w:id="4142" w:name="_Toc51064175"/>
      <w:bookmarkStart w:id="4143" w:name="_Toc51065608"/>
      <w:bookmarkStart w:id="4144" w:name="_Toc51067023"/>
      <w:bookmarkStart w:id="4145" w:name="_Toc51069071"/>
      <w:bookmarkStart w:id="4146" w:name="_Toc51106087"/>
      <w:bookmarkStart w:id="4147" w:name="_Toc51107515"/>
      <w:bookmarkStart w:id="4148" w:name="_Toc51109838"/>
      <w:bookmarkStart w:id="4149" w:name="_Toc51057090"/>
      <w:bookmarkStart w:id="4150" w:name="_Toc51058511"/>
      <w:bookmarkStart w:id="4151" w:name="_Toc51059928"/>
      <w:bookmarkStart w:id="4152" w:name="_Toc51061344"/>
      <w:bookmarkStart w:id="4153" w:name="_Toc51062760"/>
      <w:bookmarkStart w:id="4154" w:name="_Toc51064176"/>
      <w:bookmarkStart w:id="4155" w:name="_Toc51065609"/>
      <w:bookmarkStart w:id="4156" w:name="_Toc51067024"/>
      <w:bookmarkStart w:id="4157" w:name="_Toc51069072"/>
      <w:bookmarkStart w:id="4158" w:name="_Toc51106088"/>
      <w:bookmarkStart w:id="4159" w:name="_Toc51107516"/>
      <w:bookmarkStart w:id="4160" w:name="_Toc51109839"/>
      <w:bookmarkStart w:id="4161" w:name="_Toc51057091"/>
      <w:bookmarkStart w:id="4162" w:name="_Toc51058512"/>
      <w:bookmarkStart w:id="4163" w:name="_Toc51059929"/>
      <w:bookmarkStart w:id="4164" w:name="_Toc51061345"/>
      <w:bookmarkStart w:id="4165" w:name="_Toc51062761"/>
      <w:bookmarkStart w:id="4166" w:name="_Toc51064177"/>
      <w:bookmarkStart w:id="4167" w:name="_Toc51065610"/>
      <w:bookmarkStart w:id="4168" w:name="_Toc51067025"/>
      <w:bookmarkStart w:id="4169" w:name="_Toc51069073"/>
      <w:bookmarkStart w:id="4170" w:name="_Toc51106089"/>
      <w:bookmarkStart w:id="4171" w:name="_Toc51107517"/>
      <w:bookmarkStart w:id="4172" w:name="_Toc51109840"/>
      <w:bookmarkStart w:id="4173" w:name="_Toc51057092"/>
      <w:bookmarkStart w:id="4174" w:name="_Toc51058513"/>
      <w:bookmarkStart w:id="4175" w:name="_Toc51059930"/>
      <w:bookmarkStart w:id="4176" w:name="_Toc51061346"/>
      <w:bookmarkStart w:id="4177" w:name="_Toc51062762"/>
      <w:bookmarkStart w:id="4178" w:name="_Toc51064178"/>
      <w:bookmarkStart w:id="4179" w:name="_Toc51065611"/>
      <w:bookmarkStart w:id="4180" w:name="_Toc51067026"/>
      <w:bookmarkStart w:id="4181" w:name="_Toc51069074"/>
      <w:bookmarkStart w:id="4182" w:name="_Toc51106090"/>
      <w:bookmarkStart w:id="4183" w:name="_Toc51107518"/>
      <w:bookmarkStart w:id="4184" w:name="_Toc51109841"/>
      <w:bookmarkStart w:id="4185" w:name="_Toc51057093"/>
      <w:bookmarkStart w:id="4186" w:name="_Toc51058514"/>
      <w:bookmarkStart w:id="4187" w:name="_Toc51059931"/>
      <w:bookmarkStart w:id="4188" w:name="_Toc51061347"/>
      <w:bookmarkStart w:id="4189" w:name="_Toc51062763"/>
      <w:bookmarkStart w:id="4190" w:name="_Toc51064179"/>
      <w:bookmarkStart w:id="4191" w:name="_Toc51065612"/>
      <w:bookmarkStart w:id="4192" w:name="_Toc51067027"/>
      <w:bookmarkStart w:id="4193" w:name="_Toc51069075"/>
      <w:bookmarkStart w:id="4194" w:name="_Toc51106091"/>
      <w:bookmarkStart w:id="4195" w:name="_Toc51107519"/>
      <w:bookmarkStart w:id="4196" w:name="_Toc51109842"/>
      <w:bookmarkStart w:id="4197" w:name="_Toc51057094"/>
      <w:bookmarkStart w:id="4198" w:name="_Toc51058515"/>
      <w:bookmarkStart w:id="4199" w:name="_Toc51059932"/>
      <w:bookmarkStart w:id="4200" w:name="_Toc51061348"/>
      <w:bookmarkStart w:id="4201" w:name="_Toc51062764"/>
      <w:bookmarkStart w:id="4202" w:name="_Toc51064180"/>
      <w:bookmarkStart w:id="4203" w:name="_Toc51065613"/>
      <w:bookmarkStart w:id="4204" w:name="_Toc51067028"/>
      <w:bookmarkStart w:id="4205" w:name="_Toc51069076"/>
      <w:bookmarkStart w:id="4206" w:name="_Toc51106092"/>
      <w:bookmarkStart w:id="4207" w:name="_Toc51107520"/>
      <w:bookmarkStart w:id="4208" w:name="_Toc51109843"/>
      <w:bookmarkStart w:id="4209" w:name="_Toc51057095"/>
      <w:bookmarkStart w:id="4210" w:name="_Toc51058516"/>
      <w:bookmarkStart w:id="4211" w:name="_Toc51059933"/>
      <w:bookmarkStart w:id="4212" w:name="_Toc51061349"/>
      <w:bookmarkStart w:id="4213" w:name="_Toc51062765"/>
      <w:bookmarkStart w:id="4214" w:name="_Toc51064181"/>
      <w:bookmarkStart w:id="4215" w:name="_Toc51065614"/>
      <w:bookmarkStart w:id="4216" w:name="_Toc51067029"/>
      <w:bookmarkStart w:id="4217" w:name="_Toc51069077"/>
      <w:bookmarkStart w:id="4218" w:name="_Toc51106093"/>
      <w:bookmarkStart w:id="4219" w:name="_Toc51107521"/>
      <w:bookmarkStart w:id="4220" w:name="_Toc51109844"/>
      <w:bookmarkStart w:id="4221" w:name="_Toc51057097"/>
      <w:bookmarkStart w:id="4222" w:name="_Toc51058518"/>
      <w:bookmarkStart w:id="4223" w:name="_Toc51059935"/>
      <w:bookmarkStart w:id="4224" w:name="_Toc51061351"/>
      <w:bookmarkStart w:id="4225" w:name="_Toc51062767"/>
      <w:bookmarkStart w:id="4226" w:name="_Toc51064183"/>
      <w:bookmarkStart w:id="4227" w:name="_Toc51065616"/>
      <w:bookmarkStart w:id="4228" w:name="_Toc51067031"/>
      <w:bookmarkStart w:id="4229" w:name="_Toc51069079"/>
      <w:bookmarkStart w:id="4230" w:name="_Toc51106095"/>
      <w:bookmarkStart w:id="4231" w:name="_Toc51107523"/>
      <w:bookmarkStart w:id="4232" w:name="_Toc51109846"/>
      <w:bookmarkStart w:id="4233" w:name="_Toc51057098"/>
      <w:bookmarkStart w:id="4234" w:name="_Toc51058519"/>
      <w:bookmarkStart w:id="4235" w:name="_Toc51059936"/>
      <w:bookmarkStart w:id="4236" w:name="_Toc51061352"/>
      <w:bookmarkStart w:id="4237" w:name="_Toc51062768"/>
      <w:bookmarkStart w:id="4238" w:name="_Toc51064184"/>
      <w:bookmarkStart w:id="4239" w:name="_Toc51065617"/>
      <w:bookmarkStart w:id="4240" w:name="_Toc51067032"/>
      <w:bookmarkStart w:id="4241" w:name="_Toc51069080"/>
      <w:bookmarkStart w:id="4242" w:name="_Toc51106096"/>
      <w:bookmarkStart w:id="4243" w:name="_Toc51107524"/>
      <w:bookmarkStart w:id="4244" w:name="_Toc51109847"/>
      <w:bookmarkStart w:id="4245" w:name="_Toc51057099"/>
      <w:bookmarkStart w:id="4246" w:name="_Toc51058520"/>
      <w:bookmarkStart w:id="4247" w:name="_Toc51059937"/>
      <w:bookmarkStart w:id="4248" w:name="_Toc51061353"/>
      <w:bookmarkStart w:id="4249" w:name="_Toc51062769"/>
      <w:bookmarkStart w:id="4250" w:name="_Toc51064185"/>
      <w:bookmarkStart w:id="4251" w:name="_Toc51065618"/>
      <w:bookmarkStart w:id="4252" w:name="_Toc51067033"/>
      <w:bookmarkStart w:id="4253" w:name="_Toc51069081"/>
      <w:bookmarkStart w:id="4254" w:name="_Toc51106097"/>
      <w:bookmarkStart w:id="4255" w:name="_Toc51107525"/>
      <w:bookmarkStart w:id="4256" w:name="_Toc51109848"/>
      <w:bookmarkStart w:id="4257" w:name="_Toc51057100"/>
      <w:bookmarkStart w:id="4258" w:name="_Toc51058521"/>
      <w:bookmarkStart w:id="4259" w:name="_Toc51059938"/>
      <w:bookmarkStart w:id="4260" w:name="_Toc51061354"/>
      <w:bookmarkStart w:id="4261" w:name="_Toc51062770"/>
      <w:bookmarkStart w:id="4262" w:name="_Toc51064186"/>
      <w:bookmarkStart w:id="4263" w:name="_Toc51065619"/>
      <w:bookmarkStart w:id="4264" w:name="_Toc51067034"/>
      <w:bookmarkStart w:id="4265" w:name="_Toc51069082"/>
      <w:bookmarkStart w:id="4266" w:name="_Toc51106098"/>
      <w:bookmarkStart w:id="4267" w:name="_Toc51107526"/>
      <w:bookmarkStart w:id="4268" w:name="_Toc51109849"/>
      <w:bookmarkStart w:id="4269" w:name="_Toc51057101"/>
      <w:bookmarkStart w:id="4270" w:name="_Toc51058522"/>
      <w:bookmarkStart w:id="4271" w:name="_Toc51059939"/>
      <w:bookmarkStart w:id="4272" w:name="_Toc51061355"/>
      <w:bookmarkStart w:id="4273" w:name="_Toc51062771"/>
      <w:bookmarkStart w:id="4274" w:name="_Toc51064187"/>
      <w:bookmarkStart w:id="4275" w:name="_Toc51065620"/>
      <w:bookmarkStart w:id="4276" w:name="_Toc51067035"/>
      <w:bookmarkStart w:id="4277" w:name="_Toc51069083"/>
      <w:bookmarkStart w:id="4278" w:name="_Toc51106099"/>
      <w:bookmarkStart w:id="4279" w:name="_Toc51107527"/>
      <w:bookmarkStart w:id="4280" w:name="_Toc51109850"/>
      <w:bookmarkStart w:id="4281" w:name="_Toc51057102"/>
      <w:bookmarkStart w:id="4282" w:name="_Toc51058523"/>
      <w:bookmarkStart w:id="4283" w:name="_Toc51059940"/>
      <w:bookmarkStart w:id="4284" w:name="_Toc51061356"/>
      <w:bookmarkStart w:id="4285" w:name="_Toc51062772"/>
      <w:bookmarkStart w:id="4286" w:name="_Toc51064188"/>
      <w:bookmarkStart w:id="4287" w:name="_Toc51065621"/>
      <w:bookmarkStart w:id="4288" w:name="_Toc51067036"/>
      <w:bookmarkStart w:id="4289" w:name="_Toc51069084"/>
      <w:bookmarkStart w:id="4290" w:name="_Toc51106100"/>
      <w:bookmarkStart w:id="4291" w:name="_Toc51107528"/>
      <w:bookmarkStart w:id="4292" w:name="_Toc51109851"/>
      <w:bookmarkStart w:id="4293" w:name="_Toc51057103"/>
      <w:bookmarkStart w:id="4294" w:name="_Toc51058524"/>
      <w:bookmarkStart w:id="4295" w:name="_Toc51059941"/>
      <w:bookmarkStart w:id="4296" w:name="_Toc51061357"/>
      <w:bookmarkStart w:id="4297" w:name="_Toc51062773"/>
      <w:bookmarkStart w:id="4298" w:name="_Toc51064189"/>
      <w:bookmarkStart w:id="4299" w:name="_Toc51065622"/>
      <w:bookmarkStart w:id="4300" w:name="_Toc51067037"/>
      <w:bookmarkStart w:id="4301" w:name="_Toc51069085"/>
      <w:bookmarkStart w:id="4302" w:name="_Toc51106101"/>
      <w:bookmarkStart w:id="4303" w:name="_Toc51107529"/>
      <w:bookmarkStart w:id="4304" w:name="_Toc51109852"/>
      <w:bookmarkStart w:id="4305" w:name="_Toc51057105"/>
      <w:bookmarkStart w:id="4306" w:name="_Toc51058526"/>
      <w:bookmarkStart w:id="4307" w:name="_Toc51059943"/>
      <w:bookmarkStart w:id="4308" w:name="_Toc51061359"/>
      <w:bookmarkStart w:id="4309" w:name="_Toc51062775"/>
      <w:bookmarkStart w:id="4310" w:name="_Toc51064191"/>
      <w:bookmarkStart w:id="4311" w:name="_Toc51065624"/>
      <w:bookmarkStart w:id="4312" w:name="_Toc51067039"/>
      <w:bookmarkStart w:id="4313" w:name="_Toc51069087"/>
      <w:bookmarkStart w:id="4314" w:name="_Toc51106103"/>
      <w:bookmarkStart w:id="4315" w:name="_Toc51107531"/>
      <w:bookmarkStart w:id="4316" w:name="_Toc51109854"/>
      <w:bookmarkStart w:id="4317" w:name="_Toc51057106"/>
      <w:bookmarkStart w:id="4318" w:name="_Toc51058527"/>
      <w:bookmarkStart w:id="4319" w:name="_Toc51059944"/>
      <w:bookmarkStart w:id="4320" w:name="_Toc51061360"/>
      <w:bookmarkStart w:id="4321" w:name="_Toc51062776"/>
      <w:bookmarkStart w:id="4322" w:name="_Toc51064192"/>
      <w:bookmarkStart w:id="4323" w:name="_Toc51065625"/>
      <w:bookmarkStart w:id="4324" w:name="_Toc51067040"/>
      <w:bookmarkStart w:id="4325" w:name="_Toc51069088"/>
      <w:bookmarkStart w:id="4326" w:name="_Toc51106104"/>
      <w:bookmarkStart w:id="4327" w:name="_Toc51107532"/>
      <w:bookmarkStart w:id="4328" w:name="_Toc51109855"/>
      <w:bookmarkStart w:id="4329" w:name="_Toc51057107"/>
      <w:bookmarkStart w:id="4330" w:name="_Toc51058528"/>
      <w:bookmarkStart w:id="4331" w:name="_Toc51059945"/>
      <w:bookmarkStart w:id="4332" w:name="_Toc51061361"/>
      <w:bookmarkStart w:id="4333" w:name="_Toc51062777"/>
      <w:bookmarkStart w:id="4334" w:name="_Toc51064193"/>
      <w:bookmarkStart w:id="4335" w:name="_Toc51065626"/>
      <w:bookmarkStart w:id="4336" w:name="_Toc51067041"/>
      <w:bookmarkStart w:id="4337" w:name="_Toc51069089"/>
      <w:bookmarkStart w:id="4338" w:name="_Toc51106105"/>
      <w:bookmarkStart w:id="4339" w:name="_Toc51107533"/>
      <w:bookmarkStart w:id="4340" w:name="_Toc51109856"/>
      <w:bookmarkStart w:id="4341" w:name="_Toc51057108"/>
      <w:bookmarkStart w:id="4342" w:name="_Toc51058529"/>
      <w:bookmarkStart w:id="4343" w:name="_Toc51059946"/>
      <w:bookmarkStart w:id="4344" w:name="_Toc51061362"/>
      <w:bookmarkStart w:id="4345" w:name="_Toc51062778"/>
      <w:bookmarkStart w:id="4346" w:name="_Toc51064194"/>
      <w:bookmarkStart w:id="4347" w:name="_Toc51065627"/>
      <w:bookmarkStart w:id="4348" w:name="_Toc51067042"/>
      <w:bookmarkStart w:id="4349" w:name="_Toc51069090"/>
      <w:bookmarkStart w:id="4350" w:name="_Toc51106106"/>
      <w:bookmarkStart w:id="4351" w:name="_Toc51107534"/>
      <w:bookmarkStart w:id="4352" w:name="_Toc51109857"/>
      <w:bookmarkStart w:id="4353" w:name="_Toc51057109"/>
      <w:bookmarkStart w:id="4354" w:name="_Toc51058530"/>
      <w:bookmarkStart w:id="4355" w:name="_Toc51059947"/>
      <w:bookmarkStart w:id="4356" w:name="_Toc51061363"/>
      <w:bookmarkStart w:id="4357" w:name="_Toc51062779"/>
      <w:bookmarkStart w:id="4358" w:name="_Toc51064195"/>
      <w:bookmarkStart w:id="4359" w:name="_Toc51065628"/>
      <w:bookmarkStart w:id="4360" w:name="_Toc51067043"/>
      <w:bookmarkStart w:id="4361" w:name="_Toc51069091"/>
      <w:bookmarkStart w:id="4362" w:name="_Toc51106107"/>
      <w:bookmarkStart w:id="4363" w:name="_Toc51107535"/>
      <w:bookmarkStart w:id="4364" w:name="_Toc51109858"/>
      <w:bookmarkStart w:id="4365" w:name="_Toc51057110"/>
      <w:bookmarkStart w:id="4366" w:name="_Toc51058531"/>
      <w:bookmarkStart w:id="4367" w:name="_Toc51059948"/>
      <w:bookmarkStart w:id="4368" w:name="_Toc51061364"/>
      <w:bookmarkStart w:id="4369" w:name="_Toc51062780"/>
      <w:bookmarkStart w:id="4370" w:name="_Toc51064196"/>
      <w:bookmarkStart w:id="4371" w:name="_Toc51065629"/>
      <w:bookmarkStart w:id="4372" w:name="_Toc51067044"/>
      <w:bookmarkStart w:id="4373" w:name="_Toc51069092"/>
      <w:bookmarkStart w:id="4374" w:name="_Toc51106108"/>
      <w:bookmarkStart w:id="4375" w:name="_Toc51107536"/>
      <w:bookmarkStart w:id="4376" w:name="_Toc51109859"/>
      <w:bookmarkStart w:id="4377" w:name="_Toc51057112"/>
      <w:bookmarkStart w:id="4378" w:name="_Toc51058533"/>
      <w:bookmarkStart w:id="4379" w:name="_Toc51059950"/>
      <w:bookmarkStart w:id="4380" w:name="_Toc51061366"/>
      <w:bookmarkStart w:id="4381" w:name="_Toc51062782"/>
      <w:bookmarkStart w:id="4382" w:name="_Toc51064198"/>
      <w:bookmarkStart w:id="4383" w:name="_Toc51065631"/>
      <w:bookmarkStart w:id="4384" w:name="_Toc51067046"/>
      <w:bookmarkStart w:id="4385" w:name="_Toc51069094"/>
      <w:bookmarkStart w:id="4386" w:name="_Toc51106110"/>
      <w:bookmarkStart w:id="4387" w:name="_Toc51107538"/>
      <w:bookmarkStart w:id="4388" w:name="_Toc51109861"/>
      <w:bookmarkStart w:id="4389" w:name="_Toc51057114"/>
      <w:bookmarkStart w:id="4390" w:name="_Toc51058535"/>
      <w:bookmarkStart w:id="4391" w:name="_Toc51059952"/>
      <w:bookmarkStart w:id="4392" w:name="_Toc51061368"/>
      <w:bookmarkStart w:id="4393" w:name="_Toc51062784"/>
      <w:bookmarkStart w:id="4394" w:name="_Toc51064200"/>
      <w:bookmarkStart w:id="4395" w:name="_Toc51065633"/>
      <w:bookmarkStart w:id="4396" w:name="_Toc51067048"/>
      <w:bookmarkStart w:id="4397" w:name="_Toc51069096"/>
      <w:bookmarkStart w:id="4398" w:name="_Toc51106112"/>
      <w:bookmarkStart w:id="4399" w:name="_Toc51107540"/>
      <w:bookmarkStart w:id="4400" w:name="_Toc51109863"/>
      <w:bookmarkStart w:id="4401" w:name="_Toc51057116"/>
      <w:bookmarkStart w:id="4402" w:name="_Toc51058537"/>
      <w:bookmarkStart w:id="4403" w:name="_Toc51059954"/>
      <w:bookmarkStart w:id="4404" w:name="_Toc51061370"/>
      <w:bookmarkStart w:id="4405" w:name="_Toc51062786"/>
      <w:bookmarkStart w:id="4406" w:name="_Toc51064202"/>
      <w:bookmarkStart w:id="4407" w:name="_Toc51065635"/>
      <w:bookmarkStart w:id="4408" w:name="_Toc51067050"/>
      <w:bookmarkStart w:id="4409" w:name="_Toc51069098"/>
      <w:bookmarkStart w:id="4410" w:name="_Toc51106114"/>
      <w:bookmarkStart w:id="4411" w:name="_Toc51107542"/>
      <w:bookmarkStart w:id="4412" w:name="_Toc51109865"/>
      <w:bookmarkStart w:id="4413" w:name="_Toc51057118"/>
      <w:bookmarkStart w:id="4414" w:name="_Toc51058539"/>
      <w:bookmarkStart w:id="4415" w:name="_Toc51059956"/>
      <w:bookmarkStart w:id="4416" w:name="_Toc51061372"/>
      <w:bookmarkStart w:id="4417" w:name="_Toc51062788"/>
      <w:bookmarkStart w:id="4418" w:name="_Toc51064204"/>
      <w:bookmarkStart w:id="4419" w:name="_Toc51065637"/>
      <w:bookmarkStart w:id="4420" w:name="_Toc51067052"/>
      <w:bookmarkStart w:id="4421" w:name="_Toc51069100"/>
      <w:bookmarkStart w:id="4422" w:name="_Toc51106116"/>
      <w:bookmarkStart w:id="4423" w:name="_Toc51107544"/>
      <w:bookmarkStart w:id="4424" w:name="_Toc51109867"/>
      <w:bookmarkStart w:id="4425" w:name="_Toc51057120"/>
      <w:bookmarkStart w:id="4426" w:name="_Toc51058541"/>
      <w:bookmarkStart w:id="4427" w:name="_Toc51059958"/>
      <w:bookmarkStart w:id="4428" w:name="_Toc51061374"/>
      <w:bookmarkStart w:id="4429" w:name="_Toc51062790"/>
      <w:bookmarkStart w:id="4430" w:name="_Toc51064206"/>
      <w:bookmarkStart w:id="4431" w:name="_Toc51065639"/>
      <w:bookmarkStart w:id="4432" w:name="_Toc51067054"/>
      <w:bookmarkStart w:id="4433" w:name="_Toc51069102"/>
      <w:bookmarkStart w:id="4434" w:name="_Toc51106118"/>
      <w:bookmarkStart w:id="4435" w:name="_Toc51107546"/>
      <w:bookmarkStart w:id="4436" w:name="_Toc51109869"/>
      <w:bookmarkStart w:id="4437" w:name="_Toc51057122"/>
      <w:bookmarkStart w:id="4438" w:name="_Toc51058543"/>
      <w:bookmarkStart w:id="4439" w:name="_Toc51059960"/>
      <w:bookmarkStart w:id="4440" w:name="_Toc51061376"/>
      <w:bookmarkStart w:id="4441" w:name="_Toc51062792"/>
      <w:bookmarkStart w:id="4442" w:name="_Toc51064208"/>
      <w:bookmarkStart w:id="4443" w:name="_Toc51065641"/>
      <w:bookmarkStart w:id="4444" w:name="_Toc51067056"/>
      <w:bookmarkStart w:id="4445" w:name="_Toc51069104"/>
      <w:bookmarkStart w:id="4446" w:name="_Toc51106120"/>
      <w:bookmarkStart w:id="4447" w:name="_Toc51107548"/>
      <w:bookmarkStart w:id="4448" w:name="_Toc51109871"/>
      <w:bookmarkStart w:id="4449" w:name="_Toc51057124"/>
      <w:bookmarkStart w:id="4450" w:name="_Toc51058545"/>
      <w:bookmarkStart w:id="4451" w:name="_Toc51059962"/>
      <w:bookmarkStart w:id="4452" w:name="_Toc51061378"/>
      <w:bookmarkStart w:id="4453" w:name="_Toc51062794"/>
      <w:bookmarkStart w:id="4454" w:name="_Toc51064210"/>
      <w:bookmarkStart w:id="4455" w:name="_Toc51065643"/>
      <w:bookmarkStart w:id="4456" w:name="_Toc51067058"/>
      <w:bookmarkStart w:id="4457" w:name="_Toc51069106"/>
      <w:bookmarkStart w:id="4458" w:name="_Toc51106122"/>
      <w:bookmarkStart w:id="4459" w:name="_Toc51107550"/>
      <w:bookmarkStart w:id="4460" w:name="_Toc51109873"/>
      <w:bookmarkStart w:id="4461" w:name="_Toc51057126"/>
      <w:bookmarkStart w:id="4462" w:name="_Toc51058547"/>
      <w:bookmarkStart w:id="4463" w:name="_Toc51059964"/>
      <w:bookmarkStart w:id="4464" w:name="_Toc51061380"/>
      <w:bookmarkStart w:id="4465" w:name="_Toc51062796"/>
      <w:bookmarkStart w:id="4466" w:name="_Toc51064212"/>
      <w:bookmarkStart w:id="4467" w:name="_Toc51065645"/>
      <w:bookmarkStart w:id="4468" w:name="_Toc51067060"/>
      <w:bookmarkStart w:id="4469" w:name="_Toc51069108"/>
      <w:bookmarkStart w:id="4470" w:name="_Toc51106124"/>
      <w:bookmarkStart w:id="4471" w:name="_Toc51107552"/>
      <w:bookmarkStart w:id="4472" w:name="_Toc51109875"/>
      <w:bookmarkStart w:id="4473" w:name="_Toc51057128"/>
      <w:bookmarkStart w:id="4474" w:name="_Toc51058549"/>
      <w:bookmarkStart w:id="4475" w:name="_Toc51059966"/>
      <w:bookmarkStart w:id="4476" w:name="_Toc51061382"/>
      <w:bookmarkStart w:id="4477" w:name="_Toc51062798"/>
      <w:bookmarkStart w:id="4478" w:name="_Toc51064214"/>
      <w:bookmarkStart w:id="4479" w:name="_Toc51065647"/>
      <w:bookmarkStart w:id="4480" w:name="_Toc51067062"/>
      <w:bookmarkStart w:id="4481" w:name="_Toc51069110"/>
      <w:bookmarkStart w:id="4482" w:name="_Toc51106126"/>
      <w:bookmarkStart w:id="4483" w:name="_Toc51107554"/>
      <w:bookmarkStart w:id="4484" w:name="_Toc51109877"/>
      <w:bookmarkStart w:id="4485" w:name="_Toc51057130"/>
      <w:bookmarkStart w:id="4486" w:name="_Toc51058551"/>
      <w:bookmarkStart w:id="4487" w:name="_Toc51059968"/>
      <w:bookmarkStart w:id="4488" w:name="_Toc51061384"/>
      <w:bookmarkStart w:id="4489" w:name="_Toc51062800"/>
      <w:bookmarkStart w:id="4490" w:name="_Toc51064216"/>
      <w:bookmarkStart w:id="4491" w:name="_Toc51065649"/>
      <w:bookmarkStart w:id="4492" w:name="_Toc51067064"/>
      <w:bookmarkStart w:id="4493" w:name="_Toc51069112"/>
      <w:bookmarkStart w:id="4494" w:name="_Toc51106128"/>
      <w:bookmarkStart w:id="4495" w:name="_Toc51107556"/>
      <w:bookmarkStart w:id="4496" w:name="_Toc51109879"/>
      <w:bookmarkStart w:id="4497" w:name="_Toc51057132"/>
      <w:bookmarkStart w:id="4498" w:name="_Toc51058553"/>
      <w:bookmarkStart w:id="4499" w:name="_Toc51059970"/>
      <w:bookmarkStart w:id="4500" w:name="_Toc51061386"/>
      <w:bookmarkStart w:id="4501" w:name="_Toc51062802"/>
      <w:bookmarkStart w:id="4502" w:name="_Toc51064218"/>
      <w:bookmarkStart w:id="4503" w:name="_Toc51065651"/>
      <w:bookmarkStart w:id="4504" w:name="_Toc51067066"/>
      <w:bookmarkStart w:id="4505" w:name="_Toc51069114"/>
      <w:bookmarkStart w:id="4506" w:name="_Toc51106130"/>
      <w:bookmarkStart w:id="4507" w:name="_Toc51107558"/>
      <w:bookmarkStart w:id="4508" w:name="_Toc51109881"/>
      <w:bookmarkStart w:id="4509" w:name="_Toc51057134"/>
      <w:bookmarkStart w:id="4510" w:name="_Toc51058555"/>
      <w:bookmarkStart w:id="4511" w:name="_Toc51059972"/>
      <w:bookmarkStart w:id="4512" w:name="_Toc51061388"/>
      <w:bookmarkStart w:id="4513" w:name="_Toc51062804"/>
      <w:bookmarkStart w:id="4514" w:name="_Toc51064220"/>
      <w:bookmarkStart w:id="4515" w:name="_Toc51065653"/>
      <w:bookmarkStart w:id="4516" w:name="_Toc51067068"/>
      <w:bookmarkStart w:id="4517" w:name="_Toc51069116"/>
      <w:bookmarkStart w:id="4518" w:name="_Toc51106132"/>
      <w:bookmarkStart w:id="4519" w:name="_Toc51107560"/>
      <w:bookmarkStart w:id="4520" w:name="_Toc51109883"/>
      <w:bookmarkStart w:id="4521" w:name="_Toc51057136"/>
      <w:bookmarkStart w:id="4522" w:name="_Toc51058557"/>
      <w:bookmarkStart w:id="4523" w:name="_Toc51059974"/>
      <w:bookmarkStart w:id="4524" w:name="_Toc51061390"/>
      <w:bookmarkStart w:id="4525" w:name="_Toc51062806"/>
      <w:bookmarkStart w:id="4526" w:name="_Toc51064222"/>
      <w:bookmarkStart w:id="4527" w:name="_Toc51065655"/>
      <w:bookmarkStart w:id="4528" w:name="_Toc51067070"/>
      <w:bookmarkStart w:id="4529" w:name="_Toc51069118"/>
      <w:bookmarkStart w:id="4530" w:name="_Toc51106134"/>
      <w:bookmarkStart w:id="4531" w:name="_Toc51107562"/>
      <w:bookmarkStart w:id="4532" w:name="_Toc51109885"/>
      <w:bookmarkStart w:id="4533" w:name="_Toc51057138"/>
      <w:bookmarkStart w:id="4534" w:name="_Toc51058559"/>
      <w:bookmarkStart w:id="4535" w:name="_Toc51059976"/>
      <w:bookmarkStart w:id="4536" w:name="_Toc51061392"/>
      <w:bookmarkStart w:id="4537" w:name="_Toc51062808"/>
      <w:bookmarkStart w:id="4538" w:name="_Toc51064224"/>
      <w:bookmarkStart w:id="4539" w:name="_Toc51065657"/>
      <w:bookmarkStart w:id="4540" w:name="_Toc51067072"/>
      <w:bookmarkStart w:id="4541" w:name="_Toc51069120"/>
      <w:bookmarkStart w:id="4542" w:name="_Toc51106136"/>
      <w:bookmarkStart w:id="4543" w:name="_Toc51107564"/>
      <w:bookmarkStart w:id="4544" w:name="_Toc51109887"/>
      <w:bookmarkStart w:id="4545" w:name="_Toc51057140"/>
      <w:bookmarkStart w:id="4546" w:name="_Toc51058561"/>
      <w:bookmarkStart w:id="4547" w:name="_Toc51059978"/>
      <w:bookmarkStart w:id="4548" w:name="_Toc51061394"/>
      <w:bookmarkStart w:id="4549" w:name="_Toc51062810"/>
      <w:bookmarkStart w:id="4550" w:name="_Toc51064226"/>
      <w:bookmarkStart w:id="4551" w:name="_Toc51065659"/>
      <w:bookmarkStart w:id="4552" w:name="_Toc51067074"/>
      <w:bookmarkStart w:id="4553" w:name="_Toc51069122"/>
      <w:bookmarkStart w:id="4554" w:name="_Toc51106138"/>
      <w:bookmarkStart w:id="4555" w:name="_Toc51107566"/>
      <w:bookmarkStart w:id="4556" w:name="_Toc51109889"/>
      <w:bookmarkStart w:id="4557" w:name="_Toc51057150"/>
      <w:bookmarkStart w:id="4558" w:name="_Toc51058571"/>
      <w:bookmarkStart w:id="4559" w:name="_Toc51059988"/>
      <w:bookmarkStart w:id="4560" w:name="_Toc51061404"/>
      <w:bookmarkStart w:id="4561" w:name="_Toc51062820"/>
      <w:bookmarkStart w:id="4562" w:name="_Toc51064236"/>
      <w:bookmarkStart w:id="4563" w:name="_Toc51065669"/>
      <w:bookmarkStart w:id="4564" w:name="_Toc51067084"/>
      <w:bookmarkStart w:id="4565" w:name="_Toc51069132"/>
      <w:bookmarkStart w:id="4566" w:name="_Toc51106148"/>
      <w:bookmarkStart w:id="4567" w:name="_Toc51107576"/>
      <w:bookmarkStart w:id="4568" w:name="_Toc51109899"/>
      <w:bookmarkStart w:id="4569" w:name="_Toc51057152"/>
      <w:bookmarkStart w:id="4570" w:name="_Toc51058573"/>
      <w:bookmarkStart w:id="4571" w:name="_Toc51059990"/>
      <w:bookmarkStart w:id="4572" w:name="_Toc51061406"/>
      <w:bookmarkStart w:id="4573" w:name="_Toc51062822"/>
      <w:bookmarkStart w:id="4574" w:name="_Toc51064238"/>
      <w:bookmarkStart w:id="4575" w:name="_Toc51065671"/>
      <w:bookmarkStart w:id="4576" w:name="_Toc51067086"/>
      <w:bookmarkStart w:id="4577" w:name="_Toc51069134"/>
      <w:bookmarkStart w:id="4578" w:name="_Toc51106150"/>
      <w:bookmarkStart w:id="4579" w:name="_Toc51107578"/>
      <w:bookmarkStart w:id="4580" w:name="_Toc51109901"/>
      <w:bookmarkStart w:id="4581" w:name="_Toc51057154"/>
      <w:bookmarkStart w:id="4582" w:name="_Toc51058575"/>
      <w:bookmarkStart w:id="4583" w:name="_Toc51059992"/>
      <w:bookmarkStart w:id="4584" w:name="_Toc51061408"/>
      <w:bookmarkStart w:id="4585" w:name="_Toc51062824"/>
      <w:bookmarkStart w:id="4586" w:name="_Toc51064240"/>
      <w:bookmarkStart w:id="4587" w:name="_Toc51065673"/>
      <w:bookmarkStart w:id="4588" w:name="_Toc51067088"/>
      <w:bookmarkStart w:id="4589" w:name="_Toc51069136"/>
      <w:bookmarkStart w:id="4590" w:name="_Toc51106152"/>
      <w:bookmarkStart w:id="4591" w:name="_Toc51107580"/>
      <w:bookmarkStart w:id="4592" w:name="_Toc51109903"/>
      <w:bookmarkStart w:id="4593" w:name="_Toc51057156"/>
      <w:bookmarkStart w:id="4594" w:name="_Toc51058577"/>
      <w:bookmarkStart w:id="4595" w:name="_Toc51059994"/>
      <w:bookmarkStart w:id="4596" w:name="_Toc51061410"/>
      <w:bookmarkStart w:id="4597" w:name="_Toc51062826"/>
      <w:bookmarkStart w:id="4598" w:name="_Toc51064242"/>
      <w:bookmarkStart w:id="4599" w:name="_Toc51065675"/>
      <w:bookmarkStart w:id="4600" w:name="_Toc51067090"/>
      <w:bookmarkStart w:id="4601" w:name="_Toc51069138"/>
      <w:bookmarkStart w:id="4602" w:name="_Toc51106154"/>
      <w:bookmarkStart w:id="4603" w:name="_Toc51107582"/>
      <w:bookmarkStart w:id="4604" w:name="_Toc51109905"/>
      <w:bookmarkStart w:id="4605" w:name="_Toc51057158"/>
      <w:bookmarkStart w:id="4606" w:name="_Toc51058579"/>
      <w:bookmarkStart w:id="4607" w:name="_Toc51059996"/>
      <w:bookmarkStart w:id="4608" w:name="_Toc51061412"/>
      <w:bookmarkStart w:id="4609" w:name="_Toc51062828"/>
      <w:bookmarkStart w:id="4610" w:name="_Toc51064244"/>
      <w:bookmarkStart w:id="4611" w:name="_Toc51065677"/>
      <w:bookmarkStart w:id="4612" w:name="_Toc51067092"/>
      <w:bookmarkStart w:id="4613" w:name="_Toc51069140"/>
      <w:bookmarkStart w:id="4614" w:name="_Toc51106156"/>
      <w:bookmarkStart w:id="4615" w:name="_Toc51107584"/>
      <w:bookmarkStart w:id="4616" w:name="_Toc51109907"/>
      <w:bookmarkStart w:id="4617" w:name="_Toc51057160"/>
      <w:bookmarkStart w:id="4618" w:name="_Toc51058581"/>
      <w:bookmarkStart w:id="4619" w:name="_Toc51059998"/>
      <w:bookmarkStart w:id="4620" w:name="_Toc51061414"/>
      <w:bookmarkStart w:id="4621" w:name="_Toc51062830"/>
      <w:bookmarkStart w:id="4622" w:name="_Toc51064246"/>
      <w:bookmarkStart w:id="4623" w:name="_Toc51065679"/>
      <w:bookmarkStart w:id="4624" w:name="_Toc51067094"/>
      <w:bookmarkStart w:id="4625" w:name="_Toc51069142"/>
      <w:bookmarkStart w:id="4626" w:name="_Toc51106158"/>
      <w:bookmarkStart w:id="4627" w:name="_Toc51107586"/>
      <w:bookmarkStart w:id="4628" w:name="_Toc51109909"/>
      <w:bookmarkStart w:id="4629" w:name="_Toc51057162"/>
      <w:bookmarkStart w:id="4630" w:name="_Toc51058583"/>
      <w:bookmarkStart w:id="4631" w:name="_Toc51060000"/>
      <w:bookmarkStart w:id="4632" w:name="_Toc51061416"/>
      <w:bookmarkStart w:id="4633" w:name="_Toc51062832"/>
      <w:bookmarkStart w:id="4634" w:name="_Toc51064248"/>
      <w:bookmarkStart w:id="4635" w:name="_Toc51065681"/>
      <w:bookmarkStart w:id="4636" w:name="_Toc51067096"/>
      <w:bookmarkStart w:id="4637" w:name="_Toc51069144"/>
      <w:bookmarkStart w:id="4638" w:name="_Toc51106160"/>
      <w:bookmarkStart w:id="4639" w:name="_Toc51107588"/>
      <w:bookmarkStart w:id="4640" w:name="_Toc51109911"/>
      <w:bookmarkStart w:id="4641" w:name="_Toc51057164"/>
      <w:bookmarkStart w:id="4642" w:name="_Toc51058585"/>
      <w:bookmarkStart w:id="4643" w:name="_Toc51060002"/>
      <w:bookmarkStart w:id="4644" w:name="_Toc51061418"/>
      <w:bookmarkStart w:id="4645" w:name="_Toc51062834"/>
      <w:bookmarkStart w:id="4646" w:name="_Toc51064250"/>
      <w:bookmarkStart w:id="4647" w:name="_Toc51065683"/>
      <w:bookmarkStart w:id="4648" w:name="_Toc51067098"/>
      <w:bookmarkStart w:id="4649" w:name="_Toc51069146"/>
      <w:bookmarkStart w:id="4650" w:name="_Toc51106162"/>
      <w:bookmarkStart w:id="4651" w:name="_Toc51107590"/>
      <w:bookmarkStart w:id="4652" w:name="_Toc51109913"/>
      <w:bookmarkStart w:id="4653" w:name="_Toc51057165"/>
      <w:bookmarkStart w:id="4654" w:name="_Toc51058586"/>
      <w:bookmarkStart w:id="4655" w:name="_Toc51060003"/>
      <w:bookmarkStart w:id="4656" w:name="_Toc51061419"/>
      <w:bookmarkStart w:id="4657" w:name="_Toc51062835"/>
      <w:bookmarkStart w:id="4658" w:name="_Toc51064251"/>
      <w:bookmarkStart w:id="4659" w:name="_Toc51065684"/>
      <w:bookmarkStart w:id="4660" w:name="_Toc51067099"/>
      <w:bookmarkStart w:id="4661" w:name="_Toc51069147"/>
      <w:bookmarkStart w:id="4662" w:name="_Toc51106163"/>
      <w:bookmarkStart w:id="4663" w:name="_Toc51107591"/>
      <w:bookmarkStart w:id="4664" w:name="_Toc51109914"/>
      <w:bookmarkStart w:id="4665" w:name="_Toc51057166"/>
      <w:bookmarkStart w:id="4666" w:name="_Toc51058587"/>
      <w:bookmarkStart w:id="4667" w:name="_Toc51060004"/>
      <w:bookmarkStart w:id="4668" w:name="_Toc51061420"/>
      <w:bookmarkStart w:id="4669" w:name="_Toc51062836"/>
      <w:bookmarkStart w:id="4670" w:name="_Toc51064252"/>
      <w:bookmarkStart w:id="4671" w:name="_Toc51065685"/>
      <w:bookmarkStart w:id="4672" w:name="_Toc51067100"/>
      <w:bookmarkStart w:id="4673" w:name="_Toc51069148"/>
      <w:bookmarkStart w:id="4674" w:name="_Toc51106164"/>
      <w:bookmarkStart w:id="4675" w:name="_Toc51107592"/>
      <w:bookmarkStart w:id="4676" w:name="_Toc51109915"/>
      <w:bookmarkStart w:id="4677" w:name="_Toc51057167"/>
      <w:bookmarkStart w:id="4678" w:name="_Toc51058588"/>
      <w:bookmarkStart w:id="4679" w:name="_Toc51060005"/>
      <w:bookmarkStart w:id="4680" w:name="_Toc51061421"/>
      <w:bookmarkStart w:id="4681" w:name="_Toc51062837"/>
      <w:bookmarkStart w:id="4682" w:name="_Toc51064253"/>
      <w:bookmarkStart w:id="4683" w:name="_Toc51065686"/>
      <w:bookmarkStart w:id="4684" w:name="_Toc51067101"/>
      <w:bookmarkStart w:id="4685" w:name="_Toc51069149"/>
      <w:bookmarkStart w:id="4686" w:name="_Toc51106165"/>
      <w:bookmarkStart w:id="4687" w:name="_Toc51107593"/>
      <w:bookmarkStart w:id="4688" w:name="_Toc51109916"/>
      <w:bookmarkStart w:id="4689" w:name="_Toc51057168"/>
      <w:bookmarkStart w:id="4690" w:name="_Toc51058589"/>
      <w:bookmarkStart w:id="4691" w:name="_Toc51060006"/>
      <w:bookmarkStart w:id="4692" w:name="_Toc51061422"/>
      <w:bookmarkStart w:id="4693" w:name="_Toc51062838"/>
      <w:bookmarkStart w:id="4694" w:name="_Toc51064254"/>
      <w:bookmarkStart w:id="4695" w:name="_Toc51065687"/>
      <w:bookmarkStart w:id="4696" w:name="_Toc51067102"/>
      <w:bookmarkStart w:id="4697" w:name="_Toc51069150"/>
      <w:bookmarkStart w:id="4698" w:name="_Toc51106166"/>
      <w:bookmarkStart w:id="4699" w:name="_Toc51107594"/>
      <w:bookmarkStart w:id="4700" w:name="_Toc51109917"/>
      <w:bookmarkStart w:id="4701" w:name="_Toc51057170"/>
      <w:bookmarkStart w:id="4702" w:name="_Toc51058591"/>
      <w:bookmarkStart w:id="4703" w:name="_Toc51060008"/>
      <w:bookmarkStart w:id="4704" w:name="_Toc51061424"/>
      <w:bookmarkStart w:id="4705" w:name="_Toc51062840"/>
      <w:bookmarkStart w:id="4706" w:name="_Toc51064256"/>
      <w:bookmarkStart w:id="4707" w:name="_Toc51065689"/>
      <w:bookmarkStart w:id="4708" w:name="_Toc51067104"/>
      <w:bookmarkStart w:id="4709" w:name="_Toc51069152"/>
      <w:bookmarkStart w:id="4710" w:name="_Toc51106168"/>
      <w:bookmarkStart w:id="4711" w:name="_Toc51107596"/>
      <w:bookmarkStart w:id="4712" w:name="_Toc51109919"/>
      <w:bookmarkStart w:id="4713" w:name="_Toc51057172"/>
      <w:bookmarkStart w:id="4714" w:name="_Toc51058593"/>
      <w:bookmarkStart w:id="4715" w:name="_Toc51060010"/>
      <w:bookmarkStart w:id="4716" w:name="_Toc51061426"/>
      <w:bookmarkStart w:id="4717" w:name="_Toc51062842"/>
      <w:bookmarkStart w:id="4718" w:name="_Toc51064258"/>
      <w:bookmarkStart w:id="4719" w:name="_Toc51065691"/>
      <w:bookmarkStart w:id="4720" w:name="_Toc51067106"/>
      <w:bookmarkStart w:id="4721" w:name="_Toc51069154"/>
      <w:bookmarkStart w:id="4722" w:name="_Toc51106170"/>
      <w:bookmarkStart w:id="4723" w:name="_Toc51107598"/>
      <w:bookmarkStart w:id="4724" w:name="_Toc51109921"/>
      <w:bookmarkStart w:id="4725" w:name="_Toc51057174"/>
      <w:bookmarkStart w:id="4726" w:name="_Toc51058595"/>
      <w:bookmarkStart w:id="4727" w:name="_Toc51060012"/>
      <w:bookmarkStart w:id="4728" w:name="_Toc51061428"/>
      <w:bookmarkStart w:id="4729" w:name="_Toc51062844"/>
      <w:bookmarkStart w:id="4730" w:name="_Toc51064260"/>
      <w:bookmarkStart w:id="4731" w:name="_Toc51065693"/>
      <w:bookmarkStart w:id="4732" w:name="_Toc51067108"/>
      <w:bookmarkStart w:id="4733" w:name="_Toc51069156"/>
      <w:bookmarkStart w:id="4734" w:name="_Toc51106172"/>
      <w:bookmarkStart w:id="4735" w:name="_Toc51107600"/>
      <w:bookmarkStart w:id="4736" w:name="_Toc51109923"/>
      <w:bookmarkStart w:id="4737" w:name="_Toc51057176"/>
      <w:bookmarkStart w:id="4738" w:name="_Toc51058597"/>
      <w:bookmarkStart w:id="4739" w:name="_Toc51060014"/>
      <w:bookmarkStart w:id="4740" w:name="_Toc51061430"/>
      <w:bookmarkStart w:id="4741" w:name="_Toc51062846"/>
      <w:bookmarkStart w:id="4742" w:name="_Toc51064262"/>
      <w:bookmarkStart w:id="4743" w:name="_Toc51065695"/>
      <w:bookmarkStart w:id="4744" w:name="_Toc51067110"/>
      <w:bookmarkStart w:id="4745" w:name="_Toc51069158"/>
      <w:bookmarkStart w:id="4746" w:name="_Toc51106174"/>
      <w:bookmarkStart w:id="4747" w:name="_Toc51107602"/>
      <w:bookmarkStart w:id="4748" w:name="_Toc51109925"/>
      <w:bookmarkStart w:id="4749" w:name="_Toc51057178"/>
      <w:bookmarkStart w:id="4750" w:name="_Toc51058599"/>
      <w:bookmarkStart w:id="4751" w:name="_Toc51060016"/>
      <w:bookmarkStart w:id="4752" w:name="_Toc51061432"/>
      <w:bookmarkStart w:id="4753" w:name="_Toc51062848"/>
      <w:bookmarkStart w:id="4754" w:name="_Toc51064264"/>
      <w:bookmarkStart w:id="4755" w:name="_Toc51065697"/>
      <w:bookmarkStart w:id="4756" w:name="_Toc51067112"/>
      <w:bookmarkStart w:id="4757" w:name="_Toc51069160"/>
      <w:bookmarkStart w:id="4758" w:name="_Toc51106176"/>
      <w:bookmarkStart w:id="4759" w:name="_Toc51107604"/>
      <w:bookmarkStart w:id="4760" w:name="_Toc51109927"/>
      <w:bookmarkStart w:id="4761" w:name="_Toc51057180"/>
      <w:bookmarkStart w:id="4762" w:name="_Toc51058601"/>
      <w:bookmarkStart w:id="4763" w:name="_Toc51060018"/>
      <w:bookmarkStart w:id="4764" w:name="_Toc51061434"/>
      <w:bookmarkStart w:id="4765" w:name="_Toc51062850"/>
      <w:bookmarkStart w:id="4766" w:name="_Toc51064266"/>
      <w:bookmarkStart w:id="4767" w:name="_Toc51065699"/>
      <w:bookmarkStart w:id="4768" w:name="_Toc51067114"/>
      <w:bookmarkStart w:id="4769" w:name="_Toc51069162"/>
      <w:bookmarkStart w:id="4770" w:name="_Toc51106178"/>
      <w:bookmarkStart w:id="4771" w:name="_Toc51107606"/>
      <w:bookmarkStart w:id="4772" w:name="_Toc51109929"/>
      <w:bookmarkStart w:id="4773" w:name="_Toc51057182"/>
      <w:bookmarkStart w:id="4774" w:name="_Toc51058603"/>
      <w:bookmarkStart w:id="4775" w:name="_Toc51060020"/>
      <w:bookmarkStart w:id="4776" w:name="_Toc51061436"/>
      <w:bookmarkStart w:id="4777" w:name="_Toc51062852"/>
      <w:bookmarkStart w:id="4778" w:name="_Toc51064268"/>
      <w:bookmarkStart w:id="4779" w:name="_Toc51065701"/>
      <w:bookmarkStart w:id="4780" w:name="_Toc51067116"/>
      <w:bookmarkStart w:id="4781" w:name="_Toc51069164"/>
      <w:bookmarkStart w:id="4782" w:name="_Toc51106180"/>
      <w:bookmarkStart w:id="4783" w:name="_Toc51107608"/>
      <w:bookmarkStart w:id="4784" w:name="_Toc51109931"/>
      <w:bookmarkStart w:id="4785" w:name="_Toc51057183"/>
      <w:bookmarkStart w:id="4786" w:name="_Toc51058604"/>
      <w:bookmarkStart w:id="4787" w:name="_Toc51060021"/>
      <w:bookmarkStart w:id="4788" w:name="_Toc51061437"/>
      <w:bookmarkStart w:id="4789" w:name="_Toc51062853"/>
      <w:bookmarkStart w:id="4790" w:name="_Toc51064269"/>
      <w:bookmarkStart w:id="4791" w:name="_Toc51065702"/>
      <w:bookmarkStart w:id="4792" w:name="_Toc51067117"/>
      <w:bookmarkStart w:id="4793" w:name="_Toc51069165"/>
      <w:bookmarkStart w:id="4794" w:name="_Toc51106181"/>
      <w:bookmarkStart w:id="4795" w:name="_Toc51107609"/>
      <w:bookmarkStart w:id="4796" w:name="_Toc51109932"/>
      <w:bookmarkStart w:id="4797" w:name="_Toc51057185"/>
      <w:bookmarkStart w:id="4798" w:name="_Toc51058606"/>
      <w:bookmarkStart w:id="4799" w:name="_Toc51060023"/>
      <w:bookmarkStart w:id="4800" w:name="_Toc51061439"/>
      <w:bookmarkStart w:id="4801" w:name="_Toc51062855"/>
      <w:bookmarkStart w:id="4802" w:name="_Toc51064271"/>
      <w:bookmarkStart w:id="4803" w:name="_Toc51065704"/>
      <w:bookmarkStart w:id="4804" w:name="_Toc51067119"/>
      <w:bookmarkStart w:id="4805" w:name="_Toc51069167"/>
      <w:bookmarkStart w:id="4806" w:name="_Toc51106183"/>
      <w:bookmarkStart w:id="4807" w:name="_Toc51107611"/>
      <w:bookmarkStart w:id="4808" w:name="_Toc51109934"/>
      <w:bookmarkStart w:id="4809" w:name="_Toc51057187"/>
      <w:bookmarkStart w:id="4810" w:name="_Toc51058608"/>
      <w:bookmarkStart w:id="4811" w:name="_Toc51060025"/>
      <w:bookmarkStart w:id="4812" w:name="_Toc51061441"/>
      <w:bookmarkStart w:id="4813" w:name="_Toc51062857"/>
      <w:bookmarkStart w:id="4814" w:name="_Toc51064273"/>
      <w:bookmarkStart w:id="4815" w:name="_Toc51065706"/>
      <w:bookmarkStart w:id="4816" w:name="_Toc51067121"/>
      <w:bookmarkStart w:id="4817" w:name="_Toc51069169"/>
      <w:bookmarkStart w:id="4818" w:name="_Toc51106185"/>
      <w:bookmarkStart w:id="4819" w:name="_Toc51107613"/>
      <w:bookmarkStart w:id="4820" w:name="_Toc51109936"/>
      <w:bookmarkStart w:id="4821" w:name="_Toc51057189"/>
      <w:bookmarkStart w:id="4822" w:name="_Toc51058610"/>
      <w:bookmarkStart w:id="4823" w:name="_Toc51060027"/>
      <w:bookmarkStart w:id="4824" w:name="_Toc51061443"/>
      <w:bookmarkStart w:id="4825" w:name="_Toc51062859"/>
      <w:bookmarkStart w:id="4826" w:name="_Toc51064275"/>
      <w:bookmarkStart w:id="4827" w:name="_Toc51065708"/>
      <w:bookmarkStart w:id="4828" w:name="_Toc51067123"/>
      <w:bookmarkStart w:id="4829" w:name="_Toc51069171"/>
      <w:bookmarkStart w:id="4830" w:name="_Toc51106187"/>
      <w:bookmarkStart w:id="4831" w:name="_Toc51107615"/>
      <w:bookmarkStart w:id="4832" w:name="_Toc51109938"/>
      <w:bookmarkStart w:id="4833" w:name="_Toc51057191"/>
      <w:bookmarkStart w:id="4834" w:name="_Toc51058612"/>
      <w:bookmarkStart w:id="4835" w:name="_Toc51060029"/>
      <w:bookmarkStart w:id="4836" w:name="_Toc51061445"/>
      <w:bookmarkStart w:id="4837" w:name="_Toc51062861"/>
      <w:bookmarkStart w:id="4838" w:name="_Toc51064277"/>
      <w:bookmarkStart w:id="4839" w:name="_Toc51065710"/>
      <w:bookmarkStart w:id="4840" w:name="_Toc51067125"/>
      <w:bookmarkStart w:id="4841" w:name="_Toc51069173"/>
      <w:bookmarkStart w:id="4842" w:name="_Toc51106189"/>
      <w:bookmarkStart w:id="4843" w:name="_Toc51107617"/>
      <w:bookmarkStart w:id="4844" w:name="_Toc51109940"/>
      <w:bookmarkStart w:id="4845" w:name="_Toc51057193"/>
      <w:bookmarkStart w:id="4846" w:name="_Toc51058614"/>
      <w:bookmarkStart w:id="4847" w:name="_Toc51060031"/>
      <w:bookmarkStart w:id="4848" w:name="_Toc51061447"/>
      <w:bookmarkStart w:id="4849" w:name="_Toc51062863"/>
      <w:bookmarkStart w:id="4850" w:name="_Toc51064279"/>
      <w:bookmarkStart w:id="4851" w:name="_Toc51065712"/>
      <w:bookmarkStart w:id="4852" w:name="_Toc51067127"/>
      <w:bookmarkStart w:id="4853" w:name="_Toc51069175"/>
      <w:bookmarkStart w:id="4854" w:name="_Toc51106191"/>
      <w:bookmarkStart w:id="4855" w:name="_Toc51107619"/>
      <w:bookmarkStart w:id="4856" w:name="_Toc51109942"/>
      <w:bookmarkStart w:id="4857" w:name="_Toc51057195"/>
      <w:bookmarkStart w:id="4858" w:name="_Toc51058616"/>
      <w:bookmarkStart w:id="4859" w:name="_Toc51060033"/>
      <w:bookmarkStart w:id="4860" w:name="_Toc51061449"/>
      <w:bookmarkStart w:id="4861" w:name="_Toc51062865"/>
      <w:bookmarkStart w:id="4862" w:name="_Toc51064281"/>
      <w:bookmarkStart w:id="4863" w:name="_Toc51065714"/>
      <w:bookmarkStart w:id="4864" w:name="_Toc51067129"/>
      <w:bookmarkStart w:id="4865" w:name="_Toc51069177"/>
      <w:bookmarkStart w:id="4866" w:name="_Toc51106193"/>
      <w:bookmarkStart w:id="4867" w:name="_Toc51107621"/>
      <w:bookmarkStart w:id="4868" w:name="_Toc51109944"/>
      <w:bookmarkStart w:id="4869" w:name="_Toc51057197"/>
      <w:bookmarkStart w:id="4870" w:name="_Toc51058618"/>
      <w:bookmarkStart w:id="4871" w:name="_Toc51060035"/>
      <w:bookmarkStart w:id="4872" w:name="_Toc51061451"/>
      <w:bookmarkStart w:id="4873" w:name="_Toc51062867"/>
      <w:bookmarkStart w:id="4874" w:name="_Toc51064283"/>
      <w:bookmarkStart w:id="4875" w:name="_Toc51065716"/>
      <w:bookmarkStart w:id="4876" w:name="_Toc51067131"/>
      <w:bookmarkStart w:id="4877" w:name="_Toc51069179"/>
      <w:bookmarkStart w:id="4878" w:name="_Toc51106195"/>
      <w:bookmarkStart w:id="4879" w:name="_Toc51107623"/>
      <w:bookmarkStart w:id="4880" w:name="_Toc51109946"/>
      <w:bookmarkStart w:id="4881" w:name="_Toc51057199"/>
      <w:bookmarkStart w:id="4882" w:name="_Toc51058620"/>
      <w:bookmarkStart w:id="4883" w:name="_Toc51060037"/>
      <w:bookmarkStart w:id="4884" w:name="_Toc51061453"/>
      <w:bookmarkStart w:id="4885" w:name="_Toc51062869"/>
      <w:bookmarkStart w:id="4886" w:name="_Toc51064285"/>
      <w:bookmarkStart w:id="4887" w:name="_Toc51065718"/>
      <w:bookmarkStart w:id="4888" w:name="_Toc51067133"/>
      <w:bookmarkStart w:id="4889" w:name="_Toc51069181"/>
      <w:bookmarkStart w:id="4890" w:name="_Toc51106197"/>
      <w:bookmarkStart w:id="4891" w:name="_Toc51107625"/>
      <w:bookmarkStart w:id="4892" w:name="_Toc51109948"/>
      <w:bookmarkStart w:id="4893" w:name="_Toc51057201"/>
      <w:bookmarkStart w:id="4894" w:name="_Toc51058622"/>
      <w:bookmarkStart w:id="4895" w:name="_Toc51060039"/>
      <w:bookmarkStart w:id="4896" w:name="_Toc51061455"/>
      <w:bookmarkStart w:id="4897" w:name="_Toc51062871"/>
      <w:bookmarkStart w:id="4898" w:name="_Toc51064287"/>
      <w:bookmarkStart w:id="4899" w:name="_Toc51065720"/>
      <w:bookmarkStart w:id="4900" w:name="_Toc51067135"/>
      <w:bookmarkStart w:id="4901" w:name="_Toc51069183"/>
      <w:bookmarkStart w:id="4902" w:name="_Toc51106199"/>
      <w:bookmarkStart w:id="4903" w:name="_Toc51107627"/>
      <w:bookmarkStart w:id="4904" w:name="_Toc51109950"/>
      <w:bookmarkStart w:id="4905" w:name="_Toc51057203"/>
      <w:bookmarkStart w:id="4906" w:name="_Toc51058624"/>
      <w:bookmarkStart w:id="4907" w:name="_Toc51060041"/>
      <w:bookmarkStart w:id="4908" w:name="_Toc51061457"/>
      <w:bookmarkStart w:id="4909" w:name="_Toc51062873"/>
      <w:bookmarkStart w:id="4910" w:name="_Toc51064289"/>
      <w:bookmarkStart w:id="4911" w:name="_Toc51065722"/>
      <w:bookmarkStart w:id="4912" w:name="_Toc51067137"/>
      <w:bookmarkStart w:id="4913" w:name="_Toc51069185"/>
      <w:bookmarkStart w:id="4914" w:name="_Toc51106201"/>
      <w:bookmarkStart w:id="4915" w:name="_Toc51107629"/>
      <w:bookmarkStart w:id="4916" w:name="_Toc51109952"/>
      <w:bookmarkStart w:id="4917" w:name="_Toc51057206"/>
      <w:bookmarkStart w:id="4918" w:name="_Toc51058627"/>
      <w:bookmarkStart w:id="4919" w:name="_Toc51060044"/>
      <w:bookmarkStart w:id="4920" w:name="_Toc51061460"/>
      <w:bookmarkStart w:id="4921" w:name="_Toc51062876"/>
      <w:bookmarkStart w:id="4922" w:name="_Toc51064292"/>
      <w:bookmarkStart w:id="4923" w:name="_Toc51065725"/>
      <w:bookmarkStart w:id="4924" w:name="_Toc51067140"/>
      <w:bookmarkStart w:id="4925" w:name="_Toc51069188"/>
      <w:bookmarkStart w:id="4926" w:name="_Toc51106204"/>
      <w:bookmarkStart w:id="4927" w:name="_Toc51107632"/>
      <w:bookmarkStart w:id="4928" w:name="_Toc51109955"/>
      <w:bookmarkStart w:id="4929" w:name="_Toc51057209"/>
      <w:bookmarkStart w:id="4930" w:name="_Toc51058630"/>
      <w:bookmarkStart w:id="4931" w:name="_Toc51060047"/>
      <w:bookmarkStart w:id="4932" w:name="_Toc51061463"/>
      <w:bookmarkStart w:id="4933" w:name="_Toc51062879"/>
      <w:bookmarkStart w:id="4934" w:name="_Toc51064295"/>
      <w:bookmarkStart w:id="4935" w:name="_Toc51065728"/>
      <w:bookmarkStart w:id="4936" w:name="_Toc51067143"/>
      <w:bookmarkStart w:id="4937" w:name="_Toc51069191"/>
      <w:bookmarkStart w:id="4938" w:name="_Toc51106207"/>
      <w:bookmarkStart w:id="4939" w:name="_Toc51107635"/>
      <w:bookmarkStart w:id="4940" w:name="_Toc51109958"/>
      <w:bookmarkStart w:id="4941" w:name="_Toc51057211"/>
      <w:bookmarkStart w:id="4942" w:name="_Toc51058632"/>
      <w:bookmarkStart w:id="4943" w:name="_Toc51060049"/>
      <w:bookmarkStart w:id="4944" w:name="_Toc51061465"/>
      <w:bookmarkStart w:id="4945" w:name="_Toc51062881"/>
      <w:bookmarkStart w:id="4946" w:name="_Toc51064297"/>
      <w:bookmarkStart w:id="4947" w:name="_Toc51065730"/>
      <w:bookmarkStart w:id="4948" w:name="_Toc51067145"/>
      <w:bookmarkStart w:id="4949" w:name="_Toc51069193"/>
      <w:bookmarkStart w:id="4950" w:name="_Toc51106209"/>
      <w:bookmarkStart w:id="4951" w:name="_Toc51107637"/>
      <w:bookmarkStart w:id="4952" w:name="_Toc51109960"/>
      <w:bookmarkStart w:id="4953" w:name="_Toc51057213"/>
      <w:bookmarkStart w:id="4954" w:name="_Toc51058634"/>
      <w:bookmarkStart w:id="4955" w:name="_Toc51060051"/>
      <w:bookmarkStart w:id="4956" w:name="_Toc51061467"/>
      <w:bookmarkStart w:id="4957" w:name="_Toc51062883"/>
      <w:bookmarkStart w:id="4958" w:name="_Toc51064299"/>
      <w:bookmarkStart w:id="4959" w:name="_Toc51065732"/>
      <w:bookmarkStart w:id="4960" w:name="_Toc51067147"/>
      <w:bookmarkStart w:id="4961" w:name="_Toc51069195"/>
      <w:bookmarkStart w:id="4962" w:name="_Toc51106211"/>
      <w:bookmarkStart w:id="4963" w:name="_Toc51107639"/>
      <w:bookmarkStart w:id="4964" w:name="_Toc51109962"/>
      <w:bookmarkStart w:id="4965" w:name="_Toc51057215"/>
      <w:bookmarkStart w:id="4966" w:name="_Toc51058636"/>
      <w:bookmarkStart w:id="4967" w:name="_Toc51060053"/>
      <w:bookmarkStart w:id="4968" w:name="_Toc51061469"/>
      <w:bookmarkStart w:id="4969" w:name="_Toc51062885"/>
      <w:bookmarkStart w:id="4970" w:name="_Toc51064301"/>
      <w:bookmarkStart w:id="4971" w:name="_Toc51065734"/>
      <w:bookmarkStart w:id="4972" w:name="_Toc51067149"/>
      <w:bookmarkStart w:id="4973" w:name="_Toc51069197"/>
      <w:bookmarkStart w:id="4974" w:name="_Toc51106213"/>
      <w:bookmarkStart w:id="4975" w:name="_Toc51107641"/>
      <w:bookmarkStart w:id="4976" w:name="_Toc51109964"/>
      <w:bookmarkStart w:id="4977" w:name="_Toc51057217"/>
      <w:bookmarkStart w:id="4978" w:name="_Toc51058638"/>
      <w:bookmarkStart w:id="4979" w:name="_Toc51060055"/>
      <w:bookmarkStart w:id="4980" w:name="_Toc51061471"/>
      <w:bookmarkStart w:id="4981" w:name="_Toc51062887"/>
      <w:bookmarkStart w:id="4982" w:name="_Toc51064303"/>
      <w:bookmarkStart w:id="4983" w:name="_Toc51065736"/>
      <w:bookmarkStart w:id="4984" w:name="_Toc51067151"/>
      <w:bookmarkStart w:id="4985" w:name="_Toc51069199"/>
      <w:bookmarkStart w:id="4986" w:name="_Toc51106215"/>
      <w:bookmarkStart w:id="4987" w:name="_Toc51107643"/>
      <w:bookmarkStart w:id="4988" w:name="_Toc51109966"/>
      <w:bookmarkStart w:id="4989" w:name="_Toc51057219"/>
      <w:bookmarkStart w:id="4990" w:name="_Toc51058640"/>
      <w:bookmarkStart w:id="4991" w:name="_Toc51060057"/>
      <w:bookmarkStart w:id="4992" w:name="_Toc51061473"/>
      <w:bookmarkStart w:id="4993" w:name="_Toc51062889"/>
      <w:bookmarkStart w:id="4994" w:name="_Toc51064305"/>
      <w:bookmarkStart w:id="4995" w:name="_Toc51065738"/>
      <w:bookmarkStart w:id="4996" w:name="_Toc51067153"/>
      <w:bookmarkStart w:id="4997" w:name="_Toc51069201"/>
      <w:bookmarkStart w:id="4998" w:name="_Toc51106217"/>
      <w:bookmarkStart w:id="4999" w:name="_Toc51107645"/>
      <w:bookmarkStart w:id="5000" w:name="_Toc51109968"/>
      <w:bookmarkStart w:id="5001" w:name="_Toc51057220"/>
      <w:bookmarkStart w:id="5002" w:name="_Toc51058641"/>
      <w:bookmarkStart w:id="5003" w:name="_Toc51060058"/>
      <w:bookmarkStart w:id="5004" w:name="_Toc51061474"/>
      <w:bookmarkStart w:id="5005" w:name="_Toc51062890"/>
      <w:bookmarkStart w:id="5006" w:name="_Toc51064306"/>
      <w:bookmarkStart w:id="5007" w:name="_Toc51065739"/>
      <w:bookmarkStart w:id="5008" w:name="_Toc51067154"/>
      <w:bookmarkStart w:id="5009" w:name="_Toc51069202"/>
      <w:bookmarkStart w:id="5010" w:name="_Toc51106218"/>
      <w:bookmarkStart w:id="5011" w:name="_Toc51107646"/>
      <w:bookmarkStart w:id="5012" w:name="_Toc51109969"/>
      <w:bookmarkStart w:id="5013" w:name="_Toc51057221"/>
      <w:bookmarkStart w:id="5014" w:name="_Toc51058642"/>
      <w:bookmarkStart w:id="5015" w:name="_Toc51060059"/>
      <w:bookmarkStart w:id="5016" w:name="_Toc51061475"/>
      <w:bookmarkStart w:id="5017" w:name="_Toc51062891"/>
      <w:bookmarkStart w:id="5018" w:name="_Toc51064307"/>
      <w:bookmarkStart w:id="5019" w:name="_Toc51065740"/>
      <w:bookmarkStart w:id="5020" w:name="_Toc51067155"/>
      <w:bookmarkStart w:id="5021" w:name="_Toc51069203"/>
      <w:bookmarkStart w:id="5022" w:name="_Toc51106219"/>
      <w:bookmarkStart w:id="5023" w:name="_Toc51107647"/>
      <w:bookmarkStart w:id="5024" w:name="_Toc51109970"/>
      <w:bookmarkStart w:id="5025" w:name="_Toc51057223"/>
      <w:bookmarkStart w:id="5026" w:name="_Toc51058644"/>
      <w:bookmarkStart w:id="5027" w:name="_Toc51060061"/>
      <w:bookmarkStart w:id="5028" w:name="_Toc51061477"/>
      <w:bookmarkStart w:id="5029" w:name="_Toc51062893"/>
      <w:bookmarkStart w:id="5030" w:name="_Toc51064309"/>
      <w:bookmarkStart w:id="5031" w:name="_Toc51065742"/>
      <w:bookmarkStart w:id="5032" w:name="_Toc51067157"/>
      <w:bookmarkStart w:id="5033" w:name="_Toc51069205"/>
      <w:bookmarkStart w:id="5034" w:name="_Toc51106221"/>
      <w:bookmarkStart w:id="5035" w:name="_Toc51107649"/>
      <w:bookmarkStart w:id="5036" w:name="_Toc51109972"/>
      <w:bookmarkStart w:id="5037" w:name="_Toc51057224"/>
      <w:bookmarkStart w:id="5038" w:name="_Toc51058645"/>
      <w:bookmarkStart w:id="5039" w:name="_Toc51060062"/>
      <w:bookmarkStart w:id="5040" w:name="_Toc51061478"/>
      <w:bookmarkStart w:id="5041" w:name="_Toc51062894"/>
      <w:bookmarkStart w:id="5042" w:name="_Toc51064310"/>
      <w:bookmarkStart w:id="5043" w:name="_Toc51065743"/>
      <w:bookmarkStart w:id="5044" w:name="_Toc51067158"/>
      <w:bookmarkStart w:id="5045" w:name="_Toc51069206"/>
      <w:bookmarkStart w:id="5046" w:name="_Toc51106222"/>
      <w:bookmarkStart w:id="5047" w:name="_Toc51107650"/>
      <w:bookmarkStart w:id="5048" w:name="_Toc51109973"/>
      <w:bookmarkStart w:id="5049" w:name="_Toc51057227"/>
      <w:bookmarkStart w:id="5050" w:name="_Toc51058648"/>
      <w:bookmarkStart w:id="5051" w:name="_Toc51060065"/>
      <w:bookmarkStart w:id="5052" w:name="_Toc51061481"/>
      <w:bookmarkStart w:id="5053" w:name="_Toc51062897"/>
      <w:bookmarkStart w:id="5054" w:name="_Toc51064313"/>
      <w:bookmarkStart w:id="5055" w:name="_Toc51065746"/>
      <w:bookmarkStart w:id="5056" w:name="_Toc51067161"/>
      <w:bookmarkStart w:id="5057" w:name="_Toc51069209"/>
      <w:bookmarkStart w:id="5058" w:name="_Toc51106225"/>
      <w:bookmarkStart w:id="5059" w:name="_Toc51107653"/>
      <w:bookmarkStart w:id="5060" w:name="_Toc51109976"/>
      <w:bookmarkStart w:id="5061" w:name="_Toc51057229"/>
      <w:bookmarkStart w:id="5062" w:name="_Toc51058650"/>
      <w:bookmarkStart w:id="5063" w:name="_Toc51060067"/>
      <w:bookmarkStart w:id="5064" w:name="_Toc51061483"/>
      <w:bookmarkStart w:id="5065" w:name="_Toc51062899"/>
      <w:bookmarkStart w:id="5066" w:name="_Toc51064315"/>
      <w:bookmarkStart w:id="5067" w:name="_Toc51065748"/>
      <w:bookmarkStart w:id="5068" w:name="_Toc51067163"/>
      <w:bookmarkStart w:id="5069" w:name="_Toc51069211"/>
      <w:bookmarkStart w:id="5070" w:name="_Toc51106227"/>
      <w:bookmarkStart w:id="5071" w:name="_Toc51107655"/>
      <w:bookmarkStart w:id="5072" w:name="_Toc51109978"/>
      <w:bookmarkStart w:id="5073" w:name="_Toc51057231"/>
      <w:bookmarkStart w:id="5074" w:name="_Toc51058652"/>
      <w:bookmarkStart w:id="5075" w:name="_Toc51060069"/>
      <w:bookmarkStart w:id="5076" w:name="_Toc51061485"/>
      <w:bookmarkStart w:id="5077" w:name="_Toc51062901"/>
      <w:bookmarkStart w:id="5078" w:name="_Toc51064317"/>
      <w:bookmarkStart w:id="5079" w:name="_Toc51065750"/>
      <w:bookmarkStart w:id="5080" w:name="_Toc51067165"/>
      <w:bookmarkStart w:id="5081" w:name="_Toc51069213"/>
      <w:bookmarkStart w:id="5082" w:name="_Toc51106229"/>
      <w:bookmarkStart w:id="5083" w:name="_Toc51107657"/>
      <w:bookmarkStart w:id="5084" w:name="_Toc51109980"/>
      <w:bookmarkStart w:id="5085" w:name="_Toc51057233"/>
      <w:bookmarkStart w:id="5086" w:name="_Toc51058654"/>
      <w:bookmarkStart w:id="5087" w:name="_Toc51060071"/>
      <w:bookmarkStart w:id="5088" w:name="_Toc51061487"/>
      <w:bookmarkStart w:id="5089" w:name="_Toc51062903"/>
      <w:bookmarkStart w:id="5090" w:name="_Toc51064319"/>
      <w:bookmarkStart w:id="5091" w:name="_Toc51065752"/>
      <w:bookmarkStart w:id="5092" w:name="_Toc51067167"/>
      <w:bookmarkStart w:id="5093" w:name="_Toc51069215"/>
      <w:bookmarkStart w:id="5094" w:name="_Toc51106231"/>
      <w:bookmarkStart w:id="5095" w:name="_Toc51107659"/>
      <w:bookmarkStart w:id="5096" w:name="_Toc51109982"/>
      <w:bookmarkStart w:id="5097" w:name="_Toc51057235"/>
      <w:bookmarkStart w:id="5098" w:name="_Toc51058656"/>
      <w:bookmarkStart w:id="5099" w:name="_Toc51060073"/>
      <w:bookmarkStart w:id="5100" w:name="_Toc51061489"/>
      <w:bookmarkStart w:id="5101" w:name="_Toc51062905"/>
      <w:bookmarkStart w:id="5102" w:name="_Toc51064321"/>
      <w:bookmarkStart w:id="5103" w:name="_Toc51065754"/>
      <w:bookmarkStart w:id="5104" w:name="_Toc51067169"/>
      <w:bookmarkStart w:id="5105" w:name="_Toc51069217"/>
      <w:bookmarkStart w:id="5106" w:name="_Toc51106233"/>
      <w:bookmarkStart w:id="5107" w:name="_Toc51107661"/>
      <w:bookmarkStart w:id="5108" w:name="_Toc51109984"/>
      <w:bookmarkStart w:id="5109" w:name="_Toc51057237"/>
      <w:bookmarkStart w:id="5110" w:name="_Toc51058658"/>
      <w:bookmarkStart w:id="5111" w:name="_Toc51060075"/>
      <w:bookmarkStart w:id="5112" w:name="_Toc51061491"/>
      <w:bookmarkStart w:id="5113" w:name="_Toc51062907"/>
      <w:bookmarkStart w:id="5114" w:name="_Toc51064323"/>
      <w:bookmarkStart w:id="5115" w:name="_Toc51065756"/>
      <w:bookmarkStart w:id="5116" w:name="_Toc51067171"/>
      <w:bookmarkStart w:id="5117" w:name="_Toc51069219"/>
      <w:bookmarkStart w:id="5118" w:name="_Toc51106235"/>
      <w:bookmarkStart w:id="5119" w:name="_Toc51107663"/>
      <w:bookmarkStart w:id="5120" w:name="_Toc51109986"/>
      <w:bookmarkStart w:id="5121" w:name="_Toc51057239"/>
      <w:bookmarkStart w:id="5122" w:name="_Toc51058660"/>
      <w:bookmarkStart w:id="5123" w:name="_Toc51060077"/>
      <w:bookmarkStart w:id="5124" w:name="_Toc51061493"/>
      <w:bookmarkStart w:id="5125" w:name="_Toc51062909"/>
      <w:bookmarkStart w:id="5126" w:name="_Toc51064325"/>
      <w:bookmarkStart w:id="5127" w:name="_Toc51065758"/>
      <w:bookmarkStart w:id="5128" w:name="_Toc51067173"/>
      <w:bookmarkStart w:id="5129" w:name="_Toc51069221"/>
      <w:bookmarkStart w:id="5130" w:name="_Toc51106237"/>
      <w:bookmarkStart w:id="5131" w:name="_Toc51107665"/>
      <w:bookmarkStart w:id="5132" w:name="_Toc51109988"/>
      <w:bookmarkStart w:id="5133" w:name="_Toc51057241"/>
      <w:bookmarkStart w:id="5134" w:name="_Toc51058662"/>
      <w:bookmarkStart w:id="5135" w:name="_Toc51060079"/>
      <w:bookmarkStart w:id="5136" w:name="_Toc51061495"/>
      <w:bookmarkStart w:id="5137" w:name="_Toc51062911"/>
      <w:bookmarkStart w:id="5138" w:name="_Toc51064327"/>
      <w:bookmarkStart w:id="5139" w:name="_Toc51065760"/>
      <w:bookmarkStart w:id="5140" w:name="_Toc51067175"/>
      <w:bookmarkStart w:id="5141" w:name="_Toc51069223"/>
      <w:bookmarkStart w:id="5142" w:name="_Toc51106239"/>
      <w:bookmarkStart w:id="5143" w:name="_Toc51107667"/>
      <w:bookmarkStart w:id="5144" w:name="_Toc51109990"/>
      <w:bookmarkStart w:id="5145" w:name="_Toc51057243"/>
      <w:bookmarkStart w:id="5146" w:name="_Toc51058664"/>
      <w:bookmarkStart w:id="5147" w:name="_Toc51060081"/>
      <w:bookmarkStart w:id="5148" w:name="_Toc51061497"/>
      <w:bookmarkStart w:id="5149" w:name="_Toc51062913"/>
      <w:bookmarkStart w:id="5150" w:name="_Toc51064329"/>
      <w:bookmarkStart w:id="5151" w:name="_Toc51065762"/>
      <w:bookmarkStart w:id="5152" w:name="_Toc51067177"/>
      <w:bookmarkStart w:id="5153" w:name="_Toc51069225"/>
      <w:bookmarkStart w:id="5154" w:name="_Toc51106241"/>
      <w:bookmarkStart w:id="5155" w:name="_Toc51107669"/>
      <w:bookmarkStart w:id="5156" w:name="_Toc51109992"/>
      <w:bookmarkStart w:id="5157" w:name="_Toc51057245"/>
      <w:bookmarkStart w:id="5158" w:name="_Toc51058666"/>
      <w:bookmarkStart w:id="5159" w:name="_Toc51060083"/>
      <w:bookmarkStart w:id="5160" w:name="_Toc51061499"/>
      <w:bookmarkStart w:id="5161" w:name="_Toc51062915"/>
      <w:bookmarkStart w:id="5162" w:name="_Toc51064331"/>
      <w:bookmarkStart w:id="5163" w:name="_Toc51065764"/>
      <w:bookmarkStart w:id="5164" w:name="_Toc51067179"/>
      <w:bookmarkStart w:id="5165" w:name="_Toc51069227"/>
      <w:bookmarkStart w:id="5166" w:name="_Toc51106243"/>
      <w:bookmarkStart w:id="5167" w:name="_Toc51107671"/>
      <w:bookmarkStart w:id="5168" w:name="_Toc51109994"/>
      <w:bookmarkStart w:id="5169" w:name="_Toc51057247"/>
      <w:bookmarkStart w:id="5170" w:name="_Toc51058668"/>
      <w:bookmarkStart w:id="5171" w:name="_Toc51060085"/>
      <w:bookmarkStart w:id="5172" w:name="_Toc51061501"/>
      <w:bookmarkStart w:id="5173" w:name="_Toc51062917"/>
      <w:bookmarkStart w:id="5174" w:name="_Toc51064333"/>
      <w:bookmarkStart w:id="5175" w:name="_Toc51065766"/>
      <w:bookmarkStart w:id="5176" w:name="_Toc51067181"/>
      <w:bookmarkStart w:id="5177" w:name="_Toc51069229"/>
      <w:bookmarkStart w:id="5178" w:name="_Toc51106245"/>
      <w:bookmarkStart w:id="5179" w:name="_Toc51107673"/>
      <w:bookmarkStart w:id="5180" w:name="_Toc51109996"/>
      <w:bookmarkStart w:id="5181" w:name="_Toc51057248"/>
      <w:bookmarkStart w:id="5182" w:name="_Toc51058669"/>
      <w:bookmarkStart w:id="5183" w:name="_Toc51060086"/>
      <w:bookmarkStart w:id="5184" w:name="_Toc51061502"/>
      <w:bookmarkStart w:id="5185" w:name="_Toc51062918"/>
      <w:bookmarkStart w:id="5186" w:name="_Toc51064334"/>
      <w:bookmarkStart w:id="5187" w:name="_Toc51065767"/>
      <w:bookmarkStart w:id="5188" w:name="_Toc51067182"/>
      <w:bookmarkStart w:id="5189" w:name="_Toc51069230"/>
      <w:bookmarkStart w:id="5190" w:name="_Toc51106246"/>
      <w:bookmarkStart w:id="5191" w:name="_Toc51107674"/>
      <w:bookmarkStart w:id="5192" w:name="_Toc51109997"/>
      <w:bookmarkStart w:id="5193" w:name="_Toc51057249"/>
      <w:bookmarkStart w:id="5194" w:name="_Toc51058670"/>
      <w:bookmarkStart w:id="5195" w:name="_Toc51060087"/>
      <w:bookmarkStart w:id="5196" w:name="_Toc51061503"/>
      <w:bookmarkStart w:id="5197" w:name="_Toc51062919"/>
      <w:bookmarkStart w:id="5198" w:name="_Toc51064335"/>
      <w:bookmarkStart w:id="5199" w:name="_Toc51065768"/>
      <w:bookmarkStart w:id="5200" w:name="_Toc51067183"/>
      <w:bookmarkStart w:id="5201" w:name="_Toc51069231"/>
      <w:bookmarkStart w:id="5202" w:name="_Toc51106247"/>
      <w:bookmarkStart w:id="5203" w:name="_Toc51107675"/>
      <w:bookmarkStart w:id="5204" w:name="_Toc51109998"/>
      <w:bookmarkStart w:id="5205" w:name="_Toc51057250"/>
      <w:bookmarkStart w:id="5206" w:name="_Toc51058671"/>
      <w:bookmarkStart w:id="5207" w:name="_Toc51060088"/>
      <w:bookmarkStart w:id="5208" w:name="_Toc51061504"/>
      <w:bookmarkStart w:id="5209" w:name="_Toc51062920"/>
      <w:bookmarkStart w:id="5210" w:name="_Toc51064336"/>
      <w:bookmarkStart w:id="5211" w:name="_Toc51065769"/>
      <w:bookmarkStart w:id="5212" w:name="_Toc51067184"/>
      <w:bookmarkStart w:id="5213" w:name="_Toc51069232"/>
      <w:bookmarkStart w:id="5214" w:name="_Toc51106248"/>
      <w:bookmarkStart w:id="5215" w:name="_Toc51107676"/>
      <w:bookmarkStart w:id="5216" w:name="_Toc51109999"/>
      <w:bookmarkStart w:id="5217" w:name="_Toc51057251"/>
      <w:bookmarkStart w:id="5218" w:name="_Toc51058672"/>
      <w:bookmarkStart w:id="5219" w:name="_Toc51060089"/>
      <w:bookmarkStart w:id="5220" w:name="_Toc51061505"/>
      <w:bookmarkStart w:id="5221" w:name="_Toc51062921"/>
      <w:bookmarkStart w:id="5222" w:name="_Toc51064337"/>
      <w:bookmarkStart w:id="5223" w:name="_Toc51065770"/>
      <w:bookmarkStart w:id="5224" w:name="_Toc51067185"/>
      <w:bookmarkStart w:id="5225" w:name="_Toc51069233"/>
      <w:bookmarkStart w:id="5226" w:name="_Toc51106249"/>
      <w:bookmarkStart w:id="5227" w:name="_Toc51107677"/>
      <w:bookmarkStart w:id="5228" w:name="_Toc51110000"/>
      <w:bookmarkStart w:id="5229" w:name="_Toc51057252"/>
      <w:bookmarkStart w:id="5230" w:name="_Toc51058673"/>
      <w:bookmarkStart w:id="5231" w:name="_Toc51060090"/>
      <w:bookmarkStart w:id="5232" w:name="_Toc51061506"/>
      <w:bookmarkStart w:id="5233" w:name="_Toc51062922"/>
      <w:bookmarkStart w:id="5234" w:name="_Toc51064338"/>
      <w:bookmarkStart w:id="5235" w:name="_Toc51065771"/>
      <w:bookmarkStart w:id="5236" w:name="_Toc51067186"/>
      <w:bookmarkStart w:id="5237" w:name="_Toc51069234"/>
      <w:bookmarkStart w:id="5238" w:name="_Toc51106250"/>
      <w:bookmarkStart w:id="5239" w:name="_Toc51107678"/>
      <w:bookmarkStart w:id="5240" w:name="_Toc51110001"/>
      <w:bookmarkStart w:id="5241" w:name="_Toc51057253"/>
      <w:bookmarkStart w:id="5242" w:name="_Toc51058674"/>
      <w:bookmarkStart w:id="5243" w:name="_Toc51060091"/>
      <w:bookmarkStart w:id="5244" w:name="_Toc51061507"/>
      <w:bookmarkStart w:id="5245" w:name="_Toc51062923"/>
      <w:bookmarkStart w:id="5246" w:name="_Toc51064339"/>
      <w:bookmarkStart w:id="5247" w:name="_Toc51065772"/>
      <w:bookmarkStart w:id="5248" w:name="_Toc51067187"/>
      <w:bookmarkStart w:id="5249" w:name="_Toc51069235"/>
      <w:bookmarkStart w:id="5250" w:name="_Toc51106251"/>
      <w:bookmarkStart w:id="5251" w:name="_Toc51107679"/>
      <w:bookmarkStart w:id="5252" w:name="_Toc51110002"/>
      <w:bookmarkStart w:id="5253" w:name="_Toc51057254"/>
      <w:bookmarkStart w:id="5254" w:name="_Toc51058675"/>
      <w:bookmarkStart w:id="5255" w:name="_Toc51060092"/>
      <w:bookmarkStart w:id="5256" w:name="_Toc51061508"/>
      <w:bookmarkStart w:id="5257" w:name="_Toc51062924"/>
      <w:bookmarkStart w:id="5258" w:name="_Toc51064340"/>
      <w:bookmarkStart w:id="5259" w:name="_Toc51065773"/>
      <w:bookmarkStart w:id="5260" w:name="_Toc51067188"/>
      <w:bookmarkStart w:id="5261" w:name="_Toc51069236"/>
      <w:bookmarkStart w:id="5262" w:name="_Toc51106252"/>
      <w:bookmarkStart w:id="5263" w:name="_Toc51107680"/>
      <w:bookmarkStart w:id="5264" w:name="_Toc51110003"/>
      <w:bookmarkStart w:id="5265" w:name="_Toc51057255"/>
      <w:bookmarkStart w:id="5266" w:name="_Toc51058676"/>
      <w:bookmarkStart w:id="5267" w:name="_Toc51060093"/>
      <w:bookmarkStart w:id="5268" w:name="_Toc51061509"/>
      <w:bookmarkStart w:id="5269" w:name="_Toc51062925"/>
      <w:bookmarkStart w:id="5270" w:name="_Toc51064341"/>
      <w:bookmarkStart w:id="5271" w:name="_Toc51065774"/>
      <w:bookmarkStart w:id="5272" w:name="_Toc51067189"/>
      <w:bookmarkStart w:id="5273" w:name="_Toc51069237"/>
      <w:bookmarkStart w:id="5274" w:name="_Toc51106253"/>
      <w:bookmarkStart w:id="5275" w:name="_Toc51107681"/>
      <w:bookmarkStart w:id="5276" w:name="_Toc51110004"/>
      <w:bookmarkStart w:id="5277" w:name="_Toc51057256"/>
      <w:bookmarkStart w:id="5278" w:name="_Toc51058677"/>
      <w:bookmarkStart w:id="5279" w:name="_Toc51060094"/>
      <w:bookmarkStart w:id="5280" w:name="_Toc51061510"/>
      <w:bookmarkStart w:id="5281" w:name="_Toc51062926"/>
      <w:bookmarkStart w:id="5282" w:name="_Toc51064342"/>
      <w:bookmarkStart w:id="5283" w:name="_Toc51065775"/>
      <w:bookmarkStart w:id="5284" w:name="_Toc51067190"/>
      <w:bookmarkStart w:id="5285" w:name="_Toc51069238"/>
      <w:bookmarkStart w:id="5286" w:name="_Toc51106254"/>
      <w:bookmarkStart w:id="5287" w:name="_Toc51107682"/>
      <w:bookmarkStart w:id="5288" w:name="_Toc51110005"/>
      <w:bookmarkStart w:id="5289" w:name="_Toc51057259"/>
      <w:bookmarkStart w:id="5290" w:name="_Toc51058680"/>
      <w:bookmarkStart w:id="5291" w:name="_Toc51060097"/>
      <w:bookmarkStart w:id="5292" w:name="_Toc51061513"/>
      <w:bookmarkStart w:id="5293" w:name="_Toc51062929"/>
      <w:bookmarkStart w:id="5294" w:name="_Toc51064345"/>
      <w:bookmarkStart w:id="5295" w:name="_Toc51065778"/>
      <w:bookmarkStart w:id="5296" w:name="_Toc51067193"/>
      <w:bookmarkStart w:id="5297" w:name="_Toc51069241"/>
      <w:bookmarkStart w:id="5298" w:name="_Toc51106257"/>
      <w:bookmarkStart w:id="5299" w:name="_Toc51107685"/>
      <w:bookmarkStart w:id="5300" w:name="_Toc51110008"/>
      <w:bookmarkStart w:id="5301" w:name="_Toc51057260"/>
      <w:bookmarkStart w:id="5302" w:name="_Toc51058681"/>
      <w:bookmarkStart w:id="5303" w:name="_Toc51060098"/>
      <w:bookmarkStart w:id="5304" w:name="_Toc51061514"/>
      <w:bookmarkStart w:id="5305" w:name="_Toc51062930"/>
      <w:bookmarkStart w:id="5306" w:name="_Toc51064346"/>
      <w:bookmarkStart w:id="5307" w:name="_Toc51065779"/>
      <w:bookmarkStart w:id="5308" w:name="_Toc51067194"/>
      <w:bookmarkStart w:id="5309" w:name="_Toc51069242"/>
      <w:bookmarkStart w:id="5310" w:name="_Toc51106258"/>
      <w:bookmarkStart w:id="5311" w:name="_Toc51107686"/>
      <w:bookmarkStart w:id="5312" w:name="_Toc51110009"/>
      <w:bookmarkStart w:id="5313" w:name="_Toc51057261"/>
      <w:bookmarkStart w:id="5314" w:name="_Toc51058682"/>
      <w:bookmarkStart w:id="5315" w:name="_Toc51060099"/>
      <w:bookmarkStart w:id="5316" w:name="_Toc51061515"/>
      <w:bookmarkStart w:id="5317" w:name="_Toc51062931"/>
      <w:bookmarkStart w:id="5318" w:name="_Toc51064347"/>
      <w:bookmarkStart w:id="5319" w:name="_Toc51065780"/>
      <w:bookmarkStart w:id="5320" w:name="_Toc51067195"/>
      <w:bookmarkStart w:id="5321" w:name="_Toc51069243"/>
      <w:bookmarkStart w:id="5322" w:name="_Toc51106259"/>
      <w:bookmarkStart w:id="5323" w:name="_Toc51107687"/>
      <w:bookmarkStart w:id="5324" w:name="_Toc51110010"/>
      <w:bookmarkStart w:id="5325" w:name="_Toc51057263"/>
      <w:bookmarkStart w:id="5326" w:name="_Toc51058684"/>
      <w:bookmarkStart w:id="5327" w:name="_Toc51060101"/>
      <w:bookmarkStart w:id="5328" w:name="_Toc51061517"/>
      <w:bookmarkStart w:id="5329" w:name="_Toc51062933"/>
      <w:bookmarkStart w:id="5330" w:name="_Toc51064349"/>
      <w:bookmarkStart w:id="5331" w:name="_Toc51065782"/>
      <w:bookmarkStart w:id="5332" w:name="_Toc51067197"/>
      <w:bookmarkStart w:id="5333" w:name="_Toc51069245"/>
      <w:bookmarkStart w:id="5334" w:name="_Toc51106261"/>
      <w:bookmarkStart w:id="5335" w:name="_Toc51107689"/>
      <w:bookmarkStart w:id="5336" w:name="_Toc51110012"/>
      <w:bookmarkStart w:id="5337" w:name="_Toc51057267"/>
      <w:bookmarkStart w:id="5338" w:name="_Toc51058688"/>
      <w:bookmarkStart w:id="5339" w:name="_Toc51060105"/>
      <w:bookmarkStart w:id="5340" w:name="_Toc51061521"/>
      <w:bookmarkStart w:id="5341" w:name="_Toc51062937"/>
      <w:bookmarkStart w:id="5342" w:name="_Toc51064353"/>
      <w:bookmarkStart w:id="5343" w:name="_Toc51065786"/>
      <w:bookmarkStart w:id="5344" w:name="_Toc51067201"/>
      <w:bookmarkStart w:id="5345" w:name="_Toc51069249"/>
      <w:bookmarkStart w:id="5346" w:name="_Toc51106265"/>
      <w:bookmarkStart w:id="5347" w:name="_Toc51107693"/>
      <w:bookmarkStart w:id="5348" w:name="_Toc51110016"/>
      <w:bookmarkStart w:id="5349" w:name="_Toc51057268"/>
      <w:bookmarkStart w:id="5350" w:name="_Toc51058689"/>
      <w:bookmarkStart w:id="5351" w:name="_Toc51060106"/>
      <w:bookmarkStart w:id="5352" w:name="_Toc51061522"/>
      <w:bookmarkStart w:id="5353" w:name="_Toc51062938"/>
      <w:bookmarkStart w:id="5354" w:name="_Toc51064354"/>
      <w:bookmarkStart w:id="5355" w:name="_Toc51065787"/>
      <w:bookmarkStart w:id="5356" w:name="_Toc51067202"/>
      <w:bookmarkStart w:id="5357" w:name="_Toc51069250"/>
      <w:bookmarkStart w:id="5358" w:name="_Toc51106266"/>
      <w:bookmarkStart w:id="5359" w:name="_Toc51107694"/>
      <w:bookmarkStart w:id="5360" w:name="_Toc51110017"/>
      <w:bookmarkStart w:id="5361" w:name="_Toc51057270"/>
      <w:bookmarkStart w:id="5362" w:name="_Toc51058691"/>
      <w:bookmarkStart w:id="5363" w:name="_Toc51060108"/>
      <w:bookmarkStart w:id="5364" w:name="_Toc51061524"/>
      <w:bookmarkStart w:id="5365" w:name="_Toc51062940"/>
      <w:bookmarkStart w:id="5366" w:name="_Toc51064356"/>
      <w:bookmarkStart w:id="5367" w:name="_Toc51065789"/>
      <w:bookmarkStart w:id="5368" w:name="_Toc51067204"/>
      <w:bookmarkStart w:id="5369" w:name="_Toc51069252"/>
      <w:bookmarkStart w:id="5370" w:name="_Toc51106268"/>
      <w:bookmarkStart w:id="5371" w:name="_Toc51107696"/>
      <w:bookmarkStart w:id="5372" w:name="_Toc51110019"/>
      <w:bookmarkStart w:id="5373" w:name="_Toc51057272"/>
      <w:bookmarkStart w:id="5374" w:name="_Toc51058693"/>
      <w:bookmarkStart w:id="5375" w:name="_Toc51060110"/>
      <w:bookmarkStart w:id="5376" w:name="_Toc51061526"/>
      <w:bookmarkStart w:id="5377" w:name="_Toc51062942"/>
      <w:bookmarkStart w:id="5378" w:name="_Toc51064358"/>
      <w:bookmarkStart w:id="5379" w:name="_Toc51065791"/>
      <w:bookmarkStart w:id="5380" w:name="_Toc51067206"/>
      <w:bookmarkStart w:id="5381" w:name="_Toc51069254"/>
      <w:bookmarkStart w:id="5382" w:name="_Toc51106270"/>
      <w:bookmarkStart w:id="5383" w:name="_Toc51107698"/>
      <w:bookmarkStart w:id="5384" w:name="_Toc51110021"/>
      <w:bookmarkStart w:id="5385" w:name="_Toc51057274"/>
      <w:bookmarkStart w:id="5386" w:name="_Toc51058695"/>
      <w:bookmarkStart w:id="5387" w:name="_Toc51060112"/>
      <w:bookmarkStart w:id="5388" w:name="_Toc51061528"/>
      <w:bookmarkStart w:id="5389" w:name="_Toc51062944"/>
      <w:bookmarkStart w:id="5390" w:name="_Toc51064360"/>
      <w:bookmarkStart w:id="5391" w:name="_Toc51065793"/>
      <w:bookmarkStart w:id="5392" w:name="_Toc51067208"/>
      <w:bookmarkStart w:id="5393" w:name="_Toc51069256"/>
      <w:bookmarkStart w:id="5394" w:name="_Toc51106272"/>
      <w:bookmarkStart w:id="5395" w:name="_Toc51107700"/>
      <w:bookmarkStart w:id="5396" w:name="_Toc51110023"/>
      <w:bookmarkStart w:id="5397" w:name="_Toc51057276"/>
      <w:bookmarkStart w:id="5398" w:name="_Toc51058697"/>
      <w:bookmarkStart w:id="5399" w:name="_Toc51060114"/>
      <w:bookmarkStart w:id="5400" w:name="_Toc51061530"/>
      <w:bookmarkStart w:id="5401" w:name="_Toc51062946"/>
      <w:bookmarkStart w:id="5402" w:name="_Toc51064362"/>
      <w:bookmarkStart w:id="5403" w:name="_Toc51065795"/>
      <w:bookmarkStart w:id="5404" w:name="_Toc51067210"/>
      <w:bookmarkStart w:id="5405" w:name="_Toc51069258"/>
      <w:bookmarkStart w:id="5406" w:name="_Toc51106274"/>
      <w:bookmarkStart w:id="5407" w:name="_Toc51107702"/>
      <w:bookmarkStart w:id="5408" w:name="_Toc51110025"/>
      <w:bookmarkStart w:id="5409" w:name="_Toc51057278"/>
      <w:bookmarkStart w:id="5410" w:name="_Toc51058699"/>
      <w:bookmarkStart w:id="5411" w:name="_Toc51060116"/>
      <w:bookmarkStart w:id="5412" w:name="_Toc51061532"/>
      <w:bookmarkStart w:id="5413" w:name="_Toc51062948"/>
      <w:bookmarkStart w:id="5414" w:name="_Toc51064364"/>
      <w:bookmarkStart w:id="5415" w:name="_Toc51065797"/>
      <w:bookmarkStart w:id="5416" w:name="_Toc51067212"/>
      <w:bookmarkStart w:id="5417" w:name="_Toc51069260"/>
      <w:bookmarkStart w:id="5418" w:name="_Toc51106276"/>
      <w:bookmarkStart w:id="5419" w:name="_Toc51107704"/>
      <w:bookmarkStart w:id="5420" w:name="_Toc51110027"/>
      <w:bookmarkStart w:id="5421" w:name="_Toc51057280"/>
      <w:bookmarkStart w:id="5422" w:name="_Toc51058701"/>
      <w:bookmarkStart w:id="5423" w:name="_Toc51060118"/>
      <w:bookmarkStart w:id="5424" w:name="_Toc51061534"/>
      <w:bookmarkStart w:id="5425" w:name="_Toc51062950"/>
      <w:bookmarkStart w:id="5426" w:name="_Toc51064366"/>
      <w:bookmarkStart w:id="5427" w:name="_Toc51065799"/>
      <w:bookmarkStart w:id="5428" w:name="_Toc51067214"/>
      <w:bookmarkStart w:id="5429" w:name="_Toc51069262"/>
      <w:bookmarkStart w:id="5430" w:name="_Toc51106278"/>
      <w:bookmarkStart w:id="5431" w:name="_Toc51107706"/>
      <w:bookmarkStart w:id="5432" w:name="_Toc51110029"/>
      <w:bookmarkStart w:id="5433" w:name="_Toc51057282"/>
      <w:bookmarkStart w:id="5434" w:name="_Toc51058703"/>
      <w:bookmarkStart w:id="5435" w:name="_Toc51060120"/>
      <w:bookmarkStart w:id="5436" w:name="_Toc51061536"/>
      <w:bookmarkStart w:id="5437" w:name="_Toc51062952"/>
      <w:bookmarkStart w:id="5438" w:name="_Toc51064368"/>
      <w:bookmarkStart w:id="5439" w:name="_Toc51065801"/>
      <w:bookmarkStart w:id="5440" w:name="_Toc51067216"/>
      <w:bookmarkStart w:id="5441" w:name="_Toc51069264"/>
      <w:bookmarkStart w:id="5442" w:name="_Toc51106280"/>
      <w:bookmarkStart w:id="5443" w:name="_Toc51107708"/>
      <w:bookmarkStart w:id="5444" w:name="_Toc51110031"/>
      <w:bookmarkStart w:id="5445" w:name="_Toc51057283"/>
      <w:bookmarkStart w:id="5446" w:name="_Toc51058704"/>
      <w:bookmarkStart w:id="5447" w:name="_Toc51060121"/>
      <w:bookmarkStart w:id="5448" w:name="_Toc51061537"/>
      <w:bookmarkStart w:id="5449" w:name="_Toc51062953"/>
      <w:bookmarkStart w:id="5450" w:name="_Toc51064369"/>
      <w:bookmarkStart w:id="5451" w:name="_Toc51065802"/>
      <w:bookmarkStart w:id="5452" w:name="_Toc51067217"/>
      <w:bookmarkStart w:id="5453" w:name="_Toc51069265"/>
      <w:bookmarkStart w:id="5454" w:name="_Toc51106281"/>
      <w:bookmarkStart w:id="5455" w:name="_Toc51107709"/>
      <w:bookmarkStart w:id="5456" w:name="_Toc51110032"/>
      <w:bookmarkStart w:id="5457" w:name="_Toc51057284"/>
      <w:bookmarkStart w:id="5458" w:name="_Toc51058705"/>
      <w:bookmarkStart w:id="5459" w:name="_Toc51060122"/>
      <w:bookmarkStart w:id="5460" w:name="_Toc51061538"/>
      <w:bookmarkStart w:id="5461" w:name="_Toc51062954"/>
      <w:bookmarkStart w:id="5462" w:name="_Toc51064370"/>
      <w:bookmarkStart w:id="5463" w:name="_Toc51065803"/>
      <w:bookmarkStart w:id="5464" w:name="_Toc51067218"/>
      <w:bookmarkStart w:id="5465" w:name="_Toc51069266"/>
      <w:bookmarkStart w:id="5466" w:name="_Toc51106282"/>
      <w:bookmarkStart w:id="5467" w:name="_Toc51107710"/>
      <w:bookmarkStart w:id="5468" w:name="_Toc51110033"/>
      <w:bookmarkStart w:id="5469" w:name="_Toc51057285"/>
      <w:bookmarkStart w:id="5470" w:name="_Toc51058706"/>
      <w:bookmarkStart w:id="5471" w:name="_Toc51060123"/>
      <w:bookmarkStart w:id="5472" w:name="_Toc51061539"/>
      <w:bookmarkStart w:id="5473" w:name="_Toc51062955"/>
      <w:bookmarkStart w:id="5474" w:name="_Toc51064371"/>
      <w:bookmarkStart w:id="5475" w:name="_Toc51065804"/>
      <w:bookmarkStart w:id="5476" w:name="_Toc51067219"/>
      <w:bookmarkStart w:id="5477" w:name="_Toc51069267"/>
      <w:bookmarkStart w:id="5478" w:name="_Toc51106283"/>
      <w:bookmarkStart w:id="5479" w:name="_Toc51107711"/>
      <w:bookmarkStart w:id="5480" w:name="_Toc51110034"/>
      <w:bookmarkStart w:id="5481" w:name="_Toc51057286"/>
      <w:bookmarkStart w:id="5482" w:name="_Toc51058707"/>
      <w:bookmarkStart w:id="5483" w:name="_Toc51060124"/>
      <w:bookmarkStart w:id="5484" w:name="_Toc51061540"/>
      <w:bookmarkStart w:id="5485" w:name="_Toc51062956"/>
      <w:bookmarkStart w:id="5486" w:name="_Toc51064372"/>
      <w:bookmarkStart w:id="5487" w:name="_Toc51065805"/>
      <w:bookmarkStart w:id="5488" w:name="_Toc51067220"/>
      <w:bookmarkStart w:id="5489" w:name="_Toc51069268"/>
      <w:bookmarkStart w:id="5490" w:name="_Toc51106284"/>
      <w:bookmarkStart w:id="5491" w:name="_Toc51107712"/>
      <w:bookmarkStart w:id="5492" w:name="_Toc51110035"/>
      <w:bookmarkStart w:id="5493" w:name="_Toc51057288"/>
      <w:bookmarkStart w:id="5494" w:name="_Toc51058709"/>
      <w:bookmarkStart w:id="5495" w:name="_Toc51060126"/>
      <w:bookmarkStart w:id="5496" w:name="_Toc51061542"/>
      <w:bookmarkStart w:id="5497" w:name="_Toc51062958"/>
      <w:bookmarkStart w:id="5498" w:name="_Toc51064374"/>
      <w:bookmarkStart w:id="5499" w:name="_Toc51065807"/>
      <w:bookmarkStart w:id="5500" w:name="_Toc51067222"/>
      <w:bookmarkStart w:id="5501" w:name="_Toc51069270"/>
      <w:bookmarkStart w:id="5502" w:name="_Toc51106286"/>
      <w:bookmarkStart w:id="5503" w:name="_Toc51107714"/>
      <w:bookmarkStart w:id="5504" w:name="_Toc51110037"/>
      <w:bookmarkStart w:id="5505" w:name="_Toc51057290"/>
      <w:bookmarkStart w:id="5506" w:name="_Toc51058711"/>
      <w:bookmarkStart w:id="5507" w:name="_Toc51060128"/>
      <w:bookmarkStart w:id="5508" w:name="_Toc51061544"/>
      <w:bookmarkStart w:id="5509" w:name="_Toc51062960"/>
      <w:bookmarkStart w:id="5510" w:name="_Toc51064376"/>
      <w:bookmarkStart w:id="5511" w:name="_Toc51065809"/>
      <w:bookmarkStart w:id="5512" w:name="_Toc51067224"/>
      <w:bookmarkStart w:id="5513" w:name="_Toc51069272"/>
      <w:bookmarkStart w:id="5514" w:name="_Toc51106288"/>
      <w:bookmarkStart w:id="5515" w:name="_Toc51107716"/>
      <w:bookmarkStart w:id="5516" w:name="_Toc51110039"/>
      <w:bookmarkStart w:id="5517" w:name="_Toc51057292"/>
      <w:bookmarkStart w:id="5518" w:name="_Toc51058713"/>
      <w:bookmarkStart w:id="5519" w:name="_Toc51060130"/>
      <w:bookmarkStart w:id="5520" w:name="_Toc51061546"/>
      <w:bookmarkStart w:id="5521" w:name="_Toc51062962"/>
      <w:bookmarkStart w:id="5522" w:name="_Toc51064378"/>
      <w:bookmarkStart w:id="5523" w:name="_Toc51065811"/>
      <w:bookmarkStart w:id="5524" w:name="_Toc51067226"/>
      <w:bookmarkStart w:id="5525" w:name="_Toc51069274"/>
      <w:bookmarkStart w:id="5526" w:name="_Toc51106290"/>
      <w:bookmarkStart w:id="5527" w:name="_Toc51107718"/>
      <w:bookmarkStart w:id="5528" w:name="_Toc51110041"/>
      <w:bookmarkStart w:id="5529" w:name="_Toc51057294"/>
      <w:bookmarkStart w:id="5530" w:name="_Toc51058715"/>
      <w:bookmarkStart w:id="5531" w:name="_Toc51060132"/>
      <w:bookmarkStart w:id="5532" w:name="_Toc51061548"/>
      <w:bookmarkStart w:id="5533" w:name="_Toc51062964"/>
      <w:bookmarkStart w:id="5534" w:name="_Toc51064380"/>
      <w:bookmarkStart w:id="5535" w:name="_Toc51065813"/>
      <w:bookmarkStart w:id="5536" w:name="_Toc51067228"/>
      <w:bookmarkStart w:id="5537" w:name="_Toc51069276"/>
      <w:bookmarkStart w:id="5538" w:name="_Toc51106292"/>
      <w:bookmarkStart w:id="5539" w:name="_Toc51107720"/>
      <w:bookmarkStart w:id="5540" w:name="_Toc51110043"/>
      <w:bookmarkStart w:id="5541" w:name="_Toc51057295"/>
      <w:bookmarkStart w:id="5542" w:name="_Toc51058716"/>
      <w:bookmarkStart w:id="5543" w:name="_Toc51060133"/>
      <w:bookmarkStart w:id="5544" w:name="_Toc51061549"/>
      <w:bookmarkStart w:id="5545" w:name="_Toc51062965"/>
      <w:bookmarkStart w:id="5546" w:name="_Toc51064381"/>
      <w:bookmarkStart w:id="5547" w:name="_Toc51065814"/>
      <w:bookmarkStart w:id="5548" w:name="_Toc51067229"/>
      <w:bookmarkStart w:id="5549" w:name="_Toc51069277"/>
      <w:bookmarkStart w:id="5550" w:name="_Toc51106293"/>
      <w:bookmarkStart w:id="5551" w:name="_Toc51107721"/>
      <w:bookmarkStart w:id="5552" w:name="_Toc51110044"/>
      <w:bookmarkStart w:id="5553" w:name="_Toc51057296"/>
      <w:bookmarkStart w:id="5554" w:name="_Toc51058717"/>
      <w:bookmarkStart w:id="5555" w:name="_Toc51060134"/>
      <w:bookmarkStart w:id="5556" w:name="_Toc51061550"/>
      <w:bookmarkStart w:id="5557" w:name="_Toc51062966"/>
      <w:bookmarkStart w:id="5558" w:name="_Toc51064382"/>
      <w:bookmarkStart w:id="5559" w:name="_Toc51065815"/>
      <w:bookmarkStart w:id="5560" w:name="_Toc51067230"/>
      <w:bookmarkStart w:id="5561" w:name="_Toc51069278"/>
      <w:bookmarkStart w:id="5562" w:name="_Toc51106294"/>
      <w:bookmarkStart w:id="5563" w:name="_Toc51107722"/>
      <w:bookmarkStart w:id="5564" w:name="_Toc51110045"/>
      <w:bookmarkStart w:id="5565" w:name="_Toc51057298"/>
      <w:bookmarkStart w:id="5566" w:name="_Toc51058719"/>
      <w:bookmarkStart w:id="5567" w:name="_Toc51060136"/>
      <w:bookmarkStart w:id="5568" w:name="_Toc51061552"/>
      <w:bookmarkStart w:id="5569" w:name="_Toc51062968"/>
      <w:bookmarkStart w:id="5570" w:name="_Toc51064384"/>
      <w:bookmarkStart w:id="5571" w:name="_Toc51065817"/>
      <w:bookmarkStart w:id="5572" w:name="_Toc51067232"/>
      <w:bookmarkStart w:id="5573" w:name="_Toc51069280"/>
      <w:bookmarkStart w:id="5574" w:name="_Toc51106296"/>
      <w:bookmarkStart w:id="5575" w:name="_Toc51107724"/>
      <w:bookmarkStart w:id="5576" w:name="_Toc51110047"/>
      <w:bookmarkStart w:id="5577" w:name="_Toc51057300"/>
      <w:bookmarkStart w:id="5578" w:name="_Toc51058721"/>
      <w:bookmarkStart w:id="5579" w:name="_Toc51060138"/>
      <w:bookmarkStart w:id="5580" w:name="_Toc51061554"/>
      <w:bookmarkStart w:id="5581" w:name="_Toc51062970"/>
      <w:bookmarkStart w:id="5582" w:name="_Toc51064386"/>
      <w:bookmarkStart w:id="5583" w:name="_Toc51065819"/>
      <w:bookmarkStart w:id="5584" w:name="_Toc51067234"/>
      <w:bookmarkStart w:id="5585" w:name="_Toc51069282"/>
      <w:bookmarkStart w:id="5586" w:name="_Toc51106298"/>
      <w:bookmarkStart w:id="5587" w:name="_Toc51107726"/>
      <w:bookmarkStart w:id="5588" w:name="_Toc51110049"/>
      <w:bookmarkStart w:id="5589" w:name="_Toc51057302"/>
      <w:bookmarkStart w:id="5590" w:name="_Toc51058723"/>
      <w:bookmarkStart w:id="5591" w:name="_Toc51060140"/>
      <w:bookmarkStart w:id="5592" w:name="_Toc51061556"/>
      <w:bookmarkStart w:id="5593" w:name="_Toc51062972"/>
      <w:bookmarkStart w:id="5594" w:name="_Toc51064388"/>
      <w:bookmarkStart w:id="5595" w:name="_Toc51065821"/>
      <w:bookmarkStart w:id="5596" w:name="_Toc51067236"/>
      <w:bookmarkStart w:id="5597" w:name="_Toc51069284"/>
      <w:bookmarkStart w:id="5598" w:name="_Toc51106300"/>
      <w:bookmarkStart w:id="5599" w:name="_Toc51107728"/>
      <w:bookmarkStart w:id="5600" w:name="_Toc51110051"/>
      <w:bookmarkStart w:id="5601" w:name="_Toc51057307"/>
      <w:bookmarkStart w:id="5602" w:name="_Toc51058728"/>
      <w:bookmarkStart w:id="5603" w:name="_Toc51060145"/>
      <w:bookmarkStart w:id="5604" w:name="_Toc51061561"/>
      <w:bookmarkStart w:id="5605" w:name="_Toc51062977"/>
      <w:bookmarkStart w:id="5606" w:name="_Toc51064393"/>
      <w:bookmarkStart w:id="5607" w:name="_Toc51065826"/>
      <w:bookmarkStart w:id="5608" w:name="_Toc51067241"/>
      <w:bookmarkStart w:id="5609" w:name="_Toc51069289"/>
      <w:bookmarkStart w:id="5610" w:name="_Toc51106305"/>
      <w:bookmarkStart w:id="5611" w:name="_Toc51107733"/>
      <w:bookmarkStart w:id="5612" w:name="_Toc51110056"/>
      <w:bookmarkStart w:id="5613" w:name="_Toc51057309"/>
      <w:bookmarkStart w:id="5614" w:name="_Toc51058730"/>
      <w:bookmarkStart w:id="5615" w:name="_Toc51060147"/>
      <w:bookmarkStart w:id="5616" w:name="_Toc51061563"/>
      <w:bookmarkStart w:id="5617" w:name="_Toc51062979"/>
      <w:bookmarkStart w:id="5618" w:name="_Toc51064395"/>
      <w:bookmarkStart w:id="5619" w:name="_Toc51065828"/>
      <w:bookmarkStart w:id="5620" w:name="_Toc51067243"/>
      <w:bookmarkStart w:id="5621" w:name="_Toc51069291"/>
      <w:bookmarkStart w:id="5622" w:name="_Toc51106307"/>
      <w:bookmarkStart w:id="5623" w:name="_Toc51107735"/>
      <w:bookmarkStart w:id="5624" w:name="_Toc51110058"/>
      <w:bookmarkStart w:id="5625" w:name="_Toc51057311"/>
      <w:bookmarkStart w:id="5626" w:name="_Toc51058732"/>
      <w:bookmarkStart w:id="5627" w:name="_Toc51060149"/>
      <w:bookmarkStart w:id="5628" w:name="_Toc51061565"/>
      <w:bookmarkStart w:id="5629" w:name="_Toc51062981"/>
      <w:bookmarkStart w:id="5630" w:name="_Toc51064397"/>
      <w:bookmarkStart w:id="5631" w:name="_Toc51065830"/>
      <w:bookmarkStart w:id="5632" w:name="_Toc51067245"/>
      <w:bookmarkStart w:id="5633" w:name="_Toc51069293"/>
      <w:bookmarkStart w:id="5634" w:name="_Toc51106309"/>
      <w:bookmarkStart w:id="5635" w:name="_Toc51107737"/>
      <w:bookmarkStart w:id="5636" w:name="_Toc51110060"/>
      <w:bookmarkStart w:id="5637" w:name="_Toc51057313"/>
      <w:bookmarkStart w:id="5638" w:name="_Toc51058734"/>
      <w:bookmarkStart w:id="5639" w:name="_Toc51060151"/>
      <w:bookmarkStart w:id="5640" w:name="_Toc51061567"/>
      <w:bookmarkStart w:id="5641" w:name="_Toc51062983"/>
      <w:bookmarkStart w:id="5642" w:name="_Toc51064399"/>
      <w:bookmarkStart w:id="5643" w:name="_Toc51065832"/>
      <w:bookmarkStart w:id="5644" w:name="_Toc51067247"/>
      <w:bookmarkStart w:id="5645" w:name="_Toc51069295"/>
      <w:bookmarkStart w:id="5646" w:name="_Toc51106311"/>
      <w:bookmarkStart w:id="5647" w:name="_Toc51107739"/>
      <w:bookmarkStart w:id="5648" w:name="_Toc51110062"/>
      <w:bookmarkStart w:id="5649" w:name="_Toc420651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r>
        <w:rPr>
          <w:sz w:val="28"/>
          <w:szCs w:val="28"/>
        </w:rPr>
        <w:br w:type="page"/>
      </w:r>
    </w:p>
    <w:p w14:paraId="1FB6AE6B" w14:textId="0A954C28" w:rsidR="00931DC7" w:rsidRDefault="00931DC7" w:rsidP="006D4C94">
      <w:pPr>
        <w:pStyle w:val="Naslov1"/>
      </w:pPr>
      <w:bookmarkStart w:id="5650" w:name="_Toc90462306"/>
      <w:r w:rsidRPr="009F3567">
        <w:t>Gozdarstvo</w:t>
      </w:r>
      <w:bookmarkEnd w:id="5649"/>
      <w:bookmarkEnd w:id="5650"/>
    </w:p>
    <w:p w14:paraId="3E4E065A" w14:textId="77777777" w:rsidR="00931DC7" w:rsidRDefault="00931DC7" w:rsidP="00492765">
      <w:pPr>
        <w:pStyle w:val="1"/>
      </w:pPr>
    </w:p>
    <w:p w14:paraId="2EC47390" w14:textId="26881E5D" w:rsidR="00492765" w:rsidRPr="00492765" w:rsidRDefault="00492765" w:rsidP="006D4C94">
      <w:pPr>
        <w:pStyle w:val="Naslov2"/>
        <w:rPr>
          <w:sz w:val="20"/>
        </w:rPr>
      </w:pPr>
      <w:bookmarkStart w:id="5651" w:name="_Toc51279990"/>
      <w:bookmarkStart w:id="5652" w:name="_Toc90462307"/>
      <w:r w:rsidRPr="00492765">
        <w:t>Pomen gozda in gozdarstva v S</w:t>
      </w:r>
      <w:bookmarkEnd w:id="5651"/>
      <w:r w:rsidRPr="00492765">
        <w:t>loveniji</w:t>
      </w:r>
      <w:bookmarkEnd w:id="5652"/>
    </w:p>
    <w:p w14:paraId="41923826" w14:textId="77777777" w:rsidR="00492765" w:rsidRPr="00492765" w:rsidRDefault="00492765" w:rsidP="00492765">
      <w:pPr>
        <w:pStyle w:val="1"/>
        <w:rPr>
          <w:rFonts w:eastAsia="Calibri"/>
          <w:lang w:eastAsia="en-US"/>
        </w:rPr>
      </w:pPr>
    </w:p>
    <w:p w14:paraId="3DD8F914" w14:textId="77777777" w:rsidR="00672A7B" w:rsidRPr="005B2A49" w:rsidRDefault="00672A7B" w:rsidP="00672A7B">
      <w:pPr>
        <w:pStyle w:val="1"/>
        <w:rPr>
          <w:sz w:val="22"/>
          <w:szCs w:val="22"/>
        </w:rPr>
      </w:pPr>
      <w:r w:rsidRPr="005B2A49">
        <w:rPr>
          <w:sz w:val="22"/>
          <w:szCs w:val="22"/>
        </w:rPr>
        <w:t xml:space="preserve">V letu 2020 je gozd pokrival 58,0 % Slovenije oziroma njegova površina znaša 1.176.069 ha. Površina tako imenovanih gospodarskih gozdov je znašala </w:t>
      </w:r>
      <w:r w:rsidRPr="005B2A49">
        <w:rPr>
          <w:sz w:val="22"/>
          <w:szCs w:val="22"/>
          <w:lang w:val="en-US"/>
        </w:rPr>
        <w:t xml:space="preserve">1.067.815 </w:t>
      </w:r>
      <w:r w:rsidRPr="005B2A49">
        <w:rPr>
          <w:sz w:val="22"/>
          <w:szCs w:val="22"/>
        </w:rPr>
        <w:t xml:space="preserve">ha, varovalnih gozdov </w:t>
      </w:r>
      <w:r w:rsidRPr="005B2A49">
        <w:rPr>
          <w:sz w:val="22"/>
          <w:szCs w:val="22"/>
          <w:lang w:val="en-US"/>
        </w:rPr>
        <w:t xml:space="preserve">98.828 </w:t>
      </w:r>
      <w:r w:rsidRPr="005B2A49">
        <w:rPr>
          <w:sz w:val="22"/>
          <w:szCs w:val="22"/>
        </w:rPr>
        <w:t xml:space="preserve">ha in gozdnih rezervatov </w:t>
      </w:r>
      <w:r w:rsidRPr="005B2A49">
        <w:rPr>
          <w:sz w:val="22"/>
          <w:szCs w:val="22"/>
          <w:lang w:val="en-US"/>
        </w:rPr>
        <w:t xml:space="preserve">9.426 </w:t>
      </w:r>
      <w:r w:rsidRPr="005B2A49">
        <w:rPr>
          <w:sz w:val="22"/>
          <w:szCs w:val="22"/>
        </w:rPr>
        <w:t xml:space="preserve">ha. </w:t>
      </w:r>
    </w:p>
    <w:p w14:paraId="47D85359" w14:textId="77777777" w:rsidR="00672A7B" w:rsidRPr="005B2A49" w:rsidRDefault="00672A7B" w:rsidP="00672A7B">
      <w:pPr>
        <w:autoSpaceDE w:val="0"/>
        <w:autoSpaceDN w:val="0"/>
        <w:adjustRightInd w:val="0"/>
        <w:spacing w:before="0" w:line="276" w:lineRule="auto"/>
        <w:rPr>
          <w:szCs w:val="22"/>
        </w:rPr>
      </w:pPr>
    </w:p>
    <w:p w14:paraId="51026A6D" w14:textId="77777777" w:rsidR="00672A7B" w:rsidRPr="005B2A49" w:rsidRDefault="00672A7B" w:rsidP="00672A7B">
      <w:pPr>
        <w:autoSpaceDE w:val="0"/>
        <w:autoSpaceDN w:val="0"/>
        <w:adjustRightInd w:val="0"/>
        <w:spacing w:before="0" w:line="276" w:lineRule="auto"/>
        <w:rPr>
          <w:szCs w:val="22"/>
        </w:rPr>
      </w:pPr>
      <w:r w:rsidRPr="005B2A49">
        <w:rPr>
          <w:szCs w:val="22"/>
        </w:rPr>
        <w:t>Po podatkih Zavoda za gozdove Slovenije in z upoštevanjem gozdnogospodarskih načrtov gozdnogospodarskih enot je lesna zaloga slovenskih gozdov konec leta 2020 znašala 357.212.625</w:t>
      </w:r>
      <w:r w:rsidRPr="005B2A49" w:rsidDel="00D17785">
        <w:rPr>
          <w:szCs w:val="22"/>
        </w:rPr>
        <w:t xml:space="preserve"> </w:t>
      </w:r>
      <w:r w:rsidRPr="005B2A49">
        <w:rPr>
          <w:szCs w:val="22"/>
        </w:rPr>
        <w:t>m</w:t>
      </w:r>
      <w:r w:rsidRPr="005B2A49">
        <w:rPr>
          <w:szCs w:val="22"/>
          <w:vertAlign w:val="superscript"/>
        </w:rPr>
        <w:t>3</w:t>
      </w:r>
      <w:r w:rsidRPr="005B2A49">
        <w:rPr>
          <w:szCs w:val="22"/>
        </w:rPr>
        <w:t xml:space="preserve"> oziroma 303 m</w:t>
      </w:r>
      <w:r w:rsidRPr="005B2A49">
        <w:rPr>
          <w:szCs w:val="22"/>
          <w:vertAlign w:val="superscript"/>
        </w:rPr>
        <w:t>3</w:t>
      </w:r>
      <w:r w:rsidRPr="005B2A49">
        <w:rPr>
          <w:szCs w:val="22"/>
        </w:rPr>
        <w:t>/ha, povprečna lesna zaloga tako imenovanih gospodarskih gozdov je znašala 310 m</w:t>
      </w:r>
      <w:r w:rsidRPr="005B2A49">
        <w:rPr>
          <w:szCs w:val="22"/>
          <w:vertAlign w:val="superscript"/>
        </w:rPr>
        <w:t>3</w:t>
      </w:r>
      <w:r w:rsidRPr="005B2A49">
        <w:rPr>
          <w:szCs w:val="22"/>
        </w:rPr>
        <w:t xml:space="preserve">/ha. Letni absolutni prirastek je z upoštevanjem podatkov leta 2020 izdelanih gozdnogospodarskih načrtov gozdnogospodarskih enot meril </w:t>
      </w:r>
      <w:r w:rsidRPr="005B2A49">
        <w:rPr>
          <w:szCs w:val="22"/>
          <w:lang w:val="en-US"/>
        </w:rPr>
        <w:t xml:space="preserve">8.792.074 </w:t>
      </w:r>
      <w:r w:rsidRPr="005B2A49">
        <w:rPr>
          <w:szCs w:val="22"/>
        </w:rPr>
        <w:t>m</w:t>
      </w:r>
      <w:r w:rsidRPr="005B2A49">
        <w:rPr>
          <w:szCs w:val="22"/>
          <w:vertAlign w:val="superscript"/>
        </w:rPr>
        <w:t>3</w:t>
      </w:r>
      <w:r w:rsidRPr="005B2A49">
        <w:rPr>
          <w:szCs w:val="22"/>
        </w:rPr>
        <w:t xml:space="preserve"> oziroma 7,48 m</w:t>
      </w:r>
      <w:r w:rsidRPr="005B2A49">
        <w:rPr>
          <w:szCs w:val="22"/>
          <w:vertAlign w:val="superscript"/>
        </w:rPr>
        <w:t>3</w:t>
      </w:r>
      <w:r w:rsidRPr="005B2A49">
        <w:rPr>
          <w:szCs w:val="22"/>
        </w:rPr>
        <w:t>/ha; v t.i. gospodarskih gozdovih pa 7,74 m</w:t>
      </w:r>
      <w:r w:rsidRPr="005B2A49">
        <w:rPr>
          <w:szCs w:val="22"/>
          <w:vertAlign w:val="superscript"/>
        </w:rPr>
        <w:t>3</w:t>
      </w:r>
      <w:r w:rsidRPr="005B2A49">
        <w:rPr>
          <w:szCs w:val="22"/>
        </w:rPr>
        <w:t>/ha.</w:t>
      </w:r>
      <w:r w:rsidRPr="005B2A49" w:rsidDel="002E08D1">
        <w:rPr>
          <w:szCs w:val="22"/>
        </w:rPr>
        <w:t xml:space="preserve"> </w:t>
      </w:r>
      <w:r w:rsidRPr="005B2A49">
        <w:rPr>
          <w:szCs w:val="22"/>
        </w:rPr>
        <w:t>Lesna zaloga in prirastek sta se skozi leta povečevala.</w:t>
      </w:r>
    </w:p>
    <w:p w14:paraId="64B9C36B" w14:textId="77777777" w:rsidR="00672A7B" w:rsidRPr="005B2A49" w:rsidRDefault="00672A7B" w:rsidP="00672A7B">
      <w:pPr>
        <w:autoSpaceDE w:val="0"/>
        <w:autoSpaceDN w:val="0"/>
        <w:adjustRightInd w:val="0"/>
        <w:spacing w:before="0" w:line="276" w:lineRule="auto"/>
        <w:rPr>
          <w:szCs w:val="22"/>
        </w:rPr>
      </w:pPr>
    </w:p>
    <w:p w14:paraId="458AC852" w14:textId="77777777" w:rsidR="00672A7B" w:rsidRPr="005B2A49" w:rsidRDefault="00672A7B" w:rsidP="00672A7B">
      <w:pPr>
        <w:autoSpaceDE w:val="0"/>
        <w:autoSpaceDN w:val="0"/>
        <w:adjustRightInd w:val="0"/>
        <w:spacing w:before="0" w:line="276" w:lineRule="auto"/>
        <w:rPr>
          <w:szCs w:val="22"/>
        </w:rPr>
      </w:pPr>
      <w:r w:rsidRPr="005B2A49">
        <w:rPr>
          <w:szCs w:val="22"/>
        </w:rPr>
        <w:t>Zavod za gozdove Slovenije že od začetka svojega delovanja pri izdelavi gozdnogospodarskih načrtov praviloma povečuje možni posek. Tako se je možni posek od začetka delovanja Zavoda za gozdove Slovenije (od leta 1994) povečal za 127 % oziroma na 6.9 milijonov m</w:t>
      </w:r>
      <w:r w:rsidRPr="005B2A49">
        <w:rPr>
          <w:szCs w:val="22"/>
          <w:vertAlign w:val="superscript"/>
        </w:rPr>
        <w:t>3</w:t>
      </w:r>
      <w:r w:rsidRPr="005B2A49">
        <w:rPr>
          <w:szCs w:val="22"/>
        </w:rPr>
        <w:t>. Po obsežnem žledolomu v letu 2014, vetrolomih v letu 2017 in 2018, je slovenske gozdove prizadela tudi gradacija podlubnikov, ki je bila prisotna tudi še v letu 2020, ko je bilo posekano 4.2 milijonov m</w:t>
      </w:r>
      <w:r w:rsidRPr="005B2A49">
        <w:rPr>
          <w:szCs w:val="22"/>
          <w:vertAlign w:val="superscript"/>
        </w:rPr>
        <w:t>3</w:t>
      </w:r>
      <w:r w:rsidRPr="005B2A49">
        <w:rPr>
          <w:szCs w:val="22"/>
        </w:rPr>
        <w:t xml:space="preserve"> lesne mase. </w:t>
      </w:r>
    </w:p>
    <w:p w14:paraId="7833D391" w14:textId="77777777" w:rsidR="00672A7B" w:rsidRPr="005B2A49" w:rsidRDefault="00672A7B" w:rsidP="00672A7B">
      <w:pPr>
        <w:autoSpaceDE w:val="0"/>
        <w:autoSpaceDN w:val="0"/>
        <w:adjustRightInd w:val="0"/>
        <w:spacing w:before="0" w:line="276" w:lineRule="auto"/>
        <w:rPr>
          <w:szCs w:val="22"/>
        </w:rPr>
      </w:pPr>
    </w:p>
    <w:p w14:paraId="77486373" w14:textId="747281B0" w:rsidR="00672A7B" w:rsidRPr="005B2A49" w:rsidRDefault="00672A7B" w:rsidP="00672A7B">
      <w:pPr>
        <w:autoSpaceDE w:val="0"/>
        <w:autoSpaceDN w:val="0"/>
        <w:adjustRightInd w:val="0"/>
        <w:spacing w:before="0" w:line="276" w:lineRule="auto"/>
        <w:rPr>
          <w:szCs w:val="22"/>
        </w:rPr>
      </w:pPr>
      <w:r w:rsidRPr="005B2A49">
        <w:rPr>
          <w:szCs w:val="22"/>
        </w:rPr>
        <w:t>V celoti se je posek v letu 2020 se je zmanjšal pod raven let 2014–2018 in glede na možni posek po gozdnogospodarskih načrtih dosega 59 %.</w:t>
      </w:r>
    </w:p>
    <w:p w14:paraId="2F1C23B2" w14:textId="77777777" w:rsidR="00672A7B" w:rsidRPr="005B2A49" w:rsidRDefault="00672A7B" w:rsidP="00672A7B">
      <w:pPr>
        <w:autoSpaceDE w:val="0"/>
        <w:autoSpaceDN w:val="0"/>
        <w:adjustRightInd w:val="0"/>
        <w:spacing w:before="0" w:line="276" w:lineRule="auto"/>
        <w:rPr>
          <w:szCs w:val="22"/>
        </w:rPr>
      </w:pPr>
    </w:p>
    <w:p w14:paraId="34C76120" w14:textId="6B9C3019" w:rsidR="00672A7B" w:rsidRPr="005B2A49" w:rsidRDefault="00672A7B" w:rsidP="00672A7B">
      <w:pPr>
        <w:autoSpaceDE w:val="0"/>
        <w:autoSpaceDN w:val="0"/>
        <w:adjustRightInd w:val="0"/>
        <w:spacing w:before="0" w:line="276" w:lineRule="auto"/>
        <w:rPr>
          <w:szCs w:val="22"/>
        </w:rPr>
      </w:pPr>
      <w:r w:rsidRPr="005B2A49">
        <w:rPr>
          <w:bCs/>
          <w:szCs w:val="22"/>
        </w:rPr>
        <w:t>Velika razdrobljenost, število lastnikov in solastnikov gozdov, neugodna starostna struktura lastnikov</w:t>
      </w:r>
      <w:r w:rsidR="00F50302">
        <w:rPr>
          <w:bCs/>
          <w:szCs w:val="22"/>
        </w:rPr>
        <w:t xml:space="preserve"> </w:t>
      </w:r>
      <w:r w:rsidRPr="005B2A49">
        <w:rPr>
          <w:bCs/>
          <w:szCs w:val="22"/>
        </w:rPr>
        <w:t>(le-ti so v povprečju stari 60 let) otežujejo strokovno delo in optimalno izrabo lesa v zasebnih gozdovih.</w:t>
      </w:r>
      <w:r w:rsidRPr="005B2A49">
        <w:rPr>
          <w:szCs w:val="22"/>
        </w:rPr>
        <w:t xml:space="preserve"> V zemljiško knjigo je vpisanih preko 460.000 lastnikov oz. solastnikov gozdov. 68 % lastnikov ima v lasti manj kot 1 ha gozdne površine (182.897 gozdnih posesti). Le 2 % lastnikov gospodari z gozdno posestjo, večjo od 15 ha. V zadnjih letih se je spreminjala predvsem zaradi denacionalizacijskih postopkov. Površina državnih gozdov se je zmanjšala, površina zasebnih gozdov pa povečala. V letu 2020 je bilo tako 238.086  ha (20 %) gozda v lasti države, 907.268 ha (77 %) gozda v zasebni lasti in 30.715 ha (3 %) gozdov v lasti lokalnih skupnosti. </w:t>
      </w:r>
    </w:p>
    <w:p w14:paraId="5FE5D307" w14:textId="77777777" w:rsidR="00672A7B" w:rsidRPr="005B2A49" w:rsidRDefault="00672A7B" w:rsidP="00672A7B">
      <w:pPr>
        <w:autoSpaceDE w:val="0"/>
        <w:autoSpaceDN w:val="0"/>
        <w:adjustRightInd w:val="0"/>
        <w:spacing w:before="0" w:line="276" w:lineRule="auto"/>
        <w:rPr>
          <w:szCs w:val="22"/>
        </w:rPr>
      </w:pPr>
    </w:p>
    <w:p w14:paraId="0EDD9B8C" w14:textId="67E62E4D" w:rsidR="00672A7B" w:rsidRPr="005B2A49" w:rsidRDefault="00672A7B" w:rsidP="00672A7B">
      <w:pPr>
        <w:autoSpaceDE w:val="0"/>
        <w:autoSpaceDN w:val="0"/>
        <w:adjustRightInd w:val="0"/>
        <w:spacing w:before="0" w:line="276" w:lineRule="auto"/>
        <w:rPr>
          <w:szCs w:val="22"/>
        </w:rPr>
      </w:pPr>
      <w:r w:rsidRPr="005B2A49">
        <w:rPr>
          <w:szCs w:val="22"/>
        </w:rPr>
        <w:t>Gospodarjenje z gozdovi v državnem lastništvu se po deležu izvedbe razlikuje od gospodarjenja z zasebnimi gozdovi. V državnih gozdovih se ukrepi, predvideni z gozdnogospodarskimi in gozdno gojitvenimi načrti, izvedejo v večjem deležu, medtem ko je v zasebnem sektorju realizacija načrtovanega poseka, gojitvenih in varstvenih del še nižja. V letu 2016 je bila ustanovljena Družba Slovenski državni gozdovi d.o.o., ki je podjetje v lasti Republike Slovenije. Njihova temeljna dejavnost je gospodarjenje z državnimi gozdovi</w:t>
      </w:r>
      <w:r w:rsidR="00FF65FB" w:rsidRPr="005B2A49">
        <w:rPr>
          <w:szCs w:val="22"/>
        </w:rPr>
        <w:t>.</w:t>
      </w:r>
    </w:p>
    <w:p w14:paraId="0AEBB40A" w14:textId="77777777" w:rsidR="00F50302" w:rsidRDefault="00F50302" w:rsidP="00672A7B">
      <w:pPr>
        <w:autoSpaceDE w:val="0"/>
        <w:autoSpaceDN w:val="0"/>
        <w:adjustRightInd w:val="0"/>
        <w:spacing w:before="0" w:line="276" w:lineRule="auto"/>
        <w:rPr>
          <w:bCs/>
          <w:szCs w:val="22"/>
        </w:rPr>
      </w:pPr>
    </w:p>
    <w:p w14:paraId="63441627" w14:textId="01ABF67B" w:rsidR="00672A7B" w:rsidRPr="005B2A49" w:rsidRDefault="00672A7B" w:rsidP="00672A7B">
      <w:pPr>
        <w:autoSpaceDE w:val="0"/>
        <w:autoSpaceDN w:val="0"/>
        <w:adjustRightInd w:val="0"/>
        <w:spacing w:before="0" w:line="276" w:lineRule="auto"/>
        <w:rPr>
          <w:szCs w:val="22"/>
        </w:rPr>
      </w:pPr>
      <w:r w:rsidRPr="005B2A49">
        <w:rPr>
          <w:bCs/>
          <w:szCs w:val="22"/>
        </w:rPr>
        <w:t xml:space="preserve">Odprtost z gozdnimi prometnicami v Sloveniji še ni optimalna. </w:t>
      </w:r>
      <w:r w:rsidRPr="005B2A49">
        <w:rPr>
          <w:szCs w:val="22"/>
        </w:rPr>
        <w:t>Določena območja niso odprta z gozdnimi cestami in vlakami, kar podraži ali celo onemogoča spravilo lesa</w:t>
      </w:r>
      <w:r w:rsidRPr="005B2A49">
        <w:rPr>
          <w:szCs w:val="22"/>
          <w:vertAlign w:val="superscript"/>
        </w:rPr>
        <w:footnoteReference w:id="27"/>
      </w:r>
      <w:r w:rsidRPr="005B2A49">
        <w:rPr>
          <w:szCs w:val="22"/>
        </w:rPr>
        <w:t xml:space="preserve">. </w:t>
      </w:r>
    </w:p>
    <w:p w14:paraId="2D920188" w14:textId="08B9D244" w:rsidR="00492765" w:rsidRPr="00492765" w:rsidRDefault="00492765" w:rsidP="006D4C94">
      <w:pPr>
        <w:pStyle w:val="SCSlika0"/>
      </w:pPr>
      <w:bookmarkStart w:id="5653" w:name="_Toc89851151"/>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109</w:t>
      </w:r>
      <w:r w:rsidR="009F2591">
        <w:rPr>
          <w:noProof/>
        </w:rPr>
        <w:fldChar w:fldCharType="end"/>
      </w:r>
      <w:r w:rsidRPr="00492765">
        <w:t xml:space="preserve">: </w:t>
      </w:r>
      <w:r w:rsidR="00F50302">
        <w:t>Karta zasnove gozdne infrastrukture</w:t>
      </w:r>
      <w:bookmarkEnd w:id="5653"/>
    </w:p>
    <w:p w14:paraId="55518E35" w14:textId="4FA75DDE" w:rsidR="00492765" w:rsidRPr="00492765" w:rsidRDefault="00672A7B" w:rsidP="00492765">
      <w:pPr>
        <w:autoSpaceDE w:val="0"/>
        <w:autoSpaceDN w:val="0"/>
        <w:adjustRightInd w:val="0"/>
        <w:spacing w:before="0" w:line="276" w:lineRule="auto"/>
        <w:rPr>
          <w:sz w:val="20"/>
          <w:szCs w:val="20"/>
        </w:rPr>
      </w:pPr>
      <w:r>
        <w:rPr>
          <w:noProof/>
          <w:sz w:val="20"/>
          <w:szCs w:val="20"/>
          <w:lang w:eastAsia="sl-SI"/>
        </w:rPr>
        <w:drawing>
          <wp:inline distT="0" distB="0" distL="0" distR="0" wp14:anchorId="27E0B17B" wp14:editId="7094C7FE">
            <wp:extent cx="4400550" cy="3111499"/>
            <wp:effectExtent l="19050" t="19050" r="19050" b="13335"/>
            <wp:docPr id="1631865363" name="Slika 1631865363" descr="D:\Osebno\Moji dokumenti\SKP 2023-2027\Strateški načrt - delovna skupina 2\kartaE_zasnova_gozdne_infrastrukure_cela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ebno\Moji dokumenti\SKP 2023-2027\Strateški načrt - delovna skupina 2\kartaE_zasnova_gozdne_infrastrukure_cela_SLO.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403671" cy="3113705"/>
                    </a:xfrm>
                    <a:prstGeom prst="rect">
                      <a:avLst/>
                    </a:prstGeom>
                    <a:noFill/>
                    <a:ln>
                      <a:solidFill>
                        <a:schemeClr val="tx1"/>
                      </a:solidFill>
                    </a:ln>
                  </pic:spPr>
                </pic:pic>
              </a:graphicData>
            </a:graphic>
          </wp:inline>
        </w:drawing>
      </w:r>
    </w:p>
    <w:p w14:paraId="34C962E4"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Zavod za gozdove Slovenije</w:t>
      </w:r>
    </w:p>
    <w:p w14:paraId="2CE3A44A" w14:textId="77777777" w:rsidR="00492765" w:rsidRPr="00492765" w:rsidRDefault="00492765" w:rsidP="00492765">
      <w:pPr>
        <w:autoSpaceDE w:val="0"/>
        <w:autoSpaceDN w:val="0"/>
        <w:adjustRightInd w:val="0"/>
        <w:spacing w:before="0" w:line="276" w:lineRule="auto"/>
        <w:rPr>
          <w:sz w:val="20"/>
          <w:szCs w:val="20"/>
        </w:rPr>
      </w:pPr>
    </w:p>
    <w:p w14:paraId="4A7FAAFD" w14:textId="34DFD6C4" w:rsidR="00672A7B" w:rsidRPr="005B2A49" w:rsidRDefault="00672A7B" w:rsidP="00672A7B">
      <w:pPr>
        <w:autoSpaceDE w:val="0"/>
        <w:autoSpaceDN w:val="0"/>
        <w:adjustRightInd w:val="0"/>
        <w:spacing w:before="0" w:line="276" w:lineRule="auto"/>
        <w:rPr>
          <w:szCs w:val="22"/>
        </w:rPr>
      </w:pPr>
      <w:r w:rsidRPr="005B2A49">
        <w:rPr>
          <w:szCs w:val="22"/>
        </w:rPr>
        <w:t xml:space="preserve">Število zaposlenih na področju gozdarstva se je v zadnjih 20 letih močno zmanjšalo. Pred letom 1990 je gozdarstvo zaposlovalo okrog 8.000 ljudi. Število zaposlenih se je v letih od 2014 do 2016 rahlo povečalo v primerjavi z letom 2011, zaradi velike količine razpoložljivega lesa kot posledica ujem, ki so prizadele slovenske gozdove. Po podatkih za leto 2020 je v 1.064 podjetjih s področja gozdarstva zaposlenih 2.516 oseb. Od tega je 4 srednjih, 26 majhnih in 982 mikro podjetij. V gozdno-lesni verigi je v slovenskem gospodarstvu več kot 18.000 zaposlenih, gozd pa daje številne možnosti tudi na drugih področjih, na področju lovstva, turizma in rekreacije ter obrti na osnovi različnih dobrin iz gozda. </w:t>
      </w:r>
    </w:p>
    <w:p w14:paraId="1ECF7C89" w14:textId="77777777" w:rsidR="00672A7B" w:rsidRPr="005B2A49" w:rsidRDefault="00672A7B" w:rsidP="00672A7B">
      <w:pPr>
        <w:autoSpaceDE w:val="0"/>
        <w:autoSpaceDN w:val="0"/>
        <w:adjustRightInd w:val="0"/>
        <w:spacing w:before="0" w:line="276" w:lineRule="auto"/>
        <w:rPr>
          <w:szCs w:val="22"/>
        </w:rPr>
      </w:pPr>
    </w:p>
    <w:p w14:paraId="18E95855" w14:textId="77777777" w:rsidR="00672A7B" w:rsidRPr="005B2A49" w:rsidRDefault="00672A7B" w:rsidP="00672A7B">
      <w:pPr>
        <w:autoSpaceDE w:val="0"/>
        <w:autoSpaceDN w:val="0"/>
        <w:adjustRightInd w:val="0"/>
        <w:spacing w:before="0" w:line="276" w:lineRule="auto"/>
        <w:rPr>
          <w:szCs w:val="22"/>
        </w:rPr>
      </w:pPr>
      <w:r w:rsidRPr="005B2A49">
        <w:rPr>
          <w:szCs w:val="22"/>
        </w:rPr>
        <w:t xml:space="preserve">Gozdarska dejavnost je tradicionalno sestavni del številnih kmetij, ki preko močnih sinergij pomembno pripomore tudi h krepitvi konkurenčnosti primarne kmetijske proizvodnje na teh gospodarstvih. Pri tem pomeni tudi dodatno razvojno možnost za kmetije pri razvijanju različnih dopolnilnih dejavnosti, povezanih z lesom, drugimi dobrinami iz gozda in turizmom, kar dodatno prinaša več tisoč delovnih mest, v glavnem na podeželju. Tako po številu posesti kot po površini gozdov v kategoriji od 5 do 30 ha, kjer imamo 38.573 posesti (47 % celotne površine) prevladujejo družinske kmetije. </w:t>
      </w:r>
      <w:r w:rsidRPr="005B2A49">
        <w:rPr>
          <w:szCs w:val="22"/>
          <w:lang w:val="en-US"/>
        </w:rPr>
        <w:t xml:space="preserve">89 % kmetijskih gospodarstev je imelo v letu 2020 tudi gozd. Med kmetijskimi gospodarstvi, ki so imela gozd, jih je v letu 2020 posek lesa opravilo nekaj več kot 33.000. Povprečna </w:t>
      </w:r>
      <w:r w:rsidRPr="005B2A49">
        <w:rPr>
          <w:bCs/>
          <w:szCs w:val="22"/>
        </w:rPr>
        <w:t>površina gozda na kmetijsko gospodarstvo znaša 5,5 hektarja.</w:t>
      </w:r>
      <w:r w:rsidRPr="005B2A49">
        <w:rPr>
          <w:rFonts w:ascii="Humanist777BT-RomanB" w:eastAsiaTheme="minorHAnsi" w:hAnsi="Humanist777BT-RomanB" w:cs="Humanist777BT-RomanB"/>
          <w:color w:val="6B454A"/>
          <w:szCs w:val="22"/>
          <w:lang w:val="en-US" w:eastAsia="en-US"/>
        </w:rPr>
        <w:t xml:space="preserve"> </w:t>
      </w:r>
    </w:p>
    <w:p w14:paraId="4AEE7012" w14:textId="77777777" w:rsidR="00672A7B" w:rsidRPr="005B2A49" w:rsidRDefault="00672A7B" w:rsidP="00672A7B">
      <w:pPr>
        <w:tabs>
          <w:tab w:val="left" w:pos="3620"/>
        </w:tabs>
        <w:autoSpaceDE w:val="0"/>
        <w:autoSpaceDN w:val="0"/>
        <w:adjustRightInd w:val="0"/>
        <w:spacing w:before="0" w:line="276" w:lineRule="auto"/>
        <w:rPr>
          <w:szCs w:val="22"/>
        </w:rPr>
      </w:pPr>
      <w:r w:rsidRPr="005B2A49">
        <w:rPr>
          <w:szCs w:val="22"/>
        </w:rPr>
        <w:tab/>
      </w:r>
    </w:p>
    <w:p w14:paraId="384E4F69" w14:textId="77777777" w:rsidR="00672A7B" w:rsidRPr="005B2A49" w:rsidRDefault="00672A7B" w:rsidP="00672A7B">
      <w:pPr>
        <w:autoSpaceDE w:val="0"/>
        <w:autoSpaceDN w:val="0"/>
        <w:adjustRightInd w:val="0"/>
        <w:spacing w:before="0" w:line="276" w:lineRule="auto"/>
        <w:rPr>
          <w:szCs w:val="22"/>
        </w:rPr>
      </w:pPr>
      <w:r w:rsidRPr="005B2A49">
        <w:rPr>
          <w:szCs w:val="22"/>
        </w:rPr>
        <w:t>V Sloveniji še vedno prevladuje zastarela in neučinkovita gozdarska mehanizacija. Vsak nov traktor in stroj, ki nadomestita starega, ne pomenita le izboljšanje produktivnosti dela, temveč pomenita tudi večjo varnost in zdravje pri delu in tako vpliva na zmanjšanje števila nezgod in družbenoekonomskih stroškov. V Sloveniji je bila povprečna starost traktorjev leta 2010 20,6 let; 5 % je bilo mlajših od 5 let in 18 % mlajših od 12 let. Stanje se skozi obdobje do leta 2020 ni izboljševalo, zato so vlaganja javnih sredstev v sofinanciranje nakupa kmetijske in gozdarske tehnike upravičena.</w:t>
      </w:r>
    </w:p>
    <w:p w14:paraId="2F494610" w14:textId="77777777" w:rsidR="00672A7B" w:rsidRPr="005B2A49" w:rsidRDefault="00672A7B" w:rsidP="00672A7B">
      <w:pPr>
        <w:autoSpaceDE w:val="0"/>
        <w:autoSpaceDN w:val="0"/>
        <w:adjustRightInd w:val="0"/>
        <w:spacing w:before="0" w:line="276" w:lineRule="auto"/>
        <w:rPr>
          <w:szCs w:val="22"/>
        </w:rPr>
      </w:pPr>
    </w:p>
    <w:p w14:paraId="2911A244" w14:textId="77777777" w:rsidR="00672A7B" w:rsidRPr="005B2A49" w:rsidRDefault="00672A7B" w:rsidP="00672A7B">
      <w:pPr>
        <w:autoSpaceDE w:val="0"/>
        <w:autoSpaceDN w:val="0"/>
        <w:adjustRightInd w:val="0"/>
        <w:spacing w:before="0" w:line="276" w:lineRule="auto"/>
        <w:rPr>
          <w:szCs w:val="22"/>
        </w:rPr>
      </w:pPr>
      <w:r w:rsidRPr="005B2A49">
        <w:rPr>
          <w:szCs w:val="22"/>
        </w:rPr>
        <w:t>V svetu kot tudi v Sloveniji gozdarstvo spada med najbolj tvegane dejavnosti. Dela v gozdu pri sečnji in izdelavi, spravilu lesa ter nakladanju in prevozu gozdno lesnih sortimentov so naporna, predvsem pa zelo nevarna. Nezgode pri delu v gozdu so pogoste, pojavljajo pa se tudi nesreče s smrtnim izidom. Od leta 1981 do leta 2015 je v gozdovih umrlo 467 oseb, kar predstavlja pribljižno 13 ljudi na leto. Povprečno število smrnih nezgod pri delu v vseh dejavnostih pa znaša 20 ljudi na leto.</w:t>
      </w:r>
    </w:p>
    <w:p w14:paraId="4AD27AAC" w14:textId="77777777" w:rsidR="00492765" w:rsidRPr="00492765" w:rsidRDefault="00492765" w:rsidP="00492765">
      <w:pPr>
        <w:autoSpaceDE w:val="0"/>
        <w:autoSpaceDN w:val="0"/>
        <w:adjustRightInd w:val="0"/>
        <w:spacing w:before="0" w:line="276" w:lineRule="auto"/>
        <w:rPr>
          <w:sz w:val="20"/>
          <w:szCs w:val="20"/>
        </w:rPr>
      </w:pPr>
    </w:p>
    <w:p w14:paraId="07B902A9" w14:textId="13EABA1A" w:rsidR="00492765" w:rsidRPr="00492765" w:rsidRDefault="00492765" w:rsidP="006D4C94">
      <w:pPr>
        <w:pStyle w:val="SCSlika0"/>
      </w:pPr>
      <w:bookmarkStart w:id="5654" w:name="_Toc89851152"/>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110</w:t>
      </w:r>
      <w:r w:rsidR="009F2591">
        <w:rPr>
          <w:noProof/>
        </w:rPr>
        <w:fldChar w:fldCharType="end"/>
      </w:r>
      <w:r w:rsidRPr="00492765">
        <w:t>: Število smrtnih nezgod pri delu 1999-2019</w:t>
      </w:r>
      <w:bookmarkEnd w:id="5654"/>
    </w:p>
    <w:p w14:paraId="5FA7CFA1" w14:textId="77777777" w:rsidR="00492765" w:rsidRPr="00492765" w:rsidRDefault="00492765" w:rsidP="00492765">
      <w:pPr>
        <w:autoSpaceDE w:val="0"/>
        <w:autoSpaceDN w:val="0"/>
        <w:adjustRightInd w:val="0"/>
        <w:spacing w:before="0" w:line="276" w:lineRule="auto"/>
        <w:rPr>
          <w:sz w:val="20"/>
          <w:szCs w:val="20"/>
        </w:rPr>
      </w:pPr>
      <w:r w:rsidRPr="00492765">
        <w:rPr>
          <w:noProof/>
          <w:lang w:eastAsia="sl-SI"/>
        </w:rPr>
        <w:drawing>
          <wp:inline distT="0" distB="0" distL="0" distR="0" wp14:anchorId="04652997" wp14:editId="37F942FF">
            <wp:extent cx="4988169" cy="2815988"/>
            <wp:effectExtent l="19050" t="19050" r="22225" b="2286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987154" cy="2815415"/>
                    </a:xfrm>
                    <a:prstGeom prst="rect">
                      <a:avLst/>
                    </a:prstGeom>
                    <a:ln>
                      <a:solidFill>
                        <a:sysClr val="windowText" lastClr="000000"/>
                      </a:solidFill>
                    </a:ln>
                  </pic:spPr>
                </pic:pic>
              </a:graphicData>
            </a:graphic>
          </wp:inline>
        </w:drawing>
      </w:r>
    </w:p>
    <w:p w14:paraId="43D54335"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Poročilo delu inšpektorata RS za delo za leto 2019</w:t>
      </w:r>
    </w:p>
    <w:p w14:paraId="67801B6C" w14:textId="77777777" w:rsidR="00492765" w:rsidRPr="00492765" w:rsidRDefault="00492765" w:rsidP="00492765">
      <w:pPr>
        <w:autoSpaceDE w:val="0"/>
        <w:autoSpaceDN w:val="0"/>
        <w:adjustRightInd w:val="0"/>
        <w:spacing w:before="0" w:line="276" w:lineRule="auto"/>
        <w:rPr>
          <w:sz w:val="20"/>
          <w:szCs w:val="20"/>
        </w:rPr>
      </w:pPr>
    </w:p>
    <w:p w14:paraId="7A0C5912" w14:textId="77777777" w:rsidR="00672A7B" w:rsidRPr="005B2A49" w:rsidRDefault="00672A7B" w:rsidP="00672A7B">
      <w:pPr>
        <w:autoSpaceDE w:val="0"/>
        <w:autoSpaceDN w:val="0"/>
        <w:adjustRightInd w:val="0"/>
        <w:spacing w:before="0" w:line="276" w:lineRule="auto"/>
        <w:rPr>
          <w:szCs w:val="22"/>
        </w:rPr>
      </w:pPr>
      <w:r w:rsidRPr="005B2A49">
        <w:rPr>
          <w:szCs w:val="22"/>
        </w:rPr>
        <w:t xml:space="preserve">Gospodarjenje z gozdovi je v Sloveniji usmerjano z načrti za gospodarjenje z gozdovi, ki zagotavljajo trajnostno, sonaravno in večnamensko gospodarjenje z gozdovi. Pri gospodarjenju z gozdovi Slovenija sledi načelom Nove strategije EU za gozdove do leta 2030, sprejete v letu 2021. Načrtovanje je določeno skladno z Zakonom o gozdovih in je več nivojsko. </w:t>
      </w:r>
    </w:p>
    <w:p w14:paraId="44083973" w14:textId="77777777" w:rsidR="00492765" w:rsidRPr="00492765" w:rsidRDefault="00492765" w:rsidP="00492765">
      <w:pPr>
        <w:autoSpaceDE w:val="0"/>
        <w:autoSpaceDN w:val="0"/>
        <w:adjustRightInd w:val="0"/>
        <w:spacing w:before="0" w:line="276" w:lineRule="auto"/>
        <w:rPr>
          <w:sz w:val="20"/>
          <w:szCs w:val="20"/>
        </w:rPr>
      </w:pPr>
    </w:p>
    <w:p w14:paraId="0A90C407" w14:textId="77777777" w:rsidR="00492765" w:rsidRPr="00492765" w:rsidRDefault="00492765" w:rsidP="00492765">
      <w:pPr>
        <w:autoSpaceDE w:val="0"/>
        <w:autoSpaceDN w:val="0"/>
        <w:adjustRightInd w:val="0"/>
        <w:spacing w:before="0" w:line="240" w:lineRule="auto"/>
        <w:rPr>
          <w:sz w:val="20"/>
          <w:szCs w:val="20"/>
        </w:rPr>
      </w:pPr>
    </w:p>
    <w:p w14:paraId="6EBCEC73" w14:textId="01C710A2" w:rsidR="00492765" w:rsidRPr="00492765" w:rsidRDefault="00492765" w:rsidP="006D4C94">
      <w:pPr>
        <w:pStyle w:val="Naslov2"/>
      </w:pPr>
      <w:bookmarkStart w:id="5655" w:name="_Stanje_v_proizvodnji"/>
      <w:bookmarkStart w:id="5656" w:name="_Toc42065173"/>
      <w:bookmarkStart w:id="5657" w:name="_Toc51279991"/>
      <w:bookmarkStart w:id="5658" w:name="_Toc90462308"/>
      <w:bookmarkEnd w:id="5655"/>
      <w:r w:rsidRPr="00492765">
        <w:t>Stanje v proizvodnji okroglega lesa (gozdnih lesnih sortimentov)</w:t>
      </w:r>
      <w:bookmarkEnd w:id="5656"/>
      <w:bookmarkEnd w:id="5657"/>
      <w:bookmarkEnd w:id="5658"/>
    </w:p>
    <w:p w14:paraId="60C7E28C" w14:textId="77777777" w:rsidR="00492765" w:rsidRPr="00492765" w:rsidRDefault="00492765" w:rsidP="00492765">
      <w:pPr>
        <w:spacing w:before="0" w:line="240" w:lineRule="auto"/>
        <w:rPr>
          <w:rFonts w:eastAsia="Calibri"/>
          <w:sz w:val="20"/>
          <w:szCs w:val="20"/>
        </w:rPr>
      </w:pPr>
    </w:p>
    <w:p w14:paraId="047111F5" w14:textId="4497A61E" w:rsidR="004E1D9A" w:rsidRPr="005B2A49" w:rsidRDefault="004E1D9A" w:rsidP="004E1D9A">
      <w:pPr>
        <w:spacing w:before="0" w:line="276" w:lineRule="auto"/>
        <w:rPr>
          <w:rFonts w:eastAsia="Calibri"/>
          <w:szCs w:val="22"/>
        </w:rPr>
      </w:pPr>
      <w:r w:rsidRPr="005B2A49">
        <w:rPr>
          <w:rFonts w:eastAsia="Calibri"/>
          <w:szCs w:val="22"/>
        </w:rPr>
        <w:t>Proizvodnja gozdnih lesnih sortimentov je v letu 2016 uradno znašala rekordnih 5</w:t>
      </w:r>
      <w:r w:rsidRPr="005B2A49">
        <w:rPr>
          <w:rFonts w:eastAsia="Calibri"/>
          <w:bCs/>
          <w:szCs w:val="22"/>
        </w:rPr>
        <w:t>,5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2017 4</w:t>
      </w:r>
      <w:r w:rsidRPr="005B2A49">
        <w:rPr>
          <w:rFonts w:eastAsia="Calibri"/>
          <w:bCs/>
          <w:szCs w:val="22"/>
        </w:rPr>
        <w:t>,6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2018 5</w:t>
      </w:r>
      <w:r w:rsidRPr="005B2A49">
        <w:rPr>
          <w:rFonts w:eastAsia="Calibri"/>
          <w:bCs/>
          <w:szCs w:val="22"/>
        </w:rPr>
        <w:t>,2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2019 4</w:t>
      </w:r>
      <w:r w:rsidRPr="005B2A49">
        <w:rPr>
          <w:rFonts w:eastAsia="Calibri"/>
          <w:bCs/>
          <w:szCs w:val="22"/>
        </w:rPr>
        <w:t>,7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in v letu 2020 pa 3,9</w:t>
      </w:r>
      <w:r w:rsidRPr="005B2A49">
        <w:rPr>
          <w:rFonts w:eastAsia="Calibri"/>
          <w:bCs/>
          <w:szCs w:val="22"/>
        </w:rPr>
        <w:t xml:space="preserve">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 xml:space="preserve">(neto, brez skorje. Struktura proizvodnje gozdnih lesnih sortimentov v letih 2009–2020 je podrobno prikazana v tabeli </w:t>
      </w:r>
      <w:r w:rsidRPr="005B2A49">
        <w:rPr>
          <w:rFonts w:eastAsia="Calibri"/>
          <w:szCs w:val="22"/>
        </w:rPr>
        <w:fldChar w:fldCharType="begin"/>
      </w:r>
      <w:r w:rsidRPr="005B2A49">
        <w:rPr>
          <w:rFonts w:eastAsia="Calibri"/>
          <w:szCs w:val="22"/>
        </w:rPr>
        <w:instrText xml:space="preserve"> REF _Ref55211088 \h  \* MERGEFORMAT </w:instrText>
      </w:r>
      <w:r w:rsidRPr="005B2A49">
        <w:rPr>
          <w:rFonts w:eastAsia="Calibri"/>
          <w:szCs w:val="22"/>
        </w:rPr>
      </w:r>
      <w:r w:rsidRPr="005B2A49">
        <w:rPr>
          <w:rFonts w:eastAsia="Calibri"/>
          <w:szCs w:val="22"/>
        </w:rPr>
        <w:fldChar w:fldCharType="separate"/>
      </w:r>
      <w:r w:rsidR="0088117A" w:rsidRPr="009F3567">
        <w:t xml:space="preserve">Tabela </w:t>
      </w:r>
      <w:r w:rsidR="0088117A">
        <w:rPr>
          <w:noProof/>
        </w:rPr>
        <w:t>31</w:t>
      </w:r>
      <w:r w:rsidR="0088117A" w:rsidRPr="00492765">
        <w:rPr>
          <w:szCs w:val="16"/>
        </w:rPr>
        <w:t xml:space="preserve">: </w:t>
      </w:r>
      <w:r w:rsidR="0088117A" w:rsidRPr="00492765">
        <w:t>Gozdni lesni sortimenti, pridobljeni v Sloveniji (000 m</w:t>
      </w:r>
      <w:r w:rsidR="0088117A" w:rsidRPr="00492765">
        <w:rPr>
          <w:vertAlign w:val="superscript"/>
        </w:rPr>
        <w:t>3</w:t>
      </w:r>
      <w:r w:rsidR="0088117A" w:rsidRPr="00492765">
        <w:t>): 2009–20</w:t>
      </w:r>
      <w:r w:rsidR="0088117A">
        <w:t>20</w:t>
      </w:r>
      <w:r w:rsidRPr="005B2A49">
        <w:rPr>
          <w:rFonts w:eastAsia="Calibri"/>
          <w:szCs w:val="22"/>
        </w:rPr>
        <w:fldChar w:fldCharType="end"/>
      </w:r>
      <w:r w:rsidRPr="005B2A49">
        <w:rPr>
          <w:rFonts w:eastAsia="Calibri"/>
          <w:szCs w:val="22"/>
        </w:rPr>
        <w:t xml:space="preserve">20 </w:t>
      </w:r>
    </w:p>
    <w:p w14:paraId="2D882317" w14:textId="77777777" w:rsidR="00492765" w:rsidRPr="00492765" w:rsidRDefault="00492765" w:rsidP="00492765">
      <w:pPr>
        <w:spacing w:before="0" w:line="240" w:lineRule="auto"/>
        <w:rPr>
          <w:rFonts w:eastAsia="Calibri"/>
          <w:sz w:val="20"/>
          <w:szCs w:val="20"/>
        </w:rPr>
      </w:pPr>
    </w:p>
    <w:p w14:paraId="5AB6FB67" w14:textId="73494793" w:rsidR="00492765" w:rsidRPr="00492765" w:rsidRDefault="00492765" w:rsidP="006D4C94">
      <w:pPr>
        <w:pStyle w:val="SCPreglednica"/>
      </w:pPr>
      <w:bookmarkStart w:id="5659" w:name="_Ref55211093"/>
      <w:bookmarkStart w:id="5660" w:name="_Toc42170409"/>
      <w:bookmarkStart w:id="5661" w:name="_Toc51280016"/>
      <w:bookmarkStart w:id="5662" w:name="_Ref55211088"/>
      <w:bookmarkStart w:id="5663" w:name="_Toc89861032"/>
      <w:r w:rsidRPr="009F3567">
        <w:t xml:space="preserve">Tabela </w:t>
      </w:r>
      <w:r>
        <w:rPr>
          <w:noProof/>
        </w:rPr>
        <w:fldChar w:fldCharType="begin"/>
      </w:r>
      <w:r>
        <w:rPr>
          <w:noProof/>
        </w:rPr>
        <w:instrText xml:space="preserve"> SEQ Tabela \* ARABIC </w:instrText>
      </w:r>
      <w:r>
        <w:rPr>
          <w:noProof/>
        </w:rPr>
        <w:fldChar w:fldCharType="separate"/>
      </w:r>
      <w:r w:rsidR="002E0D2A">
        <w:rPr>
          <w:noProof/>
        </w:rPr>
        <w:t>40</w:t>
      </w:r>
      <w:r>
        <w:rPr>
          <w:noProof/>
        </w:rPr>
        <w:fldChar w:fldCharType="end"/>
      </w:r>
      <w:bookmarkEnd w:id="5659"/>
      <w:r w:rsidRPr="00492765">
        <w:rPr>
          <w:szCs w:val="16"/>
        </w:rPr>
        <w:t xml:space="preserve">: </w:t>
      </w:r>
      <w:r w:rsidRPr="00492765">
        <w:t>Gozdni lesni sortimenti, pridobljeni v Sloveniji (000 m</w:t>
      </w:r>
      <w:r w:rsidRPr="00492765">
        <w:rPr>
          <w:vertAlign w:val="superscript"/>
        </w:rPr>
        <w:t>3</w:t>
      </w:r>
      <w:r w:rsidRPr="00492765">
        <w:t>): 2009–20</w:t>
      </w:r>
      <w:r w:rsidR="004E1D9A">
        <w:t>20</w:t>
      </w:r>
      <w:bookmarkEnd w:id="5660"/>
      <w:bookmarkEnd w:id="5661"/>
      <w:bookmarkEnd w:id="5662"/>
      <w:bookmarkEnd w:id="5663"/>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306"/>
        <w:gridCol w:w="563"/>
        <w:gridCol w:w="563"/>
        <w:gridCol w:w="563"/>
        <w:gridCol w:w="563"/>
        <w:gridCol w:w="563"/>
        <w:gridCol w:w="563"/>
        <w:gridCol w:w="563"/>
        <w:gridCol w:w="563"/>
        <w:gridCol w:w="563"/>
        <w:gridCol w:w="563"/>
        <w:gridCol w:w="563"/>
        <w:gridCol w:w="563"/>
      </w:tblGrid>
      <w:tr w:rsidR="004E1D9A" w:rsidRPr="004E1D9A" w14:paraId="6F36D750" w14:textId="77777777" w:rsidTr="004E1D9A">
        <w:trPr>
          <w:trHeight w:val="240"/>
        </w:trPr>
        <w:tc>
          <w:tcPr>
            <w:tcW w:w="1273" w:type="pct"/>
            <w:shd w:val="clear" w:color="auto" w:fill="C6D9F1" w:themeFill="text2" w:themeFillTint="33"/>
            <w:noWrap/>
            <w:vAlign w:val="center"/>
          </w:tcPr>
          <w:p w14:paraId="5FC3C558"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476AC3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2009</w:t>
            </w:r>
          </w:p>
        </w:tc>
        <w:tc>
          <w:tcPr>
            <w:tcW w:w="311" w:type="pct"/>
            <w:shd w:val="clear" w:color="auto" w:fill="C6D9F1" w:themeFill="text2" w:themeFillTint="33"/>
            <w:vAlign w:val="center"/>
          </w:tcPr>
          <w:p w14:paraId="07B8AADF"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2010</w:t>
            </w:r>
          </w:p>
        </w:tc>
        <w:tc>
          <w:tcPr>
            <w:tcW w:w="311" w:type="pct"/>
            <w:shd w:val="clear" w:color="auto" w:fill="C6D9F1" w:themeFill="text2" w:themeFillTint="33"/>
            <w:vAlign w:val="center"/>
          </w:tcPr>
          <w:p w14:paraId="527FE309"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2011</w:t>
            </w:r>
          </w:p>
        </w:tc>
        <w:tc>
          <w:tcPr>
            <w:tcW w:w="311" w:type="pct"/>
            <w:shd w:val="clear" w:color="auto" w:fill="C6D9F1" w:themeFill="text2" w:themeFillTint="33"/>
            <w:vAlign w:val="center"/>
          </w:tcPr>
          <w:p w14:paraId="0F35A8B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2012</w:t>
            </w:r>
          </w:p>
        </w:tc>
        <w:tc>
          <w:tcPr>
            <w:tcW w:w="311" w:type="pct"/>
            <w:shd w:val="clear" w:color="auto" w:fill="C6D9F1" w:themeFill="text2" w:themeFillTint="33"/>
            <w:vAlign w:val="center"/>
          </w:tcPr>
          <w:p w14:paraId="1895284E"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2013</w:t>
            </w:r>
          </w:p>
        </w:tc>
        <w:tc>
          <w:tcPr>
            <w:tcW w:w="311" w:type="pct"/>
            <w:shd w:val="clear" w:color="auto" w:fill="C6D9F1" w:themeFill="text2" w:themeFillTint="33"/>
            <w:vAlign w:val="center"/>
          </w:tcPr>
          <w:p w14:paraId="2D37ECF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2014</w:t>
            </w:r>
          </w:p>
        </w:tc>
        <w:tc>
          <w:tcPr>
            <w:tcW w:w="311" w:type="pct"/>
            <w:shd w:val="clear" w:color="auto" w:fill="C6D9F1" w:themeFill="text2" w:themeFillTint="33"/>
            <w:vAlign w:val="center"/>
          </w:tcPr>
          <w:p w14:paraId="55897A4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2015</w:t>
            </w:r>
          </w:p>
        </w:tc>
        <w:tc>
          <w:tcPr>
            <w:tcW w:w="311" w:type="pct"/>
            <w:shd w:val="clear" w:color="auto" w:fill="C6D9F1" w:themeFill="text2" w:themeFillTint="33"/>
            <w:vAlign w:val="center"/>
          </w:tcPr>
          <w:p w14:paraId="1625778D"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2016</w:t>
            </w:r>
          </w:p>
        </w:tc>
        <w:tc>
          <w:tcPr>
            <w:tcW w:w="311" w:type="pct"/>
            <w:shd w:val="clear" w:color="auto" w:fill="C6D9F1" w:themeFill="text2" w:themeFillTint="33"/>
            <w:vAlign w:val="center"/>
          </w:tcPr>
          <w:p w14:paraId="366809B4"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2017</w:t>
            </w:r>
          </w:p>
        </w:tc>
        <w:tc>
          <w:tcPr>
            <w:tcW w:w="311" w:type="pct"/>
            <w:shd w:val="clear" w:color="auto" w:fill="C6D9F1" w:themeFill="text2" w:themeFillTint="33"/>
            <w:vAlign w:val="center"/>
          </w:tcPr>
          <w:p w14:paraId="5049220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2018</w:t>
            </w:r>
          </w:p>
        </w:tc>
        <w:tc>
          <w:tcPr>
            <w:tcW w:w="311" w:type="pct"/>
            <w:shd w:val="clear" w:color="auto" w:fill="C6D9F1" w:themeFill="text2" w:themeFillTint="33"/>
            <w:vAlign w:val="center"/>
          </w:tcPr>
          <w:p w14:paraId="20ABF02A"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2019</w:t>
            </w:r>
          </w:p>
        </w:tc>
        <w:tc>
          <w:tcPr>
            <w:tcW w:w="311" w:type="pct"/>
            <w:shd w:val="clear" w:color="auto" w:fill="C6D9F1" w:themeFill="text2" w:themeFillTint="33"/>
            <w:vAlign w:val="center"/>
          </w:tcPr>
          <w:p w14:paraId="7F2951D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2020</w:t>
            </w:r>
          </w:p>
        </w:tc>
      </w:tr>
      <w:tr w:rsidR="004E1D9A" w:rsidRPr="004E1D9A" w14:paraId="051A2180" w14:textId="77777777" w:rsidTr="004E1D9A">
        <w:trPr>
          <w:trHeight w:hRule="exact" w:val="255"/>
        </w:trPr>
        <w:tc>
          <w:tcPr>
            <w:tcW w:w="1273" w:type="pct"/>
            <w:shd w:val="clear" w:color="auto" w:fill="C6D9F1" w:themeFill="text2" w:themeFillTint="33"/>
            <w:noWrap/>
            <w:vAlign w:val="center"/>
          </w:tcPr>
          <w:p w14:paraId="25EF0948"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Iglavci</w:t>
            </w:r>
          </w:p>
        </w:tc>
        <w:tc>
          <w:tcPr>
            <w:tcW w:w="311" w:type="pct"/>
            <w:shd w:val="clear" w:color="auto" w:fill="C6D9F1" w:themeFill="text2" w:themeFillTint="33"/>
            <w:vAlign w:val="center"/>
          </w:tcPr>
          <w:p w14:paraId="5E43D45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B34F40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9819643"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2B6E88B2"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4A7ECDE9"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DAE34CA"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1F2C1EB9"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AA363EA"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93CF78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2EFCE2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24C39FA8"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7FD0B76F"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62D1F6B6" w14:textId="77777777" w:rsidTr="004E1D9A">
        <w:trPr>
          <w:trHeight w:hRule="exact" w:val="255"/>
        </w:trPr>
        <w:tc>
          <w:tcPr>
            <w:tcW w:w="1273" w:type="pct"/>
            <w:shd w:val="clear" w:color="auto" w:fill="auto"/>
            <w:noWrap/>
            <w:vAlign w:val="center"/>
          </w:tcPr>
          <w:p w14:paraId="5683EEDC"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1E6F531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1.213</w:t>
            </w:r>
          </w:p>
        </w:tc>
        <w:tc>
          <w:tcPr>
            <w:tcW w:w="311" w:type="pct"/>
            <w:vAlign w:val="center"/>
          </w:tcPr>
          <w:p w14:paraId="2FD2E1F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1.180</w:t>
            </w:r>
          </w:p>
        </w:tc>
        <w:tc>
          <w:tcPr>
            <w:tcW w:w="311" w:type="pct"/>
            <w:vAlign w:val="center"/>
          </w:tcPr>
          <w:p w14:paraId="4834517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1.297</w:t>
            </w:r>
          </w:p>
        </w:tc>
        <w:tc>
          <w:tcPr>
            <w:tcW w:w="311" w:type="pct"/>
            <w:vAlign w:val="center"/>
          </w:tcPr>
          <w:p w14:paraId="1A26490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1.390</w:t>
            </w:r>
          </w:p>
        </w:tc>
        <w:tc>
          <w:tcPr>
            <w:tcW w:w="311" w:type="pct"/>
            <w:vAlign w:val="center"/>
          </w:tcPr>
          <w:p w14:paraId="49CC62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1.429</w:t>
            </w:r>
          </w:p>
        </w:tc>
        <w:tc>
          <w:tcPr>
            <w:tcW w:w="311" w:type="pct"/>
            <w:vAlign w:val="center"/>
          </w:tcPr>
          <w:p w14:paraId="40F00F6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1.815</w:t>
            </w:r>
          </w:p>
        </w:tc>
        <w:tc>
          <w:tcPr>
            <w:tcW w:w="311" w:type="pct"/>
            <w:vAlign w:val="center"/>
          </w:tcPr>
          <w:p w14:paraId="548BD19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2.210</w:t>
            </w:r>
          </w:p>
        </w:tc>
        <w:tc>
          <w:tcPr>
            <w:tcW w:w="311" w:type="pct"/>
            <w:vAlign w:val="center"/>
          </w:tcPr>
          <w:p w14:paraId="12F53CC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2.660</w:t>
            </w:r>
          </w:p>
        </w:tc>
        <w:tc>
          <w:tcPr>
            <w:tcW w:w="311" w:type="pct"/>
            <w:vAlign w:val="center"/>
          </w:tcPr>
          <w:p w14:paraId="6529F98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2.200</w:t>
            </w:r>
          </w:p>
        </w:tc>
        <w:tc>
          <w:tcPr>
            <w:tcW w:w="311" w:type="pct"/>
            <w:vAlign w:val="center"/>
          </w:tcPr>
          <w:p w14:paraId="1656C2A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2.553</w:t>
            </w:r>
          </w:p>
        </w:tc>
        <w:tc>
          <w:tcPr>
            <w:tcW w:w="311" w:type="pct"/>
            <w:vAlign w:val="center"/>
          </w:tcPr>
          <w:p w14:paraId="197752B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2.123</w:t>
            </w:r>
          </w:p>
        </w:tc>
        <w:tc>
          <w:tcPr>
            <w:tcW w:w="311" w:type="pct"/>
            <w:vAlign w:val="center"/>
          </w:tcPr>
          <w:p w14:paraId="11AE327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1.624</w:t>
            </w:r>
          </w:p>
        </w:tc>
      </w:tr>
      <w:tr w:rsidR="004E1D9A" w:rsidRPr="004E1D9A" w14:paraId="6DBB2976" w14:textId="77777777" w:rsidTr="004E1D9A">
        <w:trPr>
          <w:trHeight w:hRule="exact" w:val="255"/>
        </w:trPr>
        <w:tc>
          <w:tcPr>
            <w:tcW w:w="1273" w:type="pct"/>
            <w:shd w:val="clear" w:color="auto" w:fill="auto"/>
            <w:noWrap/>
            <w:vAlign w:val="center"/>
          </w:tcPr>
          <w:p w14:paraId="2BF27FE8"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1121AE5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211</w:t>
            </w:r>
          </w:p>
        </w:tc>
        <w:tc>
          <w:tcPr>
            <w:tcW w:w="311" w:type="pct"/>
            <w:vAlign w:val="center"/>
          </w:tcPr>
          <w:p w14:paraId="542914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187</w:t>
            </w:r>
          </w:p>
        </w:tc>
        <w:tc>
          <w:tcPr>
            <w:tcW w:w="311" w:type="pct"/>
            <w:vAlign w:val="center"/>
          </w:tcPr>
          <w:p w14:paraId="47003EA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222</w:t>
            </w:r>
          </w:p>
        </w:tc>
        <w:tc>
          <w:tcPr>
            <w:tcW w:w="311" w:type="pct"/>
            <w:vAlign w:val="center"/>
          </w:tcPr>
          <w:p w14:paraId="6F70964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232</w:t>
            </w:r>
          </w:p>
        </w:tc>
        <w:tc>
          <w:tcPr>
            <w:tcW w:w="311" w:type="pct"/>
            <w:vAlign w:val="center"/>
          </w:tcPr>
          <w:p w14:paraId="4D43486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251</w:t>
            </w:r>
          </w:p>
        </w:tc>
        <w:tc>
          <w:tcPr>
            <w:tcW w:w="311" w:type="pct"/>
            <w:vAlign w:val="center"/>
          </w:tcPr>
          <w:p w14:paraId="293CE93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634</w:t>
            </w:r>
          </w:p>
        </w:tc>
        <w:tc>
          <w:tcPr>
            <w:tcW w:w="311" w:type="pct"/>
            <w:vAlign w:val="center"/>
          </w:tcPr>
          <w:p w14:paraId="20CAAD8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550</w:t>
            </w:r>
          </w:p>
        </w:tc>
        <w:tc>
          <w:tcPr>
            <w:tcW w:w="311" w:type="pct"/>
            <w:vAlign w:val="center"/>
          </w:tcPr>
          <w:p w14:paraId="1A6F0A4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578</w:t>
            </w:r>
          </w:p>
        </w:tc>
        <w:tc>
          <w:tcPr>
            <w:tcW w:w="311" w:type="pct"/>
            <w:vAlign w:val="center"/>
          </w:tcPr>
          <w:p w14:paraId="30E911A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532</w:t>
            </w:r>
          </w:p>
        </w:tc>
        <w:tc>
          <w:tcPr>
            <w:tcW w:w="311" w:type="pct"/>
            <w:vAlign w:val="center"/>
          </w:tcPr>
          <w:p w14:paraId="78578D7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659</w:t>
            </w:r>
          </w:p>
        </w:tc>
        <w:tc>
          <w:tcPr>
            <w:tcW w:w="311" w:type="pct"/>
            <w:vAlign w:val="center"/>
          </w:tcPr>
          <w:p w14:paraId="51DBA90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492</w:t>
            </w:r>
          </w:p>
        </w:tc>
        <w:tc>
          <w:tcPr>
            <w:tcW w:w="311" w:type="pct"/>
            <w:vAlign w:val="center"/>
          </w:tcPr>
          <w:p w14:paraId="72EF9F3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346</w:t>
            </w:r>
          </w:p>
        </w:tc>
      </w:tr>
      <w:tr w:rsidR="004E1D9A" w:rsidRPr="004E1D9A" w14:paraId="5C67EF18" w14:textId="77777777" w:rsidTr="004E1D9A">
        <w:trPr>
          <w:trHeight w:hRule="exact" w:val="255"/>
        </w:trPr>
        <w:tc>
          <w:tcPr>
            <w:tcW w:w="1273" w:type="pct"/>
            <w:shd w:val="clear" w:color="auto" w:fill="auto"/>
            <w:noWrap/>
            <w:vAlign w:val="center"/>
          </w:tcPr>
          <w:p w14:paraId="40328E13"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6E8152A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44</w:t>
            </w:r>
          </w:p>
        </w:tc>
        <w:tc>
          <w:tcPr>
            <w:tcW w:w="311" w:type="pct"/>
            <w:vAlign w:val="center"/>
          </w:tcPr>
          <w:p w14:paraId="724BE19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52</w:t>
            </w:r>
          </w:p>
        </w:tc>
        <w:tc>
          <w:tcPr>
            <w:tcW w:w="311" w:type="pct"/>
            <w:vAlign w:val="center"/>
          </w:tcPr>
          <w:p w14:paraId="641B899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w:t>
            </w:r>
          </w:p>
        </w:tc>
        <w:tc>
          <w:tcPr>
            <w:tcW w:w="311" w:type="pct"/>
            <w:vAlign w:val="center"/>
          </w:tcPr>
          <w:p w14:paraId="0F7B722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41</w:t>
            </w:r>
          </w:p>
        </w:tc>
        <w:tc>
          <w:tcPr>
            <w:tcW w:w="311" w:type="pct"/>
            <w:vAlign w:val="center"/>
          </w:tcPr>
          <w:p w14:paraId="0DD7106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42</w:t>
            </w:r>
          </w:p>
        </w:tc>
        <w:tc>
          <w:tcPr>
            <w:tcW w:w="311" w:type="pct"/>
            <w:vAlign w:val="center"/>
          </w:tcPr>
          <w:p w14:paraId="0E9CBE7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w:t>
            </w:r>
          </w:p>
        </w:tc>
        <w:tc>
          <w:tcPr>
            <w:tcW w:w="311" w:type="pct"/>
            <w:vAlign w:val="center"/>
          </w:tcPr>
          <w:p w14:paraId="2E42E7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100</w:t>
            </w:r>
          </w:p>
        </w:tc>
        <w:tc>
          <w:tcPr>
            <w:tcW w:w="311" w:type="pct"/>
            <w:vAlign w:val="center"/>
          </w:tcPr>
          <w:p w14:paraId="57B3C83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75</w:t>
            </w:r>
          </w:p>
        </w:tc>
        <w:tc>
          <w:tcPr>
            <w:tcW w:w="311" w:type="pct"/>
            <w:vAlign w:val="center"/>
          </w:tcPr>
          <w:p w14:paraId="2714942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w:t>
            </w:r>
          </w:p>
        </w:tc>
        <w:tc>
          <w:tcPr>
            <w:tcW w:w="311" w:type="pct"/>
            <w:vAlign w:val="center"/>
          </w:tcPr>
          <w:p w14:paraId="5B83D85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33</w:t>
            </w:r>
          </w:p>
        </w:tc>
        <w:tc>
          <w:tcPr>
            <w:tcW w:w="311" w:type="pct"/>
            <w:vAlign w:val="center"/>
          </w:tcPr>
          <w:p w14:paraId="6C100C7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w:t>
            </w:r>
          </w:p>
        </w:tc>
        <w:tc>
          <w:tcPr>
            <w:tcW w:w="311" w:type="pct"/>
            <w:vAlign w:val="center"/>
          </w:tcPr>
          <w:p w14:paraId="3EBC647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15</w:t>
            </w:r>
          </w:p>
        </w:tc>
      </w:tr>
      <w:tr w:rsidR="004E1D9A" w:rsidRPr="004E1D9A" w14:paraId="2FD63014" w14:textId="77777777" w:rsidTr="004E1D9A">
        <w:trPr>
          <w:trHeight w:hRule="exact" w:val="255"/>
        </w:trPr>
        <w:tc>
          <w:tcPr>
            <w:tcW w:w="1273" w:type="pct"/>
            <w:shd w:val="clear" w:color="auto" w:fill="auto"/>
            <w:noWrap/>
            <w:vAlign w:val="center"/>
          </w:tcPr>
          <w:p w14:paraId="1A4C43D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7AD3339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w:t>
            </w:r>
          </w:p>
        </w:tc>
        <w:tc>
          <w:tcPr>
            <w:tcW w:w="311" w:type="pct"/>
            <w:vAlign w:val="center"/>
          </w:tcPr>
          <w:p w14:paraId="136F39A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136</w:t>
            </w:r>
          </w:p>
        </w:tc>
        <w:tc>
          <w:tcPr>
            <w:tcW w:w="311" w:type="pct"/>
            <w:vAlign w:val="center"/>
          </w:tcPr>
          <w:p w14:paraId="2D041AB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177</w:t>
            </w:r>
          </w:p>
        </w:tc>
        <w:tc>
          <w:tcPr>
            <w:tcW w:w="311" w:type="pct"/>
            <w:vAlign w:val="center"/>
          </w:tcPr>
          <w:p w14:paraId="118247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192</w:t>
            </w:r>
          </w:p>
        </w:tc>
        <w:tc>
          <w:tcPr>
            <w:tcW w:w="311" w:type="pct"/>
            <w:vAlign w:val="center"/>
          </w:tcPr>
          <w:p w14:paraId="4E0F5B8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194</w:t>
            </w:r>
          </w:p>
        </w:tc>
        <w:tc>
          <w:tcPr>
            <w:tcW w:w="311" w:type="pct"/>
            <w:vAlign w:val="center"/>
          </w:tcPr>
          <w:p w14:paraId="3E37BFA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224</w:t>
            </w:r>
          </w:p>
        </w:tc>
        <w:tc>
          <w:tcPr>
            <w:tcW w:w="311" w:type="pct"/>
            <w:vAlign w:val="center"/>
          </w:tcPr>
          <w:p w14:paraId="7BC079E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225</w:t>
            </w:r>
          </w:p>
        </w:tc>
        <w:tc>
          <w:tcPr>
            <w:tcW w:w="311" w:type="pct"/>
            <w:vAlign w:val="center"/>
          </w:tcPr>
          <w:p w14:paraId="2211860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200</w:t>
            </w:r>
          </w:p>
        </w:tc>
        <w:tc>
          <w:tcPr>
            <w:tcW w:w="311" w:type="pct"/>
            <w:vAlign w:val="center"/>
          </w:tcPr>
          <w:p w14:paraId="154ED49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170</w:t>
            </w:r>
          </w:p>
        </w:tc>
        <w:tc>
          <w:tcPr>
            <w:tcW w:w="311" w:type="pct"/>
            <w:vAlign w:val="center"/>
          </w:tcPr>
          <w:p w14:paraId="0C3D905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220</w:t>
            </w:r>
          </w:p>
        </w:tc>
        <w:tc>
          <w:tcPr>
            <w:tcW w:w="311" w:type="pct"/>
            <w:vAlign w:val="center"/>
          </w:tcPr>
          <w:p w14:paraId="30D77FB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163</w:t>
            </w:r>
          </w:p>
        </w:tc>
        <w:tc>
          <w:tcPr>
            <w:tcW w:w="311" w:type="pct"/>
            <w:vAlign w:val="center"/>
          </w:tcPr>
          <w:p w14:paraId="564BAA6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135</w:t>
            </w:r>
          </w:p>
        </w:tc>
      </w:tr>
      <w:tr w:rsidR="004E1D9A" w:rsidRPr="004E1D9A" w14:paraId="46B8A35E" w14:textId="77777777" w:rsidTr="004E1D9A">
        <w:trPr>
          <w:trHeight w:hRule="exact" w:val="255"/>
        </w:trPr>
        <w:tc>
          <w:tcPr>
            <w:tcW w:w="1273" w:type="pct"/>
            <w:shd w:val="clear" w:color="auto" w:fill="C6D9F1" w:themeFill="text2" w:themeFillTint="33"/>
            <w:noWrap/>
            <w:vAlign w:val="center"/>
          </w:tcPr>
          <w:p w14:paraId="46FF3B3E"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48909A6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1.582</w:t>
            </w:r>
          </w:p>
        </w:tc>
        <w:tc>
          <w:tcPr>
            <w:tcW w:w="311" w:type="pct"/>
            <w:shd w:val="clear" w:color="auto" w:fill="C6D9F1" w:themeFill="text2" w:themeFillTint="33"/>
            <w:vAlign w:val="center"/>
          </w:tcPr>
          <w:p w14:paraId="6E805C4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1.555</w:t>
            </w:r>
          </w:p>
        </w:tc>
        <w:tc>
          <w:tcPr>
            <w:tcW w:w="311" w:type="pct"/>
            <w:shd w:val="clear" w:color="auto" w:fill="C6D9F1" w:themeFill="text2" w:themeFillTint="33"/>
            <w:vAlign w:val="center"/>
          </w:tcPr>
          <w:p w14:paraId="4D61CB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1.759</w:t>
            </w:r>
          </w:p>
        </w:tc>
        <w:tc>
          <w:tcPr>
            <w:tcW w:w="311" w:type="pct"/>
            <w:shd w:val="clear" w:color="auto" w:fill="C6D9F1" w:themeFill="text2" w:themeFillTint="33"/>
            <w:vAlign w:val="center"/>
          </w:tcPr>
          <w:p w14:paraId="3BCD378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1.855</w:t>
            </w:r>
          </w:p>
        </w:tc>
        <w:tc>
          <w:tcPr>
            <w:tcW w:w="311" w:type="pct"/>
            <w:shd w:val="clear" w:color="auto" w:fill="C6D9F1" w:themeFill="text2" w:themeFillTint="33"/>
            <w:vAlign w:val="center"/>
          </w:tcPr>
          <w:p w14:paraId="4AD8FD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1.915</w:t>
            </w:r>
          </w:p>
        </w:tc>
        <w:tc>
          <w:tcPr>
            <w:tcW w:w="311" w:type="pct"/>
            <w:shd w:val="clear" w:color="auto" w:fill="C6D9F1" w:themeFill="text2" w:themeFillTint="33"/>
            <w:vAlign w:val="center"/>
          </w:tcPr>
          <w:p w14:paraId="0175A93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2.787</w:t>
            </w:r>
          </w:p>
        </w:tc>
        <w:tc>
          <w:tcPr>
            <w:tcW w:w="311" w:type="pct"/>
            <w:shd w:val="clear" w:color="auto" w:fill="C6D9F1" w:themeFill="text2" w:themeFillTint="33"/>
            <w:vAlign w:val="center"/>
          </w:tcPr>
          <w:p w14:paraId="19E8DB0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3.085</w:t>
            </w:r>
          </w:p>
        </w:tc>
        <w:tc>
          <w:tcPr>
            <w:tcW w:w="311" w:type="pct"/>
            <w:shd w:val="clear" w:color="auto" w:fill="C6D9F1" w:themeFill="text2" w:themeFillTint="33"/>
            <w:vAlign w:val="center"/>
          </w:tcPr>
          <w:p w14:paraId="15284D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3.513</w:t>
            </w:r>
          </w:p>
        </w:tc>
        <w:tc>
          <w:tcPr>
            <w:tcW w:w="311" w:type="pct"/>
            <w:shd w:val="clear" w:color="auto" w:fill="C6D9F1" w:themeFill="text2" w:themeFillTint="33"/>
            <w:vAlign w:val="center"/>
          </w:tcPr>
          <w:p w14:paraId="4625995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2.922</w:t>
            </w:r>
          </w:p>
        </w:tc>
        <w:tc>
          <w:tcPr>
            <w:tcW w:w="311" w:type="pct"/>
            <w:shd w:val="clear" w:color="auto" w:fill="C6D9F1" w:themeFill="text2" w:themeFillTint="33"/>
            <w:vAlign w:val="center"/>
          </w:tcPr>
          <w:p w14:paraId="2B77921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3.466</w:t>
            </w:r>
          </w:p>
        </w:tc>
        <w:tc>
          <w:tcPr>
            <w:tcW w:w="311" w:type="pct"/>
            <w:shd w:val="clear" w:color="auto" w:fill="C6D9F1" w:themeFill="text2" w:themeFillTint="33"/>
            <w:vAlign w:val="center"/>
          </w:tcPr>
          <w:p w14:paraId="252BDCB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1.798</w:t>
            </w:r>
          </w:p>
        </w:tc>
        <w:tc>
          <w:tcPr>
            <w:tcW w:w="311" w:type="pct"/>
            <w:shd w:val="clear" w:color="auto" w:fill="C6D9F1" w:themeFill="text2" w:themeFillTint="33"/>
            <w:vAlign w:val="center"/>
          </w:tcPr>
          <w:p w14:paraId="1EBFFF7A"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2.120</w:t>
            </w:r>
          </w:p>
        </w:tc>
      </w:tr>
      <w:tr w:rsidR="004E1D9A" w:rsidRPr="004E1D9A" w14:paraId="4B23968B" w14:textId="77777777" w:rsidTr="004E1D9A">
        <w:trPr>
          <w:trHeight w:hRule="exact" w:val="255"/>
        </w:trPr>
        <w:tc>
          <w:tcPr>
            <w:tcW w:w="1273" w:type="pct"/>
            <w:shd w:val="clear" w:color="auto" w:fill="C6D9F1" w:themeFill="text2" w:themeFillTint="33"/>
            <w:noWrap/>
            <w:vAlign w:val="center"/>
          </w:tcPr>
          <w:p w14:paraId="346021E5"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Listavci</w:t>
            </w:r>
          </w:p>
        </w:tc>
        <w:tc>
          <w:tcPr>
            <w:tcW w:w="311" w:type="pct"/>
            <w:shd w:val="clear" w:color="auto" w:fill="C6D9F1" w:themeFill="text2" w:themeFillTint="33"/>
            <w:vAlign w:val="center"/>
          </w:tcPr>
          <w:p w14:paraId="67011260"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F2AD1F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8C558C2"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5EAB92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8CE1396"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4D25C7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5318476"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37B3972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FBAAFC5"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37F61B6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785AAB5"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5DF2EAB9"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49902534" w14:textId="77777777" w:rsidTr="004E1D9A">
        <w:trPr>
          <w:trHeight w:hRule="exact" w:val="255"/>
        </w:trPr>
        <w:tc>
          <w:tcPr>
            <w:tcW w:w="1273" w:type="pct"/>
            <w:shd w:val="clear" w:color="auto" w:fill="auto"/>
            <w:noWrap/>
            <w:vAlign w:val="center"/>
          </w:tcPr>
          <w:p w14:paraId="2F533C72"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2742B51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301</w:t>
            </w:r>
          </w:p>
        </w:tc>
        <w:tc>
          <w:tcPr>
            <w:tcW w:w="311" w:type="pct"/>
            <w:vAlign w:val="center"/>
          </w:tcPr>
          <w:p w14:paraId="452AC8E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272</w:t>
            </w:r>
          </w:p>
        </w:tc>
        <w:tc>
          <w:tcPr>
            <w:tcW w:w="311" w:type="pct"/>
            <w:vAlign w:val="center"/>
          </w:tcPr>
          <w:p w14:paraId="1569A4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284</w:t>
            </w:r>
          </w:p>
        </w:tc>
        <w:tc>
          <w:tcPr>
            <w:tcW w:w="311" w:type="pct"/>
            <w:vAlign w:val="center"/>
          </w:tcPr>
          <w:p w14:paraId="10E6FB3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252</w:t>
            </w:r>
          </w:p>
        </w:tc>
        <w:tc>
          <w:tcPr>
            <w:tcW w:w="311" w:type="pct"/>
            <w:vAlign w:val="center"/>
          </w:tcPr>
          <w:p w14:paraId="0841598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266</w:t>
            </w:r>
          </w:p>
        </w:tc>
        <w:tc>
          <w:tcPr>
            <w:tcW w:w="311" w:type="pct"/>
            <w:vAlign w:val="center"/>
          </w:tcPr>
          <w:p w14:paraId="4E139DD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303</w:t>
            </w:r>
          </w:p>
        </w:tc>
        <w:tc>
          <w:tcPr>
            <w:tcW w:w="311" w:type="pct"/>
            <w:vAlign w:val="center"/>
          </w:tcPr>
          <w:p w14:paraId="619B94E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321</w:t>
            </w:r>
          </w:p>
        </w:tc>
        <w:tc>
          <w:tcPr>
            <w:tcW w:w="311" w:type="pct"/>
            <w:vAlign w:val="center"/>
          </w:tcPr>
          <w:p w14:paraId="28AD350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329</w:t>
            </w:r>
          </w:p>
        </w:tc>
        <w:tc>
          <w:tcPr>
            <w:tcW w:w="311" w:type="pct"/>
            <w:vAlign w:val="center"/>
          </w:tcPr>
          <w:p w14:paraId="17D8C4E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295</w:t>
            </w:r>
          </w:p>
        </w:tc>
        <w:tc>
          <w:tcPr>
            <w:tcW w:w="311" w:type="pct"/>
            <w:vAlign w:val="center"/>
          </w:tcPr>
          <w:p w14:paraId="7205DC6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280</w:t>
            </w:r>
          </w:p>
        </w:tc>
        <w:tc>
          <w:tcPr>
            <w:tcW w:w="311" w:type="pct"/>
            <w:vAlign w:val="center"/>
          </w:tcPr>
          <w:p w14:paraId="65E648F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352</w:t>
            </w:r>
          </w:p>
        </w:tc>
        <w:tc>
          <w:tcPr>
            <w:tcW w:w="311" w:type="pct"/>
            <w:vAlign w:val="center"/>
          </w:tcPr>
          <w:p w14:paraId="4E8B1AC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348</w:t>
            </w:r>
          </w:p>
        </w:tc>
      </w:tr>
      <w:tr w:rsidR="004E1D9A" w:rsidRPr="004E1D9A" w14:paraId="190E5C9A" w14:textId="77777777" w:rsidTr="004E1D9A">
        <w:trPr>
          <w:trHeight w:hRule="exact" w:val="255"/>
        </w:trPr>
        <w:tc>
          <w:tcPr>
            <w:tcW w:w="1273" w:type="pct"/>
            <w:shd w:val="clear" w:color="auto" w:fill="auto"/>
            <w:noWrap/>
            <w:vAlign w:val="center"/>
          </w:tcPr>
          <w:p w14:paraId="39F029F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4D8695B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159</w:t>
            </w:r>
          </w:p>
        </w:tc>
        <w:tc>
          <w:tcPr>
            <w:tcW w:w="311" w:type="pct"/>
            <w:vAlign w:val="center"/>
          </w:tcPr>
          <w:p w14:paraId="3F295A2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129</w:t>
            </w:r>
          </w:p>
        </w:tc>
        <w:tc>
          <w:tcPr>
            <w:tcW w:w="311" w:type="pct"/>
            <w:vAlign w:val="center"/>
          </w:tcPr>
          <w:p w14:paraId="3075570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w:t>
            </w:r>
          </w:p>
        </w:tc>
        <w:tc>
          <w:tcPr>
            <w:tcW w:w="311" w:type="pct"/>
            <w:vAlign w:val="center"/>
          </w:tcPr>
          <w:p w14:paraId="20976E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302</w:t>
            </w:r>
          </w:p>
        </w:tc>
        <w:tc>
          <w:tcPr>
            <w:tcW w:w="311" w:type="pct"/>
            <w:vAlign w:val="center"/>
          </w:tcPr>
          <w:p w14:paraId="6C89F7D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241</w:t>
            </w:r>
          </w:p>
        </w:tc>
        <w:tc>
          <w:tcPr>
            <w:tcW w:w="311" w:type="pct"/>
            <w:vAlign w:val="center"/>
          </w:tcPr>
          <w:p w14:paraId="03F6C13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581</w:t>
            </w:r>
          </w:p>
        </w:tc>
        <w:tc>
          <w:tcPr>
            <w:tcW w:w="311" w:type="pct"/>
            <w:vAlign w:val="center"/>
          </w:tcPr>
          <w:p w14:paraId="2C5F0C0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595</w:t>
            </w:r>
          </w:p>
        </w:tc>
        <w:tc>
          <w:tcPr>
            <w:tcW w:w="311" w:type="pct"/>
            <w:vAlign w:val="center"/>
          </w:tcPr>
          <w:p w14:paraId="555E745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438</w:t>
            </w:r>
          </w:p>
        </w:tc>
        <w:tc>
          <w:tcPr>
            <w:tcW w:w="311" w:type="pct"/>
            <w:vAlign w:val="center"/>
          </w:tcPr>
          <w:p w14:paraId="23A10B3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400</w:t>
            </w:r>
          </w:p>
        </w:tc>
        <w:tc>
          <w:tcPr>
            <w:tcW w:w="311" w:type="pct"/>
            <w:vAlign w:val="center"/>
          </w:tcPr>
          <w:p w14:paraId="7438E5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366</w:t>
            </w:r>
          </w:p>
        </w:tc>
        <w:tc>
          <w:tcPr>
            <w:tcW w:w="311" w:type="pct"/>
            <w:vAlign w:val="center"/>
          </w:tcPr>
          <w:p w14:paraId="45C5436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500</w:t>
            </w:r>
          </w:p>
        </w:tc>
        <w:tc>
          <w:tcPr>
            <w:tcW w:w="311" w:type="pct"/>
            <w:vAlign w:val="center"/>
          </w:tcPr>
          <w:p w14:paraId="3BB7E66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479</w:t>
            </w:r>
          </w:p>
        </w:tc>
      </w:tr>
      <w:tr w:rsidR="004E1D9A" w:rsidRPr="004E1D9A" w14:paraId="12BCC447" w14:textId="77777777" w:rsidTr="004E1D9A">
        <w:trPr>
          <w:trHeight w:hRule="exact" w:val="255"/>
        </w:trPr>
        <w:tc>
          <w:tcPr>
            <w:tcW w:w="1273" w:type="pct"/>
            <w:shd w:val="clear" w:color="auto" w:fill="auto"/>
            <w:noWrap/>
            <w:vAlign w:val="center"/>
          </w:tcPr>
          <w:p w14:paraId="5703445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33622AA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w:t>
            </w:r>
          </w:p>
        </w:tc>
        <w:tc>
          <w:tcPr>
            <w:tcW w:w="311" w:type="pct"/>
            <w:vAlign w:val="center"/>
          </w:tcPr>
          <w:p w14:paraId="580C23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w:t>
            </w:r>
          </w:p>
        </w:tc>
        <w:tc>
          <w:tcPr>
            <w:tcW w:w="311" w:type="pct"/>
            <w:vAlign w:val="center"/>
          </w:tcPr>
          <w:p w14:paraId="64CC6A8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w:t>
            </w:r>
          </w:p>
        </w:tc>
        <w:tc>
          <w:tcPr>
            <w:tcW w:w="311" w:type="pct"/>
            <w:vAlign w:val="center"/>
          </w:tcPr>
          <w:p w14:paraId="111FDF4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23</w:t>
            </w:r>
          </w:p>
        </w:tc>
        <w:tc>
          <w:tcPr>
            <w:tcW w:w="311" w:type="pct"/>
            <w:vAlign w:val="center"/>
          </w:tcPr>
          <w:p w14:paraId="0EC4F0D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79</w:t>
            </w:r>
          </w:p>
        </w:tc>
        <w:tc>
          <w:tcPr>
            <w:tcW w:w="311" w:type="pct"/>
            <w:vAlign w:val="center"/>
          </w:tcPr>
          <w:p w14:paraId="345870B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106</w:t>
            </w:r>
          </w:p>
        </w:tc>
        <w:tc>
          <w:tcPr>
            <w:tcW w:w="311" w:type="pct"/>
            <w:vAlign w:val="center"/>
          </w:tcPr>
          <w:p w14:paraId="3FE861E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77</w:t>
            </w:r>
          </w:p>
        </w:tc>
        <w:tc>
          <w:tcPr>
            <w:tcW w:w="311" w:type="pct"/>
            <w:vAlign w:val="center"/>
          </w:tcPr>
          <w:p w14:paraId="510019A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60</w:t>
            </w:r>
          </w:p>
        </w:tc>
        <w:tc>
          <w:tcPr>
            <w:tcW w:w="311" w:type="pct"/>
            <w:vAlign w:val="center"/>
          </w:tcPr>
          <w:p w14:paraId="0BE513D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50</w:t>
            </w:r>
          </w:p>
        </w:tc>
        <w:tc>
          <w:tcPr>
            <w:tcW w:w="311" w:type="pct"/>
            <w:vAlign w:val="center"/>
          </w:tcPr>
          <w:p w14:paraId="6E37798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w:t>
            </w:r>
          </w:p>
        </w:tc>
        <w:tc>
          <w:tcPr>
            <w:tcW w:w="311" w:type="pct"/>
            <w:vAlign w:val="center"/>
          </w:tcPr>
          <w:p w14:paraId="613DCFA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w:t>
            </w:r>
          </w:p>
        </w:tc>
        <w:tc>
          <w:tcPr>
            <w:tcW w:w="311" w:type="pct"/>
            <w:vAlign w:val="center"/>
          </w:tcPr>
          <w:p w14:paraId="1B547943"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w:t>
            </w:r>
          </w:p>
        </w:tc>
      </w:tr>
      <w:tr w:rsidR="004E1D9A" w:rsidRPr="004E1D9A" w14:paraId="0F9F181F" w14:textId="77777777" w:rsidTr="004E1D9A">
        <w:trPr>
          <w:trHeight w:hRule="exact" w:val="255"/>
        </w:trPr>
        <w:tc>
          <w:tcPr>
            <w:tcW w:w="1273" w:type="pct"/>
            <w:shd w:val="clear" w:color="auto" w:fill="auto"/>
            <w:noWrap/>
            <w:vAlign w:val="center"/>
          </w:tcPr>
          <w:p w14:paraId="6EC28F7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3906A07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869</w:t>
            </w:r>
          </w:p>
        </w:tc>
        <w:tc>
          <w:tcPr>
            <w:tcW w:w="311" w:type="pct"/>
            <w:vAlign w:val="center"/>
          </w:tcPr>
          <w:p w14:paraId="4E4800E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968</w:t>
            </w:r>
          </w:p>
        </w:tc>
        <w:tc>
          <w:tcPr>
            <w:tcW w:w="311" w:type="pct"/>
            <w:vAlign w:val="center"/>
          </w:tcPr>
          <w:p w14:paraId="3B58674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1.159</w:t>
            </w:r>
          </w:p>
        </w:tc>
        <w:tc>
          <w:tcPr>
            <w:tcW w:w="311" w:type="pct"/>
            <w:vAlign w:val="center"/>
          </w:tcPr>
          <w:p w14:paraId="497FE1B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1.009</w:t>
            </w:r>
          </w:p>
        </w:tc>
        <w:tc>
          <w:tcPr>
            <w:tcW w:w="311" w:type="pct"/>
            <w:vAlign w:val="center"/>
          </w:tcPr>
          <w:p w14:paraId="4A0232A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1.013</w:t>
            </w:r>
          </w:p>
        </w:tc>
        <w:tc>
          <w:tcPr>
            <w:tcW w:w="311" w:type="pct"/>
            <w:vAlign w:val="center"/>
          </w:tcPr>
          <w:p w14:paraId="515DBAA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1.476</w:t>
            </w:r>
          </w:p>
        </w:tc>
        <w:tc>
          <w:tcPr>
            <w:tcW w:w="311" w:type="pct"/>
            <w:vAlign w:val="center"/>
          </w:tcPr>
          <w:p w14:paraId="13CDB8C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1.106</w:t>
            </w:r>
          </w:p>
        </w:tc>
        <w:tc>
          <w:tcPr>
            <w:tcW w:w="311" w:type="pct"/>
            <w:vAlign w:val="center"/>
          </w:tcPr>
          <w:p w14:paraId="5635D77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1.162</w:t>
            </w:r>
          </w:p>
        </w:tc>
        <w:tc>
          <w:tcPr>
            <w:tcW w:w="311" w:type="pct"/>
            <w:vAlign w:val="center"/>
          </w:tcPr>
          <w:p w14:paraId="6A9907F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943</w:t>
            </w:r>
          </w:p>
        </w:tc>
        <w:tc>
          <w:tcPr>
            <w:tcW w:w="311" w:type="pct"/>
            <w:vAlign w:val="center"/>
          </w:tcPr>
          <w:p w14:paraId="0BD4617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979</w:t>
            </w:r>
          </w:p>
        </w:tc>
        <w:tc>
          <w:tcPr>
            <w:tcW w:w="311" w:type="pct"/>
            <w:vAlign w:val="center"/>
          </w:tcPr>
          <w:p w14:paraId="6DAC8D17"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1.032</w:t>
            </w:r>
          </w:p>
        </w:tc>
        <w:tc>
          <w:tcPr>
            <w:tcW w:w="311" w:type="pct"/>
            <w:vAlign w:val="center"/>
          </w:tcPr>
          <w:p w14:paraId="0FAD8A4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1.013</w:t>
            </w:r>
          </w:p>
        </w:tc>
      </w:tr>
      <w:tr w:rsidR="004E1D9A" w:rsidRPr="004E1D9A" w14:paraId="612FD464" w14:textId="77777777" w:rsidTr="004E1D9A">
        <w:trPr>
          <w:trHeight w:hRule="exact" w:val="255"/>
        </w:trPr>
        <w:tc>
          <w:tcPr>
            <w:tcW w:w="1273" w:type="pct"/>
            <w:shd w:val="clear" w:color="auto" w:fill="C6D9F1" w:themeFill="text2" w:themeFillTint="33"/>
            <w:noWrap/>
            <w:vAlign w:val="center"/>
          </w:tcPr>
          <w:p w14:paraId="656D0B9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23619D4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1.348</w:t>
            </w:r>
          </w:p>
        </w:tc>
        <w:tc>
          <w:tcPr>
            <w:tcW w:w="311" w:type="pct"/>
            <w:shd w:val="clear" w:color="auto" w:fill="C6D9F1" w:themeFill="text2" w:themeFillTint="33"/>
            <w:vAlign w:val="center"/>
          </w:tcPr>
          <w:p w14:paraId="72DAAFC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1.390</w:t>
            </w:r>
          </w:p>
        </w:tc>
        <w:tc>
          <w:tcPr>
            <w:tcW w:w="311" w:type="pct"/>
            <w:shd w:val="clear" w:color="auto" w:fill="C6D9F1" w:themeFill="text2" w:themeFillTint="33"/>
            <w:vAlign w:val="center"/>
          </w:tcPr>
          <w:p w14:paraId="4A97994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1.629</w:t>
            </w:r>
          </w:p>
        </w:tc>
        <w:tc>
          <w:tcPr>
            <w:tcW w:w="311" w:type="pct"/>
            <w:shd w:val="clear" w:color="auto" w:fill="C6D9F1" w:themeFill="text2" w:themeFillTint="33"/>
            <w:vAlign w:val="center"/>
          </w:tcPr>
          <w:p w14:paraId="34E0F7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1.586</w:t>
            </w:r>
          </w:p>
        </w:tc>
        <w:tc>
          <w:tcPr>
            <w:tcW w:w="311" w:type="pct"/>
            <w:shd w:val="clear" w:color="auto" w:fill="C6D9F1" w:themeFill="text2" w:themeFillTint="33"/>
            <w:vAlign w:val="center"/>
          </w:tcPr>
          <w:p w14:paraId="3588174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1.599</w:t>
            </w:r>
          </w:p>
        </w:tc>
        <w:tc>
          <w:tcPr>
            <w:tcW w:w="311" w:type="pct"/>
            <w:shd w:val="clear" w:color="auto" w:fill="C6D9F1" w:themeFill="text2" w:themeFillTint="33"/>
            <w:vAlign w:val="center"/>
          </w:tcPr>
          <w:p w14:paraId="40F2D9F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2.465</w:t>
            </w:r>
          </w:p>
        </w:tc>
        <w:tc>
          <w:tcPr>
            <w:tcW w:w="311" w:type="pct"/>
            <w:shd w:val="clear" w:color="auto" w:fill="C6D9F1" w:themeFill="text2" w:themeFillTint="33"/>
            <w:vAlign w:val="center"/>
          </w:tcPr>
          <w:p w14:paraId="3F9F946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2.099</w:t>
            </w:r>
          </w:p>
        </w:tc>
        <w:tc>
          <w:tcPr>
            <w:tcW w:w="311" w:type="pct"/>
            <w:shd w:val="clear" w:color="auto" w:fill="C6D9F1" w:themeFill="text2" w:themeFillTint="33"/>
            <w:vAlign w:val="center"/>
          </w:tcPr>
          <w:p w14:paraId="680DAA9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1.988</w:t>
            </w:r>
          </w:p>
        </w:tc>
        <w:tc>
          <w:tcPr>
            <w:tcW w:w="311" w:type="pct"/>
            <w:shd w:val="clear" w:color="auto" w:fill="C6D9F1" w:themeFill="text2" w:themeFillTint="33"/>
            <w:vAlign w:val="center"/>
          </w:tcPr>
          <w:p w14:paraId="6F56DF1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1.688</w:t>
            </w:r>
          </w:p>
        </w:tc>
        <w:tc>
          <w:tcPr>
            <w:tcW w:w="311" w:type="pct"/>
            <w:shd w:val="clear" w:color="auto" w:fill="C6D9F1" w:themeFill="text2" w:themeFillTint="33"/>
            <w:vAlign w:val="center"/>
          </w:tcPr>
          <w:p w14:paraId="72B8521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1.680</w:t>
            </w:r>
          </w:p>
        </w:tc>
        <w:tc>
          <w:tcPr>
            <w:tcW w:w="311" w:type="pct"/>
            <w:shd w:val="clear" w:color="auto" w:fill="C6D9F1" w:themeFill="text2" w:themeFillTint="33"/>
            <w:vAlign w:val="center"/>
          </w:tcPr>
          <w:p w14:paraId="2431F7C7"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1.931</w:t>
            </w:r>
          </w:p>
        </w:tc>
        <w:tc>
          <w:tcPr>
            <w:tcW w:w="311" w:type="pct"/>
            <w:shd w:val="clear" w:color="auto" w:fill="C6D9F1" w:themeFill="text2" w:themeFillTint="33"/>
            <w:vAlign w:val="center"/>
          </w:tcPr>
          <w:p w14:paraId="2BFB426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1.887</w:t>
            </w:r>
          </w:p>
        </w:tc>
      </w:tr>
      <w:tr w:rsidR="004E1D9A" w:rsidRPr="004E1D9A" w14:paraId="1CE366A0" w14:textId="77777777" w:rsidTr="004E1D9A">
        <w:trPr>
          <w:trHeight w:hRule="exact" w:val="255"/>
        </w:trPr>
        <w:tc>
          <w:tcPr>
            <w:tcW w:w="1273" w:type="pct"/>
            <w:shd w:val="clear" w:color="auto" w:fill="C6D9F1" w:themeFill="text2" w:themeFillTint="33"/>
            <w:noWrap/>
            <w:vAlign w:val="center"/>
          </w:tcPr>
          <w:p w14:paraId="02F3F22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Iglavci in listavci</w:t>
            </w:r>
          </w:p>
        </w:tc>
        <w:tc>
          <w:tcPr>
            <w:tcW w:w="311" w:type="pct"/>
            <w:shd w:val="clear" w:color="auto" w:fill="C6D9F1" w:themeFill="text2" w:themeFillTint="33"/>
            <w:vAlign w:val="center"/>
          </w:tcPr>
          <w:p w14:paraId="639D4BE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475F4A7"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C376E5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590672E"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FD3214F"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01B1A620"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73EC59C"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E2FBD0D"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8748239"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8B4B121"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6FC1276"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2F5CF9AE"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2AF3CEF0" w14:textId="77777777" w:rsidTr="004E1D9A">
        <w:trPr>
          <w:trHeight w:hRule="exact" w:val="255"/>
        </w:trPr>
        <w:tc>
          <w:tcPr>
            <w:tcW w:w="1273" w:type="pct"/>
            <w:shd w:val="clear" w:color="auto" w:fill="auto"/>
            <w:noWrap/>
            <w:vAlign w:val="center"/>
          </w:tcPr>
          <w:p w14:paraId="5AE4B68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133A5D6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1.514</w:t>
            </w:r>
          </w:p>
        </w:tc>
        <w:tc>
          <w:tcPr>
            <w:tcW w:w="311" w:type="pct"/>
            <w:vAlign w:val="center"/>
          </w:tcPr>
          <w:p w14:paraId="411E6A3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1.452</w:t>
            </w:r>
          </w:p>
        </w:tc>
        <w:tc>
          <w:tcPr>
            <w:tcW w:w="311" w:type="pct"/>
            <w:vAlign w:val="center"/>
          </w:tcPr>
          <w:p w14:paraId="46DDE7D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1.582</w:t>
            </w:r>
          </w:p>
        </w:tc>
        <w:tc>
          <w:tcPr>
            <w:tcW w:w="311" w:type="pct"/>
            <w:vAlign w:val="center"/>
          </w:tcPr>
          <w:p w14:paraId="4A13385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1.641</w:t>
            </w:r>
          </w:p>
        </w:tc>
        <w:tc>
          <w:tcPr>
            <w:tcW w:w="311" w:type="pct"/>
            <w:vAlign w:val="center"/>
          </w:tcPr>
          <w:p w14:paraId="5E64F4E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1.695</w:t>
            </w:r>
          </w:p>
        </w:tc>
        <w:tc>
          <w:tcPr>
            <w:tcW w:w="311" w:type="pct"/>
            <w:vAlign w:val="center"/>
          </w:tcPr>
          <w:p w14:paraId="62156FC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2.118</w:t>
            </w:r>
          </w:p>
        </w:tc>
        <w:tc>
          <w:tcPr>
            <w:tcW w:w="311" w:type="pct"/>
            <w:vAlign w:val="center"/>
          </w:tcPr>
          <w:p w14:paraId="6B6E284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2.531</w:t>
            </w:r>
          </w:p>
        </w:tc>
        <w:tc>
          <w:tcPr>
            <w:tcW w:w="311" w:type="pct"/>
            <w:vAlign w:val="center"/>
          </w:tcPr>
          <w:p w14:paraId="7C0BA60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2.989</w:t>
            </w:r>
          </w:p>
        </w:tc>
        <w:tc>
          <w:tcPr>
            <w:tcW w:w="311" w:type="pct"/>
            <w:vAlign w:val="center"/>
          </w:tcPr>
          <w:p w14:paraId="65ED0E9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2.495</w:t>
            </w:r>
          </w:p>
        </w:tc>
        <w:tc>
          <w:tcPr>
            <w:tcW w:w="311" w:type="pct"/>
            <w:vAlign w:val="center"/>
          </w:tcPr>
          <w:p w14:paraId="5256A68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2.833</w:t>
            </w:r>
          </w:p>
        </w:tc>
        <w:tc>
          <w:tcPr>
            <w:tcW w:w="311" w:type="pct"/>
            <w:vAlign w:val="center"/>
          </w:tcPr>
          <w:p w14:paraId="613F6EC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2.475</w:t>
            </w:r>
          </w:p>
        </w:tc>
        <w:tc>
          <w:tcPr>
            <w:tcW w:w="311" w:type="pct"/>
            <w:vAlign w:val="center"/>
          </w:tcPr>
          <w:p w14:paraId="598A5536"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1.971</w:t>
            </w:r>
          </w:p>
        </w:tc>
      </w:tr>
      <w:tr w:rsidR="004E1D9A" w:rsidRPr="004E1D9A" w14:paraId="2D913A27" w14:textId="77777777" w:rsidTr="004E1D9A">
        <w:trPr>
          <w:trHeight w:hRule="exact" w:val="255"/>
        </w:trPr>
        <w:tc>
          <w:tcPr>
            <w:tcW w:w="1273" w:type="pct"/>
            <w:shd w:val="clear" w:color="auto" w:fill="auto"/>
            <w:noWrap/>
            <w:vAlign w:val="center"/>
          </w:tcPr>
          <w:p w14:paraId="66568A4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2102BA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370</w:t>
            </w:r>
          </w:p>
        </w:tc>
        <w:tc>
          <w:tcPr>
            <w:tcW w:w="311" w:type="pct"/>
            <w:vAlign w:val="center"/>
          </w:tcPr>
          <w:p w14:paraId="00C8065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316</w:t>
            </w:r>
          </w:p>
        </w:tc>
        <w:tc>
          <w:tcPr>
            <w:tcW w:w="311" w:type="pct"/>
            <w:vAlign w:val="center"/>
          </w:tcPr>
          <w:p w14:paraId="14A8A8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380</w:t>
            </w:r>
          </w:p>
        </w:tc>
        <w:tc>
          <w:tcPr>
            <w:tcW w:w="311" w:type="pct"/>
            <w:vAlign w:val="center"/>
          </w:tcPr>
          <w:p w14:paraId="25636EB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534</w:t>
            </w:r>
          </w:p>
        </w:tc>
        <w:tc>
          <w:tcPr>
            <w:tcW w:w="311" w:type="pct"/>
            <w:vAlign w:val="center"/>
          </w:tcPr>
          <w:p w14:paraId="729B69E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492</w:t>
            </w:r>
          </w:p>
        </w:tc>
        <w:tc>
          <w:tcPr>
            <w:tcW w:w="311" w:type="pct"/>
            <w:vAlign w:val="center"/>
          </w:tcPr>
          <w:p w14:paraId="4F3B08C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1.215</w:t>
            </w:r>
          </w:p>
        </w:tc>
        <w:tc>
          <w:tcPr>
            <w:tcW w:w="311" w:type="pct"/>
            <w:vAlign w:val="center"/>
          </w:tcPr>
          <w:p w14:paraId="26CC25B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1.145</w:t>
            </w:r>
          </w:p>
        </w:tc>
        <w:tc>
          <w:tcPr>
            <w:tcW w:w="311" w:type="pct"/>
            <w:vAlign w:val="center"/>
          </w:tcPr>
          <w:p w14:paraId="00CEACA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1.016</w:t>
            </w:r>
          </w:p>
        </w:tc>
        <w:tc>
          <w:tcPr>
            <w:tcW w:w="311" w:type="pct"/>
            <w:vAlign w:val="center"/>
          </w:tcPr>
          <w:p w14:paraId="13C242B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932</w:t>
            </w:r>
          </w:p>
        </w:tc>
        <w:tc>
          <w:tcPr>
            <w:tcW w:w="311" w:type="pct"/>
            <w:vAlign w:val="center"/>
          </w:tcPr>
          <w:p w14:paraId="1E86E56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1.025</w:t>
            </w:r>
          </w:p>
        </w:tc>
        <w:tc>
          <w:tcPr>
            <w:tcW w:w="311" w:type="pct"/>
            <w:vAlign w:val="center"/>
          </w:tcPr>
          <w:p w14:paraId="381AEA0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992</w:t>
            </w:r>
          </w:p>
        </w:tc>
        <w:tc>
          <w:tcPr>
            <w:tcW w:w="311" w:type="pct"/>
            <w:vAlign w:val="center"/>
          </w:tcPr>
          <w:p w14:paraId="7B921088"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825</w:t>
            </w:r>
          </w:p>
        </w:tc>
      </w:tr>
      <w:tr w:rsidR="004E1D9A" w:rsidRPr="004E1D9A" w14:paraId="5EF646B8" w14:textId="77777777" w:rsidTr="004E1D9A">
        <w:trPr>
          <w:trHeight w:hRule="exact" w:val="255"/>
        </w:trPr>
        <w:tc>
          <w:tcPr>
            <w:tcW w:w="1273" w:type="pct"/>
            <w:shd w:val="clear" w:color="auto" w:fill="auto"/>
            <w:noWrap/>
            <w:vAlign w:val="center"/>
          </w:tcPr>
          <w:p w14:paraId="3770B0AD"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7936B3C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w:t>
            </w:r>
          </w:p>
        </w:tc>
        <w:tc>
          <w:tcPr>
            <w:tcW w:w="311" w:type="pct"/>
            <w:vAlign w:val="center"/>
          </w:tcPr>
          <w:p w14:paraId="429B34A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73</w:t>
            </w:r>
          </w:p>
        </w:tc>
        <w:tc>
          <w:tcPr>
            <w:tcW w:w="311" w:type="pct"/>
            <w:vAlign w:val="center"/>
          </w:tcPr>
          <w:p w14:paraId="573FCB6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90</w:t>
            </w:r>
          </w:p>
        </w:tc>
        <w:tc>
          <w:tcPr>
            <w:tcW w:w="311" w:type="pct"/>
            <w:vAlign w:val="center"/>
          </w:tcPr>
          <w:p w14:paraId="456AF50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65</w:t>
            </w:r>
          </w:p>
        </w:tc>
        <w:tc>
          <w:tcPr>
            <w:tcW w:w="311" w:type="pct"/>
            <w:vAlign w:val="center"/>
          </w:tcPr>
          <w:p w14:paraId="3345DEE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w:t>
            </w:r>
          </w:p>
        </w:tc>
        <w:tc>
          <w:tcPr>
            <w:tcW w:w="311" w:type="pct"/>
            <w:vAlign w:val="center"/>
          </w:tcPr>
          <w:p w14:paraId="1A8474C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219</w:t>
            </w:r>
          </w:p>
        </w:tc>
        <w:tc>
          <w:tcPr>
            <w:tcW w:w="311" w:type="pct"/>
            <w:vAlign w:val="center"/>
          </w:tcPr>
          <w:p w14:paraId="668170C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177</w:t>
            </w:r>
          </w:p>
        </w:tc>
        <w:tc>
          <w:tcPr>
            <w:tcW w:w="311" w:type="pct"/>
            <w:vAlign w:val="center"/>
          </w:tcPr>
          <w:p w14:paraId="0ED064C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135</w:t>
            </w:r>
          </w:p>
        </w:tc>
        <w:tc>
          <w:tcPr>
            <w:tcW w:w="311" w:type="pct"/>
            <w:vAlign w:val="center"/>
          </w:tcPr>
          <w:p w14:paraId="6BB5E72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70</w:t>
            </w:r>
          </w:p>
        </w:tc>
        <w:tc>
          <w:tcPr>
            <w:tcW w:w="311" w:type="pct"/>
            <w:vAlign w:val="center"/>
          </w:tcPr>
          <w:p w14:paraId="3C718E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88</w:t>
            </w:r>
          </w:p>
        </w:tc>
        <w:tc>
          <w:tcPr>
            <w:tcW w:w="311" w:type="pct"/>
            <w:vAlign w:val="center"/>
          </w:tcPr>
          <w:p w14:paraId="6B879F9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67</w:t>
            </w:r>
          </w:p>
        </w:tc>
        <w:tc>
          <w:tcPr>
            <w:tcW w:w="311" w:type="pct"/>
            <w:vAlign w:val="center"/>
          </w:tcPr>
          <w:p w14:paraId="4D01F3E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52</w:t>
            </w:r>
          </w:p>
        </w:tc>
      </w:tr>
      <w:tr w:rsidR="004E1D9A" w:rsidRPr="004E1D9A" w14:paraId="79A3ABB7" w14:textId="77777777" w:rsidTr="004E1D9A">
        <w:trPr>
          <w:trHeight w:hRule="exact" w:val="255"/>
        </w:trPr>
        <w:tc>
          <w:tcPr>
            <w:tcW w:w="1273" w:type="pct"/>
            <w:shd w:val="clear" w:color="auto" w:fill="auto"/>
            <w:noWrap/>
            <w:vAlign w:val="center"/>
          </w:tcPr>
          <w:p w14:paraId="2903F955"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1880E85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983</w:t>
            </w:r>
          </w:p>
        </w:tc>
        <w:tc>
          <w:tcPr>
            <w:tcW w:w="311" w:type="pct"/>
            <w:vAlign w:val="center"/>
          </w:tcPr>
          <w:p w14:paraId="245EA08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1.104</w:t>
            </w:r>
          </w:p>
        </w:tc>
        <w:tc>
          <w:tcPr>
            <w:tcW w:w="311" w:type="pct"/>
            <w:vAlign w:val="center"/>
          </w:tcPr>
          <w:p w14:paraId="5D425BF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1.336</w:t>
            </w:r>
          </w:p>
        </w:tc>
        <w:tc>
          <w:tcPr>
            <w:tcW w:w="311" w:type="pct"/>
            <w:vAlign w:val="center"/>
          </w:tcPr>
          <w:p w14:paraId="55CE567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1.201</w:t>
            </w:r>
          </w:p>
        </w:tc>
        <w:tc>
          <w:tcPr>
            <w:tcW w:w="311" w:type="pct"/>
            <w:vAlign w:val="center"/>
          </w:tcPr>
          <w:p w14:paraId="67D8D1C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1.207</w:t>
            </w:r>
          </w:p>
        </w:tc>
        <w:tc>
          <w:tcPr>
            <w:tcW w:w="311" w:type="pct"/>
            <w:vAlign w:val="center"/>
          </w:tcPr>
          <w:p w14:paraId="03F3928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1.700</w:t>
            </w:r>
          </w:p>
        </w:tc>
        <w:tc>
          <w:tcPr>
            <w:tcW w:w="311" w:type="pct"/>
            <w:vAlign w:val="center"/>
          </w:tcPr>
          <w:p w14:paraId="3248645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1.331</w:t>
            </w:r>
          </w:p>
        </w:tc>
        <w:tc>
          <w:tcPr>
            <w:tcW w:w="311" w:type="pct"/>
            <w:vAlign w:val="center"/>
          </w:tcPr>
          <w:p w14:paraId="1E3D17C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1.362</w:t>
            </w:r>
          </w:p>
        </w:tc>
        <w:tc>
          <w:tcPr>
            <w:tcW w:w="311" w:type="pct"/>
            <w:vAlign w:val="center"/>
          </w:tcPr>
          <w:p w14:paraId="28C6B29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1.113</w:t>
            </w:r>
          </w:p>
        </w:tc>
        <w:tc>
          <w:tcPr>
            <w:tcW w:w="311" w:type="pct"/>
            <w:vAlign w:val="center"/>
          </w:tcPr>
          <w:p w14:paraId="69BD4D2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1.199</w:t>
            </w:r>
          </w:p>
        </w:tc>
        <w:tc>
          <w:tcPr>
            <w:tcW w:w="311" w:type="pct"/>
            <w:vAlign w:val="center"/>
          </w:tcPr>
          <w:p w14:paraId="1E44A66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1.195</w:t>
            </w:r>
          </w:p>
        </w:tc>
        <w:tc>
          <w:tcPr>
            <w:tcW w:w="311" w:type="pct"/>
            <w:vAlign w:val="center"/>
          </w:tcPr>
          <w:p w14:paraId="4AB0BF3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1.148</w:t>
            </w:r>
          </w:p>
        </w:tc>
      </w:tr>
      <w:tr w:rsidR="004E1D9A" w:rsidRPr="004E1D9A" w14:paraId="289B437E" w14:textId="77777777" w:rsidTr="004E1D9A">
        <w:trPr>
          <w:trHeight w:hRule="exact" w:val="255"/>
        </w:trPr>
        <w:tc>
          <w:tcPr>
            <w:tcW w:w="1273" w:type="pct"/>
            <w:shd w:val="clear" w:color="auto" w:fill="C6D9F1" w:themeFill="text2" w:themeFillTint="33"/>
            <w:noWrap/>
            <w:vAlign w:val="center"/>
          </w:tcPr>
          <w:p w14:paraId="16FF816C"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6314BB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2.930</w:t>
            </w:r>
          </w:p>
        </w:tc>
        <w:tc>
          <w:tcPr>
            <w:tcW w:w="311" w:type="pct"/>
            <w:shd w:val="clear" w:color="auto" w:fill="C6D9F1" w:themeFill="text2" w:themeFillTint="33"/>
            <w:vAlign w:val="center"/>
          </w:tcPr>
          <w:p w14:paraId="2D7BC14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2.945</w:t>
            </w:r>
          </w:p>
        </w:tc>
        <w:tc>
          <w:tcPr>
            <w:tcW w:w="311" w:type="pct"/>
            <w:shd w:val="clear" w:color="auto" w:fill="C6D9F1" w:themeFill="text2" w:themeFillTint="33"/>
            <w:vAlign w:val="center"/>
          </w:tcPr>
          <w:p w14:paraId="7FB1C23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3.388</w:t>
            </w:r>
          </w:p>
        </w:tc>
        <w:tc>
          <w:tcPr>
            <w:tcW w:w="311" w:type="pct"/>
            <w:shd w:val="clear" w:color="auto" w:fill="C6D9F1" w:themeFill="text2" w:themeFillTint="33"/>
            <w:vAlign w:val="center"/>
          </w:tcPr>
          <w:p w14:paraId="6175800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3.440</w:t>
            </w:r>
          </w:p>
        </w:tc>
        <w:tc>
          <w:tcPr>
            <w:tcW w:w="311" w:type="pct"/>
            <w:shd w:val="clear" w:color="auto" w:fill="C6D9F1" w:themeFill="text2" w:themeFillTint="33"/>
            <w:vAlign w:val="center"/>
          </w:tcPr>
          <w:p w14:paraId="73BCFBD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3.515</w:t>
            </w:r>
          </w:p>
        </w:tc>
        <w:tc>
          <w:tcPr>
            <w:tcW w:w="311" w:type="pct"/>
            <w:shd w:val="clear" w:color="auto" w:fill="C6D9F1" w:themeFill="text2" w:themeFillTint="33"/>
            <w:vAlign w:val="center"/>
          </w:tcPr>
          <w:p w14:paraId="3416072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5.252</w:t>
            </w:r>
          </w:p>
        </w:tc>
        <w:tc>
          <w:tcPr>
            <w:tcW w:w="311" w:type="pct"/>
            <w:shd w:val="clear" w:color="auto" w:fill="C6D9F1" w:themeFill="text2" w:themeFillTint="33"/>
            <w:vAlign w:val="center"/>
          </w:tcPr>
          <w:p w14:paraId="4C1E194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5.184</w:t>
            </w:r>
          </w:p>
        </w:tc>
        <w:tc>
          <w:tcPr>
            <w:tcW w:w="311" w:type="pct"/>
            <w:shd w:val="clear" w:color="auto" w:fill="C6D9F1" w:themeFill="text2" w:themeFillTint="33"/>
            <w:vAlign w:val="center"/>
          </w:tcPr>
          <w:p w14:paraId="39BD4B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5.501</w:t>
            </w:r>
          </w:p>
        </w:tc>
        <w:tc>
          <w:tcPr>
            <w:tcW w:w="311" w:type="pct"/>
            <w:shd w:val="clear" w:color="auto" w:fill="C6D9F1" w:themeFill="text2" w:themeFillTint="33"/>
            <w:vAlign w:val="center"/>
          </w:tcPr>
          <w:p w14:paraId="2DFA03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4.610</w:t>
            </w:r>
          </w:p>
        </w:tc>
        <w:tc>
          <w:tcPr>
            <w:tcW w:w="311" w:type="pct"/>
            <w:shd w:val="clear" w:color="auto" w:fill="C6D9F1" w:themeFill="text2" w:themeFillTint="33"/>
            <w:vAlign w:val="center"/>
          </w:tcPr>
          <w:p w14:paraId="6B7810C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5.146</w:t>
            </w:r>
          </w:p>
        </w:tc>
        <w:tc>
          <w:tcPr>
            <w:tcW w:w="311" w:type="pct"/>
            <w:shd w:val="clear" w:color="auto" w:fill="C6D9F1" w:themeFill="text2" w:themeFillTint="33"/>
            <w:vAlign w:val="center"/>
          </w:tcPr>
          <w:p w14:paraId="78284C2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4.729</w:t>
            </w:r>
          </w:p>
        </w:tc>
        <w:tc>
          <w:tcPr>
            <w:tcW w:w="311" w:type="pct"/>
            <w:shd w:val="clear" w:color="auto" w:fill="C6D9F1" w:themeFill="text2" w:themeFillTint="33"/>
            <w:vAlign w:val="center"/>
          </w:tcPr>
          <w:p w14:paraId="3CFF48D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3.996</w:t>
            </w:r>
          </w:p>
        </w:tc>
      </w:tr>
    </w:tbl>
    <w:p w14:paraId="4B93A04C" w14:textId="77777777" w:rsidR="004E1D9A" w:rsidRDefault="004E1D9A" w:rsidP="00492765">
      <w:pPr>
        <w:spacing w:before="0" w:line="240" w:lineRule="auto"/>
        <w:ind w:left="140"/>
        <w:jc w:val="left"/>
        <w:rPr>
          <w:rFonts w:eastAsia="Arial"/>
          <w:sz w:val="16"/>
          <w:szCs w:val="20"/>
          <w:lang w:eastAsia="en-US"/>
        </w:rPr>
      </w:pPr>
    </w:p>
    <w:p w14:paraId="05054001" w14:textId="77777777" w:rsidR="00492765" w:rsidRPr="00492765" w:rsidRDefault="00492765" w:rsidP="00492765">
      <w:pPr>
        <w:spacing w:before="0" w:line="240" w:lineRule="auto"/>
        <w:ind w:left="140"/>
        <w:jc w:val="left"/>
        <w:rPr>
          <w:rFonts w:eastAsia="Arial"/>
          <w:sz w:val="16"/>
          <w:szCs w:val="20"/>
          <w:lang w:eastAsia="en-US"/>
        </w:rPr>
      </w:pPr>
      <w:r w:rsidRPr="00492765">
        <w:rPr>
          <w:rFonts w:eastAsia="Arial"/>
          <w:sz w:val="16"/>
          <w:szCs w:val="20"/>
          <w:lang w:eastAsia="en-US"/>
        </w:rPr>
        <w:t>Vir: MKGP, ZGS, GIS, SURS, SiDG, preračuni GIS.</w:t>
      </w:r>
    </w:p>
    <w:p w14:paraId="357515F2" w14:textId="77777777" w:rsidR="00492765" w:rsidRPr="00492765" w:rsidRDefault="00492765" w:rsidP="00492765">
      <w:pPr>
        <w:spacing w:before="0" w:line="240" w:lineRule="auto"/>
        <w:ind w:left="140"/>
        <w:jc w:val="left"/>
        <w:rPr>
          <w:rFonts w:eastAsia="Arial"/>
          <w:b/>
          <w:sz w:val="20"/>
          <w:szCs w:val="20"/>
          <w:lang w:eastAsia="en-US"/>
        </w:rPr>
      </w:pPr>
    </w:p>
    <w:p w14:paraId="67D7A580" w14:textId="77777777" w:rsidR="00492765" w:rsidRPr="00492765" w:rsidRDefault="00492765" w:rsidP="006D4C94">
      <w:pPr>
        <w:rPr>
          <w:rFonts w:eastAsia="Arial"/>
          <w:lang w:eastAsia="en-US"/>
        </w:rPr>
      </w:pPr>
      <w:r w:rsidRPr="00492765">
        <w:rPr>
          <w:rFonts w:eastAsia="Arial"/>
          <w:lang w:eastAsia="en-US"/>
        </w:rPr>
        <w:t>Pri iglavcih skozi leta prevladuje proizvodnja hlodovine, katere količina se skozi leta povečuje. Pri listavcih prevladuje les za kurjavo, katerega količina je naraščala do leta 2016, sedaj pa rahlo upada.</w:t>
      </w:r>
    </w:p>
    <w:p w14:paraId="125B6A42" w14:textId="7E50484F" w:rsidR="00492765" w:rsidRPr="00492765" w:rsidRDefault="00492765" w:rsidP="006D4C94">
      <w:pPr>
        <w:rPr>
          <w:rFonts w:eastAsia="Arial"/>
          <w:lang w:eastAsia="en-US"/>
        </w:rPr>
      </w:pPr>
      <w:r w:rsidRPr="00492765">
        <w:rPr>
          <w:rFonts w:eastAsia="Arial"/>
          <w:lang w:eastAsia="en-US"/>
        </w:rPr>
        <w:t>Slovenija je izrazita izvoznica nepredelanega okroglega lesa. Zaradi neuravnoteženosti med letno proizvodnjo in porabo se je v zadnjem desetletju močno povečal zunanjetrgovinski presežek v vseh kategorijah okroglega lesa.</w:t>
      </w:r>
      <w:r w:rsidR="004E1D9A">
        <w:rPr>
          <w:rFonts w:eastAsia="Arial"/>
          <w:lang w:eastAsia="en-US"/>
        </w:rPr>
        <w:t xml:space="preserve"> </w:t>
      </w:r>
      <w:r w:rsidR="004E1D9A" w:rsidRPr="004E1D9A">
        <w:rPr>
          <w:rFonts w:eastAsia="Arial"/>
          <w:lang w:eastAsia="en-US"/>
        </w:rPr>
        <w:t>Zmanjšan izvoz v letu 2020 je posledica situacije na trgu zaradi epidemije COVID-19.</w:t>
      </w:r>
    </w:p>
    <w:p w14:paraId="58082909" w14:textId="77777777" w:rsidR="00492765" w:rsidRPr="00492765" w:rsidRDefault="00492765" w:rsidP="00492765">
      <w:pPr>
        <w:spacing w:before="0" w:line="240" w:lineRule="auto"/>
        <w:rPr>
          <w:rFonts w:eastAsia="Arial"/>
          <w:sz w:val="20"/>
          <w:szCs w:val="20"/>
          <w:lang w:eastAsia="en-US"/>
        </w:rPr>
      </w:pPr>
    </w:p>
    <w:p w14:paraId="4C1B2DEA" w14:textId="741E31B9" w:rsidR="00492765" w:rsidRPr="00492765" w:rsidRDefault="007A411D" w:rsidP="006D4C94">
      <w:pPr>
        <w:pStyle w:val="SCSlika0"/>
        <w:rPr>
          <w:rFonts w:eastAsia="Calibri"/>
          <w:b/>
          <w:bCs/>
        </w:rPr>
      </w:pPr>
      <w:bookmarkStart w:id="5664" w:name="_Toc51280084"/>
      <w:bookmarkStart w:id="5665" w:name="_Toc89851153"/>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111</w:t>
      </w:r>
      <w:r w:rsidR="009F2591">
        <w:rPr>
          <w:noProof/>
        </w:rPr>
        <w:fldChar w:fldCharType="end"/>
      </w:r>
      <w:r w:rsidR="00492765" w:rsidRPr="00492765">
        <w:rPr>
          <w:szCs w:val="16"/>
        </w:rPr>
        <w:t>:</w:t>
      </w:r>
      <w:r w:rsidR="00492765" w:rsidRPr="00492765">
        <w:rPr>
          <w:i/>
        </w:rPr>
        <w:t xml:space="preserve"> </w:t>
      </w:r>
      <w:r w:rsidRPr="007A411D">
        <w:t>I</w:t>
      </w:r>
      <w:r w:rsidR="00492765" w:rsidRPr="007A411D">
        <w:t>z</w:t>
      </w:r>
      <w:r w:rsidR="00492765" w:rsidRPr="00492765">
        <w:t>voz in uvoz okroglega lesa (m</w:t>
      </w:r>
      <w:r w:rsidR="00492765" w:rsidRPr="00492765">
        <w:rPr>
          <w:vertAlign w:val="superscript"/>
        </w:rPr>
        <w:t>3</w:t>
      </w:r>
      <w:r w:rsidR="00492765" w:rsidRPr="00492765">
        <w:t>) po letih</w:t>
      </w:r>
      <w:bookmarkEnd w:id="5664"/>
      <w:bookmarkEnd w:id="5665"/>
    </w:p>
    <w:p w14:paraId="49BD3636" w14:textId="6126375A" w:rsidR="00492765" w:rsidRPr="00492765" w:rsidRDefault="004E1D9A" w:rsidP="007A411D">
      <w:pPr>
        <w:pStyle w:val="1"/>
      </w:pPr>
      <w:r>
        <w:rPr>
          <w:noProof/>
          <w:lang w:eastAsia="sl-SI"/>
        </w:rPr>
        <w:drawing>
          <wp:inline distT="0" distB="0" distL="0" distR="0" wp14:anchorId="12267102" wp14:editId="09EC5587">
            <wp:extent cx="5760720" cy="2967355"/>
            <wp:effectExtent l="19050" t="19050" r="11430" b="23495"/>
            <wp:docPr id="1631865364" name="Slika 163186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60720" cy="2967355"/>
                    </a:xfrm>
                    <a:prstGeom prst="rect">
                      <a:avLst/>
                    </a:prstGeom>
                    <a:ln>
                      <a:solidFill>
                        <a:schemeClr val="tx1"/>
                      </a:solidFill>
                    </a:ln>
                  </pic:spPr>
                </pic:pic>
              </a:graphicData>
            </a:graphic>
          </wp:inline>
        </w:drawing>
      </w:r>
    </w:p>
    <w:p w14:paraId="7AD5850A" w14:textId="77777777" w:rsidR="00492765" w:rsidRPr="00492765" w:rsidRDefault="00492765" w:rsidP="00492765">
      <w:pPr>
        <w:spacing w:before="0" w:line="240" w:lineRule="auto"/>
        <w:rPr>
          <w:rFonts w:eastAsia="Calibri"/>
          <w:bCs/>
          <w:sz w:val="20"/>
          <w:szCs w:val="20"/>
        </w:rPr>
      </w:pPr>
    </w:p>
    <w:p w14:paraId="637B1202" w14:textId="0B8521AF" w:rsidR="00492765" w:rsidRPr="00492765" w:rsidRDefault="00492765" w:rsidP="006D4C94">
      <w:pPr>
        <w:pStyle w:val="SCPreglednica"/>
      </w:pPr>
      <w:bookmarkStart w:id="5666" w:name="_Toc42170410"/>
      <w:bookmarkStart w:id="5667" w:name="_Toc51280017"/>
      <w:bookmarkStart w:id="5668" w:name="_Toc89861033"/>
      <w:r w:rsidRPr="00492765">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41</w:t>
      </w:r>
      <w:r w:rsidR="009F2591">
        <w:rPr>
          <w:noProof/>
        </w:rPr>
        <w:fldChar w:fldCharType="end"/>
      </w:r>
      <w:r w:rsidRPr="00492765">
        <w:t>: Izvoz gozdnih lesnih sortimentov (000 m</w:t>
      </w:r>
      <w:r w:rsidRPr="00492765">
        <w:rPr>
          <w:vertAlign w:val="superscript"/>
        </w:rPr>
        <w:t>3</w:t>
      </w:r>
      <w:r w:rsidRPr="00492765">
        <w:t>); 2013–</w:t>
      </w:r>
      <w:bookmarkEnd w:id="5666"/>
      <w:bookmarkEnd w:id="5667"/>
      <w:r w:rsidR="004E1D9A">
        <w:t>2020</w:t>
      </w:r>
      <w:bookmarkEnd w:id="5668"/>
    </w:p>
    <w:p w14:paraId="741AC90C" w14:textId="0EDD6D1A" w:rsidR="004E1D9A" w:rsidRPr="004E1D9A" w:rsidRDefault="004E1D9A" w:rsidP="004E1D9A">
      <w:pPr>
        <w:keepNext/>
        <w:keepLines/>
        <w:spacing w:before="0" w:line="240" w:lineRule="auto"/>
        <w:jc w:val="left"/>
        <w:rPr>
          <w:sz w:val="20"/>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307"/>
        <w:gridCol w:w="594"/>
        <w:gridCol w:w="595"/>
        <w:gridCol w:w="595"/>
        <w:gridCol w:w="595"/>
        <w:gridCol w:w="594"/>
        <w:gridCol w:w="594"/>
        <w:gridCol w:w="594"/>
        <w:gridCol w:w="594"/>
      </w:tblGrid>
      <w:tr w:rsidR="004E1D9A" w:rsidRPr="004E1D9A" w14:paraId="2D67CD1F" w14:textId="77777777" w:rsidTr="004E1D9A">
        <w:trPr>
          <w:trHeight w:hRule="exact" w:val="227"/>
          <w:jc w:val="center"/>
        </w:trPr>
        <w:tc>
          <w:tcPr>
            <w:tcW w:w="2376" w:type="pct"/>
            <w:shd w:val="clear" w:color="auto" w:fill="C6D9F1" w:themeFill="text2" w:themeFillTint="33"/>
            <w:vAlign w:val="bottom"/>
          </w:tcPr>
          <w:p w14:paraId="429FB743" w14:textId="77777777" w:rsidR="004E1D9A" w:rsidRPr="004E1D9A" w:rsidRDefault="004E1D9A" w:rsidP="004E1D9A">
            <w:pPr>
              <w:keepNext/>
              <w:keepLines/>
              <w:spacing w:before="0" w:line="240" w:lineRule="auto"/>
              <w:jc w:val="left"/>
              <w:rPr>
                <w:b/>
                <w:sz w:val="16"/>
                <w:szCs w:val="16"/>
                <w:lang w:eastAsia="sl-SI"/>
              </w:rPr>
            </w:pPr>
            <w:r w:rsidRPr="004E1D9A">
              <w:rPr>
                <w:b/>
                <w:sz w:val="16"/>
                <w:szCs w:val="16"/>
                <w:lang w:eastAsia="sl-SI"/>
              </w:rPr>
              <w:t>IZVOZ</w:t>
            </w:r>
          </w:p>
        </w:tc>
        <w:tc>
          <w:tcPr>
            <w:tcW w:w="327" w:type="pct"/>
            <w:shd w:val="clear" w:color="auto" w:fill="C6D9F1" w:themeFill="text2" w:themeFillTint="33"/>
            <w:vAlign w:val="bottom"/>
          </w:tcPr>
          <w:p w14:paraId="04466062"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2013</w:t>
            </w:r>
          </w:p>
        </w:tc>
        <w:tc>
          <w:tcPr>
            <w:tcW w:w="328" w:type="pct"/>
            <w:shd w:val="clear" w:color="auto" w:fill="C6D9F1" w:themeFill="text2" w:themeFillTint="33"/>
            <w:vAlign w:val="bottom"/>
          </w:tcPr>
          <w:p w14:paraId="1AEC3751"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2014</w:t>
            </w:r>
          </w:p>
        </w:tc>
        <w:tc>
          <w:tcPr>
            <w:tcW w:w="328" w:type="pct"/>
            <w:shd w:val="clear" w:color="auto" w:fill="C6D9F1" w:themeFill="text2" w:themeFillTint="33"/>
            <w:vAlign w:val="bottom"/>
          </w:tcPr>
          <w:p w14:paraId="7312DC3D"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2015</w:t>
            </w:r>
          </w:p>
        </w:tc>
        <w:tc>
          <w:tcPr>
            <w:tcW w:w="328" w:type="pct"/>
            <w:shd w:val="clear" w:color="auto" w:fill="C6D9F1" w:themeFill="text2" w:themeFillTint="33"/>
            <w:vAlign w:val="bottom"/>
          </w:tcPr>
          <w:p w14:paraId="35980ABE"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2016</w:t>
            </w:r>
          </w:p>
        </w:tc>
        <w:tc>
          <w:tcPr>
            <w:tcW w:w="328" w:type="pct"/>
            <w:shd w:val="clear" w:color="auto" w:fill="C6D9F1" w:themeFill="text2" w:themeFillTint="33"/>
            <w:vAlign w:val="bottom"/>
          </w:tcPr>
          <w:p w14:paraId="24E0FB29"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2017</w:t>
            </w:r>
          </w:p>
        </w:tc>
        <w:tc>
          <w:tcPr>
            <w:tcW w:w="328" w:type="pct"/>
            <w:shd w:val="clear" w:color="auto" w:fill="C6D9F1" w:themeFill="text2" w:themeFillTint="33"/>
            <w:vAlign w:val="bottom"/>
          </w:tcPr>
          <w:p w14:paraId="66100917"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2018</w:t>
            </w:r>
          </w:p>
        </w:tc>
        <w:tc>
          <w:tcPr>
            <w:tcW w:w="328" w:type="pct"/>
            <w:shd w:val="clear" w:color="auto" w:fill="C6D9F1" w:themeFill="text2" w:themeFillTint="33"/>
            <w:vAlign w:val="bottom"/>
          </w:tcPr>
          <w:p w14:paraId="1039B636"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2019</w:t>
            </w:r>
          </w:p>
        </w:tc>
        <w:tc>
          <w:tcPr>
            <w:tcW w:w="328" w:type="pct"/>
            <w:shd w:val="clear" w:color="auto" w:fill="C6D9F1" w:themeFill="text2" w:themeFillTint="33"/>
            <w:vAlign w:val="bottom"/>
          </w:tcPr>
          <w:p w14:paraId="110FFCF4"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2020</w:t>
            </w:r>
          </w:p>
        </w:tc>
      </w:tr>
      <w:tr w:rsidR="004E1D9A" w:rsidRPr="004E1D9A" w14:paraId="72B71234" w14:textId="77777777" w:rsidTr="004E1D9A">
        <w:trPr>
          <w:trHeight w:val="227"/>
          <w:jc w:val="center"/>
        </w:trPr>
        <w:tc>
          <w:tcPr>
            <w:tcW w:w="2376" w:type="pct"/>
            <w:shd w:val="clear" w:color="auto" w:fill="C6D9F1" w:themeFill="text2" w:themeFillTint="33"/>
            <w:vAlign w:val="bottom"/>
          </w:tcPr>
          <w:p w14:paraId="0234E5BF"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Okrogli les – skupaj, od tega:</w:t>
            </w:r>
          </w:p>
        </w:tc>
        <w:tc>
          <w:tcPr>
            <w:tcW w:w="327" w:type="pct"/>
            <w:shd w:val="clear" w:color="auto" w:fill="C6D9F1" w:themeFill="text2" w:themeFillTint="33"/>
            <w:vAlign w:val="bottom"/>
          </w:tcPr>
          <w:p w14:paraId="425E8EC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1.550</w:t>
            </w:r>
          </w:p>
        </w:tc>
        <w:tc>
          <w:tcPr>
            <w:tcW w:w="328" w:type="pct"/>
            <w:shd w:val="clear" w:color="auto" w:fill="C6D9F1" w:themeFill="text2" w:themeFillTint="33"/>
            <w:vAlign w:val="bottom"/>
          </w:tcPr>
          <w:p w14:paraId="4099341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2.385</w:t>
            </w:r>
          </w:p>
        </w:tc>
        <w:tc>
          <w:tcPr>
            <w:tcW w:w="328" w:type="pct"/>
            <w:shd w:val="clear" w:color="auto" w:fill="C6D9F1" w:themeFill="text2" w:themeFillTint="33"/>
            <w:vAlign w:val="bottom"/>
          </w:tcPr>
          <w:p w14:paraId="506FB96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2.683</w:t>
            </w:r>
          </w:p>
        </w:tc>
        <w:tc>
          <w:tcPr>
            <w:tcW w:w="328" w:type="pct"/>
            <w:shd w:val="clear" w:color="auto" w:fill="C6D9F1" w:themeFill="text2" w:themeFillTint="33"/>
            <w:vAlign w:val="bottom"/>
          </w:tcPr>
          <w:p w14:paraId="6929ACD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3.084</w:t>
            </w:r>
          </w:p>
        </w:tc>
        <w:tc>
          <w:tcPr>
            <w:tcW w:w="328" w:type="pct"/>
            <w:shd w:val="clear" w:color="auto" w:fill="C6D9F1" w:themeFill="text2" w:themeFillTint="33"/>
            <w:vAlign w:val="bottom"/>
          </w:tcPr>
          <w:p w14:paraId="7ED7B16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2.640</w:t>
            </w:r>
          </w:p>
        </w:tc>
        <w:tc>
          <w:tcPr>
            <w:tcW w:w="328" w:type="pct"/>
            <w:shd w:val="clear" w:color="auto" w:fill="C6D9F1" w:themeFill="text2" w:themeFillTint="33"/>
            <w:vAlign w:val="bottom"/>
          </w:tcPr>
          <w:p w14:paraId="33BEAB3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2.625</w:t>
            </w:r>
          </w:p>
        </w:tc>
        <w:tc>
          <w:tcPr>
            <w:tcW w:w="328" w:type="pct"/>
            <w:shd w:val="clear" w:color="auto" w:fill="C6D9F1" w:themeFill="text2" w:themeFillTint="33"/>
            <w:vAlign w:val="bottom"/>
          </w:tcPr>
          <w:p w14:paraId="34BA55B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1.910</w:t>
            </w:r>
          </w:p>
        </w:tc>
        <w:tc>
          <w:tcPr>
            <w:tcW w:w="328" w:type="pct"/>
            <w:shd w:val="clear" w:color="auto" w:fill="C6D9F1" w:themeFill="text2" w:themeFillTint="33"/>
            <w:vAlign w:val="bottom"/>
          </w:tcPr>
          <w:p w14:paraId="6B77EC7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1.557</w:t>
            </w:r>
          </w:p>
        </w:tc>
      </w:tr>
      <w:tr w:rsidR="004E1D9A" w:rsidRPr="004E1D9A" w14:paraId="67372880" w14:textId="77777777" w:rsidTr="004E1D9A">
        <w:trPr>
          <w:trHeight w:val="227"/>
          <w:jc w:val="center"/>
        </w:trPr>
        <w:tc>
          <w:tcPr>
            <w:tcW w:w="2376" w:type="pct"/>
            <w:vAlign w:val="bottom"/>
          </w:tcPr>
          <w:p w14:paraId="74423CAA"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Okrogli industrijski les – skupaj, od tega:</w:t>
            </w:r>
          </w:p>
        </w:tc>
        <w:tc>
          <w:tcPr>
            <w:tcW w:w="327" w:type="pct"/>
            <w:vAlign w:val="bottom"/>
          </w:tcPr>
          <w:p w14:paraId="2C1E35A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1.198</w:t>
            </w:r>
          </w:p>
        </w:tc>
        <w:tc>
          <w:tcPr>
            <w:tcW w:w="328" w:type="pct"/>
            <w:vAlign w:val="bottom"/>
          </w:tcPr>
          <w:p w14:paraId="1DFC1C4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1.965</w:t>
            </w:r>
          </w:p>
        </w:tc>
        <w:tc>
          <w:tcPr>
            <w:tcW w:w="328" w:type="pct"/>
            <w:vAlign w:val="bottom"/>
          </w:tcPr>
          <w:p w14:paraId="6BD6CCBA"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2.303</w:t>
            </w:r>
          </w:p>
        </w:tc>
        <w:tc>
          <w:tcPr>
            <w:tcW w:w="328" w:type="pct"/>
            <w:vAlign w:val="bottom"/>
          </w:tcPr>
          <w:p w14:paraId="2A78E718"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2.718</w:t>
            </w:r>
          </w:p>
        </w:tc>
        <w:tc>
          <w:tcPr>
            <w:tcW w:w="328" w:type="pct"/>
            <w:vAlign w:val="bottom"/>
          </w:tcPr>
          <w:p w14:paraId="7B46505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2.178</w:t>
            </w:r>
          </w:p>
        </w:tc>
        <w:tc>
          <w:tcPr>
            <w:tcW w:w="328" w:type="pct"/>
            <w:vAlign w:val="bottom"/>
          </w:tcPr>
          <w:p w14:paraId="53861F6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2.271</w:t>
            </w:r>
          </w:p>
        </w:tc>
        <w:tc>
          <w:tcPr>
            <w:tcW w:w="328" w:type="pct"/>
            <w:vAlign w:val="bottom"/>
          </w:tcPr>
          <w:p w14:paraId="5B6EC86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1.714</w:t>
            </w:r>
          </w:p>
        </w:tc>
        <w:tc>
          <w:tcPr>
            <w:tcW w:w="328" w:type="pct"/>
            <w:vAlign w:val="bottom"/>
          </w:tcPr>
          <w:p w14:paraId="440AA3B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1.357</w:t>
            </w:r>
          </w:p>
        </w:tc>
      </w:tr>
      <w:tr w:rsidR="004E1D9A" w:rsidRPr="004E1D9A" w14:paraId="0DFCF485" w14:textId="77777777" w:rsidTr="004E1D9A">
        <w:trPr>
          <w:trHeight w:val="227"/>
          <w:jc w:val="center"/>
        </w:trPr>
        <w:tc>
          <w:tcPr>
            <w:tcW w:w="2376" w:type="pct"/>
            <w:vAlign w:val="bottom"/>
          </w:tcPr>
          <w:p w14:paraId="4A1996DC"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iglavci, od tega:</w:t>
            </w:r>
          </w:p>
        </w:tc>
        <w:tc>
          <w:tcPr>
            <w:tcW w:w="327" w:type="pct"/>
            <w:vAlign w:val="bottom"/>
          </w:tcPr>
          <w:p w14:paraId="52BD4006"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792</w:t>
            </w:r>
          </w:p>
        </w:tc>
        <w:tc>
          <w:tcPr>
            <w:tcW w:w="328" w:type="pct"/>
            <w:vAlign w:val="bottom"/>
          </w:tcPr>
          <w:p w14:paraId="414E18AC"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1.363</w:t>
            </w:r>
          </w:p>
        </w:tc>
        <w:tc>
          <w:tcPr>
            <w:tcW w:w="328" w:type="pct"/>
            <w:vAlign w:val="bottom"/>
          </w:tcPr>
          <w:p w14:paraId="6C1546F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1.665</w:t>
            </w:r>
          </w:p>
        </w:tc>
        <w:tc>
          <w:tcPr>
            <w:tcW w:w="328" w:type="pct"/>
            <w:vAlign w:val="bottom"/>
          </w:tcPr>
          <w:p w14:paraId="074F57D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2.228</w:t>
            </w:r>
          </w:p>
        </w:tc>
        <w:tc>
          <w:tcPr>
            <w:tcW w:w="328" w:type="pct"/>
            <w:vAlign w:val="bottom"/>
          </w:tcPr>
          <w:p w14:paraId="09E9366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1.688</w:t>
            </w:r>
          </w:p>
        </w:tc>
        <w:tc>
          <w:tcPr>
            <w:tcW w:w="328" w:type="pct"/>
            <w:vAlign w:val="bottom"/>
          </w:tcPr>
          <w:p w14:paraId="52D91E2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1.912</w:t>
            </w:r>
          </w:p>
        </w:tc>
        <w:tc>
          <w:tcPr>
            <w:tcW w:w="328" w:type="pct"/>
            <w:vAlign w:val="bottom"/>
          </w:tcPr>
          <w:p w14:paraId="6E67A1DA"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1.168</w:t>
            </w:r>
          </w:p>
        </w:tc>
        <w:tc>
          <w:tcPr>
            <w:tcW w:w="328" w:type="pct"/>
            <w:vAlign w:val="bottom"/>
          </w:tcPr>
          <w:p w14:paraId="18B90B8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821</w:t>
            </w:r>
          </w:p>
        </w:tc>
      </w:tr>
      <w:tr w:rsidR="004E1D9A" w:rsidRPr="004E1D9A" w14:paraId="4F6E30D1" w14:textId="77777777" w:rsidTr="004E1D9A">
        <w:trPr>
          <w:trHeight w:val="227"/>
          <w:jc w:val="center"/>
        </w:trPr>
        <w:tc>
          <w:tcPr>
            <w:tcW w:w="2376" w:type="pct"/>
            <w:vAlign w:val="bottom"/>
          </w:tcPr>
          <w:p w14:paraId="3C3D530E"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hlodi za žago in furnir, iglavci</w:t>
            </w:r>
          </w:p>
        </w:tc>
        <w:tc>
          <w:tcPr>
            <w:tcW w:w="327" w:type="pct"/>
            <w:vAlign w:val="bottom"/>
          </w:tcPr>
          <w:p w14:paraId="17A81788"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575</w:t>
            </w:r>
          </w:p>
        </w:tc>
        <w:tc>
          <w:tcPr>
            <w:tcW w:w="328" w:type="pct"/>
            <w:vAlign w:val="bottom"/>
          </w:tcPr>
          <w:p w14:paraId="269B6EE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954</w:t>
            </w:r>
          </w:p>
        </w:tc>
        <w:tc>
          <w:tcPr>
            <w:tcW w:w="328" w:type="pct"/>
            <w:vAlign w:val="bottom"/>
          </w:tcPr>
          <w:p w14:paraId="33FAA475"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1.289</w:t>
            </w:r>
          </w:p>
        </w:tc>
        <w:tc>
          <w:tcPr>
            <w:tcW w:w="328" w:type="pct"/>
            <w:vAlign w:val="bottom"/>
          </w:tcPr>
          <w:p w14:paraId="3183DEBE"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1.810</w:t>
            </w:r>
          </w:p>
        </w:tc>
        <w:tc>
          <w:tcPr>
            <w:tcW w:w="328" w:type="pct"/>
            <w:vAlign w:val="bottom"/>
          </w:tcPr>
          <w:p w14:paraId="2B04E861"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1.271</w:t>
            </w:r>
          </w:p>
        </w:tc>
        <w:tc>
          <w:tcPr>
            <w:tcW w:w="328" w:type="pct"/>
            <w:vAlign w:val="bottom"/>
          </w:tcPr>
          <w:p w14:paraId="7653A468"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1.434</w:t>
            </w:r>
          </w:p>
        </w:tc>
        <w:tc>
          <w:tcPr>
            <w:tcW w:w="328" w:type="pct"/>
            <w:vAlign w:val="bottom"/>
          </w:tcPr>
          <w:p w14:paraId="01D71B7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769</w:t>
            </w:r>
          </w:p>
        </w:tc>
        <w:tc>
          <w:tcPr>
            <w:tcW w:w="328" w:type="pct"/>
            <w:vAlign w:val="bottom"/>
          </w:tcPr>
          <w:p w14:paraId="3444D362"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523</w:t>
            </w:r>
          </w:p>
        </w:tc>
      </w:tr>
      <w:tr w:rsidR="004E1D9A" w:rsidRPr="004E1D9A" w14:paraId="4DA0169F" w14:textId="77777777" w:rsidTr="004E1D9A">
        <w:trPr>
          <w:trHeight w:val="227"/>
          <w:jc w:val="center"/>
        </w:trPr>
        <w:tc>
          <w:tcPr>
            <w:tcW w:w="2376" w:type="pct"/>
            <w:vAlign w:val="bottom"/>
          </w:tcPr>
          <w:p w14:paraId="5153A714"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les za celulozo in plošče ter drug okrogli industrijski les, iglavci</w:t>
            </w:r>
          </w:p>
        </w:tc>
        <w:tc>
          <w:tcPr>
            <w:tcW w:w="327" w:type="pct"/>
            <w:vAlign w:val="bottom"/>
          </w:tcPr>
          <w:p w14:paraId="113D8C5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217</w:t>
            </w:r>
          </w:p>
        </w:tc>
        <w:tc>
          <w:tcPr>
            <w:tcW w:w="328" w:type="pct"/>
            <w:vAlign w:val="bottom"/>
          </w:tcPr>
          <w:p w14:paraId="013E0342"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410</w:t>
            </w:r>
          </w:p>
        </w:tc>
        <w:tc>
          <w:tcPr>
            <w:tcW w:w="328" w:type="pct"/>
            <w:vAlign w:val="bottom"/>
          </w:tcPr>
          <w:p w14:paraId="430FB50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375</w:t>
            </w:r>
          </w:p>
        </w:tc>
        <w:tc>
          <w:tcPr>
            <w:tcW w:w="328" w:type="pct"/>
            <w:vAlign w:val="bottom"/>
          </w:tcPr>
          <w:p w14:paraId="4CA15E6F"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418</w:t>
            </w:r>
          </w:p>
        </w:tc>
        <w:tc>
          <w:tcPr>
            <w:tcW w:w="328" w:type="pct"/>
            <w:vAlign w:val="bottom"/>
          </w:tcPr>
          <w:p w14:paraId="65B09BCB"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417</w:t>
            </w:r>
          </w:p>
        </w:tc>
        <w:tc>
          <w:tcPr>
            <w:tcW w:w="328" w:type="pct"/>
            <w:vAlign w:val="bottom"/>
          </w:tcPr>
          <w:p w14:paraId="4355A1EC"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478</w:t>
            </w:r>
          </w:p>
        </w:tc>
        <w:tc>
          <w:tcPr>
            <w:tcW w:w="328" w:type="pct"/>
            <w:vAlign w:val="bottom"/>
          </w:tcPr>
          <w:p w14:paraId="4731B92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399</w:t>
            </w:r>
          </w:p>
        </w:tc>
        <w:tc>
          <w:tcPr>
            <w:tcW w:w="328" w:type="pct"/>
            <w:vAlign w:val="bottom"/>
          </w:tcPr>
          <w:p w14:paraId="5998952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297</w:t>
            </w:r>
          </w:p>
        </w:tc>
      </w:tr>
      <w:tr w:rsidR="004E1D9A" w:rsidRPr="004E1D9A" w14:paraId="02A4FE36" w14:textId="77777777" w:rsidTr="004E1D9A">
        <w:trPr>
          <w:trHeight w:val="227"/>
          <w:jc w:val="center"/>
        </w:trPr>
        <w:tc>
          <w:tcPr>
            <w:tcW w:w="2376" w:type="pct"/>
            <w:vAlign w:val="bottom"/>
          </w:tcPr>
          <w:p w14:paraId="1190B6D8"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listavci</w:t>
            </w:r>
          </w:p>
        </w:tc>
        <w:tc>
          <w:tcPr>
            <w:tcW w:w="327" w:type="pct"/>
            <w:vAlign w:val="bottom"/>
          </w:tcPr>
          <w:p w14:paraId="77C3313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406</w:t>
            </w:r>
          </w:p>
        </w:tc>
        <w:tc>
          <w:tcPr>
            <w:tcW w:w="328" w:type="pct"/>
            <w:vAlign w:val="bottom"/>
          </w:tcPr>
          <w:p w14:paraId="1644066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601</w:t>
            </w:r>
          </w:p>
        </w:tc>
        <w:tc>
          <w:tcPr>
            <w:tcW w:w="328" w:type="pct"/>
            <w:vAlign w:val="bottom"/>
          </w:tcPr>
          <w:p w14:paraId="4AB5E41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638</w:t>
            </w:r>
          </w:p>
        </w:tc>
        <w:tc>
          <w:tcPr>
            <w:tcW w:w="328" w:type="pct"/>
            <w:vAlign w:val="bottom"/>
          </w:tcPr>
          <w:p w14:paraId="3EFC6EA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489</w:t>
            </w:r>
          </w:p>
        </w:tc>
        <w:tc>
          <w:tcPr>
            <w:tcW w:w="328" w:type="pct"/>
            <w:vAlign w:val="bottom"/>
          </w:tcPr>
          <w:p w14:paraId="752D886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491</w:t>
            </w:r>
          </w:p>
        </w:tc>
        <w:tc>
          <w:tcPr>
            <w:tcW w:w="328" w:type="pct"/>
            <w:vAlign w:val="bottom"/>
          </w:tcPr>
          <w:p w14:paraId="6ED7D1A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358</w:t>
            </w:r>
          </w:p>
        </w:tc>
        <w:tc>
          <w:tcPr>
            <w:tcW w:w="328" w:type="pct"/>
            <w:vAlign w:val="bottom"/>
          </w:tcPr>
          <w:p w14:paraId="6892F0D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546</w:t>
            </w:r>
          </w:p>
        </w:tc>
        <w:tc>
          <w:tcPr>
            <w:tcW w:w="328" w:type="pct"/>
            <w:vAlign w:val="bottom"/>
          </w:tcPr>
          <w:p w14:paraId="682F88E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536</w:t>
            </w:r>
          </w:p>
        </w:tc>
      </w:tr>
      <w:tr w:rsidR="004E1D9A" w:rsidRPr="004E1D9A" w14:paraId="659F5F3E" w14:textId="77777777" w:rsidTr="004E1D9A">
        <w:trPr>
          <w:trHeight w:val="227"/>
          <w:jc w:val="center"/>
        </w:trPr>
        <w:tc>
          <w:tcPr>
            <w:tcW w:w="2376" w:type="pct"/>
            <w:vAlign w:val="bottom"/>
          </w:tcPr>
          <w:p w14:paraId="0EB918BD"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Les za kurjavo – skupaj</w:t>
            </w:r>
          </w:p>
        </w:tc>
        <w:tc>
          <w:tcPr>
            <w:tcW w:w="327" w:type="pct"/>
            <w:vAlign w:val="bottom"/>
          </w:tcPr>
          <w:p w14:paraId="6DF6CA3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351</w:t>
            </w:r>
          </w:p>
        </w:tc>
        <w:tc>
          <w:tcPr>
            <w:tcW w:w="328" w:type="pct"/>
            <w:vAlign w:val="bottom"/>
          </w:tcPr>
          <w:p w14:paraId="2FB7F89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420</w:t>
            </w:r>
          </w:p>
        </w:tc>
        <w:tc>
          <w:tcPr>
            <w:tcW w:w="328" w:type="pct"/>
            <w:vAlign w:val="bottom"/>
          </w:tcPr>
          <w:p w14:paraId="3FC7BE0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380</w:t>
            </w:r>
          </w:p>
        </w:tc>
        <w:tc>
          <w:tcPr>
            <w:tcW w:w="328" w:type="pct"/>
            <w:vAlign w:val="bottom"/>
          </w:tcPr>
          <w:p w14:paraId="6CD2B75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366</w:t>
            </w:r>
          </w:p>
        </w:tc>
        <w:tc>
          <w:tcPr>
            <w:tcW w:w="328" w:type="pct"/>
            <w:vAlign w:val="bottom"/>
          </w:tcPr>
          <w:p w14:paraId="6AD13EE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461</w:t>
            </w:r>
          </w:p>
        </w:tc>
        <w:tc>
          <w:tcPr>
            <w:tcW w:w="328" w:type="pct"/>
            <w:vAlign w:val="bottom"/>
          </w:tcPr>
          <w:p w14:paraId="786809B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355</w:t>
            </w:r>
          </w:p>
        </w:tc>
        <w:tc>
          <w:tcPr>
            <w:tcW w:w="328" w:type="pct"/>
            <w:vAlign w:val="bottom"/>
          </w:tcPr>
          <w:p w14:paraId="4A48FEC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196</w:t>
            </w:r>
          </w:p>
        </w:tc>
        <w:tc>
          <w:tcPr>
            <w:tcW w:w="328" w:type="pct"/>
            <w:vAlign w:val="bottom"/>
          </w:tcPr>
          <w:p w14:paraId="6D620D2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200</w:t>
            </w:r>
          </w:p>
        </w:tc>
      </w:tr>
    </w:tbl>
    <w:p w14:paraId="2E15B1B4" w14:textId="77777777" w:rsidR="004E1D9A" w:rsidRPr="004E1D9A" w:rsidRDefault="004E1D9A" w:rsidP="004E1D9A">
      <w:pPr>
        <w:keepNext/>
        <w:keepLines/>
        <w:spacing w:before="0" w:line="240" w:lineRule="auto"/>
        <w:ind w:left="140"/>
        <w:jc w:val="left"/>
        <w:rPr>
          <w:rFonts w:eastAsia="Arial"/>
          <w:sz w:val="16"/>
          <w:szCs w:val="20"/>
          <w:lang w:eastAsia="en-US"/>
        </w:rPr>
      </w:pPr>
      <w:r w:rsidRPr="004E1D9A">
        <w:rPr>
          <w:rFonts w:eastAsia="Arial"/>
          <w:sz w:val="16"/>
          <w:szCs w:val="20"/>
          <w:lang w:eastAsia="en-US"/>
        </w:rPr>
        <w:t>Vir: SURS (2013–2020), Eurostat (2017), preračuni GIS</w:t>
      </w:r>
    </w:p>
    <w:p w14:paraId="114F1A9D" w14:textId="77777777" w:rsidR="004E1D9A" w:rsidRPr="004E1D9A" w:rsidRDefault="004E1D9A" w:rsidP="004E1D9A">
      <w:pPr>
        <w:keepNext/>
        <w:keepLines/>
        <w:spacing w:before="0" w:line="240" w:lineRule="auto"/>
        <w:rPr>
          <w:rFonts w:eastAsia="Calibri"/>
          <w:b/>
          <w:bCs/>
          <w:sz w:val="20"/>
          <w:szCs w:val="20"/>
          <w:u w:val="single"/>
        </w:rPr>
      </w:pPr>
    </w:p>
    <w:p w14:paraId="5B2C758B" w14:textId="23E87DB1" w:rsidR="004E1D9A" w:rsidRPr="005B2A49" w:rsidRDefault="004E1D9A" w:rsidP="004E1D9A">
      <w:pPr>
        <w:spacing w:before="0" w:line="240" w:lineRule="auto"/>
        <w:rPr>
          <w:rFonts w:eastAsia="Arial"/>
          <w:szCs w:val="22"/>
          <w:lang w:eastAsia="en-US"/>
        </w:rPr>
      </w:pPr>
      <w:r w:rsidRPr="005B2A49">
        <w:rPr>
          <w:rFonts w:eastAsia="Arial"/>
          <w:szCs w:val="22"/>
          <w:lang w:eastAsia="en-US"/>
        </w:rPr>
        <w:t>Glavni državi</w:t>
      </w:r>
      <w:r w:rsidR="009E462F">
        <w:rPr>
          <w:rFonts w:eastAsia="Arial"/>
          <w:szCs w:val="22"/>
          <w:lang w:eastAsia="en-US"/>
        </w:rPr>
        <w:t>,</w:t>
      </w:r>
      <w:r w:rsidRPr="005B2A49">
        <w:rPr>
          <w:rFonts w:eastAsia="Arial"/>
          <w:szCs w:val="22"/>
          <w:lang w:eastAsia="en-US"/>
        </w:rPr>
        <w:t xml:space="preserve"> v kateri Slovenija izvaža največ gozdnih lesnih sortimentov </w:t>
      </w:r>
      <w:r w:rsidR="009E462F">
        <w:rPr>
          <w:rFonts w:eastAsia="Arial"/>
          <w:szCs w:val="22"/>
          <w:lang w:eastAsia="en-US"/>
        </w:rPr>
        <w:t>,</w:t>
      </w:r>
      <w:r w:rsidRPr="005B2A49">
        <w:rPr>
          <w:rFonts w:eastAsia="Arial"/>
          <w:szCs w:val="22"/>
          <w:lang w:eastAsia="en-US"/>
        </w:rPr>
        <w:t>sta Avstrija in Italija. Po strukturi izvoza se v Avstrijo izvaža hlodovina iglavcev, v Italijo pa je prevladoval izvoz okroglega</w:t>
      </w:r>
      <w:r w:rsidR="00FF65FB">
        <w:rPr>
          <w:rFonts w:eastAsia="Arial"/>
          <w:szCs w:val="22"/>
          <w:lang w:eastAsia="en-US"/>
        </w:rPr>
        <w:t xml:space="preserve"> </w:t>
      </w:r>
      <w:r w:rsidRPr="005B2A49">
        <w:rPr>
          <w:rFonts w:eastAsia="Arial"/>
          <w:szCs w:val="22"/>
          <w:lang w:eastAsia="en-US"/>
        </w:rPr>
        <w:t>industrijskega lesa listavcev, ki skupaj s kategorijo les za kurjavo listavcev predstavljata</w:t>
      </w:r>
      <w:r w:rsidR="00FF65FB">
        <w:rPr>
          <w:rFonts w:eastAsia="Arial"/>
          <w:szCs w:val="22"/>
          <w:lang w:eastAsia="en-US"/>
        </w:rPr>
        <w:t xml:space="preserve"> </w:t>
      </w:r>
      <w:r w:rsidRPr="005B2A49">
        <w:rPr>
          <w:rFonts w:eastAsia="Arial"/>
          <w:szCs w:val="22"/>
          <w:lang w:eastAsia="en-US"/>
        </w:rPr>
        <w:t xml:space="preserve">72 % celotne izvožene količine okroglega lesa v Italijo. </w:t>
      </w:r>
    </w:p>
    <w:p w14:paraId="53A64331" w14:textId="77777777" w:rsidR="004E1D9A" w:rsidRPr="004E1D9A" w:rsidRDefault="004E1D9A" w:rsidP="004E1D9A">
      <w:pPr>
        <w:spacing w:before="0" w:line="240" w:lineRule="auto"/>
        <w:rPr>
          <w:rFonts w:eastAsia="Arial"/>
          <w:sz w:val="24"/>
          <w:szCs w:val="20"/>
          <w:lang w:eastAsia="en-US"/>
        </w:rPr>
      </w:pPr>
    </w:p>
    <w:p w14:paraId="2C6C85A5" w14:textId="45968978" w:rsidR="004E1D9A" w:rsidRDefault="004E1D9A" w:rsidP="004E1D9A">
      <w:pPr>
        <w:keepNext/>
        <w:spacing w:before="0" w:line="240" w:lineRule="auto"/>
        <w:jc w:val="left"/>
        <w:rPr>
          <w:sz w:val="20"/>
          <w:szCs w:val="16"/>
        </w:rPr>
      </w:pPr>
      <w:bookmarkStart w:id="5669" w:name="_Toc55985075"/>
      <w:bookmarkStart w:id="5670" w:name="_Toc89861034"/>
      <w:r w:rsidRPr="004E1D9A">
        <w:rPr>
          <w:sz w:val="20"/>
          <w:szCs w:val="16"/>
        </w:rPr>
        <w:t xml:space="preserve">Tabela </w:t>
      </w:r>
      <w:r w:rsidRPr="004E1D9A">
        <w:rPr>
          <w:sz w:val="20"/>
          <w:szCs w:val="16"/>
        </w:rPr>
        <w:fldChar w:fldCharType="begin"/>
      </w:r>
      <w:r w:rsidRPr="004E1D9A">
        <w:rPr>
          <w:sz w:val="20"/>
          <w:szCs w:val="16"/>
        </w:rPr>
        <w:instrText xml:space="preserve"> SEQ Tabela \* ARABIC </w:instrText>
      </w:r>
      <w:r w:rsidRPr="004E1D9A">
        <w:rPr>
          <w:sz w:val="20"/>
          <w:szCs w:val="16"/>
        </w:rPr>
        <w:fldChar w:fldCharType="separate"/>
      </w:r>
      <w:r w:rsidR="002E0D2A">
        <w:rPr>
          <w:noProof/>
          <w:sz w:val="20"/>
          <w:szCs w:val="16"/>
        </w:rPr>
        <w:t>42</w:t>
      </w:r>
      <w:r w:rsidRPr="004E1D9A">
        <w:rPr>
          <w:sz w:val="20"/>
          <w:szCs w:val="16"/>
        </w:rPr>
        <w:fldChar w:fldCharType="end"/>
      </w:r>
      <w:r w:rsidRPr="004E1D9A">
        <w:rPr>
          <w:sz w:val="20"/>
          <w:szCs w:val="16"/>
        </w:rPr>
        <w:t>: Uvoz gozdnih lesnih sortimentov (000 m</w:t>
      </w:r>
      <w:r w:rsidRPr="004E1D9A">
        <w:rPr>
          <w:sz w:val="20"/>
          <w:szCs w:val="16"/>
          <w:vertAlign w:val="superscript"/>
        </w:rPr>
        <w:t>3</w:t>
      </w:r>
      <w:r w:rsidRPr="004E1D9A">
        <w:rPr>
          <w:sz w:val="20"/>
          <w:szCs w:val="16"/>
        </w:rPr>
        <w:t>); 2013–</w:t>
      </w:r>
      <w:bookmarkEnd w:id="5669"/>
      <w:r w:rsidRPr="004E1D9A">
        <w:rPr>
          <w:sz w:val="20"/>
          <w:szCs w:val="16"/>
        </w:rPr>
        <w:t>2020</w:t>
      </w:r>
      <w:bookmarkEnd w:id="5670"/>
    </w:p>
    <w:p w14:paraId="5FAF337E" w14:textId="77777777" w:rsidR="00FF65FB" w:rsidRPr="004E1D9A" w:rsidRDefault="00FF65FB" w:rsidP="004E1D9A">
      <w:pPr>
        <w:keepNext/>
        <w:spacing w:before="0" w:line="240" w:lineRule="auto"/>
        <w:jc w:val="left"/>
        <w:rPr>
          <w:sz w:val="20"/>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281"/>
        <w:gridCol w:w="600"/>
        <w:gridCol w:w="600"/>
        <w:gridCol w:w="600"/>
        <w:gridCol w:w="600"/>
        <w:gridCol w:w="600"/>
        <w:gridCol w:w="596"/>
        <w:gridCol w:w="594"/>
        <w:gridCol w:w="591"/>
      </w:tblGrid>
      <w:tr w:rsidR="004E1D9A" w:rsidRPr="004E1D9A" w14:paraId="583519DB" w14:textId="77777777" w:rsidTr="004E1D9A">
        <w:trPr>
          <w:trHeight w:hRule="exact" w:val="227"/>
          <w:jc w:val="center"/>
        </w:trPr>
        <w:tc>
          <w:tcPr>
            <w:tcW w:w="2362" w:type="pct"/>
            <w:shd w:val="clear" w:color="auto" w:fill="C6D9F1" w:themeFill="text2" w:themeFillTint="33"/>
            <w:vAlign w:val="bottom"/>
          </w:tcPr>
          <w:p w14:paraId="5A4FD26C" w14:textId="77777777" w:rsidR="004E1D9A" w:rsidRPr="004E1D9A" w:rsidRDefault="004E1D9A" w:rsidP="004E1D9A">
            <w:pPr>
              <w:spacing w:before="0" w:line="240" w:lineRule="auto"/>
              <w:rPr>
                <w:b/>
                <w:sz w:val="16"/>
                <w:szCs w:val="16"/>
                <w:lang w:eastAsia="sl-SI"/>
              </w:rPr>
            </w:pPr>
            <w:r w:rsidRPr="004E1D9A">
              <w:rPr>
                <w:b/>
                <w:sz w:val="16"/>
                <w:szCs w:val="16"/>
                <w:lang w:eastAsia="sl-SI"/>
              </w:rPr>
              <w:t>UVOZ</w:t>
            </w:r>
          </w:p>
        </w:tc>
        <w:tc>
          <w:tcPr>
            <w:tcW w:w="331" w:type="pct"/>
            <w:shd w:val="clear" w:color="auto" w:fill="C6D9F1" w:themeFill="text2" w:themeFillTint="33"/>
            <w:vAlign w:val="bottom"/>
          </w:tcPr>
          <w:p w14:paraId="43485E03" w14:textId="77777777" w:rsidR="004E1D9A" w:rsidRPr="004E1D9A" w:rsidRDefault="004E1D9A" w:rsidP="004E1D9A">
            <w:pPr>
              <w:spacing w:before="0" w:line="240" w:lineRule="auto"/>
              <w:rPr>
                <w:b/>
                <w:sz w:val="16"/>
                <w:szCs w:val="16"/>
                <w:lang w:eastAsia="sl-SI"/>
              </w:rPr>
            </w:pPr>
            <w:r w:rsidRPr="004E1D9A">
              <w:rPr>
                <w:b/>
                <w:sz w:val="16"/>
                <w:szCs w:val="16"/>
                <w:lang w:eastAsia="sl-SI"/>
              </w:rPr>
              <w:t>2013</w:t>
            </w:r>
          </w:p>
        </w:tc>
        <w:tc>
          <w:tcPr>
            <w:tcW w:w="331" w:type="pct"/>
            <w:shd w:val="clear" w:color="auto" w:fill="C6D9F1" w:themeFill="text2" w:themeFillTint="33"/>
            <w:vAlign w:val="bottom"/>
          </w:tcPr>
          <w:p w14:paraId="4A4B7EB1" w14:textId="77777777" w:rsidR="004E1D9A" w:rsidRPr="004E1D9A" w:rsidRDefault="004E1D9A" w:rsidP="004E1D9A">
            <w:pPr>
              <w:spacing w:before="0" w:line="240" w:lineRule="auto"/>
              <w:rPr>
                <w:b/>
                <w:sz w:val="16"/>
                <w:szCs w:val="16"/>
                <w:lang w:eastAsia="sl-SI"/>
              </w:rPr>
            </w:pPr>
            <w:r w:rsidRPr="004E1D9A">
              <w:rPr>
                <w:b/>
                <w:sz w:val="16"/>
                <w:szCs w:val="16"/>
                <w:lang w:eastAsia="sl-SI"/>
              </w:rPr>
              <w:t>2014</w:t>
            </w:r>
          </w:p>
        </w:tc>
        <w:tc>
          <w:tcPr>
            <w:tcW w:w="331" w:type="pct"/>
            <w:shd w:val="clear" w:color="auto" w:fill="C6D9F1" w:themeFill="text2" w:themeFillTint="33"/>
            <w:vAlign w:val="bottom"/>
          </w:tcPr>
          <w:p w14:paraId="4D4831D4" w14:textId="77777777" w:rsidR="004E1D9A" w:rsidRPr="004E1D9A" w:rsidRDefault="004E1D9A" w:rsidP="004E1D9A">
            <w:pPr>
              <w:spacing w:before="0" w:line="240" w:lineRule="auto"/>
              <w:rPr>
                <w:b/>
                <w:sz w:val="16"/>
                <w:szCs w:val="16"/>
                <w:lang w:eastAsia="sl-SI"/>
              </w:rPr>
            </w:pPr>
            <w:r w:rsidRPr="004E1D9A">
              <w:rPr>
                <w:b/>
                <w:sz w:val="16"/>
                <w:szCs w:val="16"/>
                <w:lang w:eastAsia="sl-SI"/>
              </w:rPr>
              <w:t>2015</w:t>
            </w:r>
          </w:p>
        </w:tc>
        <w:tc>
          <w:tcPr>
            <w:tcW w:w="331" w:type="pct"/>
            <w:shd w:val="clear" w:color="auto" w:fill="C6D9F1" w:themeFill="text2" w:themeFillTint="33"/>
            <w:vAlign w:val="bottom"/>
          </w:tcPr>
          <w:p w14:paraId="65AC7093" w14:textId="77777777" w:rsidR="004E1D9A" w:rsidRPr="004E1D9A" w:rsidRDefault="004E1D9A" w:rsidP="004E1D9A">
            <w:pPr>
              <w:spacing w:before="0" w:line="240" w:lineRule="auto"/>
              <w:rPr>
                <w:b/>
                <w:sz w:val="16"/>
                <w:szCs w:val="16"/>
                <w:lang w:eastAsia="sl-SI"/>
              </w:rPr>
            </w:pPr>
            <w:r w:rsidRPr="004E1D9A">
              <w:rPr>
                <w:b/>
                <w:sz w:val="16"/>
                <w:szCs w:val="16"/>
                <w:lang w:eastAsia="sl-SI"/>
              </w:rPr>
              <w:t>2016</w:t>
            </w:r>
          </w:p>
        </w:tc>
        <w:tc>
          <w:tcPr>
            <w:tcW w:w="331" w:type="pct"/>
            <w:shd w:val="clear" w:color="auto" w:fill="C6D9F1" w:themeFill="text2" w:themeFillTint="33"/>
            <w:vAlign w:val="bottom"/>
          </w:tcPr>
          <w:p w14:paraId="23679A16" w14:textId="77777777" w:rsidR="004E1D9A" w:rsidRPr="004E1D9A" w:rsidRDefault="004E1D9A" w:rsidP="004E1D9A">
            <w:pPr>
              <w:spacing w:before="0" w:line="240" w:lineRule="auto"/>
              <w:rPr>
                <w:b/>
                <w:sz w:val="16"/>
                <w:szCs w:val="16"/>
                <w:lang w:eastAsia="sl-SI"/>
              </w:rPr>
            </w:pPr>
            <w:r w:rsidRPr="004E1D9A">
              <w:rPr>
                <w:b/>
                <w:sz w:val="16"/>
                <w:szCs w:val="16"/>
                <w:lang w:eastAsia="sl-SI"/>
              </w:rPr>
              <w:t>2017</w:t>
            </w:r>
          </w:p>
        </w:tc>
        <w:tc>
          <w:tcPr>
            <w:tcW w:w="329" w:type="pct"/>
            <w:shd w:val="clear" w:color="auto" w:fill="C6D9F1" w:themeFill="text2" w:themeFillTint="33"/>
            <w:vAlign w:val="bottom"/>
          </w:tcPr>
          <w:p w14:paraId="588EF9EF" w14:textId="77777777" w:rsidR="004E1D9A" w:rsidRPr="004E1D9A" w:rsidRDefault="004E1D9A" w:rsidP="004E1D9A">
            <w:pPr>
              <w:spacing w:before="0" w:line="240" w:lineRule="auto"/>
              <w:rPr>
                <w:b/>
                <w:sz w:val="16"/>
                <w:szCs w:val="16"/>
                <w:lang w:eastAsia="sl-SI"/>
              </w:rPr>
            </w:pPr>
            <w:r w:rsidRPr="004E1D9A">
              <w:rPr>
                <w:b/>
                <w:sz w:val="16"/>
                <w:szCs w:val="16"/>
                <w:lang w:eastAsia="sl-SI"/>
              </w:rPr>
              <w:t>2018</w:t>
            </w:r>
          </w:p>
        </w:tc>
        <w:tc>
          <w:tcPr>
            <w:tcW w:w="328" w:type="pct"/>
            <w:shd w:val="clear" w:color="auto" w:fill="C6D9F1" w:themeFill="text2" w:themeFillTint="33"/>
            <w:vAlign w:val="bottom"/>
          </w:tcPr>
          <w:p w14:paraId="00172BA8" w14:textId="77777777" w:rsidR="004E1D9A" w:rsidRPr="004E1D9A" w:rsidRDefault="004E1D9A" w:rsidP="004E1D9A">
            <w:pPr>
              <w:spacing w:before="0" w:line="240" w:lineRule="auto"/>
              <w:jc w:val="center"/>
              <w:rPr>
                <w:b/>
                <w:sz w:val="16"/>
                <w:szCs w:val="16"/>
                <w:lang w:eastAsia="sl-SI"/>
              </w:rPr>
            </w:pPr>
            <w:r w:rsidRPr="004E1D9A">
              <w:rPr>
                <w:b/>
                <w:sz w:val="16"/>
                <w:szCs w:val="16"/>
                <w:lang w:eastAsia="sl-SI"/>
              </w:rPr>
              <w:t>2019</w:t>
            </w:r>
          </w:p>
        </w:tc>
        <w:tc>
          <w:tcPr>
            <w:tcW w:w="326" w:type="pct"/>
            <w:shd w:val="clear" w:color="auto" w:fill="C6D9F1" w:themeFill="text2" w:themeFillTint="33"/>
            <w:vAlign w:val="bottom"/>
          </w:tcPr>
          <w:p w14:paraId="13F279BE" w14:textId="77777777" w:rsidR="004E1D9A" w:rsidRPr="004E1D9A" w:rsidRDefault="004E1D9A" w:rsidP="004E1D9A">
            <w:pPr>
              <w:spacing w:before="0" w:line="240" w:lineRule="auto"/>
              <w:jc w:val="center"/>
              <w:rPr>
                <w:b/>
                <w:sz w:val="16"/>
                <w:szCs w:val="16"/>
                <w:lang w:eastAsia="sl-SI"/>
              </w:rPr>
            </w:pPr>
            <w:r w:rsidRPr="004E1D9A">
              <w:rPr>
                <w:b/>
                <w:sz w:val="16"/>
                <w:szCs w:val="16"/>
                <w:lang w:eastAsia="sl-SI"/>
              </w:rPr>
              <w:t>2020</w:t>
            </w:r>
          </w:p>
        </w:tc>
      </w:tr>
      <w:tr w:rsidR="004E1D9A" w:rsidRPr="004E1D9A" w14:paraId="5FE829E7" w14:textId="77777777" w:rsidTr="004E1D9A">
        <w:trPr>
          <w:trHeight w:val="227"/>
          <w:jc w:val="center"/>
        </w:trPr>
        <w:tc>
          <w:tcPr>
            <w:tcW w:w="2362" w:type="pct"/>
            <w:shd w:val="clear" w:color="auto" w:fill="C6D9F1" w:themeFill="text2" w:themeFillTint="33"/>
            <w:vAlign w:val="bottom"/>
          </w:tcPr>
          <w:p w14:paraId="082DD806"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Okrogli les – skupaj, od tega:</w:t>
            </w:r>
          </w:p>
        </w:tc>
        <w:tc>
          <w:tcPr>
            <w:tcW w:w="331" w:type="pct"/>
            <w:shd w:val="clear" w:color="auto" w:fill="C6D9F1" w:themeFill="text2" w:themeFillTint="33"/>
            <w:vAlign w:val="bottom"/>
          </w:tcPr>
          <w:p w14:paraId="61C509F0"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574</w:t>
            </w:r>
          </w:p>
        </w:tc>
        <w:tc>
          <w:tcPr>
            <w:tcW w:w="331" w:type="pct"/>
            <w:shd w:val="clear" w:color="auto" w:fill="C6D9F1" w:themeFill="text2" w:themeFillTint="33"/>
            <w:vAlign w:val="bottom"/>
          </w:tcPr>
          <w:p w14:paraId="5F1B190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455</w:t>
            </w:r>
          </w:p>
        </w:tc>
        <w:tc>
          <w:tcPr>
            <w:tcW w:w="331" w:type="pct"/>
            <w:shd w:val="clear" w:color="auto" w:fill="C6D9F1" w:themeFill="text2" w:themeFillTint="33"/>
            <w:vAlign w:val="bottom"/>
          </w:tcPr>
          <w:p w14:paraId="2D9BD70B"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449</w:t>
            </w:r>
          </w:p>
        </w:tc>
        <w:tc>
          <w:tcPr>
            <w:tcW w:w="331" w:type="pct"/>
            <w:shd w:val="clear" w:color="auto" w:fill="C6D9F1" w:themeFill="text2" w:themeFillTint="33"/>
            <w:vAlign w:val="bottom"/>
          </w:tcPr>
          <w:p w14:paraId="4E958EF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459</w:t>
            </w:r>
          </w:p>
        </w:tc>
        <w:tc>
          <w:tcPr>
            <w:tcW w:w="331" w:type="pct"/>
            <w:shd w:val="clear" w:color="auto" w:fill="C6D9F1" w:themeFill="text2" w:themeFillTint="33"/>
            <w:vAlign w:val="bottom"/>
          </w:tcPr>
          <w:p w14:paraId="5A9BA9D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496</w:t>
            </w:r>
          </w:p>
        </w:tc>
        <w:tc>
          <w:tcPr>
            <w:tcW w:w="329" w:type="pct"/>
            <w:shd w:val="clear" w:color="auto" w:fill="C6D9F1" w:themeFill="text2" w:themeFillTint="33"/>
            <w:vAlign w:val="bottom"/>
          </w:tcPr>
          <w:p w14:paraId="20CFC22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520</w:t>
            </w:r>
          </w:p>
        </w:tc>
        <w:tc>
          <w:tcPr>
            <w:tcW w:w="328" w:type="pct"/>
            <w:shd w:val="clear" w:color="auto" w:fill="C6D9F1" w:themeFill="text2" w:themeFillTint="33"/>
            <w:vAlign w:val="bottom"/>
          </w:tcPr>
          <w:p w14:paraId="5D58F1B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614</w:t>
            </w:r>
          </w:p>
        </w:tc>
        <w:tc>
          <w:tcPr>
            <w:tcW w:w="326" w:type="pct"/>
            <w:shd w:val="clear" w:color="auto" w:fill="C6D9F1" w:themeFill="text2" w:themeFillTint="33"/>
            <w:vAlign w:val="bottom"/>
          </w:tcPr>
          <w:p w14:paraId="383EE51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855</w:t>
            </w:r>
          </w:p>
        </w:tc>
      </w:tr>
      <w:tr w:rsidR="004E1D9A" w:rsidRPr="004E1D9A" w14:paraId="77708180" w14:textId="77777777" w:rsidTr="004E1D9A">
        <w:trPr>
          <w:trHeight w:val="227"/>
          <w:jc w:val="center"/>
        </w:trPr>
        <w:tc>
          <w:tcPr>
            <w:tcW w:w="2362" w:type="pct"/>
            <w:vAlign w:val="bottom"/>
          </w:tcPr>
          <w:p w14:paraId="689C6EBD"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Okrogli industrijski les – skupaj, od tega:</w:t>
            </w:r>
          </w:p>
        </w:tc>
        <w:tc>
          <w:tcPr>
            <w:tcW w:w="331" w:type="pct"/>
            <w:vAlign w:val="bottom"/>
          </w:tcPr>
          <w:p w14:paraId="5451311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327</w:t>
            </w:r>
          </w:p>
        </w:tc>
        <w:tc>
          <w:tcPr>
            <w:tcW w:w="331" w:type="pct"/>
            <w:vAlign w:val="bottom"/>
          </w:tcPr>
          <w:p w14:paraId="49D5E0F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288</w:t>
            </w:r>
          </w:p>
        </w:tc>
        <w:tc>
          <w:tcPr>
            <w:tcW w:w="331" w:type="pct"/>
            <w:vAlign w:val="bottom"/>
          </w:tcPr>
          <w:p w14:paraId="2D23CC0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297</w:t>
            </w:r>
          </w:p>
        </w:tc>
        <w:tc>
          <w:tcPr>
            <w:tcW w:w="331" w:type="pct"/>
            <w:vAlign w:val="bottom"/>
          </w:tcPr>
          <w:p w14:paraId="5157FFA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274</w:t>
            </w:r>
          </w:p>
        </w:tc>
        <w:tc>
          <w:tcPr>
            <w:tcW w:w="331" w:type="pct"/>
            <w:vAlign w:val="bottom"/>
          </w:tcPr>
          <w:p w14:paraId="37F70627"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318</w:t>
            </w:r>
          </w:p>
        </w:tc>
        <w:tc>
          <w:tcPr>
            <w:tcW w:w="329" w:type="pct"/>
            <w:vAlign w:val="bottom"/>
          </w:tcPr>
          <w:p w14:paraId="1AB3DC4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346</w:t>
            </w:r>
          </w:p>
        </w:tc>
        <w:tc>
          <w:tcPr>
            <w:tcW w:w="328" w:type="pct"/>
            <w:vAlign w:val="bottom"/>
          </w:tcPr>
          <w:p w14:paraId="0115C4D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456</w:t>
            </w:r>
          </w:p>
        </w:tc>
        <w:tc>
          <w:tcPr>
            <w:tcW w:w="326" w:type="pct"/>
            <w:vAlign w:val="bottom"/>
          </w:tcPr>
          <w:p w14:paraId="3B2E39E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714</w:t>
            </w:r>
          </w:p>
        </w:tc>
      </w:tr>
      <w:tr w:rsidR="004E1D9A" w:rsidRPr="004E1D9A" w14:paraId="33893B18" w14:textId="77777777" w:rsidTr="004E1D9A">
        <w:trPr>
          <w:trHeight w:val="227"/>
          <w:jc w:val="center"/>
        </w:trPr>
        <w:tc>
          <w:tcPr>
            <w:tcW w:w="2362" w:type="pct"/>
            <w:vAlign w:val="bottom"/>
          </w:tcPr>
          <w:p w14:paraId="3224F959"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iglavci, od tega:</w:t>
            </w:r>
          </w:p>
        </w:tc>
        <w:tc>
          <w:tcPr>
            <w:tcW w:w="331" w:type="pct"/>
            <w:vAlign w:val="bottom"/>
          </w:tcPr>
          <w:p w14:paraId="4F7E89B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194</w:t>
            </w:r>
          </w:p>
        </w:tc>
        <w:tc>
          <w:tcPr>
            <w:tcW w:w="331" w:type="pct"/>
            <w:vAlign w:val="bottom"/>
          </w:tcPr>
          <w:p w14:paraId="447749F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154</w:t>
            </w:r>
          </w:p>
        </w:tc>
        <w:tc>
          <w:tcPr>
            <w:tcW w:w="331" w:type="pct"/>
            <w:vAlign w:val="bottom"/>
          </w:tcPr>
          <w:p w14:paraId="2F5E547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185</w:t>
            </w:r>
          </w:p>
        </w:tc>
        <w:tc>
          <w:tcPr>
            <w:tcW w:w="331" w:type="pct"/>
            <w:vAlign w:val="bottom"/>
          </w:tcPr>
          <w:p w14:paraId="50DA2B3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144</w:t>
            </w:r>
          </w:p>
        </w:tc>
        <w:tc>
          <w:tcPr>
            <w:tcW w:w="331" w:type="pct"/>
            <w:vAlign w:val="bottom"/>
          </w:tcPr>
          <w:p w14:paraId="5CB9F291"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195</w:t>
            </w:r>
          </w:p>
        </w:tc>
        <w:tc>
          <w:tcPr>
            <w:tcW w:w="329" w:type="pct"/>
            <w:vAlign w:val="bottom"/>
          </w:tcPr>
          <w:p w14:paraId="649B86F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235</w:t>
            </w:r>
          </w:p>
        </w:tc>
        <w:tc>
          <w:tcPr>
            <w:tcW w:w="328" w:type="pct"/>
            <w:vAlign w:val="bottom"/>
          </w:tcPr>
          <w:p w14:paraId="3D963103"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344</w:t>
            </w:r>
          </w:p>
        </w:tc>
        <w:tc>
          <w:tcPr>
            <w:tcW w:w="326" w:type="pct"/>
            <w:vAlign w:val="bottom"/>
          </w:tcPr>
          <w:p w14:paraId="45E3142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596</w:t>
            </w:r>
          </w:p>
        </w:tc>
      </w:tr>
      <w:tr w:rsidR="004E1D9A" w:rsidRPr="004E1D9A" w14:paraId="2F72B2C9" w14:textId="77777777" w:rsidTr="004E1D9A">
        <w:trPr>
          <w:trHeight w:val="227"/>
          <w:jc w:val="center"/>
        </w:trPr>
        <w:tc>
          <w:tcPr>
            <w:tcW w:w="2362" w:type="pct"/>
            <w:vAlign w:val="bottom"/>
          </w:tcPr>
          <w:p w14:paraId="32ACC529"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hlodi za žago in furnir, iglavci</w:t>
            </w:r>
          </w:p>
        </w:tc>
        <w:tc>
          <w:tcPr>
            <w:tcW w:w="331" w:type="pct"/>
            <w:vAlign w:val="bottom"/>
          </w:tcPr>
          <w:p w14:paraId="29148DA3"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10</w:t>
            </w:r>
          </w:p>
        </w:tc>
        <w:tc>
          <w:tcPr>
            <w:tcW w:w="331" w:type="pct"/>
            <w:vAlign w:val="bottom"/>
          </w:tcPr>
          <w:p w14:paraId="148A7498"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15</w:t>
            </w:r>
          </w:p>
        </w:tc>
        <w:tc>
          <w:tcPr>
            <w:tcW w:w="331" w:type="pct"/>
            <w:vAlign w:val="bottom"/>
          </w:tcPr>
          <w:p w14:paraId="1EA79E8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16</w:t>
            </w:r>
          </w:p>
        </w:tc>
        <w:tc>
          <w:tcPr>
            <w:tcW w:w="331" w:type="pct"/>
            <w:vAlign w:val="bottom"/>
          </w:tcPr>
          <w:p w14:paraId="1F7A249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24</w:t>
            </w:r>
          </w:p>
        </w:tc>
        <w:tc>
          <w:tcPr>
            <w:tcW w:w="331" w:type="pct"/>
            <w:vAlign w:val="bottom"/>
          </w:tcPr>
          <w:p w14:paraId="2BDABCD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15</w:t>
            </w:r>
          </w:p>
        </w:tc>
        <w:tc>
          <w:tcPr>
            <w:tcW w:w="329" w:type="pct"/>
            <w:vAlign w:val="bottom"/>
          </w:tcPr>
          <w:p w14:paraId="018BC4A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28</w:t>
            </w:r>
          </w:p>
        </w:tc>
        <w:tc>
          <w:tcPr>
            <w:tcW w:w="328" w:type="pct"/>
            <w:vAlign w:val="bottom"/>
          </w:tcPr>
          <w:p w14:paraId="6A04CD4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113</w:t>
            </w:r>
          </w:p>
        </w:tc>
        <w:tc>
          <w:tcPr>
            <w:tcW w:w="326" w:type="pct"/>
            <w:vAlign w:val="bottom"/>
          </w:tcPr>
          <w:p w14:paraId="554411F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366</w:t>
            </w:r>
          </w:p>
        </w:tc>
      </w:tr>
      <w:tr w:rsidR="004E1D9A" w:rsidRPr="004E1D9A" w14:paraId="7C6DC194" w14:textId="77777777" w:rsidTr="004E1D9A">
        <w:trPr>
          <w:trHeight w:val="227"/>
          <w:jc w:val="center"/>
        </w:trPr>
        <w:tc>
          <w:tcPr>
            <w:tcW w:w="2362" w:type="pct"/>
            <w:vAlign w:val="bottom"/>
          </w:tcPr>
          <w:p w14:paraId="5E41925F"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les za celulozo in plošče ter drug okrogli industrijski les, iglavci</w:t>
            </w:r>
          </w:p>
        </w:tc>
        <w:tc>
          <w:tcPr>
            <w:tcW w:w="331" w:type="pct"/>
            <w:vAlign w:val="bottom"/>
          </w:tcPr>
          <w:p w14:paraId="1499400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184</w:t>
            </w:r>
          </w:p>
        </w:tc>
        <w:tc>
          <w:tcPr>
            <w:tcW w:w="331" w:type="pct"/>
            <w:vAlign w:val="bottom"/>
          </w:tcPr>
          <w:p w14:paraId="563AD7A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139</w:t>
            </w:r>
          </w:p>
        </w:tc>
        <w:tc>
          <w:tcPr>
            <w:tcW w:w="331" w:type="pct"/>
            <w:vAlign w:val="bottom"/>
          </w:tcPr>
          <w:p w14:paraId="2A705D4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169</w:t>
            </w:r>
          </w:p>
        </w:tc>
        <w:tc>
          <w:tcPr>
            <w:tcW w:w="331" w:type="pct"/>
            <w:vAlign w:val="bottom"/>
          </w:tcPr>
          <w:p w14:paraId="33B7B321"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120</w:t>
            </w:r>
          </w:p>
        </w:tc>
        <w:tc>
          <w:tcPr>
            <w:tcW w:w="331" w:type="pct"/>
            <w:vAlign w:val="bottom"/>
          </w:tcPr>
          <w:p w14:paraId="295FCB43"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180</w:t>
            </w:r>
          </w:p>
        </w:tc>
        <w:tc>
          <w:tcPr>
            <w:tcW w:w="329" w:type="pct"/>
            <w:vAlign w:val="bottom"/>
          </w:tcPr>
          <w:p w14:paraId="5B058DC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208</w:t>
            </w:r>
          </w:p>
        </w:tc>
        <w:tc>
          <w:tcPr>
            <w:tcW w:w="328" w:type="pct"/>
            <w:vAlign w:val="bottom"/>
          </w:tcPr>
          <w:p w14:paraId="7F1BD25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231</w:t>
            </w:r>
          </w:p>
        </w:tc>
        <w:tc>
          <w:tcPr>
            <w:tcW w:w="326" w:type="pct"/>
            <w:vAlign w:val="bottom"/>
          </w:tcPr>
          <w:p w14:paraId="69625542"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230</w:t>
            </w:r>
          </w:p>
        </w:tc>
      </w:tr>
      <w:tr w:rsidR="004E1D9A" w:rsidRPr="004E1D9A" w14:paraId="33832469" w14:textId="77777777" w:rsidTr="004E1D9A">
        <w:trPr>
          <w:trHeight w:val="227"/>
          <w:jc w:val="center"/>
        </w:trPr>
        <w:tc>
          <w:tcPr>
            <w:tcW w:w="2362" w:type="pct"/>
            <w:vAlign w:val="bottom"/>
          </w:tcPr>
          <w:p w14:paraId="19A84D98"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listavci</w:t>
            </w:r>
          </w:p>
        </w:tc>
        <w:tc>
          <w:tcPr>
            <w:tcW w:w="331" w:type="pct"/>
            <w:vAlign w:val="bottom"/>
          </w:tcPr>
          <w:p w14:paraId="68B5793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134</w:t>
            </w:r>
          </w:p>
        </w:tc>
        <w:tc>
          <w:tcPr>
            <w:tcW w:w="331" w:type="pct"/>
            <w:vAlign w:val="bottom"/>
          </w:tcPr>
          <w:p w14:paraId="14F8FBC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134</w:t>
            </w:r>
          </w:p>
        </w:tc>
        <w:tc>
          <w:tcPr>
            <w:tcW w:w="331" w:type="pct"/>
            <w:vAlign w:val="bottom"/>
          </w:tcPr>
          <w:p w14:paraId="2EDF698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112</w:t>
            </w:r>
          </w:p>
        </w:tc>
        <w:tc>
          <w:tcPr>
            <w:tcW w:w="331" w:type="pct"/>
            <w:vAlign w:val="bottom"/>
          </w:tcPr>
          <w:p w14:paraId="4BE0BD1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130</w:t>
            </w:r>
          </w:p>
        </w:tc>
        <w:tc>
          <w:tcPr>
            <w:tcW w:w="331" w:type="pct"/>
            <w:vAlign w:val="bottom"/>
          </w:tcPr>
          <w:p w14:paraId="07C2A25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124</w:t>
            </w:r>
          </w:p>
        </w:tc>
        <w:tc>
          <w:tcPr>
            <w:tcW w:w="329" w:type="pct"/>
            <w:vAlign w:val="bottom"/>
          </w:tcPr>
          <w:p w14:paraId="50DA1FD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111</w:t>
            </w:r>
          </w:p>
        </w:tc>
        <w:tc>
          <w:tcPr>
            <w:tcW w:w="328" w:type="pct"/>
            <w:vAlign w:val="bottom"/>
          </w:tcPr>
          <w:p w14:paraId="5B05800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112</w:t>
            </w:r>
          </w:p>
        </w:tc>
        <w:tc>
          <w:tcPr>
            <w:tcW w:w="326" w:type="pct"/>
            <w:vAlign w:val="bottom"/>
          </w:tcPr>
          <w:p w14:paraId="7D0E955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119</w:t>
            </w:r>
          </w:p>
        </w:tc>
      </w:tr>
      <w:tr w:rsidR="004E1D9A" w:rsidRPr="004E1D9A" w14:paraId="39D38FB5" w14:textId="77777777" w:rsidTr="004E1D9A">
        <w:trPr>
          <w:trHeight w:val="227"/>
          <w:jc w:val="center"/>
        </w:trPr>
        <w:tc>
          <w:tcPr>
            <w:tcW w:w="2362" w:type="pct"/>
            <w:vAlign w:val="bottom"/>
          </w:tcPr>
          <w:p w14:paraId="49189DD8"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Les za kurjavo – skupaj</w:t>
            </w:r>
          </w:p>
        </w:tc>
        <w:tc>
          <w:tcPr>
            <w:tcW w:w="331" w:type="pct"/>
            <w:vAlign w:val="bottom"/>
          </w:tcPr>
          <w:p w14:paraId="506C4F2B"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247</w:t>
            </w:r>
          </w:p>
        </w:tc>
        <w:tc>
          <w:tcPr>
            <w:tcW w:w="331" w:type="pct"/>
            <w:vAlign w:val="bottom"/>
          </w:tcPr>
          <w:p w14:paraId="66260D7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168</w:t>
            </w:r>
          </w:p>
        </w:tc>
        <w:tc>
          <w:tcPr>
            <w:tcW w:w="331" w:type="pct"/>
            <w:vAlign w:val="bottom"/>
          </w:tcPr>
          <w:p w14:paraId="5CDEACA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152</w:t>
            </w:r>
          </w:p>
        </w:tc>
        <w:tc>
          <w:tcPr>
            <w:tcW w:w="331" w:type="pct"/>
            <w:vAlign w:val="bottom"/>
          </w:tcPr>
          <w:p w14:paraId="65932FA7"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184</w:t>
            </w:r>
          </w:p>
        </w:tc>
        <w:tc>
          <w:tcPr>
            <w:tcW w:w="331" w:type="pct"/>
            <w:vAlign w:val="bottom"/>
          </w:tcPr>
          <w:p w14:paraId="5A980C7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178</w:t>
            </w:r>
          </w:p>
        </w:tc>
        <w:tc>
          <w:tcPr>
            <w:tcW w:w="329" w:type="pct"/>
            <w:vAlign w:val="bottom"/>
          </w:tcPr>
          <w:p w14:paraId="1622C8D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174</w:t>
            </w:r>
          </w:p>
        </w:tc>
        <w:tc>
          <w:tcPr>
            <w:tcW w:w="328" w:type="pct"/>
            <w:vAlign w:val="bottom"/>
          </w:tcPr>
          <w:p w14:paraId="4F7F758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158</w:t>
            </w:r>
          </w:p>
        </w:tc>
        <w:tc>
          <w:tcPr>
            <w:tcW w:w="326" w:type="pct"/>
            <w:vAlign w:val="bottom"/>
          </w:tcPr>
          <w:p w14:paraId="67CCE0A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138</w:t>
            </w:r>
          </w:p>
        </w:tc>
      </w:tr>
    </w:tbl>
    <w:p w14:paraId="043CE434" w14:textId="77777777" w:rsidR="004E1D9A" w:rsidRPr="004E1D9A" w:rsidRDefault="004E1D9A" w:rsidP="004E1D9A">
      <w:pPr>
        <w:spacing w:before="0" w:line="240" w:lineRule="auto"/>
        <w:ind w:left="140"/>
        <w:jc w:val="left"/>
        <w:rPr>
          <w:rFonts w:eastAsia="Arial"/>
          <w:sz w:val="16"/>
          <w:szCs w:val="20"/>
          <w:lang w:eastAsia="en-US"/>
        </w:rPr>
      </w:pPr>
      <w:r w:rsidRPr="004E1D9A">
        <w:rPr>
          <w:rFonts w:eastAsia="Arial"/>
          <w:sz w:val="16"/>
          <w:szCs w:val="20"/>
          <w:lang w:eastAsia="en-US"/>
        </w:rPr>
        <w:t>Vir: SURS (2013–2020), Eurostat (2017), preračuni GIS</w:t>
      </w:r>
    </w:p>
    <w:p w14:paraId="2F0B6360" w14:textId="77777777" w:rsidR="004E1D9A" w:rsidRPr="004E1D9A" w:rsidRDefault="004E1D9A" w:rsidP="004E1D9A">
      <w:pPr>
        <w:spacing w:before="0" w:line="240" w:lineRule="auto"/>
        <w:rPr>
          <w:rFonts w:eastAsia="Calibri"/>
          <w:b/>
          <w:bCs/>
          <w:sz w:val="16"/>
          <w:szCs w:val="20"/>
          <w:u w:val="single"/>
        </w:rPr>
      </w:pPr>
    </w:p>
    <w:p w14:paraId="6E31D56E" w14:textId="697964D7" w:rsidR="004E1D9A" w:rsidRPr="005B2A49" w:rsidRDefault="004E1D9A" w:rsidP="00492765">
      <w:pPr>
        <w:spacing w:before="0" w:line="240" w:lineRule="auto"/>
        <w:rPr>
          <w:rFonts w:eastAsia="Calibri"/>
          <w:bCs/>
          <w:szCs w:val="22"/>
        </w:rPr>
      </w:pPr>
      <w:r w:rsidRPr="005B2A49">
        <w:rPr>
          <w:rFonts w:eastAsia="Calibri"/>
          <w:bCs/>
          <w:szCs w:val="22"/>
        </w:rPr>
        <w:t>Uvoz nepredelanega okroglega lesa v Slovenijo od leta 2016 narašča in je v letu 2020 presegel 0,85 milijona m</w:t>
      </w:r>
      <w:r w:rsidRPr="005B2A49">
        <w:rPr>
          <w:rFonts w:eastAsia="Calibri"/>
          <w:bCs/>
          <w:szCs w:val="22"/>
          <w:vertAlign w:val="superscript"/>
        </w:rPr>
        <w:t>3</w:t>
      </w:r>
      <w:r w:rsidRPr="005B2A49">
        <w:rPr>
          <w:rFonts w:eastAsia="Calibri"/>
          <w:bCs/>
          <w:szCs w:val="22"/>
        </w:rPr>
        <w:t>. Glavne države izvoznice nepredelanega lesa v Slovenijo so bile v letu 20</w:t>
      </w:r>
      <w:r w:rsidR="000E44BC">
        <w:rPr>
          <w:rFonts w:eastAsia="Calibri"/>
          <w:bCs/>
          <w:szCs w:val="22"/>
        </w:rPr>
        <w:t>20</w:t>
      </w:r>
      <w:r w:rsidRPr="005B2A49">
        <w:rPr>
          <w:rFonts w:eastAsia="Calibri"/>
          <w:bCs/>
          <w:szCs w:val="22"/>
        </w:rPr>
        <w:t xml:space="preserve"> Hrvaška, Italija in Avstrija. Iz Hrvaške sta se uvažala predvsem okrogli industrijski les listavcev in les za kurjavo listavcev,</w:t>
      </w:r>
      <w:r w:rsidRPr="00282924">
        <w:rPr>
          <w:szCs w:val="22"/>
        </w:rPr>
        <w:t xml:space="preserve"> </w:t>
      </w:r>
      <w:r w:rsidRPr="005B2A49">
        <w:rPr>
          <w:rFonts w:eastAsia="Calibri"/>
          <w:bCs/>
          <w:szCs w:val="22"/>
        </w:rPr>
        <w:t>iz Italije pa sta prevladovala uvoz hlodovine iglavcev ter les za celulozo in plošče iglavcev. Iz Avstrije je bil večinoma uvožen les za celulozo in plošče iglavcev.</w:t>
      </w:r>
      <w:r w:rsidRPr="005B2A49">
        <w:rPr>
          <w:rFonts w:eastAsia="Calibri"/>
          <w:bCs/>
          <w:szCs w:val="22"/>
        </w:rPr>
        <w:cr/>
      </w:r>
    </w:p>
    <w:p w14:paraId="7071B6E5" w14:textId="77777777" w:rsidR="00492765" w:rsidRPr="00492765" w:rsidRDefault="00492765" w:rsidP="00492765">
      <w:pPr>
        <w:spacing w:before="0" w:line="240" w:lineRule="auto"/>
        <w:rPr>
          <w:rFonts w:eastAsia="Calibri"/>
          <w:bCs/>
          <w:sz w:val="20"/>
          <w:szCs w:val="20"/>
        </w:rPr>
      </w:pPr>
    </w:p>
    <w:p w14:paraId="55825A1D" w14:textId="17FC2100" w:rsidR="00492765" w:rsidRPr="00492765" w:rsidRDefault="00492765" w:rsidP="006D4C94">
      <w:pPr>
        <w:pStyle w:val="Naslov2"/>
      </w:pPr>
      <w:bookmarkStart w:id="5671" w:name="_Toc42065174"/>
      <w:bookmarkStart w:id="5672" w:name="_Toc51279992"/>
      <w:bookmarkStart w:id="5673" w:name="_Toc90462309"/>
      <w:r w:rsidRPr="00492765">
        <w:t>Stanje v gozdnem drevesničarstvu</w:t>
      </w:r>
      <w:bookmarkEnd w:id="5671"/>
      <w:bookmarkEnd w:id="5672"/>
      <w:bookmarkEnd w:id="5673"/>
    </w:p>
    <w:p w14:paraId="04C7EC2C" w14:textId="77777777" w:rsidR="00492765" w:rsidRPr="00492765" w:rsidRDefault="00492765" w:rsidP="00492765">
      <w:pPr>
        <w:spacing w:before="0" w:line="240" w:lineRule="auto"/>
        <w:rPr>
          <w:rFonts w:eastAsia="Calibri"/>
          <w:bCs/>
          <w:sz w:val="20"/>
          <w:szCs w:val="20"/>
        </w:rPr>
      </w:pPr>
    </w:p>
    <w:p w14:paraId="04BBFB1A" w14:textId="16A62546" w:rsidR="00492765" w:rsidRPr="006D4C94" w:rsidRDefault="00492765" w:rsidP="00492765">
      <w:pPr>
        <w:spacing w:before="0" w:line="276" w:lineRule="auto"/>
        <w:rPr>
          <w:rFonts w:eastAsia="Calibri"/>
          <w:bCs/>
          <w:szCs w:val="20"/>
        </w:rPr>
      </w:pPr>
      <w:r w:rsidRPr="006D4C94">
        <w:rPr>
          <w:rFonts w:eastAsia="Calibri"/>
          <w:bCs/>
          <w:szCs w:val="20"/>
        </w:rPr>
        <w:t xml:space="preserve">V letu </w:t>
      </w:r>
      <w:r w:rsidR="004E1D9A" w:rsidRPr="006D4C94">
        <w:rPr>
          <w:rFonts w:eastAsia="Calibri"/>
          <w:bCs/>
          <w:szCs w:val="20"/>
        </w:rPr>
        <w:t>20</w:t>
      </w:r>
      <w:r w:rsidR="004E1D9A">
        <w:rPr>
          <w:rFonts w:eastAsia="Calibri"/>
          <w:bCs/>
          <w:szCs w:val="20"/>
        </w:rPr>
        <w:t>20</w:t>
      </w:r>
      <w:r w:rsidR="004E1D9A" w:rsidRPr="006D4C94">
        <w:rPr>
          <w:rFonts w:eastAsia="Calibri"/>
          <w:bCs/>
          <w:szCs w:val="20"/>
        </w:rPr>
        <w:t xml:space="preserve"> </w:t>
      </w:r>
      <w:r w:rsidRPr="006D4C94">
        <w:rPr>
          <w:rFonts w:eastAsia="Calibri"/>
          <w:bCs/>
          <w:szCs w:val="20"/>
        </w:rPr>
        <w:t>je bilo v register dobaviteljev gozdnega reprodukcijskega materiala, ki ga vodi Ministrstvo za kmetijstvo, gozdarstvo in prehrano</w:t>
      </w:r>
      <w:r w:rsidR="00AE1F83" w:rsidRPr="006D4C94">
        <w:rPr>
          <w:rFonts w:eastAsia="Calibri"/>
          <w:bCs/>
          <w:szCs w:val="20"/>
        </w:rPr>
        <w:t>,</w:t>
      </w:r>
      <w:r w:rsidRPr="006D4C94">
        <w:rPr>
          <w:rFonts w:eastAsia="Calibri"/>
          <w:bCs/>
          <w:szCs w:val="20"/>
        </w:rPr>
        <w:t xml:space="preserve"> vpisanih </w:t>
      </w:r>
      <w:r w:rsidR="004E1D9A">
        <w:rPr>
          <w:rFonts w:eastAsia="Calibri"/>
          <w:bCs/>
          <w:szCs w:val="20"/>
        </w:rPr>
        <w:t>osem</w:t>
      </w:r>
      <w:r w:rsidR="004E1D9A" w:rsidRPr="006D4C94">
        <w:rPr>
          <w:rFonts w:eastAsia="Calibri"/>
          <w:bCs/>
          <w:szCs w:val="20"/>
        </w:rPr>
        <w:t xml:space="preserve"> </w:t>
      </w:r>
      <w:r w:rsidRPr="006D4C94">
        <w:rPr>
          <w:rFonts w:eastAsia="Calibri"/>
          <w:bCs/>
          <w:szCs w:val="20"/>
        </w:rPr>
        <w:t>dobaviteljev, ki se ukvarjajo s pridelovanjem, trženjem in uporabo gozdnega reprodukcijskega materiala. Ta obsega semenski material, dele rastlin in sadilni material tistih drevesnih vrst in umetnih križancev, ki se v skladu s predpisi uporabljajo za obnovo gozdov s sadnjo in setvijo, pogozdovanje, snovanje in vzdrževanje trajnih zaščitnih ali protierozijskih pasov gozdnega drevja ter snovanje in vzdrževanje plantaž gozdnega drevja.</w:t>
      </w:r>
    </w:p>
    <w:p w14:paraId="3A9CC0E1" w14:textId="77777777" w:rsidR="00492765" w:rsidRPr="006D4C94" w:rsidRDefault="00492765" w:rsidP="00492765">
      <w:pPr>
        <w:spacing w:before="0" w:line="276" w:lineRule="auto"/>
        <w:rPr>
          <w:rFonts w:eastAsia="Calibri"/>
          <w:bCs/>
          <w:szCs w:val="20"/>
        </w:rPr>
      </w:pPr>
    </w:p>
    <w:p w14:paraId="77416FA2" w14:textId="77777777" w:rsidR="004E1D9A" w:rsidRPr="005B2A49" w:rsidRDefault="004E1D9A" w:rsidP="004E1D9A">
      <w:pPr>
        <w:spacing w:before="0" w:line="276" w:lineRule="auto"/>
        <w:rPr>
          <w:rFonts w:eastAsia="Calibri"/>
          <w:bCs/>
          <w:szCs w:val="22"/>
        </w:rPr>
      </w:pPr>
      <w:r w:rsidRPr="005B2A49">
        <w:rPr>
          <w:rFonts w:eastAsia="Calibri"/>
          <w:bCs/>
          <w:szCs w:val="22"/>
        </w:rPr>
        <w:t>Leta 2019 je bilo za obnovo gozdov s sadnjo ter za sanacijo po ujmah in v požarih poškodovanih gozdov uporabljenih skupno 1.295.561 sadik gozdnega drevja 26 drevesnih vrst (56 % iglavcev in 44 % listavcev). Za izvedbo biomeliorativnih del, katerih namen je izboljšanje okolja za gozdne živali, je bilo dodatno posajenih še 3.260 sadik plodonosnih vrst. Za obnovo gozda so lastniki gozdov sami zagotovili 80 kg semena doba in 75 kg semena plodonosnih drevesnih vrst (oreh, kostanj ipd).</w:t>
      </w:r>
    </w:p>
    <w:p w14:paraId="61BFDF72" w14:textId="77777777" w:rsidR="00492765" w:rsidRPr="006D4C94" w:rsidRDefault="00492765" w:rsidP="00492765">
      <w:pPr>
        <w:spacing w:before="0" w:line="276" w:lineRule="auto"/>
        <w:rPr>
          <w:rFonts w:eastAsia="Calibri"/>
          <w:bCs/>
          <w:szCs w:val="20"/>
        </w:rPr>
      </w:pPr>
    </w:p>
    <w:p w14:paraId="1EBC6F8D" w14:textId="2B4AAD6E" w:rsidR="004E1D9A" w:rsidRPr="004E1D9A" w:rsidRDefault="004E1D9A" w:rsidP="004E1D9A">
      <w:pPr>
        <w:spacing w:before="0" w:line="276" w:lineRule="auto"/>
        <w:rPr>
          <w:rFonts w:eastAsia="Calibri"/>
          <w:bCs/>
          <w:szCs w:val="20"/>
        </w:rPr>
      </w:pPr>
      <w:r w:rsidRPr="004E1D9A">
        <w:rPr>
          <w:rFonts w:eastAsia="Calibri"/>
          <w:bCs/>
          <w:szCs w:val="20"/>
        </w:rPr>
        <w:t>V Sloveniji prevladujejo majhne drevesnice, katere težko zagotovijo ustrezno količino sadilnega materiala, ki je potreben za sadnjo v gozdovih, poškodovanih v naravnih ujmah. Razvoj slovenskega drevesničarstva lahko dosežemo z investicijami v gozdne drevesnice in s sklepanjem večletnih pogodb drevesničarjev z odjemalci sadik.</w:t>
      </w:r>
      <w:r w:rsidR="000E44BC">
        <w:rPr>
          <w:rFonts w:eastAsia="Calibri"/>
          <w:bCs/>
          <w:szCs w:val="20"/>
        </w:rPr>
        <w:t xml:space="preserve"> </w:t>
      </w:r>
      <w:r w:rsidRPr="004E1D9A">
        <w:rPr>
          <w:rFonts w:eastAsia="Calibri"/>
          <w:bCs/>
          <w:szCs w:val="20"/>
        </w:rPr>
        <w:t>Ustrezen</w:t>
      </w:r>
      <w:r w:rsidR="000E44BC">
        <w:rPr>
          <w:rFonts w:eastAsia="Calibri"/>
          <w:bCs/>
          <w:szCs w:val="20"/>
        </w:rPr>
        <w:t xml:space="preserve"> </w:t>
      </w:r>
      <w:r w:rsidRPr="004E1D9A">
        <w:rPr>
          <w:rFonts w:eastAsia="Calibri"/>
          <w:bCs/>
          <w:szCs w:val="20"/>
        </w:rPr>
        <w:t xml:space="preserve">in kakovosten  sadilni material je pogoj za uspešno obnovo gozda. </w:t>
      </w:r>
    </w:p>
    <w:p w14:paraId="333465AF" w14:textId="77777777" w:rsidR="00492765" w:rsidRPr="00492765" w:rsidRDefault="00492765" w:rsidP="00492765">
      <w:pPr>
        <w:spacing w:before="0" w:line="276" w:lineRule="auto"/>
        <w:rPr>
          <w:rFonts w:eastAsia="Calibri"/>
          <w:bCs/>
          <w:sz w:val="20"/>
          <w:szCs w:val="20"/>
        </w:rPr>
      </w:pPr>
    </w:p>
    <w:p w14:paraId="7C2DC948" w14:textId="77777777" w:rsidR="00492765" w:rsidRPr="00492765" w:rsidRDefault="00492765" w:rsidP="00492765">
      <w:pPr>
        <w:spacing w:before="0" w:line="240" w:lineRule="auto"/>
        <w:rPr>
          <w:rFonts w:eastAsia="Calibri"/>
          <w:bCs/>
          <w:sz w:val="20"/>
          <w:szCs w:val="20"/>
        </w:rPr>
      </w:pPr>
    </w:p>
    <w:p w14:paraId="038FBFC7" w14:textId="2573CDD3" w:rsidR="00492765" w:rsidRPr="00492765" w:rsidRDefault="00492765" w:rsidP="006D4C94">
      <w:pPr>
        <w:pStyle w:val="Naslov2"/>
      </w:pPr>
      <w:bookmarkStart w:id="5674" w:name="_Toc42065175"/>
      <w:bookmarkStart w:id="5675" w:name="_Toc51279993"/>
      <w:bookmarkStart w:id="5676" w:name="_Toc90462310"/>
      <w:r w:rsidRPr="00492765">
        <w:t>Stanje v proizvodnji žaganega lesa</w:t>
      </w:r>
      <w:bookmarkEnd w:id="5674"/>
      <w:bookmarkEnd w:id="5675"/>
      <w:bookmarkEnd w:id="5676"/>
    </w:p>
    <w:p w14:paraId="3CBCE912" w14:textId="77777777" w:rsidR="00492765" w:rsidRPr="00492765" w:rsidRDefault="00492765" w:rsidP="00492765">
      <w:pPr>
        <w:spacing w:before="0" w:line="240" w:lineRule="auto"/>
        <w:rPr>
          <w:rFonts w:eastAsia="Calibri"/>
          <w:sz w:val="20"/>
          <w:szCs w:val="20"/>
        </w:rPr>
      </w:pPr>
    </w:p>
    <w:p w14:paraId="22EE1D7D" w14:textId="77777777" w:rsidR="00FF65FB" w:rsidRPr="00FF65FB" w:rsidRDefault="00FF65FB" w:rsidP="00FF65FB">
      <w:pPr>
        <w:spacing w:before="0" w:line="276" w:lineRule="auto"/>
        <w:rPr>
          <w:rFonts w:eastAsia="Calibri"/>
          <w:szCs w:val="20"/>
        </w:rPr>
      </w:pPr>
      <w:r w:rsidRPr="00FF65FB">
        <w:rPr>
          <w:rFonts w:eastAsia="Calibri"/>
          <w:szCs w:val="20"/>
        </w:rPr>
        <w:t xml:space="preserve">V letu 2019 je bilo v panogi obdelave in predelave lesa registriranih 997 pravnih in fizičnih oseb, v katerih je bilo 11.288 zaposlenih.  </w:t>
      </w:r>
    </w:p>
    <w:p w14:paraId="23EE1B54" w14:textId="77777777" w:rsidR="00FF65FB" w:rsidRPr="00FF65FB" w:rsidRDefault="00FF65FB" w:rsidP="00FF65FB">
      <w:pPr>
        <w:spacing w:before="0" w:line="276" w:lineRule="auto"/>
        <w:rPr>
          <w:rFonts w:eastAsia="Calibri"/>
          <w:szCs w:val="20"/>
        </w:rPr>
      </w:pPr>
    </w:p>
    <w:p w14:paraId="009B33F8" w14:textId="77777777" w:rsidR="00FF65FB" w:rsidRPr="00FF65FB" w:rsidRDefault="00FF65FB" w:rsidP="00FF65FB">
      <w:pPr>
        <w:spacing w:before="0" w:line="276" w:lineRule="auto"/>
        <w:rPr>
          <w:rFonts w:eastAsia="Calibri"/>
          <w:szCs w:val="20"/>
        </w:rPr>
      </w:pPr>
      <w:r w:rsidRPr="00FF65FB">
        <w:rPr>
          <w:rFonts w:eastAsia="Calibri"/>
          <w:szCs w:val="20"/>
        </w:rPr>
        <w:t xml:space="preserve">Po številu v Sloveniji prevladujejo žagarski obrati z do 5 zaposlenimi. Količinsko največ razžagajo večji žagarski obrati (nad 20 zaposlenih). V strukturi razreza prevladujejo hlodi iglavcev z več kot 75 % deležem. </w:t>
      </w:r>
    </w:p>
    <w:p w14:paraId="5D256B63" w14:textId="77777777" w:rsidR="00FF65FB" w:rsidRPr="00FF65FB" w:rsidRDefault="00FF65FB" w:rsidP="00FF65FB">
      <w:pPr>
        <w:spacing w:before="0" w:line="276" w:lineRule="auto"/>
        <w:rPr>
          <w:rFonts w:eastAsia="Calibri"/>
          <w:szCs w:val="20"/>
        </w:rPr>
      </w:pPr>
    </w:p>
    <w:p w14:paraId="2965FD06" w14:textId="195722DF" w:rsidR="00FF65FB" w:rsidRPr="00FF65FB" w:rsidRDefault="00FF65FB" w:rsidP="00FF65FB">
      <w:pPr>
        <w:spacing w:before="0" w:line="276" w:lineRule="auto"/>
        <w:rPr>
          <w:rFonts w:eastAsia="Calibri"/>
          <w:szCs w:val="20"/>
        </w:rPr>
      </w:pPr>
      <w:r w:rsidRPr="00FF65FB">
        <w:rPr>
          <w:rFonts w:eastAsia="Calibri"/>
          <w:szCs w:val="20"/>
        </w:rPr>
        <w:t>Največji obrati za proizvodnjo žaganega lesa so:</w:t>
      </w:r>
      <w:r w:rsidR="00282924">
        <w:rPr>
          <w:rFonts w:eastAsia="Calibri"/>
          <w:szCs w:val="20"/>
        </w:rPr>
        <w:t xml:space="preserve"> </w:t>
      </w:r>
      <w:r w:rsidRPr="00FF65FB">
        <w:rPr>
          <w:rFonts w:eastAsia="Calibri"/>
          <w:szCs w:val="20"/>
        </w:rPr>
        <w:t>LIP, Lesna Industrija BLED, d.o.o., Gozdarstvo Grča gozdna proizvodnja, razrez lesa in trgovina, d.o.o., Razrez Hlodovine Alojz Cugmajster s.p. in ELVIPO d.o.o.</w:t>
      </w:r>
    </w:p>
    <w:p w14:paraId="48A89131" w14:textId="77777777" w:rsidR="00FF65FB" w:rsidRPr="00FF65FB" w:rsidRDefault="00FF65FB" w:rsidP="00FF65FB">
      <w:pPr>
        <w:spacing w:before="0" w:line="276" w:lineRule="auto"/>
        <w:rPr>
          <w:rFonts w:eastAsia="Calibri"/>
          <w:szCs w:val="20"/>
        </w:rPr>
      </w:pPr>
    </w:p>
    <w:p w14:paraId="6E11D419" w14:textId="77777777" w:rsidR="00492765" w:rsidRPr="00492765" w:rsidRDefault="00492765" w:rsidP="00492765">
      <w:pPr>
        <w:spacing w:before="0" w:line="240" w:lineRule="auto"/>
        <w:rPr>
          <w:sz w:val="20"/>
          <w:szCs w:val="20"/>
        </w:rPr>
      </w:pPr>
    </w:p>
    <w:p w14:paraId="3D02C442" w14:textId="0366E171" w:rsidR="00492765" w:rsidRPr="00492765" w:rsidRDefault="00492765" w:rsidP="006D4C94">
      <w:pPr>
        <w:pStyle w:val="Naslov2"/>
      </w:pPr>
      <w:bookmarkStart w:id="5677" w:name="_Toc42065176"/>
      <w:bookmarkStart w:id="5678" w:name="_Toc51279994"/>
      <w:bookmarkStart w:id="5679" w:name="_Toc90462311"/>
      <w:r w:rsidRPr="00492765">
        <w:t>Ekonomski rezultati gozdarstva</w:t>
      </w:r>
      <w:bookmarkEnd w:id="5677"/>
      <w:bookmarkEnd w:id="5678"/>
      <w:bookmarkEnd w:id="5679"/>
    </w:p>
    <w:p w14:paraId="2E2FF783" w14:textId="77777777" w:rsidR="00492765" w:rsidRPr="00492765" w:rsidRDefault="00492765" w:rsidP="00492765">
      <w:pPr>
        <w:spacing w:before="0" w:line="240" w:lineRule="auto"/>
        <w:rPr>
          <w:sz w:val="20"/>
          <w:szCs w:val="20"/>
        </w:rPr>
      </w:pPr>
    </w:p>
    <w:p w14:paraId="3BD726AA" w14:textId="14C8ADBF" w:rsidR="00492765" w:rsidRPr="00492765" w:rsidRDefault="00FF65FB" w:rsidP="00492765">
      <w:pPr>
        <w:spacing w:before="0" w:line="240" w:lineRule="auto"/>
        <w:rPr>
          <w:sz w:val="24"/>
          <w:szCs w:val="20"/>
        </w:rPr>
      </w:pPr>
      <w:r w:rsidRPr="00FF65FB">
        <w:rPr>
          <w:szCs w:val="20"/>
        </w:rPr>
        <w:t>Odkupna cena hlodovine listavcev in iglavcev iz zasebnih dozdov je skozi leta nihala, cena listavcev počasi narašča, cena iglavcev ima zaradi posledic naravnih ujm in prenamoženih populacij podlubnikov še nizko vrednost v primerjavi s prejšnjimi leti. Cena hlodovine bukve je po letu 2014, ko se je zgodil obsežen žledolom, začela počasi naraščati, večji porast je zaznati od leta 2017 naprej. Najbolj izrazito pa vse od leta 2012 naprej raste cena hlodovine hrasta, glavni razlog za to je povečano povpraševanje po tem lesu, predvsem po hlodovini izredne kakovosti. V zadnjih letih torej cena hlodovine listavcev počasi narašča, predvsem zaradi povečanega povpraševanja po tem lesu tako za predelavo kot za energetsko rabo ter tudi za izvozni trg.</w:t>
      </w:r>
      <w:r w:rsidRPr="00FF65FB" w:rsidDel="00AD430A">
        <w:rPr>
          <w:szCs w:val="20"/>
        </w:rPr>
        <w:t xml:space="preserve"> </w:t>
      </w:r>
    </w:p>
    <w:p w14:paraId="47F30C18" w14:textId="17CED9A4" w:rsidR="00492765" w:rsidRPr="00492765" w:rsidRDefault="007A411D" w:rsidP="006D4C94">
      <w:pPr>
        <w:pStyle w:val="SCSlika0"/>
        <w:rPr>
          <w:rFonts w:eastAsia="Calibri"/>
          <w:b/>
          <w:bCs/>
        </w:rPr>
      </w:pPr>
      <w:bookmarkStart w:id="5680" w:name="_Toc51280085"/>
      <w:bookmarkStart w:id="5681" w:name="_Toc89851154"/>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112</w:t>
      </w:r>
      <w:r w:rsidR="009F2591">
        <w:rPr>
          <w:noProof/>
        </w:rPr>
        <w:fldChar w:fldCharType="end"/>
      </w:r>
      <w:r w:rsidR="00492765" w:rsidRPr="00492765">
        <w:rPr>
          <w:szCs w:val="16"/>
        </w:rPr>
        <w:t>:</w:t>
      </w:r>
      <w:r w:rsidR="00492765" w:rsidRPr="00492765">
        <w:rPr>
          <w:i/>
        </w:rPr>
        <w:t xml:space="preserve"> </w:t>
      </w:r>
      <w:r w:rsidR="00492765" w:rsidRPr="00492765">
        <w:t>Nihanje cen hlodovine po letih</w:t>
      </w:r>
      <w:bookmarkEnd w:id="5680"/>
      <w:bookmarkEnd w:id="5681"/>
    </w:p>
    <w:p w14:paraId="5223CCD5" w14:textId="77777777" w:rsidR="00492765" w:rsidRPr="00492765" w:rsidRDefault="00492765" w:rsidP="00492765">
      <w:pPr>
        <w:spacing w:before="0" w:line="240" w:lineRule="auto"/>
        <w:rPr>
          <w:sz w:val="20"/>
          <w:szCs w:val="20"/>
        </w:rPr>
      </w:pPr>
      <w:r w:rsidRPr="00492765">
        <w:rPr>
          <w:noProof/>
          <w:lang w:eastAsia="sl-SI"/>
        </w:rPr>
        <w:drawing>
          <wp:inline distT="0" distB="0" distL="0" distR="0" wp14:anchorId="09592C92" wp14:editId="3D0F966F">
            <wp:extent cx="4902200" cy="2812796"/>
            <wp:effectExtent l="19050" t="19050" r="12700" b="26035"/>
            <wp:docPr id="1631865359" name="Slika 16318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899715" cy="2811370"/>
                    </a:xfrm>
                    <a:prstGeom prst="rect">
                      <a:avLst/>
                    </a:prstGeom>
                    <a:ln>
                      <a:solidFill>
                        <a:sysClr val="windowText" lastClr="000000"/>
                      </a:solidFill>
                    </a:ln>
                  </pic:spPr>
                </pic:pic>
              </a:graphicData>
            </a:graphic>
          </wp:inline>
        </w:drawing>
      </w:r>
    </w:p>
    <w:p w14:paraId="4275F899" w14:textId="77777777" w:rsidR="00492765" w:rsidRPr="00492765" w:rsidRDefault="00492765" w:rsidP="00492765">
      <w:pPr>
        <w:spacing w:before="0" w:line="240" w:lineRule="auto"/>
        <w:rPr>
          <w:sz w:val="20"/>
          <w:szCs w:val="20"/>
        </w:rPr>
      </w:pPr>
    </w:p>
    <w:p w14:paraId="42CECAAB" w14:textId="77777777" w:rsidR="00492765" w:rsidRPr="00492765" w:rsidRDefault="00492765" w:rsidP="00492765">
      <w:pPr>
        <w:spacing w:before="0" w:line="240" w:lineRule="auto"/>
        <w:rPr>
          <w:sz w:val="20"/>
          <w:szCs w:val="20"/>
        </w:rPr>
      </w:pPr>
    </w:p>
    <w:p w14:paraId="1241C7BC" w14:textId="77777777" w:rsidR="00492765" w:rsidRPr="006D4C94" w:rsidRDefault="00492765" w:rsidP="00492765">
      <w:pPr>
        <w:spacing w:before="0" w:line="240" w:lineRule="auto"/>
        <w:rPr>
          <w:szCs w:val="20"/>
        </w:rPr>
      </w:pPr>
      <w:r w:rsidRPr="006D4C94">
        <w:rPr>
          <w:szCs w:val="20"/>
        </w:rPr>
        <w:t xml:space="preserve">Cena sečnje in spravila se je dvignila v letu 2018. Cena strojne sečnje in spravila je ostala na enaki </w:t>
      </w:r>
      <w:r w:rsidRPr="006D4C94">
        <w:rPr>
          <w:sz w:val="24"/>
          <w:szCs w:val="20"/>
        </w:rPr>
        <w:t>vrednosti</w:t>
      </w:r>
      <w:r w:rsidRPr="006D4C94">
        <w:rPr>
          <w:szCs w:val="20"/>
        </w:rPr>
        <w:t>, cena sečnje z motorno žago in traktoskega spravila pa se je v letu 2020 znižala in skoraj približala ceni, ki jo je dosegla v letu 2017.</w:t>
      </w:r>
    </w:p>
    <w:p w14:paraId="009820F6" w14:textId="77777777" w:rsidR="00492765" w:rsidRPr="00492765" w:rsidRDefault="00492765" w:rsidP="00492765">
      <w:pPr>
        <w:spacing w:before="0" w:line="240" w:lineRule="auto"/>
        <w:rPr>
          <w:sz w:val="20"/>
          <w:szCs w:val="20"/>
        </w:rPr>
      </w:pPr>
    </w:p>
    <w:p w14:paraId="6735308B" w14:textId="614A21B2" w:rsidR="00492765" w:rsidRPr="00492765" w:rsidRDefault="007A411D" w:rsidP="006D4C94">
      <w:pPr>
        <w:pStyle w:val="SCSlika0"/>
        <w:rPr>
          <w:rFonts w:eastAsia="Calibri"/>
          <w:b/>
          <w:bCs/>
        </w:rPr>
      </w:pPr>
      <w:bookmarkStart w:id="5682" w:name="_Toc89851155"/>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113</w:t>
      </w:r>
      <w:r w:rsidR="009F2591">
        <w:rPr>
          <w:noProof/>
        </w:rPr>
        <w:fldChar w:fldCharType="end"/>
      </w:r>
      <w:r w:rsidR="00492765" w:rsidRPr="00492765">
        <w:rPr>
          <w:szCs w:val="16"/>
        </w:rPr>
        <w:t>:</w:t>
      </w:r>
      <w:r w:rsidR="00492765" w:rsidRPr="00492765">
        <w:rPr>
          <w:i/>
        </w:rPr>
        <w:t xml:space="preserve"> </w:t>
      </w:r>
      <w:r w:rsidR="00492765" w:rsidRPr="00492765">
        <w:t>Nihanje cen sečnje in spravila po letih</w:t>
      </w:r>
      <w:bookmarkEnd w:id="5682"/>
    </w:p>
    <w:p w14:paraId="7E9420A8" w14:textId="77777777"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1A0AFF69" wp14:editId="32F525E1">
            <wp:extent cx="4877435" cy="2743200"/>
            <wp:effectExtent l="19050" t="19050" r="18415" b="190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a:ln>
                      <a:solidFill>
                        <a:sysClr val="windowText" lastClr="000000"/>
                      </a:solidFill>
                    </a:ln>
                  </pic:spPr>
                </pic:pic>
              </a:graphicData>
            </a:graphic>
          </wp:inline>
        </w:drawing>
      </w:r>
    </w:p>
    <w:p w14:paraId="13B5C25F" w14:textId="77777777" w:rsidR="00492765" w:rsidRPr="00492765" w:rsidRDefault="00492765" w:rsidP="00492765">
      <w:pPr>
        <w:spacing w:before="0" w:line="276" w:lineRule="auto"/>
        <w:rPr>
          <w:sz w:val="20"/>
          <w:szCs w:val="20"/>
        </w:rPr>
      </w:pPr>
    </w:p>
    <w:p w14:paraId="3EEE7B5F" w14:textId="77777777" w:rsidR="00492765" w:rsidRPr="00492765" w:rsidRDefault="00492765" w:rsidP="00492765">
      <w:pPr>
        <w:spacing w:before="0" w:line="276" w:lineRule="auto"/>
        <w:rPr>
          <w:sz w:val="20"/>
          <w:szCs w:val="20"/>
        </w:rPr>
      </w:pPr>
    </w:p>
    <w:p w14:paraId="35187DE7" w14:textId="77777777" w:rsidR="00FF65FB" w:rsidRPr="00FF65FB" w:rsidRDefault="00FF65FB" w:rsidP="00FF65FB">
      <w:pPr>
        <w:spacing w:before="0" w:line="276" w:lineRule="auto"/>
        <w:rPr>
          <w:szCs w:val="20"/>
        </w:rPr>
      </w:pPr>
      <w:r w:rsidRPr="00FF65FB">
        <w:rPr>
          <w:szCs w:val="20"/>
        </w:rPr>
        <w:t>Bruto dodana vrednost v gozdarstvu se je od leta 2016 povečevala in v letu 2018 znašala 268 milijonov EUR ali 0,6 % bruto domačega proizvoda.</w:t>
      </w:r>
    </w:p>
    <w:p w14:paraId="37D88427" w14:textId="77777777" w:rsidR="00492765" w:rsidRPr="006D4C94" w:rsidRDefault="00492765" w:rsidP="00492765">
      <w:pPr>
        <w:spacing w:before="0" w:line="276" w:lineRule="auto"/>
        <w:rPr>
          <w:szCs w:val="20"/>
        </w:rPr>
      </w:pPr>
    </w:p>
    <w:p w14:paraId="0852A496" w14:textId="77777777" w:rsidR="00492765" w:rsidRPr="006D4C94" w:rsidRDefault="00492765" w:rsidP="00492765">
      <w:pPr>
        <w:spacing w:before="0" w:line="276" w:lineRule="auto"/>
        <w:rPr>
          <w:szCs w:val="20"/>
        </w:rPr>
      </w:pPr>
      <w:r w:rsidRPr="006D4C94">
        <w:rPr>
          <w:szCs w:val="20"/>
        </w:rPr>
        <w:t>Faktorski dohodek na zaposlenega se je skozi leta zmanjševal v letu 2018 je bil v primerjavi s prejšnjim letom nižji za 4 %, znašal je 24.472 EUR na zaposlenega. Na višino dohodka so vplivale višje vrednosti gozdarske proizvodnje (za 7 %), vmesne potrošnje (za 13 %) ter zaposlenosti (za 1 %).</w:t>
      </w:r>
    </w:p>
    <w:p w14:paraId="6580CEDB" w14:textId="77777777" w:rsidR="00492765" w:rsidRPr="00492765" w:rsidRDefault="00492765" w:rsidP="00492765">
      <w:pPr>
        <w:spacing w:before="0" w:line="276" w:lineRule="auto"/>
        <w:rPr>
          <w:b/>
          <w:bCs/>
          <w:sz w:val="20"/>
          <w:szCs w:val="20"/>
        </w:rPr>
      </w:pPr>
    </w:p>
    <w:p w14:paraId="198C8286" w14:textId="77777777" w:rsidR="00492765" w:rsidRPr="00DB743C" w:rsidRDefault="00492765" w:rsidP="00492765">
      <w:pPr>
        <w:spacing w:before="0" w:line="276" w:lineRule="auto"/>
        <w:rPr>
          <w:szCs w:val="20"/>
        </w:rPr>
      </w:pPr>
      <w:r w:rsidRPr="00DB743C">
        <w:rPr>
          <w:b/>
          <w:bCs/>
          <w:szCs w:val="20"/>
        </w:rPr>
        <w:t>Vrednost gozdarske proizvodnje se viša zaradi večje proizvodnje in višjih cen</w:t>
      </w:r>
    </w:p>
    <w:p w14:paraId="3E7815C9" w14:textId="77777777" w:rsidR="00492765" w:rsidRPr="00DB743C" w:rsidRDefault="00492765" w:rsidP="00492765">
      <w:pPr>
        <w:spacing w:before="0" w:line="276" w:lineRule="auto"/>
        <w:rPr>
          <w:szCs w:val="20"/>
        </w:rPr>
      </w:pPr>
    </w:p>
    <w:p w14:paraId="1FE8A852" w14:textId="616972CA" w:rsidR="00492765" w:rsidRPr="00A017FF" w:rsidRDefault="00492765" w:rsidP="00A017FF">
      <w:pPr>
        <w:spacing w:before="0" w:line="276" w:lineRule="auto"/>
        <w:rPr>
          <w:szCs w:val="20"/>
        </w:rPr>
      </w:pPr>
      <w:r w:rsidRPr="00DB743C">
        <w:rPr>
          <w:szCs w:val="20"/>
        </w:rPr>
        <w:t>Vrednost gozdarske proizvodnje se je skozi leta višala in je v letu 201</w:t>
      </w:r>
      <w:r w:rsidR="00B26C87">
        <w:rPr>
          <w:szCs w:val="20"/>
        </w:rPr>
        <w:t>9</w:t>
      </w:r>
      <w:r w:rsidRPr="00DB743C">
        <w:rPr>
          <w:szCs w:val="20"/>
        </w:rPr>
        <w:t xml:space="preserve"> znašala </w:t>
      </w:r>
      <w:r w:rsidR="00B26C87">
        <w:rPr>
          <w:szCs w:val="20"/>
        </w:rPr>
        <w:t>548</w:t>
      </w:r>
      <w:r w:rsidRPr="00DB743C">
        <w:rPr>
          <w:szCs w:val="20"/>
        </w:rPr>
        <w:t xml:space="preserve"> milijonov EUR, </w:t>
      </w:r>
      <w:r w:rsidR="00B26C87" w:rsidRPr="00B26C87">
        <w:rPr>
          <w:szCs w:val="20"/>
        </w:rPr>
        <w:t>kar je bilo 7 % manj kot v letu 2018</w:t>
      </w:r>
      <w:r w:rsidR="00B26C87">
        <w:rPr>
          <w:szCs w:val="20"/>
        </w:rPr>
        <w:t xml:space="preserve"> in</w:t>
      </w:r>
      <w:r w:rsidR="00B26C87" w:rsidRPr="00B26C87">
        <w:rPr>
          <w:szCs w:val="20"/>
        </w:rPr>
        <w:t xml:space="preserve"> </w:t>
      </w:r>
      <w:r w:rsidRPr="00DB743C">
        <w:rPr>
          <w:szCs w:val="20"/>
        </w:rPr>
        <w:t>kar za 28 % več kot v letu 2012, ko slovenski gozdovi še niso bili poškodovani zaradi ujm. Vrednost proizvodnje gozdarske dejavnosti je seštevek vrednosti proizvodnje gozdnih proizvodov in gozdarskih storitev. Na povečanje vrednosti v zadnjem desetletju je vplivala večja proizvodnja gozdnih lesnih sortimentov, višje cene gozdno lesnih sortimentov (pri iglavcih do 2014) ter gozdarskih storitev kot tudi višji letni prirastek lesa v gozdu. Proizvodnja okroglega lesa oziroma gozdnih lesnih sortimentov je bila v zadnjem obdobju (2014-2018) zaradi sanacije žledoloma iz leta 2014, ki je prizadel več kot polovico slovenskih gozdov, prenamnožitve podlubnikov (2015-2018) ter sanacije vetrolomov (2017, 2018) na rekordno visoki ravni. Posledično je bila večja tudi vrednost gozdarskih storitev.</w:t>
      </w:r>
      <w:r w:rsidR="00B26C87">
        <w:rPr>
          <w:szCs w:val="20"/>
        </w:rPr>
        <w:t xml:space="preserve"> V letu 2019 se je slednja zmanjšala za </w:t>
      </w:r>
      <w:r w:rsidR="00A017FF">
        <w:rPr>
          <w:szCs w:val="20"/>
        </w:rPr>
        <w:t>51</w:t>
      </w:r>
      <w:r w:rsidR="00B26C87">
        <w:rPr>
          <w:szCs w:val="20"/>
        </w:rPr>
        <w:t xml:space="preserve"> %. </w:t>
      </w:r>
      <w:r w:rsidR="00A017FF" w:rsidRPr="00A017FF">
        <w:rPr>
          <w:szCs w:val="20"/>
        </w:rPr>
        <w:t>Delež bruto dodane vrednosti gozdarstva v bruto domačem proizvodu je znašal 0,6 % BDP. Tudi faktorski dohodek na zaposlenega je bil v primerjavi s prejšnjim letom višji za 10 %, znašal je namreč 29.183 EUR na zaposlenega.</w:t>
      </w:r>
    </w:p>
    <w:p w14:paraId="3B8E25A2" w14:textId="77777777" w:rsidR="00492765" w:rsidRPr="00492765" w:rsidRDefault="00492765" w:rsidP="00492765">
      <w:pPr>
        <w:spacing w:before="0" w:line="276" w:lineRule="auto"/>
        <w:rPr>
          <w:sz w:val="20"/>
          <w:szCs w:val="20"/>
        </w:rPr>
      </w:pPr>
    </w:p>
    <w:p w14:paraId="4AC89408" w14:textId="02DE484B" w:rsidR="00492765" w:rsidRPr="00492765" w:rsidRDefault="007A411D" w:rsidP="0022702B">
      <w:pPr>
        <w:pStyle w:val="SCSlika0"/>
        <w:rPr>
          <w:sz w:val="20"/>
          <w:szCs w:val="20"/>
        </w:rPr>
      </w:pPr>
      <w:bookmarkStart w:id="5683" w:name="_Toc89851156"/>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114</w:t>
      </w:r>
      <w:r w:rsidR="009F2591">
        <w:rPr>
          <w:noProof/>
        </w:rPr>
        <w:fldChar w:fldCharType="end"/>
      </w:r>
      <w:r w:rsidR="00492765" w:rsidRPr="00492765">
        <w:t>: Količina poseka iglavcev napadenih z insekti v obdobju 1994 – 2018 (vir: ZGS, obdelava GIS-GTE)</w:t>
      </w:r>
      <w:bookmarkEnd w:id="5683"/>
    </w:p>
    <w:p w14:paraId="0BE3CD87" w14:textId="1F5A775A"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01BAEE33" wp14:editId="14B52F53">
            <wp:extent cx="4319953" cy="2594847"/>
            <wp:effectExtent l="19050" t="19050" r="23495" b="152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30016" cy="2600892"/>
                    </a:xfrm>
                    <a:prstGeom prst="rect">
                      <a:avLst/>
                    </a:prstGeom>
                    <a:noFill/>
                    <a:ln>
                      <a:solidFill>
                        <a:sysClr val="windowText" lastClr="000000"/>
                      </a:solidFill>
                    </a:ln>
                  </pic:spPr>
                </pic:pic>
              </a:graphicData>
            </a:graphic>
          </wp:inline>
        </w:drawing>
      </w:r>
    </w:p>
    <w:p w14:paraId="3D50669F" w14:textId="77777777" w:rsidR="00492765" w:rsidRPr="00492765" w:rsidRDefault="00492765" w:rsidP="00492765">
      <w:pPr>
        <w:spacing w:before="0" w:line="276" w:lineRule="auto"/>
        <w:rPr>
          <w:sz w:val="20"/>
          <w:szCs w:val="20"/>
        </w:rPr>
      </w:pPr>
    </w:p>
    <w:p w14:paraId="699B8F75" w14:textId="4763E607" w:rsidR="00A017FF" w:rsidRDefault="00A017FF" w:rsidP="00492765">
      <w:pPr>
        <w:spacing w:before="0" w:line="276" w:lineRule="auto"/>
        <w:rPr>
          <w:szCs w:val="20"/>
        </w:rPr>
      </w:pPr>
      <w:r w:rsidRPr="00A017FF">
        <w:rPr>
          <w:szCs w:val="20"/>
        </w:rPr>
        <w:t>Vrednost proizvodnje hlodov za žago in furnir je bila v letu 2019 ocenjena na 159 milijonov EUR; to je bilo 29 % vrednosti celotne gozdarske proizvodnje v navedenem letu ali za 3 odstotne točke manj kot v prejšnjem letu. Obseg proizvodnje hlodovine je bil v primerjavi z letom 2018 nižji za 13 %, povprečne cene hlodovine pa so ostale na primerljivi ravni, zato je bila nižja tudi vrednost njene proizvodnje (za 15 %). Višji sta bili vrednosti proizvodnje lesa za kurjavo (za 9 %) ter lesa za celulozo in plošče (za 2 %).</w:t>
      </w:r>
    </w:p>
    <w:p w14:paraId="40AA66C4" w14:textId="4973F616" w:rsidR="00492765" w:rsidRPr="0022702B" w:rsidRDefault="00492765" w:rsidP="00492765">
      <w:pPr>
        <w:spacing w:before="0" w:line="276" w:lineRule="auto"/>
        <w:rPr>
          <w:szCs w:val="20"/>
        </w:rPr>
      </w:pPr>
      <w:r w:rsidRPr="0022702B">
        <w:rPr>
          <w:b/>
          <w:bCs/>
          <w:szCs w:val="20"/>
        </w:rPr>
        <w:br/>
      </w:r>
      <w:r w:rsidRPr="0022702B">
        <w:rPr>
          <w:szCs w:val="20"/>
        </w:rPr>
        <w:t>Vrednost vmesne potrošnje se je skozi leta povečevala in je 201</w:t>
      </w:r>
      <w:r w:rsidR="00A017FF">
        <w:rPr>
          <w:szCs w:val="20"/>
        </w:rPr>
        <w:t>9</w:t>
      </w:r>
      <w:r w:rsidRPr="0022702B">
        <w:rPr>
          <w:szCs w:val="20"/>
        </w:rPr>
        <w:t xml:space="preserve"> znašala  </w:t>
      </w:r>
      <w:r w:rsidR="00A017FF">
        <w:rPr>
          <w:szCs w:val="20"/>
        </w:rPr>
        <w:t>255</w:t>
      </w:r>
      <w:r w:rsidRPr="0022702B">
        <w:rPr>
          <w:szCs w:val="20"/>
        </w:rPr>
        <w:t xml:space="preserve"> milijonov EUR - je bila </w:t>
      </w:r>
      <w:r w:rsidR="00A017FF">
        <w:rPr>
          <w:szCs w:val="20"/>
        </w:rPr>
        <w:t xml:space="preserve">nižja v primerjavi s predhodnim letom </w:t>
      </w:r>
      <w:r w:rsidR="00A017FF" w:rsidRPr="00A017FF">
        <w:rPr>
          <w:szCs w:val="20"/>
        </w:rPr>
        <w:t>zaradi nižje vrednosti opravljenih gozdarskih storitev</w:t>
      </w:r>
      <w:r w:rsidRPr="0022702B">
        <w:rPr>
          <w:szCs w:val="20"/>
        </w:rPr>
        <w:t xml:space="preserve"> Zaradi saniranja poškodb od podlubnikov je bil v letu 2018 zabeležen za približno 50 % večji posek kot v letu pred žledolomom (2013), oz. več kot 6 milijonov m</w:t>
      </w:r>
      <w:r w:rsidRPr="0022702B">
        <w:rPr>
          <w:szCs w:val="20"/>
          <w:vertAlign w:val="superscript"/>
        </w:rPr>
        <w:t>3</w:t>
      </w:r>
      <w:r w:rsidRPr="0022702B">
        <w:rPr>
          <w:szCs w:val="20"/>
        </w:rPr>
        <w:t xml:space="preserve"> lesa. </w:t>
      </w:r>
      <w:r w:rsidR="004849A8" w:rsidRPr="004849A8">
        <w:rPr>
          <w:szCs w:val="20"/>
        </w:rPr>
        <w:t>Vrednost v proizvodnem procesu posekanega lesa (vrednotimo ga s povprečno ceno lesa na panju) se je v primerjavi z letom 2018 v letu 2019 povečala (za 5 %). V primerjavi s prejšnjim letom sta bili nižji tudi vrednosti potrošene energije (za 15 %) in vzdrževanja opreme (za 9 %).</w:t>
      </w:r>
    </w:p>
    <w:p w14:paraId="64353CDA" w14:textId="77777777" w:rsidR="00492765" w:rsidRPr="00492765" w:rsidRDefault="00492765" w:rsidP="00492765">
      <w:pPr>
        <w:spacing w:before="0" w:line="240" w:lineRule="auto"/>
        <w:rPr>
          <w:rFonts w:eastAsia="Arial"/>
          <w:sz w:val="20"/>
          <w:szCs w:val="20"/>
          <w:lang w:eastAsia="en-US"/>
        </w:rPr>
      </w:pPr>
    </w:p>
    <w:p w14:paraId="696C62A4" w14:textId="711AB676" w:rsidR="00492765" w:rsidRDefault="007A411D" w:rsidP="0022702B">
      <w:pPr>
        <w:pStyle w:val="SCPreglednica"/>
      </w:pPr>
      <w:bookmarkStart w:id="5684" w:name="_Toc42170412"/>
      <w:bookmarkStart w:id="5685" w:name="_Toc51280019"/>
      <w:bookmarkStart w:id="5686" w:name="_Toc89861035"/>
      <w:r w:rsidRPr="00492765">
        <w:t xml:space="preserve">Tabela </w:t>
      </w:r>
      <w:r w:rsidR="009F2591">
        <w:rPr>
          <w:noProof/>
        </w:rPr>
        <w:fldChar w:fldCharType="begin"/>
      </w:r>
      <w:r w:rsidR="009F2591">
        <w:rPr>
          <w:noProof/>
        </w:rPr>
        <w:instrText xml:space="preserve"> SEQ Tabela \* ARABIC </w:instrText>
      </w:r>
      <w:r w:rsidR="009F2591">
        <w:rPr>
          <w:noProof/>
        </w:rPr>
        <w:fldChar w:fldCharType="separate"/>
      </w:r>
      <w:r w:rsidR="002E0D2A">
        <w:rPr>
          <w:noProof/>
        </w:rPr>
        <w:t>43</w:t>
      </w:r>
      <w:r w:rsidR="009F2591">
        <w:rPr>
          <w:noProof/>
        </w:rPr>
        <w:fldChar w:fldCharType="end"/>
      </w:r>
      <w:r w:rsidR="00492765" w:rsidRPr="00492765">
        <w:t>: Temeljni agregati ekonomskih računov za gozdarstvo</w:t>
      </w:r>
      <w:bookmarkEnd w:id="5684"/>
      <w:bookmarkEnd w:id="5685"/>
      <w:bookmarkEnd w:id="5686"/>
    </w:p>
    <w:p w14:paraId="35834C2F" w14:textId="4F162297" w:rsidR="000B4403" w:rsidRDefault="000B4403" w:rsidP="000B4403">
      <w:r>
        <w:rPr>
          <w:noProof/>
          <w:lang w:eastAsia="sl-SI"/>
        </w:rPr>
        <w:drawing>
          <wp:inline distT="0" distB="0" distL="0" distR="0" wp14:anchorId="025A2290" wp14:editId="2327F607">
            <wp:extent cx="5261610" cy="5633085"/>
            <wp:effectExtent l="0" t="0" r="0" b="5715"/>
            <wp:docPr id="24169622" name="Slika 241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61610" cy="5633085"/>
                    </a:xfrm>
                    <a:prstGeom prst="rect">
                      <a:avLst/>
                    </a:prstGeom>
                    <a:noFill/>
                  </pic:spPr>
                </pic:pic>
              </a:graphicData>
            </a:graphic>
          </wp:inline>
        </w:drawing>
      </w:r>
    </w:p>
    <w:p w14:paraId="4212786D" w14:textId="77777777" w:rsidR="00492765" w:rsidRPr="00492765" w:rsidRDefault="00492765" w:rsidP="00492765">
      <w:pPr>
        <w:spacing w:before="0" w:line="240" w:lineRule="auto"/>
        <w:rPr>
          <w:sz w:val="20"/>
          <w:szCs w:val="20"/>
        </w:rPr>
      </w:pPr>
    </w:p>
    <w:p w14:paraId="59A2C9D5" w14:textId="77777777" w:rsidR="00492765" w:rsidRPr="0022702B" w:rsidRDefault="00492765" w:rsidP="00492765">
      <w:pPr>
        <w:spacing w:before="0" w:line="276" w:lineRule="auto"/>
        <w:rPr>
          <w:szCs w:val="20"/>
        </w:rPr>
      </w:pPr>
      <w:r w:rsidRPr="0022702B">
        <w:rPr>
          <w:szCs w:val="20"/>
        </w:rPr>
        <w:t>Z intervencijami, kot so naložbe v ureditev gozdne infrastrukture lastnikom gozdov zmanjšamo stroške, z novo mehanizacijo se poveča učinkovitost dela in s tem lastnikom omogočamo večjo konkurenčnost na trgu z gozdno lesnimi sortimenti.</w:t>
      </w:r>
    </w:p>
    <w:p w14:paraId="5525E138" w14:textId="77777777" w:rsidR="00492765" w:rsidRPr="00492765" w:rsidRDefault="00492765" w:rsidP="00492765">
      <w:pPr>
        <w:spacing w:before="0" w:line="276" w:lineRule="auto"/>
        <w:rPr>
          <w:sz w:val="20"/>
          <w:szCs w:val="20"/>
        </w:rPr>
      </w:pPr>
    </w:p>
    <w:p w14:paraId="293E1050" w14:textId="4AC7F382" w:rsidR="00492765" w:rsidRPr="007A411D" w:rsidRDefault="00492765" w:rsidP="0022702B">
      <w:pPr>
        <w:pStyle w:val="Naslov2"/>
      </w:pPr>
      <w:bookmarkStart w:id="5687" w:name="_Toc90462312"/>
      <w:r w:rsidRPr="00492765">
        <w:t>Investicije v gozdarstvo in gozdno-lesno verigo preko PRP 2007–2013 in PRP 2014-2020</w:t>
      </w:r>
      <w:bookmarkEnd w:id="5687"/>
    </w:p>
    <w:p w14:paraId="4D04A747" w14:textId="77777777" w:rsidR="00492765" w:rsidRPr="00492765" w:rsidRDefault="00492765" w:rsidP="00492765">
      <w:pPr>
        <w:spacing w:before="0" w:line="276" w:lineRule="auto"/>
        <w:rPr>
          <w:sz w:val="20"/>
          <w:szCs w:val="20"/>
        </w:rPr>
      </w:pPr>
      <w:r w:rsidRPr="00492765">
        <w:rPr>
          <w:sz w:val="20"/>
          <w:szCs w:val="20"/>
        </w:rPr>
        <w:t xml:space="preserve"> </w:t>
      </w:r>
    </w:p>
    <w:p w14:paraId="46921CF1" w14:textId="77777777" w:rsidR="00492765" w:rsidRPr="00492765" w:rsidRDefault="00492765" w:rsidP="0022702B">
      <w:pPr>
        <w:rPr>
          <w:rFonts w:eastAsiaTheme="minorHAnsi"/>
        </w:rPr>
      </w:pPr>
      <w:r w:rsidRPr="00492765">
        <w:rPr>
          <w:rFonts w:eastAsiaTheme="minorHAnsi"/>
        </w:rPr>
        <w:t xml:space="preserve">Vlaganja v gozdarstvo in gozdno-lesno verigo so bila v zadnjih dveh programskih obdobjih PRP 2007–2013 in PRP 2014–2020 lastnikom gozdov spodbujena tudi zaradi nepovratnih sredstev v okviru PRP. </w:t>
      </w:r>
    </w:p>
    <w:p w14:paraId="6E8B8720" w14:textId="77777777" w:rsidR="00492765" w:rsidRPr="00492765" w:rsidRDefault="00492765" w:rsidP="0022702B">
      <w:pPr>
        <w:rPr>
          <w:rFonts w:eastAsiaTheme="minorHAnsi"/>
        </w:rPr>
      </w:pPr>
      <w:r w:rsidRPr="00492765">
        <w:rPr>
          <w:rFonts w:eastAsiaTheme="minorHAnsi"/>
        </w:rPr>
        <w:t>V okviru PRP 2007–2014 so upravičenci do podpore iz ukrepov 122 - Povečanje gospodarske vrednosti gozdov, 123 - Dodajanje vrednosti kmetijskim in gozdarskim proizvodom, 311 - Diverzifikacija v nekmetijske dejavnosti in 312 - Podpora ustanavljanju in razvoju mikro podjetij skupno prejeli 49 milijonov evrov.</w:t>
      </w:r>
    </w:p>
    <w:p w14:paraId="17404B57" w14:textId="46EFF8D8" w:rsidR="00492765" w:rsidRPr="00492765" w:rsidRDefault="00492765" w:rsidP="0022702B">
      <w:pPr>
        <w:rPr>
          <w:rFonts w:eastAsiaTheme="minorHAnsi"/>
        </w:rPr>
      </w:pPr>
      <w:r w:rsidRPr="00492765">
        <w:rPr>
          <w:rFonts w:eastAsiaTheme="minorHAnsi"/>
        </w:rPr>
        <w:t xml:space="preserve">V okviru PRP 2014–2020 je bilo na področju gozdarstva in gozdno-lesne verige iz operacije Ureditev gozdne infrastrukture, podukrepa 8.4 Preprečevanje in odprava škode v gozdovih zaradi gozdnih požarov ter naravnih nesreč in katastrofičnih dogodkov ter podukrepa 8.6 Naložbe v gozdarske tehnologije ter predelavo in mobilizacijo lesa do 31. </w:t>
      </w:r>
      <w:r w:rsidR="00282924">
        <w:rPr>
          <w:rFonts w:eastAsiaTheme="minorHAnsi"/>
        </w:rPr>
        <w:t>7</w:t>
      </w:r>
      <w:r w:rsidRPr="00492765">
        <w:rPr>
          <w:rFonts w:eastAsiaTheme="minorHAnsi"/>
        </w:rPr>
        <w:t xml:space="preserve">. </w:t>
      </w:r>
      <w:r w:rsidR="00FF65FB" w:rsidRPr="00492765">
        <w:rPr>
          <w:rFonts w:eastAsiaTheme="minorHAnsi"/>
        </w:rPr>
        <w:t>202</w:t>
      </w:r>
      <w:r w:rsidR="00FF65FB">
        <w:rPr>
          <w:rFonts w:eastAsiaTheme="minorHAnsi"/>
        </w:rPr>
        <w:t>1</w:t>
      </w:r>
      <w:r w:rsidR="00FF65FB" w:rsidRPr="00492765">
        <w:rPr>
          <w:rFonts w:eastAsiaTheme="minorHAnsi"/>
        </w:rPr>
        <w:t xml:space="preserve"> </w:t>
      </w:r>
      <w:r w:rsidRPr="00492765">
        <w:rPr>
          <w:rFonts w:eastAsiaTheme="minorHAnsi"/>
        </w:rPr>
        <w:t xml:space="preserve">skupno odobrenih </w:t>
      </w:r>
      <w:r w:rsidR="00FF65FB">
        <w:rPr>
          <w:rFonts w:eastAsiaTheme="minorHAnsi"/>
        </w:rPr>
        <w:t>48</w:t>
      </w:r>
      <w:r w:rsidR="00FF65FB" w:rsidRPr="00492765">
        <w:rPr>
          <w:rFonts w:eastAsiaTheme="minorHAnsi"/>
        </w:rPr>
        <w:t xml:space="preserve"> </w:t>
      </w:r>
      <w:r w:rsidRPr="00492765">
        <w:rPr>
          <w:rFonts w:eastAsiaTheme="minorHAnsi"/>
        </w:rPr>
        <w:t xml:space="preserve">milijonov evrov, ter izplačanih </w:t>
      </w:r>
      <w:r w:rsidR="00FF65FB">
        <w:rPr>
          <w:rFonts w:eastAsiaTheme="minorHAnsi"/>
        </w:rPr>
        <w:t>30</w:t>
      </w:r>
      <w:r w:rsidRPr="00492765">
        <w:rPr>
          <w:rFonts w:eastAsiaTheme="minorHAnsi"/>
        </w:rPr>
        <w:t xml:space="preserve"> milijonov evrov.</w:t>
      </w:r>
    </w:p>
    <w:p w14:paraId="3C1DB227" w14:textId="77777777" w:rsidR="00492765" w:rsidRPr="00492765" w:rsidRDefault="00492765" w:rsidP="00492765">
      <w:pPr>
        <w:spacing w:before="0" w:line="276" w:lineRule="auto"/>
        <w:rPr>
          <w:sz w:val="20"/>
          <w:szCs w:val="20"/>
        </w:rPr>
      </w:pPr>
    </w:p>
    <w:p w14:paraId="5A486466" w14:textId="26EAD65A" w:rsidR="00492765" w:rsidRPr="00492765" w:rsidRDefault="00492765" w:rsidP="0022702B">
      <w:pPr>
        <w:pStyle w:val="Naslov2"/>
      </w:pPr>
      <w:bookmarkStart w:id="5688" w:name="_Toc42065177"/>
      <w:bookmarkStart w:id="5689" w:name="_Toc51279995"/>
      <w:bookmarkStart w:id="5690" w:name="_Toc90462313"/>
      <w:r w:rsidRPr="00492765">
        <w:t>Ključne ugotovitve</w:t>
      </w:r>
      <w:bookmarkEnd w:id="5688"/>
      <w:bookmarkEnd w:id="5689"/>
      <w:bookmarkEnd w:id="5690"/>
    </w:p>
    <w:p w14:paraId="26407BEA" w14:textId="77777777" w:rsidR="00492765" w:rsidRPr="00492765" w:rsidRDefault="00492765" w:rsidP="00492765">
      <w:pPr>
        <w:spacing w:before="0" w:line="276" w:lineRule="auto"/>
        <w:ind w:left="720"/>
        <w:rPr>
          <w:sz w:val="20"/>
          <w:szCs w:val="20"/>
        </w:rPr>
      </w:pPr>
    </w:p>
    <w:p w14:paraId="12DE9834" w14:textId="7F2A619D" w:rsidR="00492765" w:rsidRPr="0022702B" w:rsidRDefault="00492765" w:rsidP="00492765">
      <w:pPr>
        <w:numPr>
          <w:ilvl w:val="0"/>
          <w:numId w:val="115"/>
        </w:numPr>
        <w:spacing w:before="0" w:line="276" w:lineRule="auto"/>
        <w:ind w:left="426" w:hanging="284"/>
        <w:rPr>
          <w:szCs w:val="20"/>
        </w:rPr>
      </w:pPr>
      <w:r w:rsidRPr="0022702B">
        <w:rPr>
          <w:szCs w:val="20"/>
        </w:rPr>
        <w:t>Velik delež ozemlja države pokrivajo gozdovi (58 %), zato dodatno pogozdovanje ni potrebno.</w:t>
      </w:r>
    </w:p>
    <w:p w14:paraId="0081AE5A" w14:textId="77777777" w:rsidR="00492765" w:rsidRPr="0022702B" w:rsidRDefault="00492765" w:rsidP="00492765">
      <w:pPr>
        <w:numPr>
          <w:ilvl w:val="0"/>
          <w:numId w:val="115"/>
        </w:numPr>
        <w:spacing w:before="0" w:line="276" w:lineRule="auto"/>
        <w:ind w:left="426" w:hanging="284"/>
        <w:rPr>
          <w:szCs w:val="20"/>
        </w:rPr>
      </w:pPr>
      <w:r w:rsidRPr="0022702B">
        <w:rPr>
          <w:bCs/>
          <w:szCs w:val="20"/>
        </w:rPr>
        <w:t>Lastniška struktura zasebnih gozdov ostaja izrazito neugodna, zato je gospodarjenje z gozdovi oteženo</w:t>
      </w:r>
      <w:r w:rsidRPr="0022702B">
        <w:rPr>
          <w:szCs w:val="20"/>
        </w:rPr>
        <w:t>.</w:t>
      </w:r>
    </w:p>
    <w:p w14:paraId="0A0A73A9" w14:textId="77777777" w:rsidR="00492765" w:rsidRPr="0022702B" w:rsidRDefault="00492765" w:rsidP="00492765">
      <w:pPr>
        <w:numPr>
          <w:ilvl w:val="0"/>
          <w:numId w:val="115"/>
        </w:numPr>
        <w:spacing w:before="0" w:line="276" w:lineRule="auto"/>
        <w:ind w:left="426" w:hanging="284"/>
        <w:rPr>
          <w:bCs/>
          <w:szCs w:val="20"/>
        </w:rPr>
      </w:pPr>
      <w:r w:rsidRPr="0022702B">
        <w:rPr>
          <w:bCs/>
          <w:szCs w:val="20"/>
        </w:rPr>
        <w:t>Odprtost z gozdnimi prometnicami v Sloveniji še ni optimalna.</w:t>
      </w:r>
    </w:p>
    <w:p w14:paraId="4E03E061" w14:textId="77777777" w:rsidR="00492765" w:rsidRPr="0022702B" w:rsidRDefault="00492765" w:rsidP="00492765">
      <w:pPr>
        <w:numPr>
          <w:ilvl w:val="0"/>
          <w:numId w:val="115"/>
        </w:numPr>
        <w:spacing w:before="0" w:line="276" w:lineRule="auto"/>
        <w:ind w:left="426" w:hanging="284"/>
        <w:rPr>
          <w:szCs w:val="20"/>
        </w:rPr>
      </w:pPr>
      <w:r w:rsidRPr="0022702B">
        <w:rPr>
          <w:szCs w:val="20"/>
        </w:rPr>
        <w:t>V Sloveniji še vedno prevladuje zastarela in neučinkovita gozdarska mehanizacija.</w:t>
      </w:r>
    </w:p>
    <w:p w14:paraId="05C3C13F" w14:textId="77777777" w:rsidR="00492765" w:rsidRPr="0022702B" w:rsidRDefault="00492765" w:rsidP="00492765">
      <w:pPr>
        <w:numPr>
          <w:ilvl w:val="0"/>
          <w:numId w:val="115"/>
        </w:numPr>
        <w:spacing w:before="0" w:line="276" w:lineRule="auto"/>
        <w:ind w:left="426" w:hanging="284"/>
        <w:rPr>
          <w:rFonts w:ascii="Times New Roman" w:eastAsia="Arial" w:hAnsi="Times New Roman"/>
          <w:szCs w:val="20"/>
          <w:lang w:eastAsia="en-US"/>
        </w:rPr>
      </w:pPr>
      <w:r w:rsidRPr="0022702B">
        <w:rPr>
          <w:szCs w:val="20"/>
        </w:rPr>
        <w:t xml:space="preserve">Gozdarstvo spada med najbolj tvegane dejavnosti tudi v Sloveniji, nezgode v gozdovih so pogoste, pojavljajo se tudi nezgode s smrtnim izidom. </w:t>
      </w:r>
    </w:p>
    <w:p w14:paraId="41D93B25" w14:textId="77777777" w:rsidR="00492765" w:rsidRPr="0022702B" w:rsidRDefault="00492765" w:rsidP="00492765">
      <w:pPr>
        <w:numPr>
          <w:ilvl w:val="0"/>
          <w:numId w:val="115"/>
        </w:numPr>
        <w:spacing w:before="0" w:line="276" w:lineRule="auto"/>
        <w:ind w:left="426" w:hanging="284"/>
        <w:rPr>
          <w:rFonts w:eastAsia="Arial"/>
          <w:szCs w:val="20"/>
          <w:lang w:eastAsia="en-US"/>
        </w:rPr>
      </w:pPr>
      <w:r w:rsidRPr="0022702B">
        <w:rPr>
          <w:rFonts w:eastAsia="Arial"/>
          <w:szCs w:val="20"/>
          <w:lang w:eastAsia="en-US"/>
        </w:rPr>
        <w:t>Slovenija je izrazita izvoznica nepredelanega okroglega lesa. S tem se izgublja dodana vrednost lesa, ki bi se lahko ustvarila, če bi se surovina predelala doma.</w:t>
      </w:r>
    </w:p>
    <w:p w14:paraId="13399DDA" w14:textId="77777777" w:rsidR="00FA0AA9" w:rsidRPr="0047652B" w:rsidRDefault="00FA0AA9" w:rsidP="00FA3FBA">
      <w:pPr>
        <w:pStyle w:val="Odstavekseznama"/>
        <w:spacing w:before="0" w:line="260" w:lineRule="atLeast"/>
        <w:ind w:left="360"/>
        <w:contextualSpacing/>
        <w:rPr>
          <w:rFonts w:ascii="Arial" w:hAnsi="Arial"/>
        </w:rPr>
      </w:pPr>
    </w:p>
    <w:p w14:paraId="24697B28" w14:textId="163FE348" w:rsidR="00931DC7" w:rsidRDefault="00931DC7" w:rsidP="00FA3FBA">
      <w:pPr>
        <w:spacing w:before="0" w:line="260" w:lineRule="atLeast"/>
        <w:jc w:val="left"/>
        <w:rPr>
          <w:rFonts w:eastAsia="Calibri"/>
          <w:b/>
          <w:sz w:val="20"/>
          <w:szCs w:val="20"/>
          <w:lang w:eastAsia="en-US"/>
        </w:rPr>
      </w:pPr>
      <w:bookmarkStart w:id="5691" w:name="_Toc40951504"/>
      <w:bookmarkStart w:id="5692" w:name="_Toc40951787"/>
      <w:bookmarkStart w:id="5693" w:name="_Toc40951926"/>
      <w:bookmarkStart w:id="5694" w:name="_Toc40952175"/>
      <w:bookmarkStart w:id="5695" w:name="_Toc40952246"/>
      <w:bookmarkStart w:id="5696" w:name="_Toc40952313"/>
      <w:bookmarkStart w:id="5697" w:name="_Toc40952538"/>
      <w:bookmarkStart w:id="5698" w:name="_Toc40952625"/>
      <w:bookmarkStart w:id="5699" w:name="_Toc40952697"/>
      <w:bookmarkStart w:id="5700" w:name="_Toc40952769"/>
      <w:bookmarkStart w:id="5701" w:name="_Toc40952841"/>
      <w:bookmarkStart w:id="5702" w:name="_Toc40953020"/>
      <w:bookmarkStart w:id="5703" w:name="_Toc40956704"/>
      <w:bookmarkStart w:id="5704" w:name="_Toc40959293"/>
      <w:bookmarkStart w:id="5705" w:name="_Toc40951505"/>
      <w:bookmarkStart w:id="5706" w:name="_Toc40951788"/>
      <w:bookmarkStart w:id="5707" w:name="_Toc40951927"/>
      <w:bookmarkStart w:id="5708" w:name="_Toc40952176"/>
      <w:bookmarkStart w:id="5709" w:name="_Toc40952247"/>
      <w:bookmarkStart w:id="5710" w:name="_Toc40952314"/>
      <w:bookmarkStart w:id="5711" w:name="_Toc40952539"/>
      <w:bookmarkStart w:id="5712" w:name="_Toc40952626"/>
      <w:bookmarkStart w:id="5713" w:name="_Toc40952698"/>
      <w:bookmarkStart w:id="5714" w:name="_Toc40952770"/>
      <w:bookmarkStart w:id="5715" w:name="_Toc40952842"/>
      <w:bookmarkStart w:id="5716" w:name="_Toc40953021"/>
      <w:bookmarkStart w:id="5717" w:name="_Toc40956705"/>
      <w:bookmarkStart w:id="5718" w:name="_Toc40959294"/>
      <w:bookmarkStart w:id="5719" w:name="_Toc31673795"/>
      <w:bookmarkStart w:id="5720" w:name="_Toc31674634"/>
      <w:bookmarkStart w:id="5721" w:name="_Toc31675473"/>
      <w:bookmarkStart w:id="5722" w:name="_Toc31673796"/>
      <w:bookmarkStart w:id="5723" w:name="_Toc31674635"/>
      <w:bookmarkStart w:id="5724" w:name="_Toc31675474"/>
      <w:bookmarkStart w:id="5725" w:name="_Toc31673797"/>
      <w:bookmarkStart w:id="5726" w:name="_Toc31674636"/>
      <w:bookmarkStart w:id="5727" w:name="_Toc31675475"/>
      <w:bookmarkStart w:id="5728" w:name="_Toc31673798"/>
      <w:bookmarkStart w:id="5729" w:name="_Toc31674637"/>
      <w:bookmarkStart w:id="5730" w:name="_Toc31675476"/>
      <w:bookmarkStart w:id="5731" w:name="_Toc31673799"/>
      <w:bookmarkStart w:id="5732" w:name="_Toc31674638"/>
      <w:bookmarkStart w:id="5733" w:name="_Toc31675477"/>
      <w:bookmarkStart w:id="5734" w:name="_Toc29450289"/>
      <w:bookmarkStart w:id="5735" w:name="_Toc29450398"/>
      <w:bookmarkStart w:id="5736" w:name="_Toc29458756"/>
      <w:bookmarkStart w:id="5737" w:name="_Toc29450290"/>
      <w:bookmarkStart w:id="5738" w:name="_Toc29450399"/>
      <w:bookmarkStart w:id="5739" w:name="_Toc29458757"/>
      <w:bookmarkStart w:id="5740" w:name="_Toc29450291"/>
      <w:bookmarkStart w:id="5741" w:name="_Toc29450400"/>
      <w:bookmarkStart w:id="5742" w:name="_Toc29458758"/>
      <w:bookmarkStart w:id="5743" w:name="_Toc29450292"/>
      <w:bookmarkStart w:id="5744" w:name="_Toc29450401"/>
      <w:bookmarkStart w:id="5745" w:name="_Toc29458759"/>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14:paraId="0DB41E1D" w14:textId="77777777" w:rsidR="00C25531" w:rsidRDefault="00C25531">
      <w:pPr>
        <w:spacing w:before="0" w:after="200" w:line="276" w:lineRule="auto"/>
        <w:jc w:val="left"/>
        <w:rPr>
          <w:rFonts w:eastAsia="Calibri"/>
          <w:b/>
          <w:sz w:val="24"/>
          <w:szCs w:val="20"/>
          <w:lang w:eastAsia="en-US"/>
        </w:rPr>
      </w:pPr>
      <w:r>
        <w:br w:type="page"/>
      </w:r>
    </w:p>
    <w:p w14:paraId="7DA66187" w14:textId="34E29A8E" w:rsidR="00157FC2" w:rsidRDefault="00D7597A" w:rsidP="001261F1">
      <w:pPr>
        <w:pStyle w:val="Naslov1"/>
      </w:pPr>
      <w:bookmarkStart w:id="5746" w:name="_Toc90462314"/>
      <w:r>
        <w:t>Pomen digitalizacije in AKIS</w:t>
      </w:r>
      <w:bookmarkEnd w:id="5746"/>
      <w:r>
        <w:t xml:space="preserve">  </w:t>
      </w:r>
    </w:p>
    <w:p w14:paraId="72F87A7E" w14:textId="77777777" w:rsidR="007F7ACE" w:rsidRPr="009F3567" w:rsidRDefault="007F7ACE" w:rsidP="001261F1"/>
    <w:p w14:paraId="418016C1" w14:textId="77777777" w:rsidR="00333DE2" w:rsidRDefault="00333DE2" w:rsidP="00FA3FBA">
      <w:pPr>
        <w:spacing w:before="0" w:line="260" w:lineRule="atLeast"/>
        <w:rPr>
          <w:sz w:val="20"/>
        </w:rPr>
      </w:pPr>
    </w:p>
    <w:p w14:paraId="69F5C200" w14:textId="717B9203" w:rsidR="00333DE2" w:rsidRPr="00333DE2" w:rsidRDefault="001E5E40" w:rsidP="001261F1">
      <w:pPr>
        <w:pStyle w:val="Naslov2"/>
      </w:pPr>
      <w:bookmarkStart w:id="5747" w:name="_Toc90462315"/>
      <w:r>
        <w:t>Uvajanje</w:t>
      </w:r>
      <w:r w:rsidR="00D7597A">
        <w:t xml:space="preserve"> </w:t>
      </w:r>
      <w:r w:rsidR="00333DE2" w:rsidRPr="00333DE2">
        <w:t xml:space="preserve">digitalizacije </w:t>
      </w:r>
      <w:r w:rsidR="002329CF">
        <w:t>na ravni podatkovnih zbirk in investicij</w:t>
      </w:r>
      <w:bookmarkEnd w:id="5747"/>
      <w:r w:rsidR="002329CF">
        <w:t xml:space="preserve">  </w:t>
      </w:r>
      <w:r w:rsidR="00D7597A">
        <w:t xml:space="preserve"> </w:t>
      </w:r>
    </w:p>
    <w:p w14:paraId="14207CAE" w14:textId="77777777" w:rsidR="00333DE2" w:rsidRDefault="00333DE2" w:rsidP="00FA3FBA">
      <w:pPr>
        <w:spacing w:before="0" w:line="260" w:lineRule="atLeast"/>
        <w:rPr>
          <w:sz w:val="20"/>
        </w:rPr>
      </w:pPr>
    </w:p>
    <w:p w14:paraId="4029646E" w14:textId="77777777" w:rsidR="00D7597A" w:rsidRDefault="00D7597A" w:rsidP="00FA3FBA">
      <w:pPr>
        <w:spacing w:before="0" w:line="260" w:lineRule="atLeast"/>
        <w:rPr>
          <w:szCs w:val="22"/>
        </w:rPr>
      </w:pPr>
    </w:p>
    <w:p w14:paraId="15B68E4F" w14:textId="34891D13" w:rsidR="001912AE" w:rsidRDefault="00970CE1" w:rsidP="00E53EB6">
      <w:pPr>
        <w:spacing w:before="0" w:line="260" w:lineRule="atLeast"/>
        <w:rPr>
          <w:szCs w:val="22"/>
        </w:rPr>
      </w:pPr>
      <w:r>
        <w:rPr>
          <w:szCs w:val="22"/>
        </w:rPr>
        <w:t xml:space="preserve">Prehranski sistem se sooča s številnimi novimi izzivi: zlasti gre za izziv </w:t>
      </w:r>
      <w:r w:rsidR="00C80F07" w:rsidRPr="001261F1">
        <w:rPr>
          <w:szCs w:val="22"/>
        </w:rPr>
        <w:t>naraščajoči</w:t>
      </w:r>
      <w:r>
        <w:rPr>
          <w:szCs w:val="22"/>
        </w:rPr>
        <w:t>h</w:t>
      </w:r>
      <w:r w:rsidR="00C80F07" w:rsidRPr="001261F1">
        <w:rPr>
          <w:szCs w:val="22"/>
        </w:rPr>
        <w:t xml:space="preserve"> </w:t>
      </w:r>
      <w:r w:rsidRPr="001261F1">
        <w:rPr>
          <w:szCs w:val="22"/>
        </w:rPr>
        <w:t>pritisk</w:t>
      </w:r>
      <w:r>
        <w:rPr>
          <w:szCs w:val="22"/>
        </w:rPr>
        <w:t>ov</w:t>
      </w:r>
      <w:r w:rsidRPr="001261F1">
        <w:rPr>
          <w:szCs w:val="22"/>
        </w:rPr>
        <w:t xml:space="preserve"> </w:t>
      </w:r>
      <w:r w:rsidR="00C80F07" w:rsidRPr="001261F1">
        <w:rPr>
          <w:szCs w:val="22"/>
        </w:rPr>
        <w:t>na naravne vire</w:t>
      </w:r>
      <w:r>
        <w:rPr>
          <w:szCs w:val="22"/>
        </w:rPr>
        <w:t>, vpliv</w:t>
      </w:r>
      <w:r w:rsidRPr="001261F1">
        <w:rPr>
          <w:szCs w:val="22"/>
        </w:rPr>
        <w:t xml:space="preserve"> podnebni</w:t>
      </w:r>
      <w:r>
        <w:rPr>
          <w:szCs w:val="22"/>
        </w:rPr>
        <w:t>h</w:t>
      </w:r>
      <w:r w:rsidRPr="001261F1">
        <w:rPr>
          <w:szCs w:val="22"/>
        </w:rPr>
        <w:t xml:space="preserve"> sprememb</w:t>
      </w:r>
      <w:r w:rsidR="00C80F07" w:rsidRPr="001261F1">
        <w:rPr>
          <w:szCs w:val="22"/>
        </w:rPr>
        <w:t>,</w:t>
      </w:r>
      <w:r>
        <w:rPr>
          <w:szCs w:val="22"/>
        </w:rPr>
        <w:t xml:space="preserve"> pomembno gonilo sprememb so tudi izraziti konkurenčni pritiski in spremembe na področju pričakovanj potrošnikov in družbe. Soočamo se tudi z velikimi izgubami hrane in količinami zavržene hrane, </w:t>
      </w:r>
      <w:r w:rsidR="00C80F07" w:rsidRPr="001261F1">
        <w:rPr>
          <w:szCs w:val="22"/>
        </w:rPr>
        <w:t xml:space="preserve">kar je </w:t>
      </w:r>
      <w:r w:rsidR="005B100A" w:rsidRPr="001261F1">
        <w:rPr>
          <w:szCs w:val="22"/>
        </w:rPr>
        <w:t xml:space="preserve">prepoznano kot </w:t>
      </w:r>
      <w:r w:rsidR="00C80F07" w:rsidRPr="001261F1">
        <w:rPr>
          <w:szCs w:val="22"/>
        </w:rPr>
        <w:t>velika anomalija trga in okoljska grožnja.</w:t>
      </w:r>
      <w:r w:rsidR="00A11175" w:rsidRPr="001261F1">
        <w:rPr>
          <w:szCs w:val="22"/>
        </w:rPr>
        <w:t xml:space="preserve"> Razvoj in uporaba novih tehnologij, povečanje tehnološke učinkovitosti, </w:t>
      </w:r>
      <w:r>
        <w:rPr>
          <w:szCs w:val="22"/>
        </w:rPr>
        <w:t xml:space="preserve">krepitev znanja in inovacij ter </w:t>
      </w:r>
      <w:r w:rsidR="00A11175" w:rsidRPr="001261F1">
        <w:rPr>
          <w:szCs w:val="22"/>
        </w:rPr>
        <w:t xml:space="preserve">digitalna transformacija </w:t>
      </w:r>
      <w:r>
        <w:rPr>
          <w:szCs w:val="22"/>
        </w:rPr>
        <w:t>se v gospodarstvu vse bolj postavljajo v ospredje</w:t>
      </w:r>
      <w:r w:rsidR="00A11175" w:rsidRPr="001261F1">
        <w:rPr>
          <w:szCs w:val="22"/>
        </w:rPr>
        <w:t>.</w:t>
      </w:r>
      <w:r>
        <w:rPr>
          <w:szCs w:val="22"/>
        </w:rPr>
        <w:t xml:space="preserve"> Kmetijstvo</w:t>
      </w:r>
      <w:r w:rsidR="005B3628">
        <w:rPr>
          <w:szCs w:val="22"/>
        </w:rPr>
        <w:t xml:space="preserve">, </w:t>
      </w:r>
      <w:r>
        <w:rPr>
          <w:szCs w:val="22"/>
        </w:rPr>
        <w:t xml:space="preserve">živilstvo </w:t>
      </w:r>
      <w:r w:rsidR="005B3628">
        <w:rPr>
          <w:szCs w:val="22"/>
        </w:rPr>
        <w:t xml:space="preserve">in gozdno-lesna veriga </w:t>
      </w:r>
      <w:r>
        <w:rPr>
          <w:szCs w:val="22"/>
        </w:rPr>
        <w:t>tu ni</w:t>
      </w:r>
      <w:r w:rsidR="005B3628">
        <w:rPr>
          <w:szCs w:val="22"/>
        </w:rPr>
        <w:t>so</w:t>
      </w:r>
      <w:r>
        <w:rPr>
          <w:szCs w:val="22"/>
        </w:rPr>
        <w:t xml:space="preserve"> izjem</w:t>
      </w:r>
      <w:r w:rsidR="005B3628">
        <w:rPr>
          <w:szCs w:val="22"/>
        </w:rPr>
        <w:t xml:space="preserve">a, a spremembe se uvajajo postopoma. </w:t>
      </w:r>
    </w:p>
    <w:p w14:paraId="33FDFD1F" w14:textId="72E6AB94" w:rsidR="00970CE1" w:rsidRPr="001261F1" w:rsidRDefault="00970CE1" w:rsidP="00FA3FBA">
      <w:pPr>
        <w:spacing w:before="0" w:line="260" w:lineRule="atLeast"/>
        <w:rPr>
          <w:szCs w:val="22"/>
        </w:rPr>
      </w:pPr>
    </w:p>
    <w:p w14:paraId="3C0B9E36" w14:textId="6F8CF161" w:rsidR="005B3628" w:rsidRPr="00FE4E37" w:rsidRDefault="005B3628" w:rsidP="00E155C1">
      <w:pPr>
        <w:pStyle w:val="Odstavekseznama"/>
        <w:numPr>
          <w:ilvl w:val="0"/>
          <w:numId w:val="217"/>
        </w:numPr>
        <w:spacing w:before="0" w:line="260" w:lineRule="atLeast"/>
        <w:rPr>
          <w:szCs w:val="22"/>
        </w:rPr>
      </w:pPr>
      <w:r>
        <w:rPr>
          <w:rFonts w:ascii="Arial" w:hAnsi="Arial"/>
          <w:sz w:val="22"/>
          <w:szCs w:val="22"/>
        </w:rPr>
        <w:t xml:space="preserve">Digitalizacija v kmetijstvu: </w:t>
      </w:r>
      <w:r w:rsidRPr="005B3628">
        <w:rPr>
          <w:rFonts w:ascii="Arial" w:hAnsi="Arial"/>
          <w:sz w:val="22"/>
          <w:szCs w:val="22"/>
        </w:rPr>
        <w:t xml:space="preserve">Na področju kmetijstva se v zadnjih letih vse bolj uporablja sodobna informacijska in komunikacijska tehnologija (IKT), kot so natančna merilna oprema, senzorji,  tipala, sistemi geo-pozicioniranja, brezpilotna letala, robotika, pa tudi Big Data (velike podatkovne zbirke), </w:t>
      </w:r>
      <w:r w:rsidR="00C3516C">
        <w:rPr>
          <w:rFonts w:ascii="Arial" w:hAnsi="Arial"/>
          <w:sz w:val="22"/>
          <w:szCs w:val="22"/>
        </w:rPr>
        <w:t xml:space="preserve">»block chain«, </w:t>
      </w:r>
      <w:r w:rsidRPr="005B3628">
        <w:rPr>
          <w:rFonts w:ascii="Arial" w:hAnsi="Arial"/>
          <w:sz w:val="22"/>
          <w:szCs w:val="22"/>
        </w:rPr>
        <w:t>internet stvari in umetna inteligenca. Zelo veliko poudarka se zadnje čase namenja zlasti uporabi satelitskih posnetkov Sentinel pri izvajanju</w:t>
      </w:r>
      <w:r>
        <w:rPr>
          <w:rFonts w:ascii="Arial" w:hAnsi="Arial"/>
          <w:sz w:val="22"/>
          <w:szCs w:val="22"/>
        </w:rPr>
        <w:t>,</w:t>
      </w:r>
      <w:r w:rsidRPr="005B3628">
        <w:rPr>
          <w:rFonts w:ascii="Arial" w:hAnsi="Arial"/>
          <w:sz w:val="22"/>
          <w:szCs w:val="22"/>
        </w:rPr>
        <w:t xml:space="preserve"> nadzoru </w:t>
      </w:r>
      <w:r>
        <w:rPr>
          <w:rFonts w:ascii="Arial" w:hAnsi="Arial"/>
          <w:sz w:val="22"/>
          <w:szCs w:val="22"/>
        </w:rPr>
        <w:t xml:space="preserve">in poenostavitvi izvajanja </w:t>
      </w:r>
      <w:r w:rsidRPr="005B3628">
        <w:rPr>
          <w:rFonts w:ascii="Arial" w:hAnsi="Arial"/>
          <w:sz w:val="22"/>
          <w:szCs w:val="22"/>
        </w:rPr>
        <w:t xml:space="preserve">ukrepov kmetijske politike </w:t>
      </w:r>
      <w:r>
        <w:rPr>
          <w:rFonts w:ascii="Arial" w:hAnsi="Arial"/>
          <w:sz w:val="22"/>
          <w:szCs w:val="22"/>
        </w:rPr>
        <w:t>ter</w:t>
      </w:r>
      <w:r w:rsidRPr="005B3628">
        <w:rPr>
          <w:rFonts w:ascii="Arial" w:hAnsi="Arial"/>
          <w:sz w:val="22"/>
          <w:szCs w:val="22"/>
        </w:rPr>
        <w:t xml:space="preserve"> uporabnosti teh posnetkov tudi za proizvajalce same z vidika spremljanja stanja k</w:t>
      </w:r>
      <w:r>
        <w:rPr>
          <w:rFonts w:ascii="Arial" w:hAnsi="Arial"/>
          <w:sz w:val="22"/>
          <w:szCs w:val="22"/>
        </w:rPr>
        <w:t>metijskih zemljišč in uvajanja preciznega kmetijstva.</w:t>
      </w:r>
      <w:r w:rsidR="00FE4E37">
        <w:rPr>
          <w:rFonts w:ascii="Arial" w:hAnsi="Arial"/>
          <w:sz w:val="22"/>
          <w:szCs w:val="22"/>
        </w:rPr>
        <w:t xml:space="preserve"> </w:t>
      </w:r>
      <w:r w:rsidR="00FE4E37" w:rsidRPr="00FE4E37">
        <w:rPr>
          <w:rFonts w:ascii="Arial" w:hAnsi="Arial"/>
          <w:sz w:val="22"/>
          <w:szCs w:val="22"/>
        </w:rPr>
        <w:t xml:space="preserve">S pomočjo satelitskih </w:t>
      </w:r>
      <w:r w:rsidR="00FE4E37">
        <w:rPr>
          <w:rFonts w:ascii="Arial" w:hAnsi="Arial"/>
          <w:sz w:val="22"/>
          <w:szCs w:val="22"/>
        </w:rPr>
        <w:t>posnetkov lahko kmetje</w:t>
      </w:r>
      <w:r w:rsidR="00FE4E37" w:rsidRPr="00FE4E37">
        <w:rPr>
          <w:rFonts w:ascii="Arial" w:hAnsi="Arial"/>
          <w:sz w:val="22"/>
          <w:szCs w:val="22"/>
        </w:rPr>
        <w:t xml:space="preserve"> </w:t>
      </w:r>
      <w:r w:rsidR="00FE4E37">
        <w:rPr>
          <w:rFonts w:ascii="Arial" w:hAnsi="Arial"/>
          <w:sz w:val="22"/>
          <w:szCs w:val="22"/>
        </w:rPr>
        <w:t>optimizirajo</w:t>
      </w:r>
      <w:r w:rsidR="00FE4E37" w:rsidRPr="00FE4E37">
        <w:rPr>
          <w:rFonts w:ascii="Arial" w:hAnsi="Arial"/>
          <w:sz w:val="22"/>
          <w:szCs w:val="22"/>
        </w:rPr>
        <w:t xml:space="preserve"> gnojenj</w:t>
      </w:r>
      <w:r w:rsidR="00FE4E37">
        <w:rPr>
          <w:rFonts w:ascii="Arial" w:hAnsi="Arial"/>
          <w:sz w:val="22"/>
          <w:szCs w:val="22"/>
        </w:rPr>
        <w:t>e</w:t>
      </w:r>
      <w:r w:rsidR="00FE4E37" w:rsidRPr="00FE4E37">
        <w:rPr>
          <w:rFonts w:ascii="Arial" w:hAnsi="Arial"/>
          <w:sz w:val="22"/>
          <w:szCs w:val="22"/>
        </w:rPr>
        <w:t>, dognojevanj</w:t>
      </w:r>
      <w:r w:rsidR="00FE4E37">
        <w:rPr>
          <w:rFonts w:ascii="Arial" w:hAnsi="Arial"/>
          <w:sz w:val="22"/>
          <w:szCs w:val="22"/>
        </w:rPr>
        <w:t>e</w:t>
      </w:r>
      <w:r w:rsidR="00FE4E37" w:rsidRPr="00FE4E37">
        <w:rPr>
          <w:rFonts w:ascii="Arial" w:hAnsi="Arial"/>
          <w:sz w:val="22"/>
          <w:szCs w:val="22"/>
        </w:rPr>
        <w:t>, racionalizira</w:t>
      </w:r>
      <w:r w:rsidR="00FE4E37">
        <w:rPr>
          <w:rFonts w:ascii="Arial" w:hAnsi="Arial"/>
          <w:sz w:val="22"/>
          <w:szCs w:val="22"/>
        </w:rPr>
        <w:t>jo</w:t>
      </w:r>
      <w:r w:rsidR="00FE4E37" w:rsidRPr="00FE4E37">
        <w:rPr>
          <w:rFonts w:ascii="Arial" w:hAnsi="Arial"/>
          <w:sz w:val="22"/>
          <w:szCs w:val="22"/>
        </w:rPr>
        <w:t xml:space="preserve"> </w:t>
      </w:r>
      <w:r w:rsidR="00FE4E37">
        <w:rPr>
          <w:rFonts w:ascii="Arial" w:hAnsi="Arial"/>
          <w:sz w:val="22"/>
          <w:szCs w:val="22"/>
        </w:rPr>
        <w:t xml:space="preserve">rabo </w:t>
      </w:r>
      <w:r w:rsidR="00FE4E37" w:rsidRPr="00FE4E37">
        <w:rPr>
          <w:rFonts w:ascii="Arial" w:hAnsi="Arial"/>
          <w:sz w:val="22"/>
          <w:szCs w:val="22"/>
        </w:rPr>
        <w:t>namakanj</w:t>
      </w:r>
      <w:r w:rsidR="00FE4E37">
        <w:rPr>
          <w:rFonts w:ascii="Arial" w:hAnsi="Arial"/>
          <w:sz w:val="22"/>
          <w:szCs w:val="22"/>
        </w:rPr>
        <w:t>a</w:t>
      </w:r>
      <w:r w:rsidR="00FE4E37" w:rsidRPr="00FE4E37">
        <w:rPr>
          <w:rFonts w:ascii="Arial" w:hAnsi="Arial"/>
          <w:sz w:val="22"/>
          <w:szCs w:val="22"/>
        </w:rPr>
        <w:t xml:space="preserve"> in spremlja</w:t>
      </w:r>
      <w:r w:rsidR="00FE4E37">
        <w:rPr>
          <w:rFonts w:ascii="Arial" w:hAnsi="Arial"/>
          <w:sz w:val="22"/>
          <w:szCs w:val="22"/>
        </w:rPr>
        <w:t>j</w:t>
      </w:r>
      <w:r w:rsidR="00FE4E37" w:rsidRPr="00FE4E37">
        <w:rPr>
          <w:rFonts w:ascii="Arial" w:hAnsi="Arial"/>
          <w:sz w:val="22"/>
          <w:szCs w:val="22"/>
        </w:rPr>
        <w:t xml:space="preserve">o različne dejavnike in vplive </w:t>
      </w:r>
      <w:r w:rsidR="00FE4E37">
        <w:rPr>
          <w:rFonts w:ascii="Arial" w:hAnsi="Arial"/>
          <w:sz w:val="22"/>
          <w:szCs w:val="22"/>
        </w:rPr>
        <w:t>v času vegetacije.</w:t>
      </w:r>
    </w:p>
    <w:p w14:paraId="0B435676" w14:textId="77777777" w:rsidR="005B3628" w:rsidRDefault="005B3628" w:rsidP="00E155C1">
      <w:pPr>
        <w:pStyle w:val="Odstavekseznama"/>
        <w:spacing w:before="0" w:line="260" w:lineRule="atLeast"/>
        <w:rPr>
          <w:szCs w:val="22"/>
        </w:rPr>
      </w:pPr>
    </w:p>
    <w:p w14:paraId="5C8B0F1C" w14:textId="226EA264" w:rsidR="005B3628" w:rsidRPr="0048510D" w:rsidRDefault="00290C3A" w:rsidP="00E155C1">
      <w:pPr>
        <w:pStyle w:val="Odstavekseznama"/>
        <w:numPr>
          <w:ilvl w:val="0"/>
          <w:numId w:val="217"/>
        </w:numPr>
        <w:spacing w:before="0" w:line="260" w:lineRule="atLeast"/>
        <w:rPr>
          <w:szCs w:val="22"/>
        </w:rPr>
      </w:pPr>
      <w:r w:rsidRPr="00E155C1">
        <w:rPr>
          <w:rFonts w:ascii="Arial" w:hAnsi="Arial"/>
          <w:sz w:val="22"/>
          <w:szCs w:val="22"/>
        </w:rPr>
        <w:t>Digitalizacija v živilsko-predelovalni panogi</w:t>
      </w:r>
      <w:r w:rsidR="005B3628">
        <w:rPr>
          <w:rFonts w:ascii="Arial" w:hAnsi="Arial"/>
          <w:sz w:val="22"/>
          <w:szCs w:val="22"/>
        </w:rPr>
        <w:t xml:space="preserve">: vlaganja se usmerjajo v </w:t>
      </w:r>
      <w:r w:rsidR="00C3516C">
        <w:rPr>
          <w:rFonts w:ascii="Arial" w:hAnsi="Arial"/>
          <w:sz w:val="22"/>
          <w:szCs w:val="22"/>
        </w:rPr>
        <w:t>avtomatizacijo, robotizacijo, digitaln</w:t>
      </w:r>
      <w:r w:rsidR="00FE4E37">
        <w:rPr>
          <w:rFonts w:ascii="Arial" w:hAnsi="Arial"/>
          <w:sz w:val="22"/>
          <w:szCs w:val="22"/>
        </w:rPr>
        <w:t>i sistem</w:t>
      </w:r>
      <w:r w:rsidR="00C3516C">
        <w:rPr>
          <w:rFonts w:ascii="Arial" w:hAnsi="Arial"/>
          <w:sz w:val="22"/>
          <w:szCs w:val="22"/>
        </w:rPr>
        <w:t xml:space="preserve"> sledljivosti </w:t>
      </w:r>
      <w:r w:rsidRPr="00E155C1">
        <w:rPr>
          <w:rFonts w:ascii="Arial" w:hAnsi="Arial"/>
          <w:sz w:val="22"/>
          <w:szCs w:val="22"/>
        </w:rPr>
        <w:t>živil, nadzor</w:t>
      </w:r>
      <w:r w:rsidR="00C3516C">
        <w:rPr>
          <w:rFonts w:ascii="Arial" w:hAnsi="Arial"/>
          <w:sz w:val="22"/>
          <w:szCs w:val="22"/>
        </w:rPr>
        <w:t>a</w:t>
      </w:r>
      <w:r w:rsidRPr="00E155C1">
        <w:rPr>
          <w:rFonts w:ascii="Arial" w:hAnsi="Arial"/>
          <w:sz w:val="22"/>
          <w:szCs w:val="22"/>
        </w:rPr>
        <w:t xml:space="preserve"> nad varnostjo in kakovostjo živil, nadzor</w:t>
      </w:r>
      <w:r w:rsidR="00C3516C">
        <w:rPr>
          <w:rFonts w:ascii="Arial" w:hAnsi="Arial"/>
          <w:sz w:val="22"/>
          <w:szCs w:val="22"/>
        </w:rPr>
        <w:t>a</w:t>
      </w:r>
      <w:r w:rsidRPr="00E155C1">
        <w:rPr>
          <w:rFonts w:ascii="Arial" w:hAnsi="Arial"/>
          <w:sz w:val="22"/>
          <w:szCs w:val="22"/>
        </w:rPr>
        <w:t xml:space="preserve"> nad snovnimi tokovi, učinkovitejše poslovanje, označevanje živil </w:t>
      </w:r>
      <w:r w:rsidR="005B3628">
        <w:rPr>
          <w:rFonts w:ascii="Arial" w:hAnsi="Arial"/>
          <w:sz w:val="22"/>
          <w:szCs w:val="22"/>
        </w:rPr>
        <w:t>ipd</w:t>
      </w:r>
      <w:r w:rsidRPr="00E155C1">
        <w:rPr>
          <w:rFonts w:ascii="Arial" w:hAnsi="Arial"/>
          <w:sz w:val="22"/>
          <w:szCs w:val="22"/>
        </w:rPr>
        <w:t>.</w:t>
      </w:r>
      <w:r w:rsidR="005B3628" w:rsidRPr="00E155C1">
        <w:rPr>
          <w:rFonts w:ascii="Arial" w:hAnsi="Arial"/>
          <w:sz w:val="22"/>
          <w:szCs w:val="22"/>
        </w:rPr>
        <w:t xml:space="preserve"> </w:t>
      </w:r>
    </w:p>
    <w:p w14:paraId="2C7840C8" w14:textId="77777777" w:rsidR="005B3628" w:rsidRPr="00E155C1" w:rsidRDefault="005B3628" w:rsidP="005B3628">
      <w:pPr>
        <w:spacing w:before="0" w:line="260" w:lineRule="atLeast"/>
        <w:rPr>
          <w:sz w:val="24"/>
          <w:szCs w:val="22"/>
        </w:rPr>
      </w:pPr>
    </w:p>
    <w:p w14:paraId="737772B8" w14:textId="15BF7E68" w:rsidR="005B3628" w:rsidRPr="00E53EB6" w:rsidRDefault="005B3628" w:rsidP="00E155C1">
      <w:pPr>
        <w:pStyle w:val="Odstavekseznama"/>
        <w:numPr>
          <w:ilvl w:val="0"/>
          <w:numId w:val="217"/>
        </w:numPr>
        <w:spacing w:before="0" w:line="260" w:lineRule="atLeast"/>
        <w:rPr>
          <w:szCs w:val="22"/>
        </w:rPr>
      </w:pPr>
      <w:r w:rsidRPr="0048510D">
        <w:rPr>
          <w:szCs w:val="22"/>
        </w:rPr>
        <w:t xml:space="preserve">Digitalizacija v gozdarstvu: </w:t>
      </w:r>
      <w:r w:rsidRPr="00E155C1">
        <w:rPr>
          <w:szCs w:val="22"/>
        </w:rPr>
        <w:t>Digitalizacija v gozdarstvu se v Sloveniji poleg razvoja strojne sečnje izvaja na področju optimizacije gozdno-lesne verige s pomočjo prenosa podatkov med kupcem surovine, lastnikom gozda do upravljavca stroja spodbuja dvig produktivnost dela ter izboljšuje odziv na pričakovanja kupcev in sledljivost lesa od gozda do primarne predelave. Naložbe v digitalizacijo zajemajo IKT opremo na področju gozdno-lesne verige.</w:t>
      </w:r>
    </w:p>
    <w:p w14:paraId="5165D408" w14:textId="77777777" w:rsidR="00290C3A" w:rsidRPr="001261F1" w:rsidRDefault="00290C3A" w:rsidP="00FA3FBA">
      <w:pPr>
        <w:spacing w:before="0" w:line="260" w:lineRule="atLeast"/>
        <w:rPr>
          <w:szCs w:val="22"/>
        </w:rPr>
      </w:pPr>
    </w:p>
    <w:p w14:paraId="5D521CEF" w14:textId="77777777" w:rsidR="00194509" w:rsidRPr="00D7412A" w:rsidRDefault="00290C3A" w:rsidP="00194509">
      <w:pPr>
        <w:spacing w:before="0" w:line="276" w:lineRule="auto"/>
        <w:contextualSpacing/>
      </w:pPr>
      <w:bookmarkStart w:id="5748" w:name="_Toc51106401"/>
      <w:bookmarkStart w:id="5749" w:name="_Toc51107829"/>
      <w:bookmarkStart w:id="5750" w:name="_Toc51110152"/>
      <w:bookmarkStart w:id="5751" w:name="_Toc51106402"/>
      <w:bookmarkStart w:id="5752" w:name="_Toc51107830"/>
      <w:bookmarkStart w:id="5753" w:name="_Toc51110153"/>
      <w:bookmarkEnd w:id="5748"/>
      <w:bookmarkEnd w:id="5749"/>
      <w:bookmarkEnd w:id="5750"/>
      <w:bookmarkEnd w:id="5751"/>
      <w:bookmarkEnd w:id="5752"/>
      <w:bookmarkEnd w:id="5753"/>
      <w:r>
        <w:rPr>
          <w:szCs w:val="22"/>
        </w:rPr>
        <w:t xml:space="preserve">Digitalna transformacija terja sistemski pristop in vlaganja. </w:t>
      </w:r>
      <w:r w:rsidR="00E15E9C">
        <w:rPr>
          <w:szCs w:val="22"/>
        </w:rPr>
        <w:t xml:space="preserve">Trenutno na področju kmetijstva ni sistemskega pristopa – strategije, ki bi na koordiniran način spodbujala vlaganja. </w:t>
      </w:r>
      <w:r>
        <w:rPr>
          <w:szCs w:val="22"/>
        </w:rPr>
        <w:t xml:space="preserve">Potrebe so velike, in sicer </w:t>
      </w:r>
      <w:r w:rsidR="005B3628">
        <w:rPr>
          <w:szCs w:val="22"/>
        </w:rPr>
        <w:t>zlasti</w:t>
      </w:r>
      <w:r>
        <w:rPr>
          <w:szCs w:val="22"/>
        </w:rPr>
        <w:t xml:space="preserve"> na področju digitalizacije podatkovnih baz </w:t>
      </w:r>
      <w:r w:rsidR="005B3628">
        <w:rPr>
          <w:szCs w:val="22"/>
        </w:rPr>
        <w:t>v lasti države</w:t>
      </w:r>
      <w:r w:rsidR="004B77CE">
        <w:rPr>
          <w:szCs w:val="22"/>
        </w:rPr>
        <w:t xml:space="preserve"> kot tudi </w:t>
      </w:r>
      <w:r>
        <w:rPr>
          <w:szCs w:val="22"/>
        </w:rPr>
        <w:t>uvajanj</w:t>
      </w:r>
      <w:r w:rsidR="005B3628">
        <w:rPr>
          <w:szCs w:val="22"/>
        </w:rPr>
        <w:t>a</w:t>
      </w:r>
      <w:r w:rsidR="004B77CE">
        <w:rPr>
          <w:szCs w:val="22"/>
        </w:rPr>
        <w:t xml:space="preserve"> / financiranja</w:t>
      </w:r>
      <w:r>
        <w:rPr>
          <w:szCs w:val="22"/>
        </w:rPr>
        <w:t xml:space="preserve"> digitalizacije v gospodarstvu</w:t>
      </w:r>
      <w:r w:rsidR="004B77CE">
        <w:rPr>
          <w:szCs w:val="22"/>
        </w:rPr>
        <w:t xml:space="preserve"> (na kmetijah, v obratih ŽPI…)</w:t>
      </w:r>
      <w:r>
        <w:rPr>
          <w:szCs w:val="22"/>
        </w:rPr>
        <w:t>.</w:t>
      </w:r>
      <w:r w:rsidR="005B3628">
        <w:rPr>
          <w:szCs w:val="22"/>
        </w:rPr>
        <w:t xml:space="preserve"> </w:t>
      </w:r>
      <w:r w:rsidR="00194509">
        <w:t xml:space="preserve">Prvi koraki v smeri boljšega sistemskega pristopa so sicer narejeni s pripravo 28,3 mio € vrednega projekta digitalizacije na področju kmetijstva, prehrane in gozdarstva in uvrstitvijo le tega v </w:t>
      </w:r>
      <w:r w:rsidR="00194509" w:rsidRPr="00D7412A">
        <w:t>okvir</w:t>
      </w:r>
      <w:r w:rsidR="00194509">
        <w:t xml:space="preserve"> financiranja</w:t>
      </w:r>
      <w:r w:rsidR="00194509" w:rsidRPr="00D7412A">
        <w:t xml:space="preserve"> N</w:t>
      </w:r>
      <w:r w:rsidR="00194509">
        <w:t xml:space="preserve">ačrta za okrevanje in odpornost. S tem projektom </w:t>
      </w:r>
      <w:r w:rsidR="00194509" w:rsidRPr="00D7412A">
        <w:t xml:space="preserve">bo zagotovljena </w:t>
      </w:r>
      <w:r w:rsidR="00194509">
        <w:t xml:space="preserve">vzpostavitev, nadgradnja, </w:t>
      </w:r>
      <w:r w:rsidR="00194509" w:rsidRPr="00D7412A">
        <w:t>funkcionalnost, enostavnost</w:t>
      </w:r>
      <w:r w:rsidR="00194509">
        <w:t xml:space="preserve"> uporabe</w:t>
      </w:r>
      <w:r w:rsidR="00194509" w:rsidRPr="00D7412A">
        <w:t xml:space="preserve"> digitalnih baz podatkov ter </w:t>
      </w:r>
      <w:r w:rsidR="00194509">
        <w:t xml:space="preserve">predvsem njihova medsebojna interoperabilnost z enim vstopnim mestom. Navedeno bo omogočilo njihovo </w:t>
      </w:r>
      <w:r w:rsidR="00194509" w:rsidRPr="00D7412A">
        <w:t xml:space="preserve">neposredno uporabo (tudi na ravni </w:t>
      </w:r>
      <w:r w:rsidR="00194509">
        <w:t xml:space="preserve">proizvodnje na </w:t>
      </w:r>
      <w:r w:rsidR="00194509" w:rsidRPr="00D7412A">
        <w:t>kmetij</w:t>
      </w:r>
      <w:r w:rsidR="00194509">
        <w:t>skih gospodarstvih</w:t>
      </w:r>
      <w:r w:rsidR="00194509" w:rsidRPr="00D7412A">
        <w:t>…)</w:t>
      </w:r>
      <w:r w:rsidR="00194509">
        <w:t xml:space="preserve">, </w:t>
      </w:r>
      <w:r w:rsidR="00194509" w:rsidRPr="00D7412A">
        <w:t xml:space="preserve">pospešitev in racionalizacijo upravnih postopkov </w:t>
      </w:r>
      <w:r w:rsidR="00194509">
        <w:t>ter</w:t>
      </w:r>
      <w:r w:rsidR="00194509" w:rsidRPr="00D7412A">
        <w:t xml:space="preserve"> debirokratizacijo.</w:t>
      </w:r>
    </w:p>
    <w:p w14:paraId="4D566870" w14:textId="20BB4440" w:rsidR="004B77CE" w:rsidRDefault="005B3628" w:rsidP="00E53EB6">
      <w:pPr>
        <w:spacing w:before="0" w:line="260" w:lineRule="atLeast"/>
        <w:rPr>
          <w:szCs w:val="22"/>
        </w:rPr>
      </w:pPr>
      <w:r>
        <w:rPr>
          <w:szCs w:val="22"/>
        </w:rPr>
        <w:t xml:space="preserve"> </w:t>
      </w:r>
      <w:r w:rsidR="00194509">
        <w:rPr>
          <w:szCs w:val="22"/>
        </w:rPr>
        <w:t xml:space="preserve"> </w:t>
      </w:r>
    </w:p>
    <w:p w14:paraId="4E6F1E15" w14:textId="77777777" w:rsidR="004B77CE" w:rsidRDefault="004B77CE" w:rsidP="004B07DA">
      <w:pPr>
        <w:spacing w:before="0" w:line="260" w:lineRule="atLeast"/>
        <w:rPr>
          <w:szCs w:val="22"/>
        </w:rPr>
      </w:pPr>
    </w:p>
    <w:p w14:paraId="0D01AE4B" w14:textId="3C16C08C" w:rsidR="005B3628" w:rsidRDefault="004B77CE" w:rsidP="0083583E">
      <w:pPr>
        <w:spacing w:before="0" w:line="260" w:lineRule="atLeast"/>
        <w:rPr>
          <w:szCs w:val="22"/>
        </w:rPr>
      </w:pPr>
      <w:r w:rsidRPr="004B77CE">
        <w:rPr>
          <w:szCs w:val="22"/>
        </w:rPr>
        <w:t>Projekt digitalizacije sestavlja osem podprojektov</w:t>
      </w:r>
      <w:r>
        <w:rPr>
          <w:szCs w:val="22"/>
        </w:rPr>
        <w:t>, s katerimi se bodo vzpostavile nove elektronske storitve, novi spletni servisi za kmete, lastnike gozdov, svetovalce, raziskovalce, administracijo ipd. Konkretno t</w:t>
      </w:r>
      <w:r w:rsidR="005B3628" w:rsidRPr="00E53EB6">
        <w:rPr>
          <w:szCs w:val="22"/>
        </w:rPr>
        <w:t xml:space="preserve">a projekt prinaša: </w:t>
      </w:r>
    </w:p>
    <w:p w14:paraId="55604175" w14:textId="77777777" w:rsidR="005B3628" w:rsidRPr="00E155C1" w:rsidRDefault="005B3628" w:rsidP="00851FFE">
      <w:pPr>
        <w:spacing w:before="0" w:line="260" w:lineRule="atLeast"/>
        <w:rPr>
          <w:sz w:val="24"/>
          <w:szCs w:val="22"/>
        </w:rPr>
      </w:pPr>
    </w:p>
    <w:p w14:paraId="14882394" w14:textId="33FA68F8"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uporabo satelitskih posnetkov S</w:t>
      </w:r>
      <w:r>
        <w:rPr>
          <w:rFonts w:ascii="Arial" w:hAnsi="Arial"/>
          <w:sz w:val="22"/>
          <w:szCs w:val="22"/>
        </w:rPr>
        <w:t>e</w:t>
      </w:r>
      <w:r w:rsidRPr="005B3628">
        <w:rPr>
          <w:rFonts w:ascii="Arial" w:hAnsi="Arial"/>
          <w:sz w:val="22"/>
          <w:szCs w:val="22"/>
        </w:rPr>
        <w:t xml:space="preserve">ntinel: pregled po kmetijskih površinah preko časovne vrste posnetkov, interaktivna vključenost kmetov v celoten e-proces v zvezi z uveljavljanjem ukrepov kmetijske politike, </w:t>
      </w:r>
    </w:p>
    <w:p w14:paraId="45C99E4F" w14:textId="6A6580DD"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nove evidence in registre, ki jih zahteva nova zakonodaja, na primer izgradnja infor</w:t>
      </w:r>
      <w:r w:rsidR="004B77CE">
        <w:rPr>
          <w:rFonts w:ascii="Arial" w:hAnsi="Arial"/>
          <w:sz w:val="22"/>
          <w:szCs w:val="22"/>
        </w:rPr>
        <w:t>macijskega</w:t>
      </w:r>
      <w:r w:rsidRPr="005B3628">
        <w:rPr>
          <w:rFonts w:ascii="Arial" w:hAnsi="Arial"/>
          <w:sz w:val="22"/>
          <w:szCs w:val="22"/>
        </w:rPr>
        <w:t xml:space="preserve"> sistema za spremljanje bilance hranil v tleh, digitalizacija zbiranja terenskih podatkov o gozdovih, površinah, živalih, prenos znanja pri svetovanju, nadzoru</w:t>
      </w:r>
      <w:r w:rsidR="004B77CE">
        <w:rPr>
          <w:rFonts w:ascii="Arial" w:hAnsi="Arial"/>
          <w:sz w:val="22"/>
          <w:szCs w:val="22"/>
        </w:rPr>
        <w:t>,</w:t>
      </w:r>
    </w:p>
    <w:p w14:paraId="62CB29B8" w14:textId="219661D7"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izgradnjo podatkovnega skladišča, ki je osnova digitalizacije za kakršnokoli resno uporabo podatkov za potrošnike, kmete, industrijo, lastnike gozdov, ministrstva,</w:t>
      </w:r>
    </w:p>
    <w:p w14:paraId="270C5CB3" w14:textId="6CF792FE"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e-poslovanje, boljšo informiranost, zmanjšano administrativno breme,</w:t>
      </w:r>
    </w:p>
    <w:p w14:paraId="204D053D" w14:textId="74FB6B82"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prenovljen informacijski sistem za inšpekcijske službe,</w:t>
      </w:r>
    </w:p>
    <w:p w14:paraId="45CEB034" w14:textId="4F75573A"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 xml:space="preserve">večjo varnost hrane, večjo informiranost potrošnikov glede sledljivosti živil, </w:t>
      </w:r>
    </w:p>
    <w:p w14:paraId="1ADB06F4" w14:textId="53E2A76D" w:rsidR="005B3628" w:rsidRPr="005B3628" w:rsidRDefault="005B3628" w:rsidP="00E155C1">
      <w:pPr>
        <w:pStyle w:val="Odstavekseznama"/>
        <w:numPr>
          <w:ilvl w:val="0"/>
          <w:numId w:val="218"/>
        </w:numPr>
        <w:spacing w:before="0" w:line="260" w:lineRule="atLeast"/>
        <w:rPr>
          <w:szCs w:val="22"/>
        </w:rPr>
      </w:pPr>
      <w:r w:rsidRPr="005B3628">
        <w:rPr>
          <w:rFonts w:ascii="Arial" w:hAnsi="Arial"/>
          <w:sz w:val="22"/>
          <w:szCs w:val="22"/>
        </w:rPr>
        <w:t xml:space="preserve">učinkovitejše delo, sodobnejšo programsko in strojno opremo za </w:t>
      </w:r>
      <w:r w:rsidR="004B77CE" w:rsidRPr="00C10C58">
        <w:rPr>
          <w:rFonts w:ascii="Arial" w:hAnsi="Arial"/>
          <w:sz w:val="22"/>
          <w:szCs w:val="22"/>
        </w:rPr>
        <w:t>svetovalce</w:t>
      </w:r>
      <w:r w:rsidR="004B77CE">
        <w:rPr>
          <w:rFonts w:ascii="Arial" w:hAnsi="Arial"/>
          <w:sz w:val="22"/>
          <w:szCs w:val="22"/>
        </w:rPr>
        <w:t xml:space="preserve"> in</w:t>
      </w:r>
      <w:r w:rsidR="004B77CE" w:rsidRPr="00E53EB6">
        <w:rPr>
          <w:rFonts w:ascii="Arial" w:hAnsi="Arial"/>
          <w:sz w:val="22"/>
          <w:szCs w:val="22"/>
        </w:rPr>
        <w:t xml:space="preserve"> </w:t>
      </w:r>
      <w:r w:rsidRPr="005B3628">
        <w:rPr>
          <w:rFonts w:ascii="Arial" w:hAnsi="Arial"/>
          <w:sz w:val="22"/>
          <w:szCs w:val="22"/>
        </w:rPr>
        <w:t>javne uslužbence.</w:t>
      </w:r>
    </w:p>
    <w:p w14:paraId="29D09AFA" w14:textId="77777777" w:rsidR="005B3628" w:rsidRPr="00E53EB6" w:rsidRDefault="005B3628" w:rsidP="00FA3FBA">
      <w:pPr>
        <w:spacing w:before="0" w:line="260" w:lineRule="atLeast"/>
        <w:rPr>
          <w:szCs w:val="22"/>
        </w:rPr>
      </w:pPr>
    </w:p>
    <w:p w14:paraId="5BE1D0FB" w14:textId="12EE466B" w:rsidR="00FE4E37" w:rsidRDefault="004B77CE" w:rsidP="00FA3FBA">
      <w:pPr>
        <w:spacing w:before="0" w:line="260" w:lineRule="atLeast"/>
        <w:rPr>
          <w:szCs w:val="22"/>
        </w:rPr>
      </w:pPr>
      <w:r>
        <w:rPr>
          <w:szCs w:val="22"/>
        </w:rPr>
        <w:t>Komplementarno tem vlaganjem pa je potrebno pospešiti vlaganja v digitalno preobrazbo na kmetijskih gospodarstvih, v ŽPI podjetij, podjetij na področju gozdarsva in predelave lesa. Sistematičnega spremljanja stanja na tem področju zaenkrat še ni, so pa identifici</w:t>
      </w:r>
      <w:r w:rsidR="002C44EA">
        <w:rPr>
          <w:szCs w:val="22"/>
        </w:rPr>
        <w:t xml:space="preserve">rani posamični primeri. </w:t>
      </w:r>
      <w:r>
        <w:rPr>
          <w:szCs w:val="22"/>
        </w:rPr>
        <w:t>Običajno gre za večja kmetijska podjetja</w:t>
      </w:r>
      <w:r w:rsidR="002C44EA">
        <w:rPr>
          <w:szCs w:val="22"/>
        </w:rPr>
        <w:t xml:space="preserve"> in posamezne velike profesionalne kmetije, saj digitalizacija prinaša ekonomske rezultate zlasti na večjih površinah oziroma čredah.  Vlaganja usmerjajo v stroje, opremo, ki je opremljena z IKT tehnologijo in ki omogoča zbiranje in analiziranje podatkov ter posledično ustrezno načrtovanje in opravljanje agrotehničnih ukrepov. Poslužujejo se tudi uvaja</w:t>
      </w:r>
      <w:r w:rsidR="00FE4E37">
        <w:rPr>
          <w:szCs w:val="22"/>
        </w:rPr>
        <w:t>n</w:t>
      </w:r>
      <w:r w:rsidR="002C44EA">
        <w:rPr>
          <w:szCs w:val="22"/>
        </w:rPr>
        <w:t>ja informacijskih poslovnih sistemov.</w:t>
      </w:r>
      <w:r w:rsidR="00FE4E37">
        <w:rPr>
          <w:szCs w:val="22"/>
        </w:rPr>
        <w:t xml:space="preserve"> Na področju živinoreje se uvajajo </w:t>
      </w:r>
      <w:r w:rsidR="00FE4E37" w:rsidRPr="00FE4E37">
        <w:rPr>
          <w:szCs w:val="22"/>
        </w:rPr>
        <w:t>molzni avtomati (roboti), razvijajo se elektronske naprave za ugotavljanje stanja in za nadzor zdravja živali.</w:t>
      </w:r>
    </w:p>
    <w:p w14:paraId="5A102BB2" w14:textId="4F0A16FD" w:rsidR="00B94EA4" w:rsidRDefault="00B94EA4" w:rsidP="00FA3FBA">
      <w:pPr>
        <w:spacing w:before="0" w:line="260" w:lineRule="atLeast"/>
        <w:rPr>
          <w:szCs w:val="22"/>
        </w:rPr>
      </w:pPr>
    </w:p>
    <w:p w14:paraId="21C02566" w14:textId="793A3162" w:rsidR="00B94EA4" w:rsidRDefault="00B94EA4" w:rsidP="00B94EA4">
      <w:pPr>
        <w:spacing w:before="0" w:line="260" w:lineRule="atLeast"/>
        <w:rPr>
          <w:szCs w:val="20"/>
        </w:rPr>
      </w:pPr>
      <w:r>
        <w:rPr>
          <w:szCs w:val="22"/>
        </w:rPr>
        <w:t>Tudi iz obdelave podatkov podprtih naložb PRP 2014–2020 (</w:t>
      </w:r>
      <w:r w:rsidRPr="00E155C1">
        <w:rPr>
          <w:i/>
          <w:szCs w:val="22"/>
        </w:rPr>
        <w:t>več v naslednjem podpoglavju</w:t>
      </w:r>
      <w:r>
        <w:rPr>
          <w:szCs w:val="22"/>
        </w:rPr>
        <w:t xml:space="preserve">) je razvidno, da se digitalizacija vpeljuje predvsem </w:t>
      </w:r>
      <w:r w:rsidRPr="001261F1">
        <w:rPr>
          <w:szCs w:val="20"/>
        </w:rPr>
        <w:t>preko naložb v molzne robote, robote za čiščenje hlevov, dronov za spremljanje zdravstvenega stanja rastlin in zgodnje odkrivanje bolezni rastlin ter njihove oskrbe, senzorjev za namakanje in nadziranje stanja tal, traktorjev in priključkov za obdelavo tal, varstvo rastlin in spravilo pridelka, ki so satelitsko vodeni in delno robotizirani ter nekaj poskusnih tehnologij (samohodni stroji z različnimi senzorji opravil).</w:t>
      </w:r>
    </w:p>
    <w:p w14:paraId="2EB8500A" w14:textId="77777777" w:rsidR="00FE4E37" w:rsidRDefault="00FE4E37" w:rsidP="00FA3FBA">
      <w:pPr>
        <w:spacing w:before="0" w:line="260" w:lineRule="atLeast"/>
        <w:rPr>
          <w:szCs w:val="22"/>
        </w:rPr>
      </w:pPr>
    </w:p>
    <w:p w14:paraId="7399A331" w14:textId="77777777" w:rsidR="002329CF" w:rsidRDefault="002C44EA" w:rsidP="00FA3FBA">
      <w:pPr>
        <w:spacing w:before="0" w:line="260" w:lineRule="atLeast"/>
        <w:rPr>
          <w:szCs w:val="22"/>
        </w:rPr>
      </w:pPr>
      <w:r w:rsidRPr="00E155C1">
        <w:rPr>
          <w:szCs w:val="22"/>
        </w:rPr>
        <w:t xml:space="preserve">Pri vpeljavi naprednih sistemov ta podjetja in kmetije sodelujejo s stroko, razvojno-raziskovalnimi institucijami iz tujine in Slovenije. </w:t>
      </w:r>
      <w:r w:rsidR="00C3516C">
        <w:rPr>
          <w:szCs w:val="22"/>
        </w:rPr>
        <w:t>Z digitalizacijo kmetijstva se ukvarja tudi D</w:t>
      </w:r>
      <w:r w:rsidRPr="00E155C1">
        <w:rPr>
          <w:szCs w:val="22"/>
        </w:rPr>
        <w:t>igitalno inovacijsko stičišče za kmetijstvo in proizvodnjo hrane (DIH AGRIFOOD)</w:t>
      </w:r>
      <w:r w:rsidR="00C3516C">
        <w:rPr>
          <w:szCs w:val="22"/>
        </w:rPr>
        <w:t>, lociran v Pomurju. DIH AGRIFOOD</w:t>
      </w:r>
      <w:r w:rsidRPr="00E155C1">
        <w:rPr>
          <w:szCs w:val="22"/>
        </w:rPr>
        <w:t xml:space="preserve"> združuje slovensko ter evropsko raziskovalno in razvojno strokovno znanje s področja kmetijstva in proizvodnje hrane. Njihova mreža ponuja najnovejš</w:t>
      </w:r>
      <w:r w:rsidR="00C3516C">
        <w:rPr>
          <w:szCs w:val="22"/>
        </w:rPr>
        <w:t>a</w:t>
      </w:r>
      <w:r w:rsidRPr="00E155C1">
        <w:rPr>
          <w:szCs w:val="22"/>
        </w:rPr>
        <w:t xml:space="preserve"> znanj</w:t>
      </w:r>
      <w:r w:rsidR="00C3516C">
        <w:rPr>
          <w:szCs w:val="22"/>
        </w:rPr>
        <w:t>a</w:t>
      </w:r>
      <w:r w:rsidRPr="00E155C1">
        <w:rPr>
          <w:szCs w:val="22"/>
        </w:rPr>
        <w:t xml:space="preserve"> o digitalizaciji te panoge.</w:t>
      </w:r>
      <w:r w:rsidR="00FE4E37">
        <w:rPr>
          <w:szCs w:val="22"/>
        </w:rPr>
        <w:t xml:space="preserve"> </w:t>
      </w:r>
    </w:p>
    <w:p w14:paraId="3BEE2A97" w14:textId="77777777" w:rsidR="002329CF" w:rsidRDefault="002329CF" w:rsidP="00FA3FBA">
      <w:pPr>
        <w:spacing w:before="0" w:line="260" w:lineRule="atLeast"/>
        <w:rPr>
          <w:szCs w:val="22"/>
        </w:rPr>
      </w:pPr>
    </w:p>
    <w:p w14:paraId="2FC37569" w14:textId="12DE4A19" w:rsidR="00290C3A" w:rsidRDefault="00FE4E37" w:rsidP="00E53EB6">
      <w:pPr>
        <w:spacing w:before="0" w:line="260" w:lineRule="atLeast"/>
        <w:rPr>
          <w:szCs w:val="22"/>
        </w:rPr>
      </w:pPr>
      <w:r>
        <w:rPr>
          <w:szCs w:val="22"/>
        </w:rPr>
        <w:t>Izvajajo pa se tudi številni projekti Evropskega inovacijskega partnerstva, sofinancirani iz PRP 2014–2020, ki imajo za cilj razvoj aplikacij in informacijskega sistema</w:t>
      </w:r>
      <w:r w:rsidR="002329CF">
        <w:rPr>
          <w:szCs w:val="22"/>
        </w:rPr>
        <w:t>, pa tudi dviga digitalnih kompetenc sodelujočih kmetijskih gospodarstev</w:t>
      </w:r>
      <w:r>
        <w:rPr>
          <w:szCs w:val="22"/>
        </w:rPr>
        <w:t>. Konkretni primer</w:t>
      </w:r>
      <w:r w:rsidR="002329CF">
        <w:rPr>
          <w:szCs w:val="22"/>
        </w:rPr>
        <w:t xml:space="preserve"> EIP projekta - </w:t>
      </w:r>
      <w:r w:rsidR="002329CF" w:rsidRPr="002329CF">
        <w:rPr>
          <w:szCs w:val="22"/>
        </w:rPr>
        <w:t>Digitalizacija namakanja zelenjave</w:t>
      </w:r>
      <w:r>
        <w:rPr>
          <w:szCs w:val="22"/>
        </w:rPr>
        <w:t xml:space="preserve">: v okviru </w:t>
      </w:r>
      <w:r w:rsidR="002329CF">
        <w:rPr>
          <w:szCs w:val="22"/>
        </w:rPr>
        <w:t xml:space="preserve">tega projekta </w:t>
      </w:r>
      <w:r>
        <w:rPr>
          <w:szCs w:val="22"/>
        </w:rPr>
        <w:t>EIP bo potekal ra</w:t>
      </w:r>
      <w:r w:rsidRPr="00FE4E37">
        <w:rPr>
          <w:szCs w:val="22"/>
        </w:rPr>
        <w:t>zvoj aplikacije in pripadajočega informacijskega sistema, ki bo kmetom, ki se ukvarjajo z zelenjadarstvom, na podlagi meritev vode v tleh v realnem času, razvojne faze rastline ter vremenske napovedi, podal namakalni nasvet, t.j. svetoval primeren čas namakanja in količino vode potrebne za namakanje</w:t>
      </w:r>
      <w:r>
        <w:rPr>
          <w:szCs w:val="22"/>
        </w:rPr>
        <w:t>.</w:t>
      </w:r>
    </w:p>
    <w:p w14:paraId="74CD4ABD" w14:textId="5ECD8817" w:rsidR="00282FF0" w:rsidRDefault="00282FF0" w:rsidP="00E53EB6">
      <w:pPr>
        <w:spacing w:before="0" w:line="260" w:lineRule="atLeast"/>
        <w:rPr>
          <w:szCs w:val="22"/>
        </w:rPr>
      </w:pPr>
    </w:p>
    <w:p w14:paraId="308383B8" w14:textId="30B45A82" w:rsidR="00FE4E37" w:rsidRDefault="00282FF0" w:rsidP="00FA3FBA">
      <w:pPr>
        <w:spacing w:before="0" w:line="260" w:lineRule="atLeast"/>
        <w:rPr>
          <w:sz w:val="20"/>
          <w:szCs w:val="20"/>
        </w:rPr>
      </w:pPr>
      <w:r>
        <w:rPr>
          <w:szCs w:val="22"/>
        </w:rPr>
        <w:t xml:space="preserve">Tudi več EIP projektov s področja gozdarstva spodbuja vpeljavo digitalizacije. Podprti so bili projekti EIP, ki spodbujajo uvajanje </w:t>
      </w:r>
      <w:r w:rsidRPr="00E155C1">
        <w:rPr>
          <w:szCs w:val="22"/>
        </w:rPr>
        <w:t>digitalizacije kmetijskega gospodarstva za načrtovanje</w:t>
      </w:r>
      <w:r>
        <w:rPr>
          <w:szCs w:val="22"/>
        </w:rPr>
        <w:t xml:space="preserve"> </w:t>
      </w:r>
      <w:r w:rsidRPr="00E155C1">
        <w:rPr>
          <w:szCs w:val="22"/>
        </w:rPr>
        <w:t>gospodarjenja z gozdovi, digitaln</w:t>
      </w:r>
      <w:r>
        <w:rPr>
          <w:szCs w:val="22"/>
        </w:rPr>
        <w:t>o</w:t>
      </w:r>
      <w:r w:rsidRPr="00E155C1">
        <w:rPr>
          <w:szCs w:val="22"/>
        </w:rPr>
        <w:t xml:space="preserve"> inventarizacij</w:t>
      </w:r>
      <w:r>
        <w:rPr>
          <w:szCs w:val="22"/>
        </w:rPr>
        <w:t>o</w:t>
      </w:r>
      <w:r w:rsidRPr="00E155C1">
        <w:rPr>
          <w:szCs w:val="22"/>
        </w:rPr>
        <w:t xml:space="preserve"> gozda, itn.</w:t>
      </w:r>
    </w:p>
    <w:p w14:paraId="71B00232" w14:textId="2F8331A6" w:rsidR="00B94EA4" w:rsidRDefault="00B94EA4" w:rsidP="00FA3FBA">
      <w:pPr>
        <w:spacing w:before="0" w:line="260" w:lineRule="atLeast"/>
        <w:rPr>
          <w:szCs w:val="20"/>
        </w:rPr>
      </w:pPr>
    </w:p>
    <w:p w14:paraId="5714783B" w14:textId="77777777" w:rsidR="00B94EA4" w:rsidRDefault="00B94EA4" w:rsidP="00FA3FBA">
      <w:pPr>
        <w:spacing w:before="0" w:line="260" w:lineRule="atLeast"/>
        <w:rPr>
          <w:szCs w:val="20"/>
        </w:rPr>
      </w:pPr>
    </w:p>
    <w:p w14:paraId="3987266F" w14:textId="10A44C93" w:rsidR="00B94EA4" w:rsidRDefault="00B94EA4" w:rsidP="00E155C1">
      <w:pPr>
        <w:pStyle w:val="Naslov2"/>
      </w:pPr>
      <w:bookmarkStart w:id="5754" w:name="_Toc90462316"/>
      <w:r>
        <w:t>Podpore uvajanju digitalizacije preko PRP 2014–2020</w:t>
      </w:r>
      <w:bookmarkEnd w:id="5754"/>
    </w:p>
    <w:p w14:paraId="485AFD44" w14:textId="722A3641" w:rsidR="00B94EA4" w:rsidRDefault="00B94EA4" w:rsidP="00FA3FBA">
      <w:pPr>
        <w:spacing w:before="0" w:line="260" w:lineRule="atLeast"/>
        <w:rPr>
          <w:szCs w:val="20"/>
        </w:rPr>
      </w:pPr>
    </w:p>
    <w:p w14:paraId="01875433" w14:textId="08159656" w:rsidR="001076E3" w:rsidRDefault="001076E3" w:rsidP="001076E3">
      <w:pPr>
        <w:spacing w:before="0" w:line="260" w:lineRule="atLeast"/>
        <w:rPr>
          <w:szCs w:val="22"/>
        </w:rPr>
      </w:pPr>
      <w:r>
        <w:rPr>
          <w:szCs w:val="22"/>
        </w:rPr>
        <w:t xml:space="preserve">Iz obdelave podatkov o podprtih naložbah in drugih podporah v okviru PRP 2014–2020 je razvidno, da se digitalizacija postopoma vpeljuje v kmetijski sektor in da so pri tem zlasti ambiciozni mladi kmetje. </w:t>
      </w:r>
    </w:p>
    <w:p w14:paraId="17591073" w14:textId="77777777" w:rsidR="001076E3" w:rsidRDefault="001076E3" w:rsidP="001076E3">
      <w:pPr>
        <w:spacing w:before="0" w:line="260" w:lineRule="atLeast"/>
        <w:rPr>
          <w:szCs w:val="20"/>
        </w:rPr>
      </w:pPr>
    </w:p>
    <w:p w14:paraId="7BFA0291" w14:textId="7B6487EF" w:rsidR="00B94EA4" w:rsidRPr="00B94EA4" w:rsidRDefault="00B94EA4" w:rsidP="00B94EA4">
      <w:pPr>
        <w:spacing w:before="0" w:line="260" w:lineRule="atLeast"/>
        <w:rPr>
          <w:szCs w:val="20"/>
        </w:rPr>
      </w:pPr>
      <w:r w:rsidRPr="00B94EA4">
        <w:rPr>
          <w:szCs w:val="20"/>
        </w:rPr>
        <w:t>Slovenija je v letih 2014-2020 izdala odloč</w:t>
      </w:r>
      <w:r>
        <w:rPr>
          <w:szCs w:val="20"/>
        </w:rPr>
        <w:t>b</w:t>
      </w:r>
      <w:r w:rsidRPr="00B94EA4">
        <w:rPr>
          <w:szCs w:val="20"/>
        </w:rPr>
        <w:t>e o pravici do sredstev 1</w:t>
      </w:r>
      <w:r>
        <w:rPr>
          <w:szCs w:val="20"/>
        </w:rPr>
        <w:t>.</w:t>
      </w:r>
      <w:r w:rsidRPr="00B94EA4">
        <w:rPr>
          <w:szCs w:val="20"/>
        </w:rPr>
        <w:t xml:space="preserve">627 mladim prevzemnikom. </w:t>
      </w:r>
      <w:r>
        <w:rPr>
          <w:szCs w:val="20"/>
        </w:rPr>
        <w:t xml:space="preserve">Kar </w:t>
      </w:r>
      <w:r w:rsidRPr="00B94EA4">
        <w:rPr>
          <w:szCs w:val="20"/>
        </w:rPr>
        <w:t>81 % mladih prevzemnikov je v nabor razvojnih ciljev dodal</w:t>
      </w:r>
      <w:r>
        <w:rPr>
          <w:szCs w:val="20"/>
        </w:rPr>
        <w:t>o</w:t>
      </w:r>
      <w:r w:rsidRPr="00B94EA4">
        <w:rPr>
          <w:szCs w:val="20"/>
        </w:rPr>
        <w:t xml:space="preserve"> razvojni cilj 5.4: Nakup IKT</w:t>
      </w:r>
      <w:r>
        <w:rPr>
          <w:szCs w:val="20"/>
        </w:rPr>
        <w:t xml:space="preserve"> </w:t>
      </w:r>
      <w:r w:rsidRPr="00B94EA4">
        <w:rPr>
          <w:szCs w:val="20"/>
        </w:rPr>
        <w:t>za potrebe kmetijskega gospodarstva (strojne in programske opreme)</w:t>
      </w:r>
      <w:r>
        <w:rPr>
          <w:szCs w:val="20"/>
        </w:rPr>
        <w:t xml:space="preserve">. </w:t>
      </w:r>
      <w:r w:rsidR="001076E3">
        <w:rPr>
          <w:szCs w:val="20"/>
        </w:rPr>
        <w:t>Tako visok odstotek kaže, da so mlajše generacije prepoznale velik potencial, ki ga ponuja digitalizirana proizvodnja, hkrati pa imajo ustrezne digitalne kompetence za uporabo novih digitalnih tehnologij</w:t>
      </w:r>
      <w:r>
        <w:rPr>
          <w:szCs w:val="20"/>
        </w:rPr>
        <w:t xml:space="preserve">.   </w:t>
      </w:r>
    </w:p>
    <w:p w14:paraId="41417ACC" w14:textId="77777777" w:rsidR="00B94EA4" w:rsidRPr="00B94EA4" w:rsidRDefault="00B94EA4" w:rsidP="00B94EA4">
      <w:pPr>
        <w:spacing w:before="0" w:line="260" w:lineRule="atLeast"/>
        <w:rPr>
          <w:szCs w:val="20"/>
        </w:rPr>
      </w:pPr>
    </w:p>
    <w:p w14:paraId="0810C359" w14:textId="77777777" w:rsidR="00B94EA4" w:rsidRPr="00B94EA4" w:rsidRDefault="00B94EA4" w:rsidP="00B94EA4">
      <w:pPr>
        <w:spacing w:before="0" w:line="260" w:lineRule="atLeast"/>
        <w:rPr>
          <w:szCs w:val="20"/>
        </w:rPr>
      </w:pPr>
      <w:r w:rsidRPr="00B94EA4">
        <w:rPr>
          <w:szCs w:val="20"/>
        </w:rPr>
        <w:t>Tudi majhne kmetije, ki so oddale vlogo na dva do sedaj objavljena in zaključena javna razpisa na podukrepu M06.3, so si v velikem številu izbrala razvojni cilj Nakup IKT (strojno opremo ali programsko opremo). Od 7.438 (1. JR 3.987 in 2. JR 3.451) majhnih kmetij, ki so prejele odločbo o pravici do sredstev, si je 57 % (1. JR 2.378 in 2. JR 1.890) majhnih kmetij izbralo razvojni cilj Nakup IKT.</w:t>
      </w:r>
    </w:p>
    <w:p w14:paraId="0622DBA4" w14:textId="77777777" w:rsidR="00B94EA4" w:rsidRPr="00B94EA4" w:rsidRDefault="00B94EA4" w:rsidP="00B94EA4">
      <w:pPr>
        <w:spacing w:before="0" w:line="260" w:lineRule="atLeast"/>
        <w:rPr>
          <w:szCs w:val="20"/>
        </w:rPr>
      </w:pPr>
    </w:p>
    <w:p w14:paraId="0250DFCC" w14:textId="3847BDDE" w:rsidR="00B94EA4" w:rsidRDefault="00B94EA4" w:rsidP="00B94EA4">
      <w:pPr>
        <w:spacing w:before="0" w:line="260" w:lineRule="atLeast"/>
        <w:rPr>
          <w:szCs w:val="20"/>
        </w:rPr>
      </w:pPr>
      <w:r w:rsidRPr="00B94EA4">
        <w:rPr>
          <w:szCs w:val="20"/>
        </w:rPr>
        <w:t>Tudi v okviru nalo</w:t>
      </w:r>
      <w:r w:rsidR="001076E3">
        <w:rPr>
          <w:szCs w:val="20"/>
        </w:rPr>
        <w:t>žbenih podukrepov</w:t>
      </w:r>
      <w:r w:rsidRPr="00B94EA4">
        <w:rPr>
          <w:szCs w:val="20"/>
        </w:rPr>
        <w:t xml:space="preserve"> so v naložbe vključeni stroški za nakup IKT opreme. Tako je na primer na naložbenem podukrepu M04.1, ki je namenjen naložbam v primarno pridelavo kmetijskih proizvodov na kmetijskih gospodarstvih, IKT oprema vključena v različne vrste naložb (npr. avtomatski in transportni sistemi za krmljenje, avtomatske krmne postaje, avtomatski molzni sistemi, avtomatika za regulacijo ogrevanja in zračenja, računalniška in druga oprema za povezavo črpališča s centrom za namakanje, oprema za spremljanje škodljivcev). Skupna odobrena vrednost na podukrepu M04.1 znaša 77.993.410,92 €, znesek v višini 2.752.467,37 € predstavlja vlaganja v IKT opremo (3,529 %). </w:t>
      </w:r>
    </w:p>
    <w:p w14:paraId="73A657F1" w14:textId="77777777" w:rsidR="00B94EA4" w:rsidRPr="00B94EA4" w:rsidRDefault="00B94EA4" w:rsidP="00B94EA4">
      <w:pPr>
        <w:spacing w:before="0" w:line="260" w:lineRule="atLeast"/>
        <w:rPr>
          <w:szCs w:val="20"/>
        </w:rPr>
      </w:pPr>
    </w:p>
    <w:p w14:paraId="4F88B9A7" w14:textId="42F73E38" w:rsidR="00B94EA4" w:rsidRPr="00B94EA4" w:rsidRDefault="00B94EA4" w:rsidP="00B94EA4">
      <w:pPr>
        <w:spacing w:before="0" w:line="260" w:lineRule="atLeast"/>
        <w:rPr>
          <w:szCs w:val="20"/>
        </w:rPr>
      </w:pPr>
      <w:r w:rsidRPr="00B94EA4">
        <w:rPr>
          <w:szCs w:val="20"/>
        </w:rPr>
        <w:t xml:space="preserve">Poudariti je potrebno, da </w:t>
      </w:r>
      <w:r w:rsidR="001076E3">
        <w:rPr>
          <w:szCs w:val="20"/>
        </w:rPr>
        <w:t>v tem znesku</w:t>
      </w:r>
      <w:r w:rsidRPr="00B94EA4">
        <w:rPr>
          <w:szCs w:val="20"/>
        </w:rPr>
        <w:t xml:space="preserve"> niso zajeti vsi stroški, kjer se uporablja IKT oprema</w:t>
      </w:r>
      <w:r w:rsidR="001076E3">
        <w:rPr>
          <w:szCs w:val="20"/>
        </w:rPr>
        <w:t>, saj nam trenutni sistem šifer stroškov ne omogoča</w:t>
      </w:r>
      <w:r w:rsidRPr="00B94EA4">
        <w:rPr>
          <w:szCs w:val="20"/>
        </w:rPr>
        <w:t>,</w:t>
      </w:r>
      <w:r w:rsidR="001076E3">
        <w:rPr>
          <w:szCs w:val="20"/>
        </w:rPr>
        <w:t xml:space="preserve"> da bi razbrali,</w:t>
      </w:r>
      <w:r w:rsidRPr="00B94EA4">
        <w:rPr>
          <w:szCs w:val="20"/>
        </w:rPr>
        <w:t xml:space="preserve"> ali gre za strošek, ki vključuje IKT (npr. pod opremo za odgnojevanje so velikokrat vključeni roboti za čiščenje rešetk, vendar jih ne moremo izločiti iz skupnega stroška opreme za odgnojevanje, ne da bi pogledali posamezne vloge in predračune, enako je pri gradnjah, kjer so npr. stroški prezračevanja vključeni v gradbeno obrtniška dela – pri perutninskih/svinjskih hlevih je prezračevanje v celoti regulirano preko računalnikov).</w:t>
      </w:r>
      <w:r w:rsidR="001076E3">
        <w:rPr>
          <w:szCs w:val="20"/>
        </w:rPr>
        <w:t xml:space="preserve"> </w:t>
      </w:r>
      <w:r w:rsidRPr="00B94EA4">
        <w:rPr>
          <w:szCs w:val="20"/>
        </w:rPr>
        <w:t xml:space="preserve">  </w:t>
      </w:r>
    </w:p>
    <w:p w14:paraId="4B472B3C" w14:textId="77777777" w:rsidR="00B94EA4" w:rsidRPr="00B94EA4" w:rsidRDefault="00B94EA4" w:rsidP="00B94EA4">
      <w:pPr>
        <w:spacing w:before="0" w:line="260" w:lineRule="atLeast"/>
        <w:rPr>
          <w:szCs w:val="20"/>
        </w:rPr>
      </w:pPr>
    </w:p>
    <w:p w14:paraId="04528866" w14:textId="77777777" w:rsidR="00B94EA4" w:rsidRDefault="00B94EA4" w:rsidP="00B94EA4">
      <w:pPr>
        <w:spacing w:before="0" w:line="260" w:lineRule="atLeast"/>
        <w:rPr>
          <w:szCs w:val="20"/>
        </w:rPr>
      </w:pPr>
      <w:r w:rsidRPr="00B94EA4">
        <w:rPr>
          <w:szCs w:val="20"/>
        </w:rPr>
        <w:t>Tudi pri podukrepih M16 Sodelovanje in M19 Podpora za lokalni razvoj, ki ga vodi skupnost, se sredstva namenjajo za sofinanciranje nakupa IKT (informacijsko komunikacijske tehnologije) za namen podpore oz. izvajanja projektov. Nakup takšne opreme sicer nima določene šifre, se pa uvršča med stroške materiala. Pri M16 se financira amortizacija opreme za čas izvajanja projekta, pri M19 pa se financira nakup nove opreme.</w:t>
      </w:r>
    </w:p>
    <w:p w14:paraId="6D475E3C" w14:textId="77777777" w:rsidR="00B94EA4" w:rsidRDefault="00B94EA4" w:rsidP="00B94EA4">
      <w:pPr>
        <w:spacing w:before="0" w:line="260" w:lineRule="atLeast"/>
        <w:rPr>
          <w:szCs w:val="20"/>
        </w:rPr>
      </w:pPr>
    </w:p>
    <w:p w14:paraId="2E056DC9" w14:textId="6ABA9D6B" w:rsidR="00FE4E37" w:rsidRDefault="00FE4E37" w:rsidP="00FA3FBA">
      <w:pPr>
        <w:spacing w:before="0" w:line="260" w:lineRule="atLeast"/>
        <w:rPr>
          <w:szCs w:val="20"/>
        </w:rPr>
      </w:pPr>
    </w:p>
    <w:p w14:paraId="16FDA350" w14:textId="3D08174A" w:rsidR="00FE4E37" w:rsidRDefault="00E42967" w:rsidP="00E155C1">
      <w:pPr>
        <w:pStyle w:val="Naslov2"/>
      </w:pPr>
      <w:bookmarkStart w:id="5755" w:name="_Toc90462317"/>
      <w:r>
        <w:t>Vse večja u</w:t>
      </w:r>
      <w:r w:rsidR="002329CF">
        <w:t>pora</w:t>
      </w:r>
      <w:r>
        <w:t>ba</w:t>
      </w:r>
      <w:r w:rsidR="002329CF">
        <w:t xml:space="preserve"> </w:t>
      </w:r>
      <w:r>
        <w:t>namenskih digitalnih portalov</w:t>
      </w:r>
      <w:r w:rsidR="00E25396">
        <w:t xml:space="preserve"> in e-komunikacije </w:t>
      </w:r>
      <w:r w:rsidR="005529F5">
        <w:t>s kmeti</w:t>
      </w:r>
      <w:bookmarkEnd w:id="5755"/>
    </w:p>
    <w:p w14:paraId="55568967" w14:textId="77777777" w:rsidR="001E5E40" w:rsidRDefault="001E5E40" w:rsidP="00E155C1">
      <w:pPr>
        <w:autoSpaceDE w:val="0"/>
        <w:autoSpaceDN w:val="0"/>
        <w:adjustRightInd w:val="0"/>
        <w:spacing w:before="0" w:line="240" w:lineRule="auto"/>
        <w:rPr>
          <w:szCs w:val="20"/>
        </w:rPr>
      </w:pPr>
    </w:p>
    <w:p w14:paraId="0DBD1F83" w14:textId="452703B0" w:rsidR="001E5E40" w:rsidRDefault="001E5E40" w:rsidP="00E155C1">
      <w:pPr>
        <w:autoSpaceDE w:val="0"/>
        <w:autoSpaceDN w:val="0"/>
        <w:adjustRightInd w:val="0"/>
        <w:spacing w:before="0" w:line="240" w:lineRule="auto"/>
        <w:rPr>
          <w:szCs w:val="20"/>
        </w:rPr>
      </w:pPr>
    </w:p>
    <w:p w14:paraId="37A0C7B8" w14:textId="77777777" w:rsidR="00B94EA4" w:rsidRDefault="001E5E40" w:rsidP="001E5E40">
      <w:pPr>
        <w:spacing w:before="0" w:line="260" w:lineRule="atLeast"/>
        <w:rPr>
          <w:szCs w:val="20"/>
        </w:rPr>
      </w:pPr>
      <w:r>
        <w:rPr>
          <w:szCs w:val="20"/>
        </w:rPr>
        <w:t xml:space="preserve">Eden od način vpeljevanja digitalizacije v proizvodnjo  je tudi dostopanje do številnih digitalnih podatkovnih zbirk – </w:t>
      </w:r>
      <w:r w:rsidR="00986668">
        <w:rPr>
          <w:szCs w:val="20"/>
        </w:rPr>
        <w:t xml:space="preserve">npr. </w:t>
      </w:r>
      <w:r>
        <w:rPr>
          <w:szCs w:val="20"/>
        </w:rPr>
        <w:t xml:space="preserve">namenskih portalov </w:t>
      </w:r>
      <w:r w:rsidR="00986668">
        <w:rPr>
          <w:szCs w:val="20"/>
        </w:rPr>
        <w:t xml:space="preserve">(opisano v nadaljevanju) </w:t>
      </w:r>
      <w:r>
        <w:rPr>
          <w:szCs w:val="20"/>
        </w:rPr>
        <w:t>preko pametnih telefonov, tablic, mobilnih aplikacij</w:t>
      </w:r>
      <w:r w:rsidR="00887127">
        <w:rPr>
          <w:szCs w:val="20"/>
        </w:rPr>
        <w:t>, za kar so potrebne ustrezne digitalne komptence uporabnikov</w:t>
      </w:r>
      <w:r w:rsidRPr="001261F1">
        <w:rPr>
          <w:szCs w:val="20"/>
        </w:rPr>
        <w:t>.</w:t>
      </w:r>
      <w:r>
        <w:rPr>
          <w:szCs w:val="20"/>
        </w:rPr>
        <w:t xml:space="preserve"> </w:t>
      </w:r>
      <w:r w:rsidR="00986668">
        <w:rPr>
          <w:szCs w:val="20"/>
        </w:rPr>
        <w:t>Izkazuje se, da se vse več kmetov in drugih uporabnikov odloča za uporabo digitalnih podatkovnih zbirk (raznih registrov) oz. spletnih aplikacij…, kar jim je lahko v pomoč pri uvajanju sprememb na kmetijah. K</w:t>
      </w:r>
      <w:r w:rsidR="00E42967">
        <w:rPr>
          <w:szCs w:val="20"/>
        </w:rPr>
        <w:t>metje se tudi vedno b</w:t>
      </w:r>
      <w:r w:rsidR="00B94EA4">
        <w:rPr>
          <w:szCs w:val="20"/>
        </w:rPr>
        <w:t>olj poslužujejo e-komuniciranja.</w:t>
      </w:r>
    </w:p>
    <w:p w14:paraId="7E18C132" w14:textId="0B00C561" w:rsidR="00986668" w:rsidRDefault="00986668" w:rsidP="001E5E40">
      <w:pPr>
        <w:spacing w:before="0" w:line="260" w:lineRule="atLeast"/>
        <w:rPr>
          <w:szCs w:val="20"/>
        </w:rPr>
      </w:pPr>
      <w:r>
        <w:rPr>
          <w:szCs w:val="20"/>
        </w:rPr>
        <w:t xml:space="preserve"> </w:t>
      </w:r>
    </w:p>
    <w:p w14:paraId="33E8D748" w14:textId="069D3283" w:rsidR="00165283" w:rsidRPr="00165283" w:rsidRDefault="00986668" w:rsidP="00165283">
      <w:pPr>
        <w:spacing w:before="0" w:line="260" w:lineRule="atLeast"/>
        <w:rPr>
          <w:szCs w:val="20"/>
        </w:rPr>
      </w:pPr>
      <w:r w:rsidRPr="00E155C1">
        <w:rPr>
          <w:i/>
          <w:szCs w:val="20"/>
          <w:u w:val="single"/>
        </w:rPr>
        <w:t>Identifikacija in registracija živali:</w:t>
      </w:r>
      <w:r>
        <w:rPr>
          <w:szCs w:val="20"/>
        </w:rPr>
        <w:t xml:space="preserve"> Na tem področju je bil dostop do centralnih registrov </w:t>
      </w:r>
      <w:r w:rsidRPr="00986668">
        <w:rPr>
          <w:szCs w:val="20"/>
        </w:rPr>
        <w:t>za izvajalce dejavnosti (kmete) vzpostav</w:t>
      </w:r>
      <w:r>
        <w:rPr>
          <w:szCs w:val="20"/>
        </w:rPr>
        <w:t>ljen</w:t>
      </w:r>
      <w:r w:rsidRPr="00986668">
        <w:rPr>
          <w:szCs w:val="20"/>
        </w:rPr>
        <w:t xml:space="preserve"> že leta 2001. </w:t>
      </w:r>
      <w:r>
        <w:rPr>
          <w:szCs w:val="20"/>
        </w:rPr>
        <w:t xml:space="preserve">Vzpostavljene so </w:t>
      </w:r>
      <w:r w:rsidRPr="00986668">
        <w:rPr>
          <w:szCs w:val="20"/>
        </w:rPr>
        <w:t>spletne aplikacije za govedo, prašiče, drobnico, čebelnjake in kopitarje</w:t>
      </w:r>
      <w:r>
        <w:rPr>
          <w:szCs w:val="20"/>
        </w:rPr>
        <w:t>, kjer</w:t>
      </w:r>
      <w:r w:rsidRPr="00986668">
        <w:rPr>
          <w:szCs w:val="20"/>
        </w:rPr>
        <w:t xml:space="preserve"> vsak izvajalec dejavnosti, ki želi dostop, lahko zaprosi za račun, in ima dostop do vseh svojih podatkov ter lahko tudi poroča o premiki</w:t>
      </w:r>
      <w:r>
        <w:rPr>
          <w:szCs w:val="20"/>
        </w:rPr>
        <w:t>h</w:t>
      </w:r>
      <w:r w:rsidRPr="00986668">
        <w:rPr>
          <w:szCs w:val="20"/>
        </w:rPr>
        <w:t>, registracijah ipd</w:t>
      </w:r>
      <w:r>
        <w:rPr>
          <w:szCs w:val="20"/>
        </w:rPr>
        <w:t>.</w:t>
      </w:r>
      <w:r w:rsidRPr="00986668">
        <w:rPr>
          <w:szCs w:val="20"/>
        </w:rPr>
        <w:t xml:space="preserve"> prek</w:t>
      </w:r>
      <w:r>
        <w:rPr>
          <w:szCs w:val="20"/>
        </w:rPr>
        <w:t>o</w:t>
      </w:r>
      <w:r w:rsidRPr="00986668">
        <w:rPr>
          <w:szCs w:val="20"/>
        </w:rPr>
        <w:t xml:space="preserve"> aplikacije. </w:t>
      </w:r>
      <w:r w:rsidR="00165283" w:rsidRPr="00165283">
        <w:rPr>
          <w:szCs w:val="20"/>
        </w:rPr>
        <w:t>Pri govedu, drobnici in prašičih danes prek</w:t>
      </w:r>
      <w:r w:rsidR="00165283">
        <w:rPr>
          <w:szCs w:val="20"/>
        </w:rPr>
        <w:t>o</w:t>
      </w:r>
      <w:r w:rsidR="00165283" w:rsidRPr="00165283">
        <w:rPr>
          <w:szCs w:val="20"/>
        </w:rPr>
        <w:t xml:space="preserve"> 50 % podatkov v sistem vnesejo izvajalci dejavnosti (kmetijska gospodarstva in klavnice) sami. Neposredno v register pa sporočajo predvsem večji obrati. Delež kmetijskih gospodarstev pri govedu, ki sporočajo sama, je 14 %. </w:t>
      </w:r>
      <w:r w:rsidR="00F50363">
        <w:rPr>
          <w:szCs w:val="20"/>
        </w:rPr>
        <w:t>V</w:t>
      </w:r>
      <w:r w:rsidR="00F50363" w:rsidRPr="00165283">
        <w:rPr>
          <w:szCs w:val="20"/>
        </w:rPr>
        <w:t xml:space="preserve"> letu 2021 </w:t>
      </w:r>
      <w:r w:rsidR="00F50363">
        <w:rPr>
          <w:szCs w:val="20"/>
        </w:rPr>
        <w:t>je bilo p</w:t>
      </w:r>
      <w:r w:rsidR="00165283" w:rsidRPr="00165283">
        <w:rPr>
          <w:szCs w:val="20"/>
        </w:rPr>
        <w:t>ri prašičih 2</w:t>
      </w:r>
      <w:r w:rsidR="00165283">
        <w:rPr>
          <w:szCs w:val="20"/>
        </w:rPr>
        <w:t>.</w:t>
      </w:r>
      <w:r w:rsidR="00165283" w:rsidRPr="00165283">
        <w:rPr>
          <w:szCs w:val="20"/>
        </w:rPr>
        <w:t>161 kmetijskih gospodarstev</w:t>
      </w:r>
      <w:r w:rsidR="00F50363">
        <w:rPr>
          <w:szCs w:val="20"/>
        </w:rPr>
        <w:t xml:space="preserve"> takšnih</w:t>
      </w:r>
      <w:r w:rsidR="00165283" w:rsidRPr="00165283">
        <w:rPr>
          <w:szCs w:val="20"/>
        </w:rPr>
        <w:t>, ki sama vnašajo podatke. Pri tem imamo okoli 7</w:t>
      </w:r>
      <w:r w:rsidR="00165283">
        <w:rPr>
          <w:szCs w:val="20"/>
        </w:rPr>
        <w:t>.</w:t>
      </w:r>
      <w:r w:rsidR="00165283" w:rsidRPr="00165283">
        <w:rPr>
          <w:szCs w:val="20"/>
        </w:rPr>
        <w:t>000 takih KMG, ki imajo letno več kot 5 prašičev, ter okoli 24</w:t>
      </w:r>
      <w:r w:rsidR="00165283">
        <w:rPr>
          <w:szCs w:val="20"/>
        </w:rPr>
        <w:t>.</w:t>
      </w:r>
      <w:r w:rsidR="00165283" w:rsidRPr="00165283">
        <w:rPr>
          <w:szCs w:val="20"/>
        </w:rPr>
        <w:t>000 takih, ki jih imajo do 5. Pri drobnici, ki je precej bolj ekstenzivna, je delež vnašalcev le 5 %.</w:t>
      </w:r>
    </w:p>
    <w:p w14:paraId="0697A466" w14:textId="77777777" w:rsidR="00165283" w:rsidRDefault="00165283" w:rsidP="00165283">
      <w:pPr>
        <w:spacing w:before="0" w:line="260" w:lineRule="atLeast"/>
        <w:rPr>
          <w:szCs w:val="20"/>
        </w:rPr>
      </w:pPr>
    </w:p>
    <w:p w14:paraId="47F00468" w14:textId="49AA548A" w:rsidR="00165283" w:rsidRDefault="00986668" w:rsidP="00986668">
      <w:pPr>
        <w:spacing w:before="0" w:line="260" w:lineRule="atLeast"/>
        <w:rPr>
          <w:szCs w:val="20"/>
        </w:rPr>
      </w:pPr>
      <w:r w:rsidRPr="00986668">
        <w:rPr>
          <w:szCs w:val="20"/>
        </w:rPr>
        <w:t xml:space="preserve">V bodoče </w:t>
      </w:r>
      <w:r>
        <w:rPr>
          <w:szCs w:val="20"/>
        </w:rPr>
        <w:t>je načrtovana</w:t>
      </w:r>
      <w:r w:rsidRPr="00986668">
        <w:rPr>
          <w:szCs w:val="20"/>
        </w:rPr>
        <w:t xml:space="preserve"> nadgradnj</w:t>
      </w:r>
      <w:r>
        <w:rPr>
          <w:szCs w:val="20"/>
        </w:rPr>
        <w:t>a</w:t>
      </w:r>
      <w:r w:rsidRPr="00986668">
        <w:rPr>
          <w:szCs w:val="20"/>
        </w:rPr>
        <w:t xml:space="preserve"> sistema z mobilnimi aplikacijami. Namen je, da </w:t>
      </w:r>
      <w:r>
        <w:rPr>
          <w:szCs w:val="20"/>
        </w:rPr>
        <w:t xml:space="preserve">bo za kmeta </w:t>
      </w:r>
      <w:r w:rsidRPr="00986668">
        <w:rPr>
          <w:szCs w:val="20"/>
        </w:rPr>
        <w:t>priprav</w:t>
      </w:r>
      <w:r>
        <w:rPr>
          <w:szCs w:val="20"/>
        </w:rPr>
        <w:t>ljena</w:t>
      </w:r>
      <w:r w:rsidRPr="00986668">
        <w:rPr>
          <w:szCs w:val="20"/>
        </w:rPr>
        <w:t xml:space="preserve"> preprost</w:t>
      </w:r>
      <w:r>
        <w:rPr>
          <w:szCs w:val="20"/>
        </w:rPr>
        <w:t>a</w:t>
      </w:r>
      <w:r w:rsidRPr="00986668">
        <w:rPr>
          <w:szCs w:val="20"/>
        </w:rPr>
        <w:t xml:space="preserve"> in učinkovit</w:t>
      </w:r>
      <w:r>
        <w:rPr>
          <w:szCs w:val="20"/>
        </w:rPr>
        <w:t>a</w:t>
      </w:r>
      <w:r w:rsidRPr="00986668">
        <w:rPr>
          <w:szCs w:val="20"/>
        </w:rPr>
        <w:t xml:space="preserve"> aplikacijo, da bodo </w:t>
      </w:r>
      <w:r>
        <w:rPr>
          <w:szCs w:val="20"/>
        </w:rPr>
        <w:t xml:space="preserve">lažje dostopali do informacij in komunicirali z ustreznimi organi. Vzpostavljeni so tudi spletni servisi, na primer za klavnice, </w:t>
      </w:r>
      <w:r w:rsidRPr="00986668">
        <w:rPr>
          <w:szCs w:val="20"/>
        </w:rPr>
        <w:t>za informacijske sisteme veterinarskih ambulant, zavarovalnic, sistemov za vodenje podatkov na kmetijah ipd.</w:t>
      </w:r>
      <w:r>
        <w:rPr>
          <w:szCs w:val="20"/>
        </w:rPr>
        <w:t xml:space="preserve"> </w:t>
      </w:r>
      <w:r w:rsidR="001A4D7F">
        <w:rPr>
          <w:szCs w:val="20"/>
        </w:rPr>
        <w:t xml:space="preserve"> </w:t>
      </w:r>
    </w:p>
    <w:p w14:paraId="6D793C18" w14:textId="77777777" w:rsidR="00986668" w:rsidRPr="00986668" w:rsidRDefault="00986668" w:rsidP="00986668">
      <w:pPr>
        <w:spacing w:before="0" w:line="260" w:lineRule="atLeast"/>
        <w:rPr>
          <w:szCs w:val="20"/>
        </w:rPr>
      </w:pPr>
    </w:p>
    <w:p w14:paraId="55412BD1" w14:textId="77777777" w:rsidR="00B94EA4" w:rsidRDefault="00986668" w:rsidP="00E155C1">
      <w:pPr>
        <w:spacing w:before="0" w:line="260" w:lineRule="atLeast"/>
        <w:rPr>
          <w:i/>
          <w:szCs w:val="20"/>
          <w:u w:val="single"/>
        </w:rPr>
      </w:pPr>
      <w:r w:rsidRPr="00E155C1">
        <w:rPr>
          <w:i/>
          <w:szCs w:val="20"/>
          <w:u w:val="single"/>
        </w:rPr>
        <w:t xml:space="preserve">Varstvo rastlin: </w:t>
      </w:r>
    </w:p>
    <w:p w14:paraId="527DE7CC" w14:textId="77777777" w:rsidR="00B94EA4" w:rsidRDefault="00B94EA4" w:rsidP="00E155C1">
      <w:pPr>
        <w:spacing w:before="0" w:line="260" w:lineRule="atLeast"/>
        <w:rPr>
          <w:i/>
          <w:szCs w:val="20"/>
          <w:u w:val="single"/>
        </w:rPr>
      </w:pPr>
    </w:p>
    <w:p w14:paraId="3A5612F0" w14:textId="513BEC79" w:rsidR="001E5E40" w:rsidRPr="00E155C1" w:rsidRDefault="00B94EA4" w:rsidP="00E155C1">
      <w:pPr>
        <w:spacing w:before="0" w:line="260" w:lineRule="atLeast"/>
        <w:rPr>
          <w:rFonts w:eastAsiaTheme="minorHAnsi"/>
          <w:color w:val="000000"/>
          <w:szCs w:val="20"/>
          <w:lang w:eastAsia="en-US"/>
        </w:rPr>
      </w:pPr>
      <w:r w:rsidRPr="00E155C1">
        <w:rPr>
          <w:szCs w:val="20"/>
          <w:u w:val="single"/>
        </w:rPr>
        <w:t xml:space="preserve">1. </w:t>
      </w:r>
      <w:r w:rsidR="001E5E40" w:rsidRPr="00E155C1">
        <w:rPr>
          <w:rFonts w:eastAsiaTheme="minorHAnsi"/>
          <w:bCs/>
          <w:color w:val="000000"/>
          <w:szCs w:val="20"/>
          <w:u w:val="single"/>
          <w:lang w:eastAsia="en-US"/>
        </w:rPr>
        <w:t>V okviru Agrometeorološkega portala Slovenije</w:t>
      </w:r>
      <w:r w:rsidR="001E5E40" w:rsidRPr="00E155C1">
        <w:rPr>
          <w:rFonts w:eastAsiaTheme="minorHAnsi"/>
          <w:color w:val="000000"/>
          <w:szCs w:val="20"/>
          <w:lang w:eastAsia="en-US"/>
        </w:rPr>
        <w:t xml:space="preserve"> (http://agromet.mkgp.gov.si/), sta za uporabnike (tudi KMG) s področja varstva rastlin pomembna:</w:t>
      </w:r>
    </w:p>
    <w:p w14:paraId="1321569C" w14:textId="77777777" w:rsidR="001E5E40" w:rsidRPr="00E155C1" w:rsidRDefault="001E5E40" w:rsidP="00E155C1">
      <w:pPr>
        <w:autoSpaceDE w:val="0"/>
        <w:autoSpaceDN w:val="0"/>
        <w:adjustRightInd w:val="0"/>
        <w:spacing w:before="0" w:line="240" w:lineRule="auto"/>
        <w:rPr>
          <w:rFonts w:eastAsiaTheme="minorHAnsi"/>
          <w:color w:val="000000"/>
          <w:szCs w:val="20"/>
          <w:lang w:eastAsia="en-US"/>
        </w:rPr>
      </w:pPr>
    </w:p>
    <w:p w14:paraId="432483C3" w14:textId="77777777" w:rsidR="001E5E40" w:rsidRDefault="001E5E40" w:rsidP="00E155C1">
      <w:pPr>
        <w:autoSpaceDE w:val="0"/>
        <w:autoSpaceDN w:val="0"/>
        <w:adjustRightInd w:val="0"/>
        <w:spacing w:before="0" w:line="240" w:lineRule="auto"/>
        <w:rPr>
          <w:rFonts w:eastAsiaTheme="minorHAnsi"/>
          <w:color w:val="000000"/>
          <w:szCs w:val="20"/>
          <w:lang w:eastAsia="en-US"/>
        </w:rPr>
      </w:pPr>
      <w:r w:rsidRPr="00E155C1">
        <w:rPr>
          <w:rFonts w:eastAsiaTheme="minorHAnsi"/>
          <w:color w:val="000000"/>
          <w:szCs w:val="20"/>
          <w:lang w:eastAsia="en-US"/>
        </w:rPr>
        <w:t xml:space="preserve">- </w:t>
      </w:r>
      <w:r w:rsidRPr="00E155C1">
        <w:rPr>
          <w:rFonts w:eastAsiaTheme="minorHAnsi"/>
          <w:bCs/>
          <w:i/>
          <w:color w:val="000000"/>
          <w:szCs w:val="20"/>
          <w:lang w:eastAsia="en-US"/>
        </w:rPr>
        <w:t>Mreža agrometeoroloških postaj</w:t>
      </w:r>
      <w:r w:rsidRPr="00E155C1">
        <w:rPr>
          <w:rFonts w:eastAsiaTheme="minorHAnsi"/>
          <w:color w:val="000000"/>
          <w:szCs w:val="20"/>
          <w:lang w:eastAsia="en-US"/>
        </w:rPr>
        <w:t xml:space="preserve"> zagotavlja meteorološke in druge podatke pomembne za opazovanje in napovedovanje pojava določenih bolezni in škodljivcev v kmetijstvu (prognoza škodljivih organizmov rastlin). Pridelovalci iz aktivnih senzorjev dobijo neposredne informacije o meritvah agrometeoroloških parametrov, zlasti temperatura, relativna zračna vlaga, padavine, omočenost listja, pri posameznih postajah pa še hitrost in smer vetra, temperatura tal, itd.; meritve služijo za vključitev v nekatere modele, ki so javno dostopni na spletu (jabolčni zavijač, jablanov škrlup); uporabniki (tudi KMG) lahko neposredno pridobijo podatke za zadnjih 24 ur, pregledajo grafični vmesnik oz podatke lahko prevzamejo za tekoči mesec v letu 2021 ali izpis za celotno leto (podatki so na voljo od leta 2012); uporabniki dobijo tudi podatke o vsoti efektivnih temperatur ter podatek o preseženosti temperaturnega praga; stran bo v decembru posodobljena po formatu gov.si strani, dodane bodo še nekatere uprabniku prijaznejše informacije in povezave do ostalih meritev: ARSO, DRSI, ZRS Koper, pozeba; dodana bo tudi povezava na geografski informacijski sistem, kjer uporabniki na podlagi pregleda podatkov na karti lahko sledijo različnim pragovom: </w:t>
      </w:r>
    </w:p>
    <w:p w14:paraId="010454D9" w14:textId="0454C55F" w:rsidR="001E5E40" w:rsidRDefault="00FB6BEC" w:rsidP="00E155C1">
      <w:pPr>
        <w:autoSpaceDE w:val="0"/>
        <w:autoSpaceDN w:val="0"/>
        <w:adjustRightInd w:val="0"/>
        <w:spacing w:before="0" w:line="240" w:lineRule="auto"/>
        <w:rPr>
          <w:rFonts w:eastAsiaTheme="minorHAnsi"/>
          <w:color w:val="000000"/>
          <w:szCs w:val="20"/>
          <w:lang w:eastAsia="en-US"/>
        </w:rPr>
      </w:pPr>
      <w:hyperlink r:id="rId152" w:anchor="config=AgrometV2.xml" w:history="1">
        <w:r w:rsidR="001E5E40" w:rsidRPr="00E155C1">
          <w:rPr>
            <w:rStyle w:val="Hiperpovezava"/>
            <w:rFonts w:eastAsiaTheme="minorHAnsi"/>
          </w:rPr>
          <w:t>https://webapl.mkgp.gov.si/pregl/#config=AgrometV2.xml</w:t>
        </w:r>
      </w:hyperlink>
      <w:r w:rsidR="001E5E40" w:rsidRPr="00E155C1">
        <w:rPr>
          <w:rFonts w:eastAsiaTheme="minorHAnsi"/>
          <w:color w:val="000000"/>
          <w:szCs w:val="20"/>
          <w:lang w:eastAsia="en-US"/>
        </w:rPr>
        <w:t xml:space="preserve">. </w:t>
      </w:r>
    </w:p>
    <w:p w14:paraId="1E37C8D3" w14:textId="77777777" w:rsidR="001E5E40" w:rsidRPr="00E155C1" w:rsidRDefault="001E5E40" w:rsidP="00E155C1">
      <w:pPr>
        <w:autoSpaceDE w:val="0"/>
        <w:autoSpaceDN w:val="0"/>
        <w:adjustRightInd w:val="0"/>
        <w:spacing w:before="0" w:line="240" w:lineRule="auto"/>
        <w:rPr>
          <w:rFonts w:eastAsiaTheme="minorHAnsi"/>
          <w:color w:val="000000"/>
          <w:szCs w:val="20"/>
          <w:lang w:eastAsia="en-US"/>
        </w:rPr>
      </w:pPr>
    </w:p>
    <w:p w14:paraId="5D1FFEC6" w14:textId="58FFECB3" w:rsidR="001E5E40" w:rsidRPr="00E155C1" w:rsidRDefault="001E5E40" w:rsidP="00E155C1">
      <w:pPr>
        <w:autoSpaceDE w:val="0"/>
        <w:autoSpaceDN w:val="0"/>
        <w:adjustRightInd w:val="0"/>
        <w:spacing w:before="0" w:line="240" w:lineRule="auto"/>
        <w:rPr>
          <w:rFonts w:eastAsiaTheme="minorHAnsi"/>
          <w:color w:val="000000"/>
          <w:szCs w:val="20"/>
          <w:lang w:eastAsia="en-US"/>
        </w:rPr>
      </w:pPr>
      <w:r w:rsidRPr="00E155C1">
        <w:rPr>
          <w:rFonts w:eastAsiaTheme="minorHAnsi"/>
          <w:color w:val="000000"/>
          <w:szCs w:val="20"/>
          <w:lang w:eastAsia="en-US"/>
        </w:rPr>
        <w:t xml:space="preserve">- </w:t>
      </w:r>
      <w:r w:rsidRPr="00E155C1">
        <w:rPr>
          <w:rFonts w:eastAsiaTheme="minorHAnsi"/>
          <w:bCs/>
          <w:i/>
          <w:color w:val="000000"/>
          <w:szCs w:val="20"/>
          <w:lang w:eastAsia="en-US"/>
        </w:rPr>
        <w:t>Prognostična obvestila</w:t>
      </w:r>
      <w:r w:rsidRPr="00E155C1">
        <w:rPr>
          <w:rFonts w:eastAsiaTheme="minorHAnsi"/>
          <w:color w:val="000000"/>
          <w:szCs w:val="20"/>
          <w:lang w:eastAsia="en-US"/>
        </w:rPr>
        <w:t xml:space="preserve"> so obvestila javne službe zdravstvenega varstva rastlin o pojavih in ukrepih varstva pred boleznimi in škodljivci v kmetijstvu. Na voljo so vsem registriranim uporabnikom; registracija je možna z uporabniškim imenom in geslom ter navedbo GSM številke, kamor uporabniik dobi potrditveno kodo; z dodelitvijo dostopa, lahko uporabnik (tudi KMG) izbere eno izmed kategorij: sadjarstvo, vinogradništvo, poljedelstrvo, oljkarstvo itd., kjer glede na njegov uporabniški profil (naročilo na prejemanje SMS ali po elektronskli pošti) dobi infomracijo o objavljenem prognostičnem obvestilu za posamezno kategorijo; na dan 8.12.2021 je v sistem vključenih 4674 uporabnikov.</w:t>
      </w:r>
    </w:p>
    <w:p w14:paraId="0A002F1F" w14:textId="77777777" w:rsidR="001E5E40" w:rsidRPr="00E155C1" w:rsidRDefault="001E5E40" w:rsidP="00E155C1">
      <w:pPr>
        <w:autoSpaceDE w:val="0"/>
        <w:autoSpaceDN w:val="0"/>
        <w:adjustRightInd w:val="0"/>
        <w:spacing w:before="0" w:line="240" w:lineRule="auto"/>
        <w:rPr>
          <w:rFonts w:eastAsiaTheme="minorHAnsi"/>
          <w:color w:val="000000"/>
          <w:szCs w:val="20"/>
          <w:lang w:eastAsia="en-US"/>
        </w:rPr>
      </w:pPr>
    </w:p>
    <w:p w14:paraId="441C6119" w14:textId="77777777" w:rsidR="001E5E40" w:rsidRPr="00E155C1" w:rsidRDefault="001E5E40" w:rsidP="00E155C1">
      <w:pPr>
        <w:autoSpaceDE w:val="0"/>
        <w:autoSpaceDN w:val="0"/>
        <w:adjustRightInd w:val="0"/>
        <w:spacing w:before="0" w:line="240" w:lineRule="auto"/>
        <w:ind w:left="15"/>
        <w:rPr>
          <w:rFonts w:eastAsiaTheme="minorHAnsi"/>
          <w:color w:val="000000"/>
          <w:szCs w:val="20"/>
          <w:lang w:eastAsia="en-US"/>
        </w:rPr>
      </w:pPr>
      <w:r w:rsidRPr="00E155C1">
        <w:rPr>
          <w:rFonts w:eastAsiaTheme="minorHAnsi"/>
          <w:color w:val="000000"/>
          <w:szCs w:val="20"/>
          <w:u w:val="single"/>
          <w:lang w:eastAsia="en-US"/>
        </w:rPr>
        <w:t>2.</w:t>
      </w:r>
      <w:r w:rsidRPr="00E155C1">
        <w:rPr>
          <w:rFonts w:eastAsiaTheme="minorHAnsi"/>
          <w:bCs/>
          <w:color w:val="000000"/>
          <w:szCs w:val="20"/>
          <w:u w:val="single"/>
          <w:lang w:eastAsia="en-US"/>
        </w:rPr>
        <w:t xml:space="preserve"> Portal integriranega varstva rastlin</w:t>
      </w:r>
      <w:r w:rsidRPr="00E155C1">
        <w:rPr>
          <w:rFonts w:eastAsiaTheme="minorHAnsi"/>
          <w:b/>
          <w:bCs/>
          <w:color w:val="000000"/>
          <w:szCs w:val="20"/>
          <w:lang w:eastAsia="en-US"/>
        </w:rPr>
        <w:t xml:space="preserve"> </w:t>
      </w:r>
      <w:r w:rsidRPr="00E155C1">
        <w:rPr>
          <w:rFonts w:eastAsiaTheme="minorHAnsi"/>
          <w:color w:val="000000"/>
          <w:szCs w:val="20"/>
          <w:lang w:eastAsia="en-US"/>
        </w:rPr>
        <w:t>( https://www.ivr.si): je spletna stran, ki jo vzdržuje Kmetijski inštitut Slovenije, uporabnikom so neposredno na voljo vsebine integriranega varstva rastlin, vključno s smernicami za IVR za posamezne kmetijske panoge; informacije so na voljo na način, da uporabnik pridobi celostne informacije varstva rastlin, ki vključuje sredstva in metode varstva rastlin, škodljive organizme, plevelne vrste, koristne organizme, osebno varstvo ter varstvo okolja o rabi FFS; v delu škodljivih organizmov uporabnik (tudi KMG) dobi informacije o škodljivih organizmih glede na področje: poljedelstvo, sadjarstvo, vrtnarstvo, vinogradništvo; poseben sklop so informacije, ki jih potrebujejo registrirani pridelovalci o nadzorovanih nekaratenskih škodljivih organizmih; vmesnik je posodobljen tudi na prejemanje novic s področja poljedelstva, sadjarstva, vinogradništva in vrtnarstva; uporabniku prijazen je tudi iskalnih škodljivcev in plevelnih vrst ter kalkulator za pripravo pesticidov.</w:t>
      </w:r>
    </w:p>
    <w:p w14:paraId="0FC5D5B3" w14:textId="77777777" w:rsidR="001E5E40" w:rsidRPr="00E155C1" w:rsidRDefault="001E5E40" w:rsidP="00E155C1">
      <w:pPr>
        <w:autoSpaceDE w:val="0"/>
        <w:autoSpaceDN w:val="0"/>
        <w:adjustRightInd w:val="0"/>
        <w:spacing w:before="0" w:line="240" w:lineRule="auto"/>
        <w:ind w:left="15"/>
        <w:rPr>
          <w:rFonts w:eastAsiaTheme="minorHAnsi"/>
          <w:color w:val="000000"/>
          <w:szCs w:val="20"/>
          <w:lang w:eastAsia="en-US"/>
        </w:rPr>
      </w:pPr>
    </w:p>
    <w:p w14:paraId="33A3F0CC" w14:textId="0340B44B" w:rsidR="001E5E40" w:rsidRDefault="001E5E40" w:rsidP="00E155C1">
      <w:pPr>
        <w:autoSpaceDE w:val="0"/>
        <w:autoSpaceDN w:val="0"/>
        <w:adjustRightInd w:val="0"/>
        <w:spacing w:before="0" w:line="240" w:lineRule="auto"/>
        <w:ind w:left="15"/>
        <w:rPr>
          <w:rFonts w:eastAsiaTheme="minorHAnsi"/>
          <w:color w:val="000000"/>
          <w:szCs w:val="20"/>
          <w:lang w:eastAsia="en-US"/>
        </w:rPr>
      </w:pPr>
      <w:r w:rsidRPr="00E155C1">
        <w:rPr>
          <w:rFonts w:eastAsiaTheme="minorHAnsi"/>
          <w:color w:val="000000"/>
          <w:szCs w:val="20"/>
          <w:u w:val="single"/>
          <w:lang w:eastAsia="en-US"/>
        </w:rPr>
        <w:t xml:space="preserve">3. </w:t>
      </w:r>
      <w:r w:rsidRPr="00E155C1">
        <w:rPr>
          <w:rFonts w:eastAsiaTheme="minorHAnsi"/>
          <w:bCs/>
          <w:color w:val="000000"/>
          <w:szCs w:val="20"/>
          <w:u w:val="single"/>
          <w:lang w:eastAsia="en-US"/>
        </w:rPr>
        <w:t>Fitosanitarni prostorski portal</w:t>
      </w:r>
      <w:r w:rsidRPr="00E155C1">
        <w:rPr>
          <w:rFonts w:eastAsiaTheme="minorHAnsi"/>
          <w:b/>
          <w:bCs/>
          <w:color w:val="000000"/>
          <w:szCs w:val="20"/>
          <w:lang w:eastAsia="en-US"/>
        </w:rPr>
        <w:t xml:space="preserve"> </w:t>
      </w:r>
      <w:r w:rsidRPr="00E155C1">
        <w:rPr>
          <w:rFonts w:eastAsiaTheme="minorHAnsi"/>
          <w:color w:val="000000"/>
          <w:szCs w:val="20"/>
          <w:lang w:eastAsia="en-US"/>
        </w:rPr>
        <w:t xml:space="preserve">(http://fito-gis.mko.gov.si/) je namenjen uporabnikom za vpogled v prostorske podatke glede škodljivih organizmov; zlasti je pomemben pri tistih škodljivih organizmih, kjer so že vzpostavljena razmejena (okužena) območja; uporabnik (tudi KMG) dobi na teh spletnih straneh informacijo glede statusa njihovih zemljišč (vključen je iskalnik po GERK, naslovu ali glede na koordinato); na voljo so podatki o GERK, veljavnih razmejitvah, ter podatki o pregledih in morebitnih najdbah škodljivih organizmov; GIS vmesnik je prilagojen na posamezen škodljivi organizem. </w:t>
      </w:r>
    </w:p>
    <w:p w14:paraId="645151CC" w14:textId="6EC9B381" w:rsidR="00E42967" w:rsidRDefault="00E42967" w:rsidP="00E155C1">
      <w:pPr>
        <w:autoSpaceDE w:val="0"/>
        <w:autoSpaceDN w:val="0"/>
        <w:adjustRightInd w:val="0"/>
        <w:spacing w:before="0" w:line="240" w:lineRule="auto"/>
        <w:ind w:left="15"/>
        <w:rPr>
          <w:rFonts w:eastAsiaTheme="minorHAnsi"/>
          <w:color w:val="000000"/>
          <w:szCs w:val="20"/>
          <w:lang w:eastAsia="en-US"/>
        </w:rPr>
      </w:pPr>
    </w:p>
    <w:p w14:paraId="00752928" w14:textId="75E0B1E8" w:rsidR="001076E3" w:rsidRDefault="001076E3" w:rsidP="00E155C1">
      <w:pPr>
        <w:autoSpaceDE w:val="0"/>
        <w:autoSpaceDN w:val="0"/>
        <w:adjustRightInd w:val="0"/>
        <w:spacing w:before="0" w:line="240" w:lineRule="auto"/>
        <w:ind w:left="15"/>
        <w:rPr>
          <w:rFonts w:eastAsiaTheme="minorHAnsi"/>
          <w:color w:val="000000"/>
          <w:szCs w:val="20"/>
          <w:lang w:eastAsia="en-US"/>
        </w:rPr>
      </w:pPr>
    </w:p>
    <w:p w14:paraId="481615C1" w14:textId="09DE6A1F" w:rsidR="001076E3" w:rsidRDefault="001076E3" w:rsidP="00E155C1">
      <w:pPr>
        <w:autoSpaceDE w:val="0"/>
        <w:autoSpaceDN w:val="0"/>
        <w:adjustRightInd w:val="0"/>
        <w:spacing w:before="0" w:line="240" w:lineRule="auto"/>
        <w:ind w:left="15"/>
        <w:rPr>
          <w:rFonts w:eastAsiaTheme="minorHAnsi"/>
          <w:i/>
          <w:color w:val="000000"/>
          <w:szCs w:val="20"/>
          <w:u w:val="single"/>
          <w:lang w:eastAsia="en-US"/>
        </w:rPr>
      </w:pPr>
      <w:r w:rsidRPr="00E155C1">
        <w:rPr>
          <w:rFonts w:eastAsiaTheme="minorHAnsi"/>
          <w:i/>
          <w:color w:val="000000"/>
          <w:szCs w:val="20"/>
          <w:u w:val="single"/>
          <w:lang w:eastAsia="en-US"/>
        </w:rPr>
        <w:t>Na področju komuniciranja pri uveljavljanju ukrepov SKP</w:t>
      </w:r>
    </w:p>
    <w:p w14:paraId="3499D56B" w14:textId="77777777" w:rsidR="001076E3" w:rsidRPr="00E155C1" w:rsidRDefault="001076E3" w:rsidP="00E155C1">
      <w:pPr>
        <w:autoSpaceDE w:val="0"/>
        <w:autoSpaceDN w:val="0"/>
        <w:adjustRightInd w:val="0"/>
        <w:spacing w:before="0" w:line="240" w:lineRule="auto"/>
        <w:ind w:left="15"/>
        <w:rPr>
          <w:rFonts w:eastAsiaTheme="minorHAnsi"/>
          <w:i/>
          <w:color w:val="000000"/>
          <w:szCs w:val="20"/>
          <w:u w:val="single"/>
          <w:lang w:eastAsia="en-US"/>
        </w:rPr>
      </w:pPr>
    </w:p>
    <w:p w14:paraId="408CD816" w14:textId="1B0AD9EB" w:rsidR="001076E3" w:rsidRDefault="00E42967" w:rsidP="00E155C1">
      <w:pPr>
        <w:autoSpaceDE w:val="0"/>
        <w:autoSpaceDN w:val="0"/>
        <w:adjustRightInd w:val="0"/>
        <w:spacing w:before="0" w:line="240" w:lineRule="auto"/>
        <w:ind w:left="15"/>
        <w:rPr>
          <w:rFonts w:eastAsiaTheme="minorHAnsi"/>
          <w:color w:val="000000"/>
          <w:szCs w:val="20"/>
          <w:lang w:eastAsia="en-US"/>
        </w:rPr>
      </w:pPr>
      <w:r>
        <w:rPr>
          <w:rFonts w:eastAsiaTheme="minorHAnsi"/>
          <w:color w:val="000000"/>
          <w:szCs w:val="20"/>
          <w:lang w:eastAsia="en-US"/>
        </w:rPr>
        <w:t xml:space="preserve">Vse bolj pa se kmetje </w:t>
      </w:r>
      <w:r w:rsidR="004929B4">
        <w:rPr>
          <w:rFonts w:eastAsiaTheme="minorHAnsi"/>
          <w:color w:val="000000"/>
          <w:szCs w:val="20"/>
          <w:lang w:eastAsia="en-US"/>
        </w:rPr>
        <w:t xml:space="preserve">in javna uprava </w:t>
      </w:r>
      <w:r>
        <w:rPr>
          <w:rFonts w:eastAsiaTheme="minorHAnsi"/>
          <w:color w:val="000000"/>
          <w:szCs w:val="20"/>
          <w:lang w:eastAsia="en-US"/>
        </w:rPr>
        <w:t xml:space="preserve">poslužujejo e-komuniciranja v upravnih postopkih, pri uveljavljanju ukrepov SKP. </w:t>
      </w:r>
      <w:r w:rsidR="004929B4">
        <w:rPr>
          <w:rFonts w:eastAsiaTheme="minorHAnsi"/>
          <w:color w:val="000000"/>
          <w:szCs w:val="20"/>
          <w:lang w:eastAsia="en-US"/>
        </w:rPr>
        <w:t xml:space="preserve">Navedeno kaže na dvig digitalnih kompetenc, pospešeno uvajanje vse bolj digitaliziranega poslovanja, kar prispeva k hitrejšim in učinkovitejšim postopkom ter zmanjševanju administracije. Epidemija COVID-19 je digitalizacijo poslovanja le še pospešila.  </w:t>
      </w:r>
    </w:p>
    <w:p w14:paraId="1CF2AF77" w14:textId="77777777" w:rsidR="001076E3" w:rsidRDefault="001076E3" w:rsidP="00E155C1">
      <w:pPr>
        <w:autoSpaceDE w:val="0"/>
        <w:autoSpaceDN w:val="0"/>
        <w:adjustRightInd w:val="0"/>
        <w:spacing w:before="0" w:line="240" w:lineRule="auto"/>
        <w:ind w:left="15"/>
        <w:rPr>
          <w:rFonts w:eastAsiaTheme="minorHAnsi"/>
          <w:color w:val="000000"/>
          <w:szCs w:val="20"/>
          <w:lang w:eastAsia="en-US"/>
        </w:rPr>
      </w:pPr>
    </w:p>
    <w:p w14:paraId="0F05E1D7" w14:textId="4C5DD13C" w:rsidR="001076E3" w:rsidRPr="00E155C1" w:rsidRDefault="00183F58" w:rsidP="00E155C1">
      <w:pPr>
        <w:autoSpaceDE w:val="0"/>
        <w:autoSpaceDN w:val="0"/>
        <w:adjustRightInd w:val="0"/>
        <w:spacing w:before="0" w:line="240" w:lineRule="auto"/>
        <w:ind w:left="15"/>
        <w:rPr>
          <w:rFonts w:eastAsiaTheme="minorHAnsi"/>
          <w:i/>
          <w:color w:val="000000"/>
          <w:szCs w:val="20"/>
          <w:u w:val="single"/>
          <w:lang w:eastAsia="en-US"/>
        </w:rPr>
      </w:pPr>
      <w:r>
        <w:rPr>
          <w:rFonts w:eastAsiaTheme="minorHAnsi"/>
          <w:i/>
          <w:color w:val="000000"/>
          <w:szCs w:val="20"/>
          <w:u w:val="single"/>
          <w:lang w:eastAsia="en-US"/>
        </w:rPr>
        <w:t xml:space="preserve">1. </w:t>
      </w:r>
      <w:r w:rsidR="001076E3" w:rsidRPr="00E155C1">
        <w:rPr>
          <w:rFonts w:eastAsiaTheme="minorHAnsi"/>
          <w:i/>
          <w:color w:val="000000"/>
          <w:szCs w:val="20"/>
          <w:u w:val="single"/>
          <w:lang w:eastAsia="en-US"/>
        </w:rPr>
        <w:t>Površinski ukrepi</w:t>
      </w:r>
    </w:p>
    <w:p w14:paraId="60BEC004" w14:textId="2D5ACA0B" w:rsidR="00E25396" w:rsidRDefault="00E42967" w:rsidP="00E155C1">
      <w:pPr>
        <w:autoSpaceDE w:val="0"/>
        <w:autoSpaceDN w:val="0"/>
        <w:adjustRightInd w:val="0"/>
        <w:spacing w:before="0" w:line="240" w:lineRule="auto"/>
        <w:ind w:left="15"/>
        <w:rPr>
          <w:rFonts w:eastAsiaTheme="minorHAnsi"/>
          <w:color w:val="000000"/>
          <w:szCs w:val="20"/>
          <w:lang w:eastAsia="en-US"/>
        </w:rPr>
      </w:pPr>
      <w:r w:rsidRPr="00E42967">
        <w:rPr>
          <w:rFonts w:eastAsiaTheme="minorHAnsi"/>
          <w:color w:val="000000"/>
          <w:szCs w:val="20"/>
          <w:lang w:eastAsia="en-US"/>
        </w:rPr>
        <w:t xml:space="preserve">Ob oddaji zbirne vloge za </w:t>
      </w:r>
      <w:r>
        <w:rPr>
          <w:rFonts w:eastAsiaTheme="minorHAnsi"/>
          <w:color w:val="000000"/>
          <w:szCs w:val="20"/>
          <w:lang w:eastAsia="en-US"/>
        </w:rPr>
        <w:t xml:space="preserve">leto </w:t>
      </w:r>
      <w:r w:rsidRPr="00E42967">
        <w:rPr>
          <w:rFonts w:eastAsiaTheme="minorHAnsi"/>
          <w:color w:val="000000"/>
          <w:szCs w:val="20"/>
          <w:lang w:eastAsia="en-US"/>
        </w:rPr>
        <w:t>2021 ima 39.101 upravičen</w:t>
      </w:r>
      <w:r>
        <w:rPr>
          <w:rFonts w:eastAsiaTheme="minorHAnsi"/>
          <w:color w:val="000000"/>
          <w:szCs w:val="20"/>
          <w:lang w:eastAsia="en-US"/>
        </w:rPr>
        <w:t>cev</w:t>
      </w:r>
      <w:r w:rsidRPr="00E42967">
        <w:rPr>
          <w:rFonts w:eastAsiaTheme="minorHAnsi"/>
          <w:color w:val="000000"/>
          <w:szCs w:val="20"/>
          <w:lang w:eastAsia="en-US"/>
        </w:rPr>
        <w:t xml:space="preserve"> navedeno številko</w:t>
      </w:r>
      <w:r w:rsidR="00E25396">
        <w:rPr>
          <w:rFonts w:eastAsiaTheme="minorHAnsi"/>
          <w:color w:val="000000"/>
          <w:szCs w:val="20"/>
          <w:lang w:eastAsia="en-US"/>
        </w:rPr>
        <w:t xml:space="preserve"> mobilnega telef</w:t>
      </w:r>
      <w:r>
        <w:rPr>
          <w:rFonts w:eastAsiaTheme="minorHAnsi"/>
          <w:color w:val="000000"/>
          <w:szCs w:val="20"/>
          <w:lang w:eastAsia="en-US"/>
        </w:rPr>
        <w:t>ona</w:t>
      </w:r>
      <w:r w:rsidRPr="00E42967">
        <w:rPr>
          <w:rFonts w:eastAsiaTheme="minorHAnsi"/>
          <w:color w:val="000000"/>
          <w:szCs w:val="20"/>
          <w:lang w:eastAsia="en-US"/>
        </w:rPr>
        <w:t xml:space="preserve">, e-mail pa 18.600 upravičencev,  za </w:t>
      </w:r>
      <w:r>
        <w:rPr>
          <w:rFonts w:eastAsiaTheme="minorHAnsi"/>
          <w:color w:val="000000"/>
          <w:szCs w:val="20"/>
          <w:lang w:eastAsia="en-US"/>
        </w:rPr>
        <w:t>e-</w:t>
      </w:r>
      <w:r w:rsidRPr="00E42967">
        <w:rPr>
          <w:rFonts w:eastAsiaTheme="minorHAnsi"/>
          <w:color w:val="000000"/>
          <w:szCs w:val="20"/>
          <w:lang w:eastAsia="en-US"/>
        </w:rPr>
        <w:t>vročanje odločb se je odločilo 319 upravičencev.</w:t>
      </w:r>
      <w:r>
        <w:rPr>
          <w:rFonts w:eastAsiaTheme="minorHAnsi"/>
          <w:color w:val="000000"/>
          <w:szCs w:val="20"/>
          <w:lang w:eastAsia="en-US"/>
        </w:rPr>
        <w:t xml:space="preserve"> Omenjene številke povedo, s k</w:t>
      </w:r>
      <w:r w:rsidRPr="00E42967">
        <w:rPr>
          <w:rFonts w:eastAsiaTheme="minorHAnsi"/>
          <w:color w:val="000000"/>
          <w:szCs w:val="20"/>
          <w:lang w:eastAsia="en-US"/>
        </w:rPr>
        <w:t>oliko potencialni</w:t>
      </w:r>
      <w:r>
        <w:rPr>
          <w:rFonts w:eastAsiaTheme="minorHAnsi"/>
          <w:color w:val="000000"/>
          <w:szCs w:val="20"/>
          <w:lang w:eastAsia="en-US"/>
        </w:rPr>
        <w:t>mi</w:t>
      </w:r>
      <w:r w:rsidRPr="00E42967">
        <w:rPr>
          <w:rFonts w:eastAsiaTheme="minorHAnsi"/>
          <w:color w:val="000000"/>
          <w:szCs w:val="20"/>
          <w:lang w:eastAsia="en-US"/>
        </w:rPr>
        <w:t xml:space="preserve"> upravičenc</w:t>
      </w:r>
      <w:r>
        <w:rPr>
          <w:rFonts w:eastAsiaTheme="minorHAnsi"/>
          <w:color w:val="000000"/>
          <w:szCs w:val="20"/>
          <w:lang w:eastAsia="en-US"/>
        </w:rPr>
        <w:t xml:space="preserve">i že danes lahko AKTRP bistveno lažje </w:t>
      </w:r>
      <w:r w:rsidR="00E25396">
        <w:rPr>
          <w:rFonts w:eastAsiaTheme="minorHAnsi"/>
          <w:color w:val="000000"/>
          <w:szCs w:val="20"/>
          <w:lang w:eastAsia="en-US"/>
        </w:rPr>
        <w:t xml:space="preserve">in hitreje </w:t>
      </w:r>
      <w:r>
        <w:rPr>
          <w:rFonts w:eastAsiaTheme="minorHAnsi"/>
          <w:color w:val="000000"/>
          <w:szCs w:val="20"/>
          <w:lang w:eastAsia="en-US"/>
        </w:rPr>
        <w:t>komunicira.</w:t>
      </w:r>
      <w:r w:rsidRPr="00E155C1">
        <w:rPr>
          <w:rFonts w:eastAsiaTheme="minorHAnsi"/>
          <w:color w:val="000000"/>
          <w:szCs w:val="20"/>
          <w:lang w:eastAsia="en-US"/>
        </w:rPr>
        <w:t xml:space="preserve"> </w:t>
      </w:r>
      <w:r w:rsidRPr="00E42967">
        <w:rPr>
          <w:rFonts w:eastAsiaTheme="minorHAnsi"/>
          <w:color w:val="000000"/>
          <w:szCs w:val="20"/>
          <w:lang w:eastAsia="en-US"/>
        </w:rPr>
        <w:t xml:space="preserve">Vsem upravičencem, ki imajo navedeno </w:t>
      </w:r>
      <w:r>
        <w:rPr>
          <w:rFonts w:eastAsiaTheme="minorHAnsi"/>
          <w:color w:val="000000"/>
          <w:szCs w:val="20"/>
          <w:lang w:eastAsia="en-US"/>
        </w:rPr>
        <w:t xml:space="preserve">mobilno številko, je tako AKTRP lahko </w:t>
      </w:r>
      <w:r w:rsidRPr="00E42967">
        <w:rPr>
          <w:rFonts w:eastAsiaTheme="minorHAnsi"/>
          <w:color w:val="000000"/>
          <w:szCs w:val="20"/>
          <w:lang w:eastAsia="en-US"/>
        </w:rPr>
        <w:t>poslal</w:t>
      </w:r>
      <w:r>
        <w:rPr>
          <w:rFonts w:eastAsiaTheme="minorHAnsi"/>
          <w:color w:val="000000"/>
          <w:szCs w:val="20"/>
          <w:lang w:eastAsia="en-US"/>
        </w:rPr>
        <w:t xml:space="preserve">a </w:t>
      </w:r>
      <w:r w:rsidRPr="00E42967">
        <w:rPr>
          <w:rFonts w:eastAsiaTheme="minorHAnsi"/>
          <w:color w:val="000000"/>
          <w:szCs w:val="20"/>
          <w:lang w:eastAsia="en-US"/>
        </w:rPr>
        <w:t>sms glede možnosti uporabe in vpogledov v aplikacijo Sopotnik.</w:t>
      </w:r>
      <w:r w:rsidR="00E25396" w:rsidRPr="00E155C1">
        <w:rPr>
          <w:rFonts w:eastAsiaTheme="minorHAnsi"/>
          <w:color w:val="000000"/>
          <w:szCs w:val="20"/>
          <w:lang w:eastAsia="en-US"/>
        </w:rPr>
        <w:t xml:space="preserve"> V to aplikacijo, ki preko satelitskih posnetkov omogoča pregled stanja na kmetijskih površinah, je doslej vpogledalo že okoli 6.600 upravičencev</w:t>
      </w:r>
      <w:r w:rsidR="00E25396">
        <w:rPr>
          <w:rFonts w:eastAsiaTheme="minorHAnsi"/>
          <w:color w:val="000000"/>
          <w:szCs w:val="20"/>
          <w:lang w:eastAsia="en-US"/>
        </w:rPr>
        <w:t xml:space="preserve"> Kmete se preko sms tudi hitreje in lažje obvešča tudi o npr. raznih obveznostih iz ukrepov SKP, npr. glede oddaje staleža ipd. </w:t>
      </w:r>
      <w:r w:rsidR="00B94EA4" w:rsidRPr="00B94EA4">
        <w:rPr>
          <w:rFonts w:eastAsiaTheme="minorHAnsi"/>
          <w:color w:val="000000"/>
          <w:szCs w:val="20"/>
          <w:lang w:eastAsia="en-US"/>
        </w:rPr>
        <w:t xml:space="preserve">Prav tako </w:t>
      </w:r>
      <w:r w:rsidR="00B94EA4">
        <w:rPr>
          <w:rFonts w:eastAsiaTheme="minorHAnsi"/>
          <w:color w:val="000000"/>
          <w:szCs w:val="20"/>
          <w:lang w:eastAsia="en-US"/>
        </w:rPr>
        <w:t>je bila na AKTRP vzpostavljena</w:t>
      </w:r>
      <w:r w:rsidR="00B94EA4" w:rsidRPr="00B94EA4">
        <w:rPr>
          <w:rFonts w:eastAsiaTheme="minorHAnsi"/>
          <w:color w:val="000000"/>
          <w:szCs w:val="20"/>
          <w:lang w:eastAsia="en-US"/>
        </w:rPr>
        <w:t xml:space="preserve"> aplikacij</w:t>
      </w:r>
      <w:r w:rsidR="00B94EA4">
        <w:rPr>
          <w:rFonts w:eastAsiaTheme="minorHAnsi"/>
          <w:color w:val="000000"/>
          <w:szCs w:val="20"/>
          <w:lang w:eastAsia="en-US"/>
        </w:rPr>
        <w:t>a</w:t>
      </w:r>
      <w:r w:rsidR="00B94EA4" w:rsidRPr="00B94EA4">
        <w:rPr>
          <w:rFonts w:eastAsiaTheme="minorHAnsi"/>
          <w:color w:val="000000"/>
          <w:szCs w:val="20"/>
          <w:lang w:eastAsia="en-US"/>
        </w:rPr>
        <w:t xml:space="preserve"> Spletni pregledovalnik, kjer si upravičenci lahko pogledajo stanje svoje vloge, predvsem</w:t>
      </w:r>
      <w:r w:rsidR="00B94EA4">
        <w:rPr>
          <w:rFonts w:eastAsiaTheme="minorHAnsi"/>
          <w:color w:val="000000"/>
          <w:szCs w:val="20"/>
          <w:lang w:eastAsia="en-US"/>
        </w:rPr>
        <w:t>,</w:t>
      </w:r>
      <w:r w:rsidR="00B94EA4" w:rsidRPr="00B94EA4">
        <w:rPr>
          <w:rFonts w:eastAsiaTheme="minorHAnsi"/>
          <w:color w:val="000000"/>
          <w:szCs w:val="20"/>
          <w:lang w:eastAsia="en-US"/>
        </w:rPr>
        <w:t xml:space="preserve"> v kakšni fazi je in kdaj lahko pričakujejo odločbo. Takšnih vpogledov je bilo v letu 2021 </w:t>
      </w:r>
      <w:r w:rsidR="00B94EA4">
        <w:rPr>
          <w:rFonts w:eastAsiaTheme="minorHAnsi"/>
          <w:color w:val="000000"/>
          <w:szCs w:val="20"/>
          <w:lang w:eastAsia="en-US"/>
        </w:rPr>
        <w:t xml:space="preserve">skupno </w:t>
      </w:r>
      <w:r w:rsidR="00B94EA4" w:rsidRPr="00B94EA4">
        <w:rPr>
          <w:rFonts w:eastAsiaTheme="minorHAnsi"/>
          <w:color w:val="000000"/>
          <w:szCs w:val="20"/>
          <w:lang w:eastAsia="en-US"/>
        </w:rPr>
        <w:t>27.396.</w:t>
      </w:r>
    </w:p>
    <w:p w14:paraId="0D78350D" w14:textId="4E5FC1BF" w:rsidR="001076E3" w:rsidRDefault="001076E3" w:rsidP="00E155C1">
      <w:pPr>
        <w:autoSpaceDE w:val="0"/>
        <w:autoSpaceDN w:val="0"/>
        <w:adjustRightInd w:val="0"/>
        <w:spacing w:before="0" w:line="240" w:lineRule="auto"/>
        <w:ind w:left="15"/>
        <w:rPr>
          <w:rFonts w:eastAsiaTheme="minorHAnsi"/>
          <w:color w:val="000000"/>
          <w:szCs w:val="20"/>
          <w:lang w:eastAsia="en-US"/>
        </w:rPr>
      </w:pPr>
    </w:p>
    <w:p w14:paraId="4A98ADAE" w14:textId="1AE37020" w:rsidR="001076E3" w:rsidRPr="00E155C1" w:rsidRDefault="00183F58" w:rsidP="00E155C1">
      <w:pPr>
        <w:autoSpaceDE w:val="0"/>
        <w:autoSpaceDN w:val="0"/>
        <w:adjustRightInd w:val="0"/>
        <w:spacing w:before="0" w:line="240" w:lineRule="auto"/>
        <w:ind w:left="15"/>
        <w:rPr>
          <w:rFonts w:eastAsiaTheme="minorHAnsi"/>
          <w:i/>
          <w:color w:val="000000"/>
          <w:szCs w:val="20"/>
          <w:u w:val="single"/>
          <w:lang w:eastAsia="en-US"/>
        </w:rPr>
      </w:pPr>
      <w:r>
        <w:rPr>
          <w:rFonts w:eastAsiaTheme="minorHAnsi"/>
          <w:i/>
          <w:color w:val="000000"/>
          <w:szCs w:val="20"/>
          <w:u w:val="single"/>
          <w:lang w:eastAsia="en-US"/>
        </w:rPr>
        <w:t xml:space="preserve">2. </w:t>
      </w:r>
      <w:r w:rsidR="001076E3" w:rsidRPr="00E155C1">
        <w:rPr>
          <w:rFonts w:eastAsiaTheme="minorHAnsi"/>
          <w:i/>
          <w:color w:val="000000"/>
          <w:szCs w:val="20"/>
          <w:u w:val="single"/>
          <w:lang w:eastAsia="en-US"/>
        </w:rPr>
        <w:t>Nepovršinski ukrepi</w:t>
      </w:r>
    </w:p>
    <w:p w14:paraId="65796832" w14:textId="38B0B463" w:rsidR="001076E3" w:rsidRPr="00E155C1" w:rsidRDefault="001076E3" w:rsidP="00E155C1">
      <w:pPr>
        <w:autoSpaceDE w:val="0"/>
        <w:autoSpaceDN w:val="0"/>
        <w:adjustRightInd w:val="0"/>
        <w:spacing w:before="0" w:line="240" w:lineRule="auto"/>
        <w:rPr>
          <w:rFonts w:eastAsiaTheme="minorHAnsi"/>
          <w:color w:val="000000"/>
          <w:szCs w:val="20"/>
          <w:lang w:eastAsia="en-US"/>
        </w:rPr>
      </w:pPr>
      <w:r w:rsidRPr="00E155C1">
        <w:rPr>
          <w:rFonts w:eastAsiaTheme="minorHAnsi"/>
          <w:color w:val="000000"/>
          <w:szCs w:val="20"/>
          <w:lang w:eastAsia="en-US"/>
        </w:rPr>
        <w:t xml:space="preserve">Vloge na objavljene javne razpise in zahtevke za izplačilo sredstev se oddajo v obravnavo na </w:t>
      </w:r>
      <w:r>
        <w:rPr>
          <w:rFonts w:eastAsiaTheme="minorHAnsi"/>
          <w:color w:val="000000"/>
          <w:szCs w:val="20"/>
          <w:lang w:eastAsia="en-US"/>
        </w:rPr>
        <w:t>AKTRP</w:t>
      </w:r>
      <w:r w:rsidRPr="00E155C1">
        <w:rPr>
          <w:rFonts w:eastAsiaTheme="minorHAnsi"/>
          <w:color w:val="000000"/>
          <w:szCs w:val="20"/>
          <w:lang w:eastAsia="en-US"/>
        </w:rPr>
        <w:t xml:space="preserve"> večinoma samo v elektronski obliki. Upravičenci v vlogah navedejo kontaktne podatke, med katere sodijo tudi </w:t>
      </w:r>
      <w:r w:rsidR="004929B4">
        <w:rPr>
          <w:rFonts w:eastAsiaTheme="minorHAnsi"/>
          <w:color w:val="000000"/>
          <w:szCs w:val="20"/>
          <w:lang w:eastAsia="en-US"/>
        </w:rPr>
        <w:t xml:space="preserve">gsm </w:t>
      </w:r>
      <w:r w:rsidRPr="00E155C1">
        <w:rPr>
          <w:rFonts w:eastAsiaTheme="minorHAnsi"/>
          <w:color w:val="000000"/>
          <w:szCs w:val="20"/>
          <w:lang w:eastAsia="en-US"/>
        </w:rPr>
        <w:t xml:space="preserve">številka in elektronska pošta, za ukrepe CLLD pa je obvezen tudi naslov varnega elektronskega predala, saj to od njih zahteva nacionalna uredba. Elektronska pošta omogoča dopolnjevanje dokumentacije in pridobivanje pojasnil po elektronski poti. Pri ukrepih CLLD pa se tudi izdani pravni akti vročajo elektronsko – v varni elektronski predal. Tak način komunikacije je omogočil tudi skrajšanje postopkov obravnave vlog in zahtevkov. Upravičenci na </w:t>
      </w:r>
      <w:r w:rsidR="004929B4">
        <w:rPr>
          <w:rFonts w:eastAsiaTheme="minorHAnsi"/>
          <w:color w:val="000000"/>
          <w:szCs w:val="20"/>
          <w:lang w:eastAsia="en-US"/>
        </w:rPr>
        <w:t>gsm</w:t>
      </w:r>
      <w:r w:rsidRPr="00E155C1">
        <w:rPr>
          <w:rFonts w:eastAsiaTheme="minorHAnsi"/>
          <w:color w:val="000000"/>
          <w:szCs w:val="20"/>
          <w:lang w:eastAsia="en-US"/>
        </w:rPr>
        <w:t xml:space="preserve"> številko, ki jo vpišejo v vlogo na javni razpis, s strani </w:t>
      </w:r>
      <w:r w:rsidR="004929B4">
        <w:rPr>
          <w:rFonts w:eastAsiaTheme="minorHAnsi"/>
          <w:color w:val="000000"/>
          <w:szCs w:val="20"/>
          <w:lang w:eastAsia="en-US"/>
        </w:rPr>
        <w:t>AKTRP</w:t>
      </w:r>
      <w:r w:rsidRPr="00E155C1">
        <w:rPr>
          <w:rFonts w:eastAsiaTheme="minorHAnsi"/>
          <w:color w:val="000000"/>
          <w:szCs w:val="20"/>
          <w:lang w:eastAsia="en-US"/>
        </w:rPr>
        <w:t xml:space="preserve"> prejemajo </w:t>
      </w:r>
      <w:r w:rsidR="004929B4">
        <w:rPr>
          <w:rFonts w:eastAsiaTheme="minorHAnsi"/>
          <w:color w:val="000000"/>
          <w:szCs w:val="20"/>
          <w:lang w:eastAsia="en-US"/>
        </w:rPr>
        <w:t>sms</w:t>
      </w:r>
      <w:r w:rsidRPr="00E155C1">
        <w:rPr>
          <w:rFonts w:eastAsiaTheme="minorHAnsi"/>
          <w:color w:val="000000"/>
          <w:szCs w:val="20"/>
          <w:lang w:eastAsia="en-US"/>
        </w:rPr>
        <w:t xml:space="preserve"> sporočila, v katerih jim pošilja pomembna obvestila oziroma opomnike. Preko </w:t>
      </w:r>
      <w:r w:rsidR="004929B4">
        <w:rPr>
          <w:rFonts w:eastAsiaTheme="minorHAnsi"/>
          <w:color w:val="000000"/>
          <w:szCs w:val="20"/>
          <w:lang w:eastAsia="en-US"/>
        </w:rPr>
        <w:t>sms</w:t>
      </w:r>
      <w:r w:rsidRPr="00E155C1">
        <w:rPr>
          <w:rFonts w:eastAsiaTheme="minorHAnsi"/>
          <w:color w:val="000000"/>
          <w:szCs w:val="20"/>
          <w:lang w:eastAsia="en-US"/>
        </w:rPr>
        <w:t xml:space="preserve"> sporočil tako upravičence obvesti o skorajšnem poteku roka za oddajo zahtevka za izplačilo sredstev (prvič 30 dni pred potekom roka za oddajo zahtevka in drugič 10 dni pred potekom roka za oddajo zahtevka). Prav tako upravičence, ki imajo še obveznosti po zadnjem izplači</w:t>
      </w:r>
      <w:r w:rsidR="004929B4" w:rsidRPr="00DA7A1F">
        <w:rPr>
          <w:rFonts w:eastAsiaTheme="minorHAnsi"/>
          <w:color w:val="000000"/>
          <w:szCs w:val="20"/>
          <w:lang w:eastAsia="en-US"/>
        </w:rPr>
        <w:t xml:space="preserve">lu sredstev, preko </w:t>
      </w:r>
      <w:r w:rsidR="004929B4">
        <w:rPr>
          <w:rFonts w:eastAsiaTheme="minorHAnsi"/>
          <w:color w:val="000000"/>
          <w:szCs w:val="20"/>
          <w:lang w:eastAsia="en-US"/>
        </w:rPr>
        <w:t>sms</w:t>
      </w:r>
      <w:r w:rsidR="004929B4" w:rsidRPr="00DA7A1F">
        <w:rPr>
          <w:rFonts w:eastAsiaTheme="minorHAnsi"/>
          <w:color w:val="000000"/>
          <w:szCs w:val="20"/>
          <w:lang w:eastAsia="en-US"/>
        </w:rPr>
        <w:t xml:space="preserve"> obvesti</w:t>
      </w:r>
      <w:r w:rsidRPr="00E155C1">
        <w:rPr>
          <w:rFonts w:eastAsiaTheme="minorHAnsi"/>
          <w:color w:val="000000"/>
          <w:szCs w:val="20"/>
          <w:lang w:eastAsia="en-US"/>
        </w:rPr>
        <w:t xml:space="preserve"> o roku za oddajo poročila o izponjevanju obveznosti. V letu 2020 je bilo s strani Agencije poslanih 1.760 </w:t>
      </w:r>
      <w:r w:rsidR="004929B4">
        <w:rPr>
          <w:rFonts w:eastAsiaTheme="minorHAnsi"/>
          <w:color w:val="000000"/>
          <w:szCs w:val="20"/>
          <w:lang w:eastAsia="en-US"/>
        </w:rPr>
        <w:t>sms</w:t>
      </w:r>
      <w:r w:rsidRPr="00E155C1">
        <w:rPr>
          <w:rFonts w:eastAsiaTheme="minorHAnsi"/>
          <w:color w:val="000000"/>
          <w:szCs w:val="20"/>
          <w:lang w:eastAsia="en-US"/>
        </w:rPr>
        <w:t xml:space="preserve"> sporočil</w:t>
      </w:r>
      <w:r w:rsidR="004929B4">
        <w:rPr>
          <w:rFonts w:eastAsiaTheme="minorHAnsi"/>
          <w:color w:val="000000"/>
          <w:szCs w:val="20"/>
          <w:lang w:eastAsia="en-US"/>
        </w:rPr>
        <w:t>,</w:t>
      </w:r>
      <w:r w:rsidRPr="00E155C1">
        <w:rPr>
          <w:rFonts w:eastAsiaTheme="minorHAnsi"/>
          <w:color w:val="000000"/>
          <w:szCs w:val="20"/>
          <w:lang w:eastAsia="en-US"/>
        </w:rPr>
        <w:t xml:space="preserve"> povezanih z izvajanjem </w:t>
      </w:r>
      <w:r w:rsidR="004929B4">
        <w:rPr>
          <w:rFonts w:eastAsiaTheme="minorHAnsi"/>
          <w:color w:val="000000"/>
          <w:szCs w:val="20"/>
          <w:lang w:eastAsia="en-US"/>
        </w:rPr>
        <w:t>n</w:t>
      </w:r>
      <w:r w:rsidRPr="00E155C1">
        <w:rPr>
          <w:rFonts w:eastAsiaTheme="minorHAnsi"/>
          <w:color w:val="000000"/>
          <w:szCs w:val="20"/>
          <w:lang w:eastAsia="en-US"/>
        </w:rPr>
        <w:t>e-IAKS ukrepov, v letu 2021 pa je bilo do 8</w:t>
      </w:r>
      <w:r w:rsidR="004929B4">
        <w:rPr>
          <w:rFonts w:eastAsiaTheme="minorHAnsi"/>
          <w:color w:val="000000"/>
          <w:szCs w:val="20"/>
          <w:lang w:eastAsia="en-US"/>
        </w:rPr>
        <w:t>.12.2021</w:t>
      </w:r>
      <w:r w:rsidRPr="00E155C1">
        <w:rPr>
          <w:rFonts w:eastAsiaTheme="minorHAnsi"/>
          <w:color w:val="000000"/>
          <w:szCs w:val="20"/>
          <w:lang w:eastAsia="en-US"/>
        </w:rPr>
        <w:t xml:space="preserve"> poslanih že  2.701 </w:t>
      </w:r>
      <w:r w:rsidR="004929B4">
        <w:rPr>
          <w:rFonts w:eastAsiaTheme="minorHAnsi"/>
          <w:color w:val="000000"/>
          <w:szCs w:val="20"/>
          <w:lang w:eastAsia="en-US"/>
        </w:rPr>
        <w:t>sms</w:t>
      </w:r>
      <w:r w:rsidRPr="00E155C1">
        <w:rPr>
          <w:rFonts w:eastAsiaTheme="minorHAnsi"/>
          <w:color w:val="000000"/>
          <w:szCs w:val="20"/>
          <w:lang w:eastAsia="en-US"/>
        </w:rPr>
        <w:t xml:space="preserve"> sporočil upravičencem za oddajo zahtevkov. Prav tako </w:t>
      </w:r>
      <w:r w:rsidR="004929B4">
        <w:rPr>
          <w:rFonts w:eastAsiaTheme="minorHAnsi"/>
          <w:color w:val="000000"/>
          <w:szCs w:val="20"/>
          <w:lang w:eastAsia="en-US"/>
        </w:rPr>
        <w:t>je bilo</w:t>
      </w:r>
      <w:r w:rsidRPr="00E155C1">
        <w:rPr>
          <w:rFonts w:eastAsiaTheme="minorHAnsi"/>
          <w:color w:val="000000"/>
          <w:szCs w:val="20"/>
          <w:lang w:eastAsia="en-US"/>
        </w:rPr>
        <w:t xml:space="preserve"> v letu </w:t>
      </w:r>
      <w:r w:rsidR="004929B4">
        <w:rPr>
          <w:rFonts w:eastAsiaTheme="minorHAnsi"/>
          <w:color w:val="000000"/>
          <w:szCs w:val="20"/>
          <w:lang w:eastAsia="en-US"/>
        </w:rPr>
        <w:t xml:space="preserve">2021 </w:t>
      </w:r>
      <w:r w:rsidRPr="00E155C1">
        <w:rPr>
          <w:rFonts w:eastAsiaTheme="minorHAnsi"/>
          <w:color w:val="000000"/>
          <w:szCs w:val="20"/>
          <w:lang w:eastAsia="en-US"/>
        </w:rPr>
        <w:t xml:space="preserve">upravičencem, katerih vloge so že zaključene, </w:t>
      </w:r>
      <w:r w:rsidR="004929B4" w:rsidRPr="00946029">
        <w:rPr>
          <w:rFonts w:eastAsiaTheme="minorHAnsi"/>
          <w:color w:val="000000"/>
          <w:szCs w:val="20"/>
          <w:lang w:eastAsia="en-US"/>
        </w:rPr>
        <w:t>posla</w:t>
      </w:r>
      <w:r w:rsidR="004929B4">
        <w:rPr>
          <w:rFonts w:eastAsiaTheme="minorHAnsi"/>
          <w:color w:val="000000"/>
          <w:szCs w:val="20"/>
          <w:lang w:eastAsia="en-US"/>
        </w:rPr>
        <w:t>nih</w:t>
      </w:r>
      <w:r w:rsidR="004929B4" w:rsidRPr="00946029">
        <w:rPr>
          <w:rFonts w:eastAsiaTheme="minorHAnsi"/>
          <w:color w:val="000000"/>
          <w:szCs w:val="20"/>
          <w:lang w:eastAsia="en-US"/>
        </w:rPr>
        <w:t xml:space="preserve"> </w:t>
      </w:r>
      <w:r w:rsidRPr="00E155C1">
        <w:rPr>
          <w:rFonts w:eastAsiaTheme="minorHAnsi"/>
          <w:color w:val="000000"/>
          <w:szCs w:val="20"/>
          <w:lang w:eastAsia="en-US"/>
        </w:rPr>
        <w:t xml:space="preserve">okrog 1.200 sms-ov za oddajo poročil za leto 2020. </w:t>
      </w:r>
    </w:p>
    <w:p w14:paraId="7D9F34C1" w14:textId="77777777" w:rsidR="001076E3" w:rsidRPr="00E155C1" w:rsidRDefault="001076E3" w:rsidP="00DA7A1F">
      <w:pPr>
        <w:autoSpaceDE w:val="0"/>
        <w:autoSpaceDN w:val="0"/>
        <w:adjustRightInd w:val="0"/>
        <w:spacing w:before="0" w:line="240" w:lineRule="auto"/>
        <w:rPr>
          <w:rFonts w:eastAsiaTheme="minorHAnsi"/>
          <w:color w:val="000000"/>
          <w:szCs w:val="20"/>
          <w:lang w:eastAsia="en-US"/>
        </w:rPr>
      </w:pPr>
    </w:p>
    <w:p w14:paraId="5FB7D436" w14:textId="7FD60A6F" w:rsidR="001076E3" w:rsidRPr="00E155C1" w:rsidRDefault="001076E3" w:rsidP="00165283">
      <w:pPr>
        <w:autoSpaceDE w:val="0"/>
        <w:autoSpaceDN w:val="0"/>
        <w:adjustRightInd w:val="0"/>
        <w:spacing w:before="0" w:line="240" w:lineRule="auto"/>
        <w:rPr>
          <w:rFonts w:eastAsiaTheme="minorHAnsi"/>
          <w:color w:val="000000"/>
          <w:szCs w:val="20"/>
          <w:lang w:eastAsia="en-US"/>
        </w:rPr>
      </w:pPr>
      <w:r w:rsidRPr="00E155C1">
        <w:rPr>
          <w:rFonts w:eastAsiaTheme="minorHAnsi"/>
          <w:color w:val="000000"/>
          <w:szCs w:val="20"/>
          <w:lang w:eastAsia="en-US"/>
        </w:rPr>
        <w:t xml:space="preserve">Stranke imajo na voljo tudi kontaktne maile za tehnično pomoč pri vnosu zahtevkov in uradne mail naslove </w:t>
      </w:r>
      <w:r w:rsidR="004929B4">
        <w:rPr>
          <w:rFonts w:eastAsiaTheme="minorHAnsi"/>
          <w:color w:val="000000"/>
          <w:szCs w:val="20"/>
          <w:lang w:eastAsia="en-US"/>
        </w:rPr>
        <w:t>AKTRP</w:t>
      </w:r>
      <w:r w:rsidRPr="00E155C1">
        <w:rPr>
          <w:rFonts w:eastAsiaTheme="minorHAnsi"/>
          <w:color w:val="000000"/>
          <w:szCs w:val="20"/>
          <w:lang w:eastAsia="en-US"/>
        </w:rPr>
        <w:t xml:space="preserve">, kjer lahko zastavljajo vprašanja. </w:t>
      </w:r>
      <w:r w:rsidR="004929B4">
        <w:rPr>
          <w:rFonts w:eastAsiaTheme="minorHAnsi"/>
          <w:color w:val="000000"/>
          <w:szCs w:val="20"/>
          <w:lang w:eastAsia="en-US"/>
        </w:rPr>
        <w:t>AKTRP</w:t>
      </w:r>
      <w:r w:rsidRPr="00E155C1">
        <w:rPr>
          <w:rFonts w:eastAsiaTheme="minorHAnsi"/>
          <w:color w:val="000000"/>
          <w:szCs w:val="20"/>
          <w:lang w:eastAsia="en-US"/>
        </w:rPr>
        <w:t xml:space="preserve"> ima za namen zastavljanja vprašanj s strani strank ter podajanja odgovorov vzpostavljen tudi e</w:t>
      </w:r>
      <w:r w:rsidR="004929B4">
        <w:rPr>
          <w:rFonts w:eastAsiaTheme="minorHAnsi"/>
          <w:color w:val="000000"/>
          <w:szCs w:val="20"/>
          <w:lang w:eastAsia="en-US"/>
        </w:rPr>
        <w:t>-</w:t>
      </w:r>
      <w:r w:rsidRPr="00E155C1">
        <w:rPr>
          <w:rFonts w:eastAsiaTheme="minorHAnsi"/>
          <w:color w:val="000000"/>
          <w:szCs w:val="20"/>
          <w:lang w:eastAsia="en-US"/>
        </w:rPr>
        <w:t>portal ter delujočo info pisarno za komunikacijo po telefonu. Komunikacija torej poteka dnevno na vseh ravneh.</w:t>
      </w:r>
    </w:p>
    <w:p w14:paraId="1E06CDA8" w14:textId="57E97EC3" w:rsidR="001076E3" w:rsidRDefault="001076E3" w:rsidP="00E155C1">
      <w:pPr>
        <w:autoSpaceDE w:val="0"/>
        <w:autoSpaceDN w:val="0"/>
        <w:adjustRightInd w:val="0"/>
        <w:spacing w:before="0" w:line="240" w:lineRule="auto"/>
        <w:ind w:left="15"/>
        <w:rPr>
          <w:rFonts w:eastAsiaTheme="minorHAnsi"/>
          <w:color w:val="000000"/>
          <w:szCs w:val="20"/>
          <w:lang w:eastAsia="en-US"/>
        </w:rPr>
      </w:pPr>
    </w:p>
    <w:p w14:paraId="21F3B25E" w14:textId="619A2CDD" w:rsidR="001076E3" w:rsidRDefault="001076E3" w:rsidP="00E155C1">
      <w:pPr>
        <w:autoSpaceDE w:val="0"/>
        <w:autoSpaceDN w:val="0"/>
        <w:adjustRightInd w:val="0"/>
        <w:spacing w:before="0" w:line="240" w:lineRule="auto"/>
        <w:ind w:left="15"/>
        <w:jc w:val="center"/>
        <w:rPr>
          <w:rFonts w:eastAsiaTheme="minorHAnsi"/>
          <w:color w:val="000000"/>
          <w:szCs w:val="20"/>
          <w:lang w:eastAsia="en-US"/>
        </w:rPr>
      </w:pPr>
      <w:r>
        <w:rPr>
          <w:rFonts w:eastAsiaTheme="minorHAnsi"/>
          <w:color w:val="000000"/>
          <w:szCs w:val="20"/>
          <w:lang w:eastAsia="en-US"/>
        </w:rPr>
        <w:t>***</w:t>
      </w:r>
    </w:p>
    <w:p w14:paraId="0517E579" w14:textId="77777777" w:rsidR="001076E3" w:rsidRDefault="001076E3" w:rsidP="00E155C1">
      <w:pPr>
        <w:autoSpaceDE w:val="0"/>
        <w:autoSpaceDN w:val="0"/>
        <w:adjustRightInd w:val="0"/>
        <w:spacing w:before="0" w:line="240" w:lineRule="auto"/>
        <w:ind w:left="15"/>
        <w:rPr>
          <w:rFonts w:eastAsiaTheme="minorHAnsi"/>
          <w:color w:val="000000"/>
          <w:szCs w:val="20"/>
          <w:lang w:eastAsia="en-US"/>
        </w:rPr>
      </w:pPr>
    </w:p>
    <w:p w14:paraId="68F80C97" w14:textId="2AAA7C33" w:rsidR="00E42967" w:rsidRDefault="004929B4" w:rsidP="00E155C1">
      <w:pPr>
        <w:autoSpaceDE w:val="0"/>
        <w:autoSpaceDN w:val="0"/>
        <w:adjustRightInd w:val="0"/>
        <w:spacing w:before="0" w:line="240" w:lineRule="auto"/>
        <w:ind w:left="15"/>
        <w:rPr>
          <w:rFonts w:eastAsiaTheme="minorHAnsi"/>
          <w:color w:val="000000"/>
          <w:szCs w:val="20"/>
          <w:lang w:eastAsia="en-US"/>
        </w:rPr>
      </w:pPr>
      <w:r>
        <w:rPr>
          <w:rFonts w:eastAsiaTheme="minorHAnsi"/>
          <w:color w:val="000000"/>
          <w:szCs w:val="20"/>
          <w:lang w:eastAsia="en-US"/>
        </w:rPr>
        <w:t>S tovrstnimi</w:t>
      </w:r>
      <w:r w:rsidR="00E25396">
        <w:rPr>
          <w:rFonts w:eastAsiaTheme="minorHAnsi"/>
          <w:color w:val="000000"/>
          <w:szCs w:val="20"/>
          <w:lang w:eastAsia="en-US"/>
        </w:rPr>
        <w:t xml:space="preserve"> aktivnostmi </w:t>
      </w:r>
      <w:r>
        <w:rPr>
          <w:rFonts w:eastAsiaTheme="minorHAnsi"/>
          <w:color w:val="000000"/>
          <w:szCs w:val="20"/>
          <w:lang w:eastAsia="en-US"/>
        </w:rPr>
        <w:t xml:space="preserve">bo potrebno pospešeno </w:t>
      </w:r>
      <w:r w:rsidR="00E25396">
        <w:rPr>
          <w:rFonts w:eastAsiaTheme="minorHAnsi"/>
          <w:color w:val="000000"/>
          <w:szCs w:val="20"/>
          <w:lang w:eastAsia="en-US"/>
        </w:rPr>
        <w:t>nadaljevati (</w:t>
      </w:r>
      <w:r>
        <w:rPr>
          <w:rFonts w:eastAsiaTheme="minorHAnsi"/>
          <w:color w:val="000000"/>
          <w:szCs w:val="20"/>
          <w:lang w:eastAsia="en-US"/>
        </w:rPr>
        <w:t>tudi</w:t>
      </w:r>
      <w:r w:rsidR="00E25396">
        <w:rPr>
          <w:rFonts w:eastAsiaTheme="minorHAnsi"/>
          <w:color w:val="000000"/>
          <w:szCs w:val="20"/>
          <w:lang w:eastAsia="en-US"/>
        </w:rPr>
        <w:t xml:space="preserve"> s čim hitrejšo izvedbo projektov digitalizacije NextGen), da bi lahko še bolj ciljno usmerjali politiko SKP, učinkovito izvajali in kontrolirali ukrepe ter upravičence v največji meri administrativno razbremenili.   </w:t>
      </w:r>
    </w:p>
    <w:p w14:paraId="2DBD252B" w14:textId="53A1C0E8" w:rsidR="00E42967" w:rsidRDefault="00E42967" w:rsidP="00E155C1">
      <w:pPr>
        <w:autoSpaceDE w:val="0"/>
        <w:autoSpaceDN w:val="0"/>
        <w:adjustRightInd w:val="0"/>
        <w:spacing w:before="0" w:line="240" w:lineRule="auto"/>
        <w:ind w:left="15"/>
        <w:rPr>
          <w:rFonts w:eastAsiaTheme="minorHAnsi"/>
          <w:color w:val="000000"/>
          <w:szCs w:val="20"/>
          <w:lang w:eastAsia="en-US"/>
        </w:rPr>
      </w:pPr>
    </w:p>
    <w:p w14:paraId="7F7260D0" w14:textId="77777777" w:rsidR="00E42967" w:rsidRDefault="00E42967" w:rsidP="00E155C1">
      <w:pPr>
        <w:autoSpaceDE w:val="0"/>
        <w:autoSpaceDN w:val="0"/>
        <w:adjustRightInd w:val="0"/>
        <w:spacing w:before="0" w:line="240" w:lineRule="auto"/>
        <w:ind w:left="15"/>
        <w:rPr>
          <w:rFonts w:eastAsiaTheme="minorHAnsi"/>
          <w:color w:val="000000"/>
          <w:szCs w:val="20"/>
          <w:lang w:eastAsia="en-US"/>
        </w:rPr>
      </w:pPr>
    </w:p>
    <w:p w14:paraId="329E63A8" w14:textId="77777777" w:rsidR="00E42967" w:rsidRPr="00E155C1" w:rsidRDefault="00E42967" w:rsidP="00E155C1">
      <w:pPr>
        <w:autoSpaceDE w:val="0"/>
        <w:autoSpaceDN w:val="0"/>
        <w:adjustRightInd w:val="0"/>
        <w:spacing w:before="0" w:line="240" w:lineRule="auto"/>
        <w:ind w:left="15"/>
        <w:rPr>
          <w:rFonts w:eastAsiaTheme="minorHAnsi"/>
          <w:color w:val="000000"/>
          <w:szCs w:val="20"/>
          <w:lang w:eastAsia="en-US"/>
        </w:rPr>
      </w:pPr>
    </w:p>
    <w:p w14:paraId="5180F102" w14:textId="77777777" w:rsidR="003954F9" w:rsidRDefault="003954F9" w:rsidP="00FA3FBA">
      <w:pPr>
        <w:spacing w:before="0" w:line="260" w:lineRule="atLeast"/>
        <w:rPr>
          <w:sz w:val="20"/>
          <w:szCs w:val="20"/>
        </w:rPr>
      </w:pPr>
    </w:p>
    <w:p w14:paraId="5AAABFDA" w14:textId="1BB4AF96" w:rsidR="00466069" w:rsidRPr="001F3065" w:rsidRDefault="00A34306" w:rsidP="001261F1">
      <w:pPr>
        <w:pStyle w:val="Naslov2"/>
      </w:pPr>
      <w:bookmarkStart w:id="5756" w:name="_Toc51106404"/>
      <w:bookmarkStart w:id="5757" w:name="_Toc51107832"/>
      <w:bookmarkStart w:id="5758" w:name="_Toc51110155"/>
      <w:bookmarkStart w:id="5759" w:name="_Toc51106414"/>
      <w:bookmarkStart w:id="5760" w:name="_Toc51107842"/>
      <w:bookmarkStart w:id="5761" w:name="_Toc51110165"/>
      <w:bookmarkStart w:id="5762" w:name="_Toc51106415"/>
      <w:bookmarkStart w:id="5763" w:name="_Toc51107843"/>
      <w:bookmarkStart w:id="5764" w:name="_Toc51110166"/>
      <w:bookmarkStart w:id="5765" w:name="_Toc51106416"/>
      <w:bookmarkStart w:id="5766" w:name="_Toc51107844"/>
      <w:bookmarkStart w:id="5767" w:name="_Toc51110167"/>
      <w:bookmarkStart w:id="5768" w:name="_Toc90462318"/>
      <w:bookmarkEnd w:id="5756"/>
      <w:bookmarkEnd w:id="5757"/>
      <w:bookmarkEnd w:id="5758"/>
      <w:bookmarkEnd w:id="5759"/>
      <w:bookmarkEnd w:id="5760"/>
      <w:bookmarkEnd w:id="5761"/>
      <w:bookmarkEnd w:id="5762"/>
      <w:bookmarkEnd w:id="5763"/>
      <w:bookmarkEnd w:id="5764"/>
      <w:bookmarkEnd w:id="5765"/>
      <w:bookmarkEnd w:id="5766"/>
      <w:bookmarkEnd w:id="5767"/>
      <w:r w:rsidRPr="001F3065">
        <w:t>Vloga</w:t>
      </w:r>
      <w:r w:rsidR="00007A57">
        <w:t xml:space="preserve"> AKIS</w:t>
      </w:r>
      <w:r w:rsidRPr="001F3065">
        <w:t xml:space="preserve"> </w:t>
      </w:r>
      <w:r w:rsidR="00EB7726">
        <w:t>pri povečanju</w:t>
      </w:r>
      <w:r w:rsidRPr="001F3065">
        <w:t xml:space="preserve"> produktivnosti</w:t>
      </w:r>
      <w:r w:rsidR="00EB7726">
        <w:t xml:space="preserve"> in prevzemanju novih tehnologij in inovacij</w:t>
      </w:r>
      <w:bookmarkEnd w:id="5768"/>
      <w:r w:rsidR="00EB7726">
        <w:t xml:space="preserve"> </w:t>
      </w:r>
    </w:p>
    <w:p w14:paraId="638EFE23" w14:textId="77777777" w:rsidR="00E52A36" w:rsidRPr="0047652B" w:rsidRDefault="00E52A36" w:rsidP="00FA3FBA">
      <w:pPr>
        <w:spacing w:before="0" w:line="260" w:lineRule="atLeast"/>
        <w:rPr>
          <w:sz w:val="20"/>
          <w:szCs w:val="20"/>
        </w:rPr>
      </w:pPr>
    </w:p>
    <w:p w14:paraId="7FB86CC9" w14:textId="30E343C8" w:rsidR="00C7691B" w:rsidRPr="001261F1" w:rsidRDefault="00EB7726" w:rsidP="00FA3FBA">
      <w:pPr>
        <w:spacing w:before="0" w:line="260" w:lineRule="atLeast"/>
        <w:rPr>
          <w:szCs w:val="20"/>
        </w:rPr>
      </w:pPr>
      <w:r w:rsidRPr="001261F1">
        <w:rPr>
          <w:szCs w:val="20"/>
        </w:rPr>
        <w:t>Številne študije, kot je študija organizacije FAO z naslovom »Digital technologies in agriculture and rural areas« (Trendov, N. M., Varas, S. &amp; Zeng, M., 2019)</w:t>
      </w:r>
      <w:r w:rsidR="000935EF" w:rsidRPr="001261F1">
        <w:rPr>
          <w:szCs w:val="20"/>
        </w:rPr>
        <w:t>,</w:t>
      </w:r>
      <w:r w:rsidRPr="001261F1">
        <w:rPr>
          <w:szCs w:val="20"/>
        </w:rPr>
        <w:t xml:space="preserve"> izpostavljajo </w:t>
      </w:r>
      <w:r w:rsidR="00F16BF3" w:rsidRPr="001261F1">
        <w:rPr>
          <w:szCs w:val="20"/>
        </w:rPr>
        <w:t xml:space="preserve">ključne predpogoje za digitalno transformacijo v kmetijstvu in na podeželju, in sicer IKT infrastrukturo, človeški kapital </w:t>
      </w:r>
      <w:r w:rsidR="00152DDF" w:rsidRPr="001261F1">
        <w:rPr>
          <w:szCs w:val="20"/>
        </w:rPr>
        <w:t xml:space="preserve">kot na primer </w:t>
      </w:r>
      <w:r w:rsidRPr="001261F1">
        <w:rPr>
          <w:szCs w:val="20"/>
        </w:rPr>
        <w:t>izobrazb</w:t>
      </w:r>
      <w:r w:rsidR="00F16BF3" w:rsidRPr="001261F1">
        <w:rPr>
          <w:szCs w:val="20"/>
        </w:rPr>
        <w:t>a</w:t>
      </w:r>
      <w:r w:rsidRPr="001261F1">
        <w:rPr>
          <w:szCs w:val="20"/>
        </w:rPr>
        <w:t>, digitaln</w:t>
      </w:r>
      <w:r w:rsidR="00F16BF3" w:rsidRPr="001261F1">
        <w:rPr>
          <w:szCs w:val="20"/>
        </w:rPr>
        <w:t>e</w:t>
      </w:r>
      <w:r w:rsidRPr="001261F1">
        <w:rPr>
          <w:szCs w:val="20"/>
        </w:rPr>
        <w:t xml:space="preserve"> veščin</w:t>
      </w:r>
      <w:r w:rsidR="00F16BF3" w:rsidRPr="001261F1">
        <w:rPr>
          <w:szCs w:val="20"/>
        </w:rPr>
        <w:t>e</w:t>
      </w:r>
      <w:r w:rsidRPr="001261F1">
        <w:rPr>
          <w:szCs w:val="20"/>
        </w:rPr>
        <w:t xml:space="preserve"> in digitaln</w:t>
      </w:r>
      <w:r w:rsidR="00F16BF3" w:rsidRPr="001261F1">
        <w:rPr>
          <w:szCs w:val="20"/>
        </w:rPr>
        <w:t>a pismenost ter</w:t>
      </w:r>
      <w:r w:rsidR="00B87347" w:rsidRPr="001261F1">
        <w:rPr>
          <w:szCs w:val="20"/>
        </w:rPr>
        <w:t xml:space="preserve"> podporn</w:t>
      </w:r>
      <w:r w:rsidR="00F16BF3" w:rsidRPr="001261F1">
        <w:rPr>
          <w:szCs w:val="20"/>
        </w:rPr>
        <w:t>o</w:t>
      </w:r>
      <w:r w:rsidR="00B87347" w:rsidRPr="001261F1">
        <w:rPr>
          <w:szCs w:val="20"/>
        </w:rPr>
        <w:t xml:space="preserve"> institucionaln</w:t>
      </w:r>
      <w:r w:rsidR="00F16BF3" w:rsidRPr="001261F1">
        <w:rPr>
          <w:szCs w:val="20"/>
        </w:rPr>
        <w:t>o okolje</w:t>
      </w:r>
      <w:r w:rsidR="00C7691B" w:rsidRPr="001261F1">
        <w:rPr>
          <w:szCs w:val="20"/>
        </w:rPr>
        <w:t xml:space="preserve"> (celoten institucionalni okvir)</w:t>
      </w:r>
      <w:r w:rsidR="00B87347" w:rsidRPr="001261F1">
        <w:rPr>
          <w:szCs w:val="20"/>
        </w:rPr>
        <w:t>.</w:t>
      </w:r>
      <w:r w:rsidR="003412D5" w:rsidRPr="001261F1">
        <w:rPr>
          <w:szCs w:val="20"/>
        </w:rPr>
        <w:t xml:space="preserve"> </w:t>
      </w:r>
      <w:r w:rsidR="00D47E10" w:rsidRPr="001261F1">
        <w:rPr>
          <w:szCs w:val="20"/>
        </w:rPr>
        <w:t>Za uvajanje digitalizacije in tehnologij v praksi pa so pomembna tudi vlaganja</w:t>
      </w:r>
      <w:r w:rsidR="00C7691B" w:rsidRPr="001261F1">
        <w:rPr>
          <w:szCs w:val="20"/>
        </w:rPr>
        <w:t xml:space="preserve"> kapitala</w:t>
      </w:r>
      <w:r w:rsidR="00D47E10" w:rsidRPr="001261F1">
        <w:rPr>
          <w:szCs w:val="20"/>
        </w:rPr>
        <w:t>.</w:t>
      </w:r>
      <w:r w:rsidR="00C7691B" w:rsidRPr="001261F1">
        <w:rPr>
          <w:szCs w:val="20"/>
        </w:rPr>
        <w:t xml:space="preserve"> </w:t>
      </w:r>
    </w:p>
    <w:p w14:paraId="613266AF" w14:textId="77777777" w:rsidR="00C7691B" w:rsidRPr="001261F1" w:rsidRDefault="00C7691B" w:rsidP="00FA3FBA">
      <w:pPr>
        <w:spacing w:before="0" w:line="260" w:lineRule="atLeast"/>
        <w:rPr>
          <w:szCs w:val="20"/>
        </w:rPr>
      </w:pPr>
    </w:p>
    <w:p w14:paraId="659A3797" w14:textId="19AC0A54" w:rsidR="00F16BF3" w:rsidRPr="001261F1" w:rsidRDefault="00F16BF3" w:rsidP="00FA3FBA">
      <w:pPr>
        <w:spacing w:before="0" w:line="260" w:lineRule="atLeast"/>
        <w:rPr>
          <w:szCs w:val="20"/>
        </w:rPr>
      </w:pPr>
      <w:r w:rsidRPr="001261F1">
        <w:rPr>
          <w:szCs w:val="20"/>
        </w:rPr>
        <w:t xml:space="preserve">Za digitalno transformacijo je v prvi vrsti bistven </w:t>
      </w:r>
      <w:r w:rsidRPr="001261F1">
        <w:rPr>
          <w:bCs/>
          <w:szCs w:val="20"/>
        </w:rPr>
        <w:t>dostop do IKT oz. dostop do širokopasovnega</w:t>
      </w:r>
      <w:r w:rsidRPr="001261F1">
        <w:rPr>
          <w:szCs w:val="20"/>
        </w:rPr>
        <w:t xml:space="preserve"> </w:t>
      </w:r>
      <w:r w:rsidRPr="001261F1">
        <w:rPr>
          <w:bCs/>
          <w:szCs w:val="20"/>
        </w:rPr>
        <w:t>interneta</w:t>
      </w:r>
      <w:r w:rsidRPr="001261F1">
        <w:rPr>
          <w:szCs w:val="20"/>
        </w:rPr>
        <w:t>. Eden od pomembnejših kazalcev razvitosti trga elektronskih komunikacij je t.i.</w:t>
      </w:r>
      <w:r w:rsidR="00CD7C8F" w:rsidRPr="001261F1">
        <w:rPr>
          <w:szCs w:val="20"/>
        </w:rPr>
        <w:t xml:space="preserve"> </w:t>
      </w:r>
      <w:r w:rsidRPr="001261F1">
        <w:rPr>
          <w:szCs w:val="20"/>
        </w:rPr>
        <w:t xml:space="preserve">»penetracija širokopasovnega dostopa«, ki je izračunana kot število širokopasovnih rezidenčnih in poslovnih priključkov na število prebivalcev oz. gospodinjstev v Republiki Sloveniji. </w:t>
      </w:r>
    </w:p>
    <w:p w14:paraId="68538AE6" w14:textId="77777777" w:rsidR="00F16BF3" w:rsidRDefault="00F16BF3" w:rsidP="00FA3FBA">
      <w:pPr>
        <w:spacing w:before="0" w:line="260" w:lineRule="atLeast"/>
        <w:rPr>
          <w:sz w:val="20"/>
          <w:szCs w:val="20"/>
        </w:rPr>
      </w:pPr>
    </w:p>
    <w:p w14:paraId="68047ABC" w14:textId="7DC0DC77" w:rsidR="00F16BF3" w:rsidRPr="00F16BF3" w:rsidRDefault="008949F4" w:rsidP="001261F1">
      <w:pPr>
        <w:pStyle w:val="SCSlika0"/>
      </w:pPr>
      <w:bookmarkStart w:id="5769" w:name="_Toc89851157"/>
      <w:r w:rsidRPr="000429A3">
        <w:t xml:space="preserve">Slika </w:t>
      </w:r>
      <w:r w:rsidR="009F2591">
        <w:rPr>
          <w:noProof/>
        </w:rPr>
        <w:fldChar w:fldCharType="begin"/>
      </w:r>
      <w:r w:rsidR="009F2591">
        <w:rPr>
          <w:noProof/>
        </w:rPr>
        <w:instrText xml:space="preserve"> SEQ Slika \* ARABIC </w:instrText>
      </w:r>
      <w:r w:rsidR="009F2591">
        <w:rPr>
          <w:noProof/>
        </w:rPr>
        <w:fldChar w:fldCharType="separate"/>
      </w:r>
      <w:r w:rsidR="001B3E9B">
        <w:rPr>
          <w:noProof/>
        </w:rPr>
        <w:t>115</w:t>
      </w:r>
      <w:r w:rsidR="009F2591">
        <w:rPr>
          <w:noProof/>
        </w:rPr>
        <w:fldChar w:fldCharType="end"/>
      </w:r>
      <w:r w:rsidR="00F16BF3" w:rsidRPr="00F16BF3">
        <w:t>: Penetracija fiksnega širokopasovnega dostopa</w:t>
      </w:r>
      <w:bookmarkEnd w:id="5769"/>
    </w:p>
    <w:p w14:paraId="0EE56EB1" w14:textId="77777777" w:rsidR="00F16BF3" w:rsidRDefault="00F16BF3" w:rsidP="00F16BF3">
      <w:pPr>
        <w:spacing w:before="0" w:line="276" w:lineRule="auto"/>
        <w:rPr>
          <w:sz w:val="20"/>
          <w:szCs w:val="20"/>
        </w:rPr>
      </w:pPr>
      <w:r>
        <w:rPr>
          <w:noProof/>
          <w:lang w:eastAsia="sl-SI"/>
        </w:rPr>
        <w:drawing>
          <wp:inline distT="0" distB="0" distL="0" distR="0" wp14:anchorId="4105C249" wp14:editId="14FB49FB">
            <wp:extent cx="5651500" cy="4267200"/>
            <wp:effectExtent l="0" t="0" r="635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12D44176" w14:textId="77777777" w:rsidR="00F16BF3" w:rsidRDefault="00F16BF3" w:rsidP="00F16BF3">
      <w:pPr>
        <w:spacing w:before="0" w:line="276" w:lineRule="auto"/>
        <w:rPr>
          <w:sz w:val="20"/>
          <w:szCs w:val="20"/>
        </w:rPr>
      </w:pPr>
      <w:r w:rsidRPr="00A973A4">
        <w:rPr>
          <w:sz w:val="16"/>
          <w:szCs w:val="20"/>
        </w:rPr>
        <w:t xml:space="preserve">Vir: </w:t>
      </w:r>
      <w:r>
        <w:rPr>
          <w:sz w:val="16"/>
          <w:szCs w:val="20"/>
        </w:rPr>
        <w:t>s</w:t>
      </w:r>
      <w:r w:rsidRPr="00A973A4">
        <w:rPr>
          <w:sz w:val="16"/>
          <w:szCs w:val="20"/>
        </w:rPr>
        <w:t xml:space="preserve">pletna stran AKOS, po podatkih SURS. Dostopno na:  </w:t>
      </w:r>
      <w:hyperlink r:id="rId154" w:history="1">
        <w:r w:rsidRPr="00A973A4">
          <w:rPr>
            <w:rStyle w:val="Hiperpovezava"/>
            <w:sz w:val="16"/>
            <w:szCs w:val="20"/>
          </w:rPr>
          <w:t>https://eanalitik.akos-rs.si/?tx_agindicator_filter%5Baction%5D=indicator&amp;tx_agindicator_filter%5Bcontroller%5D=Filter&amp;tx_agindicator_filter%5Bi%5D%5B0%5D=7&amp;cHash=c96f5feaffe16e8f02c044107d0a3860</w:t>
        </w:r>
      </w:hyperlink>
    </w:p>
    <w:p w14:paraId="73E01871" w14:textId="77777777" w:rsidR="00F16BF3" w:rsidRDefault="00F16BF3" w:rsidP="00FA3FBA">
      <w:pPr>
        <w:spacing w:before="0" w:line="260" w:lineRule="atLeast"/>
        <w:rPr>
          <w:sz w:val="20"/>
          <w:szCs w:val="20"/>
        </w:rPr>
      </w:pPr>
    </w:p>
    <w:p w14:paraId="77169950" w14:textId="4C4584CF" w:rsidR="00F16BF3" w:rsidRPr="001261F1" w:rsidRDefault="00F16BF3" w:rsidP="00FA3FBA">
      <w:pPr>
        <w:spacing w:before="0" w:line="260" w:lineRule="atLeast"/>
        <w:rPr>
          <w:szCs w:val="20"/>
        </w:rPr>
      </w:pPr>
      <w:r w:rsidRPr="001261F1">
        <w:rPr>
          <w:szCs w:val="20"/>
        </w:rPr>
        <w:t>V okviru PRP 2014</w:t>
      </w:r>
      <w:r w:rsidR="008177D0" w:rsidRPr="001261F1">
        <w:rPr>
          <w:szCs w:val="20"/>
        </w:rPr>
        <w:t>–</w:t>
      </w:r>
      <w:r w:rsidRPr="001261F1">
        <w:rPr>
          <w:szCs w:val="20"/>
        </w:rPr>
        <w:t>2020 smo z namenom povečanja deleža širokopasovnega dostopa vzpostavili podukrep 7.3</w:t>
      </w:r>
      <w:r w:rsidRPr="001261F1">
        <w:rPr>
          <w:rStyle w:val="Sprotnaopomba-sklic"/>
          <w:sz w:val="22"/>
        </w:rPr>
        <w:footnoteReference w:id="28"/>
      </w:r>
      <w:r w:rsidRPr="001261F1">
        <w:rPr>
          <w:szCs w:val="20"/>
        </w:rPr>
        <w:t>, ki je namenjen izgradnji širokopasovne internetne infrastrukture, ki bi omogočala prenosno hitrost najmanj 100 Mb/s in dostop do elektronskih komunikacijskih storitev po teh omrežjih. Sredstva PRP 2014–2020 so sicer namenjena zagotavljanju dostopa tistim belim lisam, za katere ni bilo izkazanega tržnega interesa, in sicer v podravski, pomurski in koroški regiji. Projekt je še v teku, zato rezultati še ni</w:t>
      </w:r>
      <w:r w:rsidR="008177D0" w:rsidRPr="001261F1">
        <w:rPr>
          <w:szCs w:val="20"/>
        </w:rPr>
        <w:t>so na voljo.</w:t>
      </w:r>
    </w:p>
    <w:p w14:paraId="3904926A" w14:textId="77777777" w:rsidR="00F16BF3" w:rsidRPr="001261F1" w:rsidRDefault="00F16BF3" w:rsidP="00FA3FBA">
      <w:pPr>
        <w:spacing w:before="0" w:line="260" w:lineRule="atLeast"/>
        <w:rPr>
          <w:szCs w:val="20"/>
        </w:rPr>
      </w:pPr>
    </w:p>
    <w:p w14:paraId="7F71CC30" w14:textId="2D2F832B" w:rsidR="00D47E10" w:rsidRPr="001261F1" w:rsidRDefault="00F16BF3" w:rsidP="00FA3FBA">
      <w:pPr>
        <w:spacing w:before="0" w:line="260" w:lineRule="atLeast"/>
        <w:rPr>
          <w:szCs w:val="20"/>
        </w:rPr>
      </w:pPr>
      <w:r w:rsidRPr="001261F1">
        <w:rPr>
          <w:szCs w:val="20"/>
        </w:rPr>
        <w:t xml:space="preserve">Naslednji </w:t>
      </w:r>
      <w:r w:rsidR="008177D0" w:rsidRPr="001261F1">
        <w:rPr>
          <w:szCs w:val="20"/>
        </w:rPr>
        <w:t>dejavnik</w:t>
      </w:r>
      <w:r w:rsidRPr="001261F1">
        <w:rPr>
          <w:szCs w:val="20"/>
        </w:rPr>
        <w:t>, ki izrazito vpliva na h</w:t>
      </w:r>
      <w:r w:rsidR="003412D5" w:rsidRPr="001261F1">
        <w:rPr>
          <w:szCs w:val="20"/>
        </w:rPr>
        <w:t>itrost</w:t>
      </w:r>
      <w:r w:rsidR="00E64A26" w:rsidRPr="001261F1">
        <w:rPr>
          <w:szCs w:val="20"/>
        </w:rPr>
        <w:t xml:space="preserve"> prevzemanja novih digitalnih rešitev, tehnologij, inovacij v prakso</w:t>
      </w:r>
      <w:r w:rsidRPr="001261F1">
        <w:rPr>
          <w:szCs w:val="20"/>
        </w:rPr>
        <w:t xml:space="preserve">, je tudi že omenjena </w:t>
      </w:r>
      <w:r w:rsidR="003412D5" w:rsidRPr="001261F1">
        <w:rPr>
          <w:szCs w:val="20"/>
        </w:rPr>
        <w:t>usposobljenost,</w:t>
      </w:r>
      <w:r w:rsidRPr="001261F1">
        <w:rPr>
          <w:szCs w:val="20"/>
        </w:rPr>
        <w:t xml:space="preserve"> kompetence, izobrazba, </w:t>
      </w:r>
      <w:r w:rsidR="003412D5" w:rsidRPr="001261F1">
        <w:rPr>
          <w:szCs w:val="20"/>
        </w:rPr>
        <w:t>hkrati pa je potrebno k temu dodati še vidik starosti nosilca kmetijskega gospodarstva in profesionaliziranost KMG. Upoštevajoč neugodno starostno strukturo v slovenskem kmetijstvu</w:t>
      </w:r>
      <w:r w:rsidRPr="001261F1">
        <w:rPr>
          <w:szCs w:val="20"/>
        </w:rPr>
        <w:t>, ki je podrobno opisana v analizi stanja za cilj 7</w:t>
      </w:r>
      <w:r w:rsidR="003412D5" w:rsidRPr="001261F1">
        <w:rPr>
          <w:szCs w:val="20"/>
        </w:rPr>
        <w:t xml:space="preserve"> in nižjo raven usposobljenosti in formalne izobrazbe,</w:t>
      </w:r>
      <w:r w:rsidRPr="001261F1">
        <w:rPr>
          <w:szCs w:val="20"/>
        </w:rPr>
        <w:t xml:space="preserve"> ki je predstavljena v splošnem, uvodnem poglavju o kmetijstvu, </w:t>
      </w:r>
      <w:r w:rsidR="003412D5" w:rsidRPr="001261F1">
        <w:rPr>
          <w:szCs w:val="20"/>
        </w:rPr>
        <w:t xml:space="preserve">perspektive za hitrost prevzemanja novih (digitalnih) tehnologij in inovacij v prakso niso najboljše. </w:t>
      </w:r>
    </w:p>
    <w:p w14:paraId="4BB34BEB" w14:textId="77777777" w:rsidR="00D47E10" w:rsidRPr="001261F1" w:rsidRDefault="00D47E10" w:rsidP="00FA3FBA">
      <w:pPr>
        <w:spacing w:before="0" w:line="260" w:lineRule="atLeast"/>
        <w:rPr>
          <w:szCs w:val="20"/>
        </w:rPr>
      </w:pPr>
    </w:p>
    <w:p w14:paraId="3874413A" w14:textId="77777777" w:rsidR="003412D5" w:rsidRPr="001261F1" w:rsidRDefault="00D47E10" w:rsidP="00FA3FBA">
      <w:pPr>
        <w:spacing w:before="0" w:line="260" w:lineRule="atLeast"/>
        <w:rPr>
          <w:szCs w:val="20"/>
        </w:rPr>
      </w:pPr>
      <w:r w:rsidRPr="001261F1">
        <w:rPr>
          <w:szCs w:val="20"/>
        </w:rPr>
        <w:t>Evropska komisija (2019c) navaja, da v</w:t>
      </w:r>
      <w:r w:rsidR="003412D5" w:rsidRPr="001261F1">
        <w:rPr>
          <w:szCs w:val="20"/>
        </w:rPr>
        <w:t xml:space="preserve"> povprečju traja kar 20 let od pričetka raziskave do vsesplošne uporabe njenih rezultatov v praksi. Nezadosten in prepočasen sprejem novega znanja in inovativnih rešitev v kmetijstvu, še posebej pri majhnih in srednje-velikih kmetijskih gospodarstvih, ovira mehkejši prehod v trajnostno in konkurenčno kmetijstvo.  </w:t>
      </w:r>
    </w:p>
    <w:p w14:paraId="5EF71327" w14:textId="77777777" w:rsidR="003412D5" w:rsidRDefault="003412D5" w:rsidP="00C36861">
      <w:pPr>
        <w:pStyle w:val="1"/>
      </w:pPr>
    </w:p>
    <w:p w14:paraId="6000541A" w14:textId="4C58DE9E" w:rsidR="003412D5" w:rsidRPr="0047652B" w:rsidRDefault="003412D5" w:rsidP="001261F1">
      <w:pPr>
        <w:pStyle w:val="SCSlika0"/>
      </w:pPr>
      <w:bookmarkStart w:id="5770" w:name="_Toc89851158"/>
      <w:r w:rsidRPr="001F3065">
        <w:t xml:space="preserve">Slika </w:t>
      </w:r>
      <w:r w:rsidR="00A87628">
        <w:rPr>
          <w:noProof/>
        </w:rPr>
        <w:fldChar w:fldCharType="begin"/>
      </w:r>
      <w:r w:rsidR="00A87628">
        <w:rPr>
          <w:noProof/>
        </w:rPr>
        <w:instrText xml:space="preserve"> SEQ Slika \* ARABIC </w:instrText>
      </w:r>
      <w:r w:rsidR="00A87628">
        <w:rPr>
          <w:noProof/>
        </w:rPr>
        <w:fldChar w:fldCharType="separate"/>
      </w:r>
      <w:r w:rsidR="001B3E9B">
        <w:rPr>
          <w:noProof/>
        </w:rPr>
        <w:t>116</w:t>
      </w:r>
      <w:r w:rsidR="00A87628">
        <w:rPr>
          <w:noProof/>
        </w:rPr>
        <w:fldChar w:fldCharType="end"/>
      </w:r>
      <w:r w:rsidRPr="001F3065">
        <w:t>:</w:t>
      </w:r>
      <w:r w:rsidRPr="001F3065">
        <w:rPr>
          <w:i/>
        </w:rPr>
        <w:t xml:space="preserve"> </w:t>
      </w:r>
      <w:r w:rsidRPr="001F3065">
        <w:t>Hitrost prevzemanja novih tehnologij v kmetijstvu</w:t>
      </w:r>
      <w:bookmarkEnd w:id="5770"/>
      <w:r w:rsidRPr="001F3065">
        <w:t xml:space="preserve"> </w:t>
      </w:r>
    </w:p>
    <w:p w14:paraId="07A742FD" w14:textId="77777777" w:rsidR="003412D5" w:rsidRPr="0047652B" w:rsidRDefault="003412D5" w:rsidP="003412D5">
      <w:pPr>
        <w:keepNext/>
        <w:keepLines/>
        <w:spacing w:before="0" w:line="276" w:lineRule="auto"/>
        <w:rPr>
          <w:sz w:val="20"/>
          <w:szCs w:val="20"/>
        </w:rPr>
      </w:pPr>
      <w:r w:rsidRPr="0047652B">
        <w:rPr>
          <w:sz w:val="20"/>
          <w:szCs w:val="20"/>
        </w:rPr>
        <w:t xml:space="preserve">  </w:t>
      </w:r>
      <w:r w:rsidRPr="0047652B">
        <w:rPr>
          <w:noProof/>
          <w:sz w:val="20"/>
          <w:szCs w:val="20"/>
          <w:lang w:eastAsia="sl-SI"/>
        </w:rPr>
        <w:drawing>
          <wp:inline distT="0" distB="0" distL="0" distR="0" wp14:anchorId="0751E566" wp14:editId="1DFF0A7E">
            <wp:extent cx="3098042" cy="1723165"/>
            <wp:effectExtent l="19050" t="19050" r="26670" b="1079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098083" cy="1723188"/>
                    </a:xfrm>
                    <a:prstGeom prst="rect">
                      <a:avLst/>
                    </a:prstGeom>
                    <a:noFill/>
                    <a:ln>
                      <a:solidFill>
                        <a:schemeClr val="accent1"/>
                      </a:solidFill>
                    </a:ln>
                  </pic:spPr>
                </pic:pic>
              </a:graphicData>
            </a:graphic>
          </wp:inline>
        </w:drawing>
      </w:r>
    </w:p>
    <w:p w14:paraId="36C199B6" w14:textId="77777777" w:rsidR="003412D5" w:rsidRPr="0047652B" w:rsidRDefault="003412D5" w:rsidP="003412D5">
      <w:pPr>
        <w:keepNext/>
        <w:keepLines/>
        <w:spacing w:before="0" w:line="276" w:lineRule="auto"/>
        <w:rPr>
          <w:sz w:val="16"/>
          <w:szCs w:val="16"/>
        </w:rPr>
      </w:pPr>
      <w:r w:rsidRPr="0047652B">
        <w:rPr>
          <w:sz w:val="16"/>
          <w:szCs w:val="16"/>
        </w:rPr>
        <w:t>Vir: E</w:t>
      </w:r>
      <w:r w:rsidR="00EF54A6">
        <w:rPr>
          <w:sz w:val="16"/>
          <w:szCs w:val="16"/>
        </w:rPr>
        <w:t>vropska komisija</w:t>
      </w:r>
      <w:r w:rsidRPr="0047652B">
        <w:rPr>
          <w:sz w:val="16"/>
          <w:szCs w:val="16"/>
        </w:rPr>
        <w:t xml:space="preserve"> (2019</w:t>
      </w:r>
      <w:r w:rsidR="00EF54A6">
        <w:rPr>
          <w:sz w:val="16"/>
          <w:szCs w:val="16"/>
        </w:rPr>
        <w:t>c</w:t>
      </w:r>
      <w:r w:rsidRPr="0047652B">
        <w:rPr>
          <w:sz w:val="16"/>
          <w:szCs w:val="16"/>
        </w:rPr>
        <w:t>): Building stronger agricultural knowledge and innovation systems (AKIS) to foster advice, knowledge and innovation in agriculture and rural areas</w:t>
      </w:r>
      <w:r w:rsidR="00EF54A6">
        <w:rPr>
          <w:sz w:val="16"/>
          <w:szCs w:val="16"/>
        </w:rPr>
        <w:t>.</w:t>
      </w:r>
    </w:p>
    <w:p w14:paraId="3C329EA1" w14:textId="77777777" w:rsidR="003412D5" w:rsidRDefault="003412D5" w:rsidP="00FA3FBA">
      <w:pPr>
        <w:spacing w:before="0" w:line="260" w:lineRule="atLeast"/>
        <w:rPr>
          <w:sz w:val="20"/>
          <w:szCs w:val="20"/>
        </w:rPr>
      </w:pPr>
    </w:p>
    <w:p w14:paraId="7CFC5336" w14:textId="767CF717" w:rsidR="000935EF" w:rsidRPr="001261F1" w:rsidRDefault="000935EF" w:rsidP="00FA3FBA">
      <w:pPr>
        <w:spacing w:before="0" w:line="260" w:lineRule="atLeast"/>
        <w:rPr>
          <w:szCs w:val="20"/>
        </w:rPr>
      </w:pPr>
      <w:r w:rsidRPr="001261F1">
        <w:rPr>
          <w:szCs w:val="20"/>
        </w:rPr>
        <w:t xml:space="preserve">Podobno sicer velja tudi drugod v EU, zato bo digitalni in zeleni prehod za kmetijski sektor t.j. prehoda v kmetijstvo 4.0 </w:t>
      </w:r>
      <w:r w:rsidR="008177D0" w:rsidRPr="001261F1">
        <w:rPr>
          <w:szCs w:val="20"/>
        </w:rPr>
        <w:t>-</w:t>
      </w:r>
      <w:r w:rsidRPr="001261F1">
        <w:rPr>
          <w:szCs w:val="20"/>
        </w:rPr>
        <w:t xml:space="preserve"> izrazito velik izziv. Prav zaradi izrazitega zavedanja, da obstaja na tem področju v kmetijstvu vrzel v znanju, usposobljenosti, hitrosti prenosa tehnologij, znanja in inovacij v prakso, se v zadnjem času močno izpostavlja smiselnost izdatnejših vlaganj v učinkovito podporno okolje kmetijskega sistema znanja in inovacij (»</w:t>
      </w:r>
      <w:r w:rsidRPr="001261F1">
        <w:rPr>
          <w:i/>
          <w:szCs w:val="20"/>
        </w:rPr>
        <w:t>agriculture knowledge and innovation system</w:t>
      </w:r>
      <w:r w:rsidRPr="001261F1">
        <w:rPr>
          <w:szCs w:val="20"/>
        </w:rPr>
        <w:t xml:space="preserve">«, v nadaljevanju: AKIS). </w:t>
      </w:r>
    </w:p>
    <w:p w14:paraId="77113ED1" w14:textId="77777777" w:rsidR="000935EF" w:rsidRPr="001261F1" w:rsidRDefault="000935EF" w:rsidP="00FA3FBA">
      <w:pPr>
        <w:spacing w:before="0" w:line="260" w:lineRule="atLeast"/>
        <w:rPr>
          <w:szCs w:val="20"/>
        </w:rPr>
      </w:pPr>
    </w:p>
    <w:p w14:paraId="6BA3D009" w14:textId="33202205" w:rsidR="003412D5" w:rsidRPr="001261F1" w:rsidRDefault="003412D5" w:rsidP="00FA3FBA">
      <w:pPr>
        <w:spacing w:before="0" w:line="260" w:lineRule="atLeast"/>
        <w:rPr>
          <w:szCs w:val="20"/>
        </w:rPr>
      </w:pPr>
      <w:r w:rsidRPr="001261F1">
        <w:rPr>
          <w:szCs w:val="20"/>
        </w:rPr>
        <w:t xml:space="preserve">Inovacije so </w:t>
      </w:r>
      <w:r w:rsidR="000935EF" w:rsidRPr="001261F1">
        <w:rPr>
          <w:szCs w:val="20"/>
        </w:rPr>
        <w:t xml:space="preserve">namreč </w:t>
      </w:r>
      <w:r w:rsidRPr="001261F1">
        <w:rPr>
          <w:szCs w:val="20"/>
        </w:rPr>
        <w:t xml:space="preserve">tisti najpomembnejši </w:t>
      </w:r>
      <w:r w:rsidR="008177D0" w:rsidRPr="001261F1">
        <w:rPr>
          <w:szCs w:val="20"/>
        </w:rPr>
        <w:t>dejavnik</w:t>
      </w:r>
      <w:r w:rsidRPr="001261F1">
        <w:rPr>
          <w:szCs w:val="20"/>
        </w:rPr>
        <w:t>, ki na dolgi rok določa rast produktivnosti, spodbujajo pa jih vlaganja v raziskave. Večina študij</w:t>
      </w:r>
      <w:r w:rsidR="00612824" w:rsidRPr="001261F1">
        <w:rPr>
          <w:szCs w:val="20"/>
        </w:rPr>
        <w:t xml:space="preserve"> (Evropska komisija, 2016</w:t>
      </w:r>
      <w:r w:rsidR="00EF54A6" w:rsidRPr="001261F1">
        <w:rPr>
          <w:szCs w:val="20"/>
        </w:rPr>
        <w:t>b</w:t>
      </w:r>
      <w:r w:rsidR="00612824" w:rsidRPr="001261F1">
        <w:rPr>
          <w:szCs w:val="20"/>
        </w:rPr>
        <w:t xml:space="preserve"> in </w:t>
      </w:r>
      <w:r w:rsidR="00EF54A6" w:rsidRPr="001261F1">
        <w:rPr>
          <w:szCs w:val="20"/>
        </w:rPr>
        <w:t xml:space="preserve">Evropska komisija, </w:t>
      </w:r>
      <w:r w:rsidR="00612824" w:rsidRPr="001261F1">
        <w:rPr>
          <w:szCs w:val="20"/>
        </w:rPr>
        <w:t>201</w:t>
      </w:r>
      <w:r w:rsidR="00EF54A6" w:rsidRPr="001261F1">
        <w:rPr>
          <w:szCs w:val="20"/>
        </w:rPr>
        <w:t>9c</w:t>
      </w:r>
      <w:r w:rsidR="00612824" w:rsidRPr="001261F1">
        <w:rPr>
          <w:szCs w:val="20"/>
        </w:rPr>
        <w:t>; Evropski parlament, 2016, CEMA, 2017, EIP-AGRI, 2017)</w:t>
      </w:r>
      <w:r w:rsidRPr="001261F1">
        <w:rPr>
          <w:szCs w:val="20"/>
        </w:rPr>
        <w:t xml:space="preserve"> navaja, da imajo vlaganja v inovativne tehnologije (velepodatki, precizno kmetijstvo, daljinsko zaznavanje, internet stvari, umetna inteligenca, robotika ipd.) znaten pozitiven učinek na produktivnost. Tehnološke spremembe so tiste, ki največ prispevajo k razvoju TFP. Izboljšanje tehnološke učinkovitosti tako prinaša ohranjanje ali celo povečanje obsega proizvodnje ob nespremenjenem ali celo zmanjšanem obsegu vložkov (ang. »inputs«).</w:t>
      </w:r>
      <w:r w:rsidRPr="001261F1">
        <w:rPr>
          <w:rStyle w:val="Sprotnaopomba-sklic"/>
          <w:sz w:val="22"/>
        </w:rPr>
        <w:t xml:space="preserve"> </w:t>
      </w:r>
      <w:r w:rsidRPr="001261F1">
        <w:rPr>
          <w:szCs w:val="20"/>
        </w:rPr>
        <w:t xml:space="preserve">To pa je dandanes ključna paradigma razvoja kmetijstva v EU in tudi v Sloveniji. </w:t>
      </w:r>
    </w:p>
    <w:p w14:paraId="0670C9B5" w14:textId="77777777" w:rsidR="003412D5" w:rsidRPr="001261F1" w:rsidRDefault="003412D5" w:rsidP="00FA3FBA">
      <w:pPr>
        <w:spacing w:before="0" w:line="260" w:lineRule="atLeast"/>
        <w:rPr>
          <w:szCs w:val="20"/>
        </w:rPr>
      </w:pPr>
    </w:p>
    <w:p w14:paraId="2FF6CF8A" w14:textId="49107DD7" w:rsidR="003412D5" w:rsidRDefault="003412D5" w:rsidP="00FA3FBA">
      <w:pPr>
        <w:spacing w:before="0" w:line="260" w:lineRule="atLeast"/>
        <w:rPr>
          <w:szCs w:val="20"/>
        </w:rPr>
      </w:pPr>
      <w:r w:rsidRPr="001261F1">
        <w:rPr>
          <w:szCs w:val="20"/>
        </w:rPr>
        <w:t xml:space="preserve">Zajem ekonomskega potenciala teh sprememb terja prevzem drugačnih poslovnih modelov in se povezuje s konceptom prehoda v kmetijstvo 4.0. </w:t>
      </w:r>
    </w:p>
    <w:p w14:paraId="18B87ADF" w14:textId="44D0F612" w:rsidR="009C3C2F" w:rsidRDefault="009C3C2F" w:rsidP="00FA3FBA">
      <w:pPr>
        <w:spacing w:before="0" w:line="260" w:lineRule="atLeast"/>
        <w:rPr>
          <w:sz w:val="18"/>
          <w:szCs w:val="16"/>
        </w:rPr>
      </w:pPr>
    </w:p>
    <w:p w14:paraId="3F64E6E2" w14:textId="33893E45" w:rsidR="000935EF" w:rsidRPr="001261F1" w:rsidRDefault="009C3C2F" w:rsidP="00FA3FBA">
      <w:pPr>
        <w:spacing w:before="0" w:line="260" w:lineRule="atLeast"/>
        <w:rPr>
          <w:rFonts w:eastAsia="SimSun"/>
          <w:szCs w:val="20"/>
          <w:lang w:eastAsia="sl-SI"/>
        </w:rPr>
      </w:pPr>
      <w:r w:rsidRPr="00E155C1">
        <w:rPr>
          <w:szCs w:val="20"/>
        </w:rPr>
        <w:t xml:space="preserve">V Sloveniji </w:t>
      </w:r>
      <w:r>
        <w:rPr>
          <w:szCs w:val="20"/>
        </w:rPr>
        <w:t xml:space="preserve">obstaja dobro organiziran in dostopen sistem javnih služb, izobraževalnih in raziskovalnih institucij – sistem AKIS, ki je podrobno opisan v analizi stanja za cilj 10.  </w:t>
      </w:r>
      <w:r w:rsidR="000935EF" w:rsidRPr="001261F1">
        <w:rPr>
          <w:szCs w:val="20"/>
        </w:rPr>
        <w:t>Čeprav je splošno prepoznano, kako pomembna je vloga AKIS sistema z vidika razvoja in hitrosti uvedbe tehnoloških sprememb v kmetijskem sektorju, se v obstoječem AKIS sistemu v Sloveniji</w:t>
      </w:r>
      <w:r>
        <w:rPr>
          <w:szCs w:val="20"/>
        </w:rPr>
        <w:t xml:space="preserve"> (podobno tudi</w:t>
      </w:r>
      <w:r w:rsidR="000935EF" w:rsidRPr="001261F1">
        <w:rPr>
          <w:szCs w:val="20"/>
        </w:rPr>
        <w:t xml:space="preserve"> drugod po EU</w:t>
      </w:r>
      <w:r>
        <w:rPr>
          <w:szCs w:val="20"/>
        </w:rPr>
        <w:t>)</w:t>
      </w:r>
      <w:r w:rsidR="000935EF" w:rsidRPr="001261F1">
        <w:rPr>
          <w:szCs w:val="20"/>
        </w:rPr>
        <w:t xml:space="preserve"> kažejo šibkosti, in sicer predvsem v smislu razdrobljenosti in šibke povezanosti med akterji, ki ustvarjajo znanje (fakultete, inštituti…), prenašajo znanje (svetovalne službe) ter končnimi uporabniki, to je kmetijska praksa. </w:t>
      </w:r>
      <w:r w:rsidR="000935EF" w:rsidRPr="001261F1">
        <w:rPr>
          <w:rFonts w:eastAsia="SimSun"/>
          <w:szCs w:val="20"/>
          <w:lang w:eastAsia="sl-SI"/>
        </w:rPr>
        <w:t>Prenos znanja v prakso je nezadosten, prav tako pa tudi povratni tok o zaznanih potrebah kmetijske prakse.</w:t>
      </w:r>
    </w:p>
    <w:p w14:paraId="1CFA353C" w14:textId="77777777" w:rsidR="000935EF" w:rsidRPr="001261F1" w:rsidRDefault="000935EF" w:rsidP="00FA3FBA">
      <w:pPr>
        <w:spacing w:before="0" w:line="260" w:lineRule="atLeast"/>
        <w:rPr>
          <w:szCs w:val="20"/>
        </w:rPr>
      </w:pPr>
    </w:p>
    <w:p w14:paraId="45D8FD10" w14:textId="6E07822D" w:rsidR="00E64A26" w:rsidRPr="001261F1" w:rsidRDefault="00612824" w:rsidP="00FA3FBA">
      <w:pPr>
        <w:spacing w:before="0" w:line="260" w:lineRule="atLeast"/>
        <w:rPr>
          <w:szCs w:val="20"/>
        </w:rPr>
      </w:pPr>
      <w:r w:rsidRPr="001261F1">
        <w:rPr>
          <w:szCs w:val="20"/>
        </w:rPr>
        <w:t xml:space="preserve">Prav tako pa tudi ni razvitih celovitih programov usposabljanja in svetovanja o tematikah, ki bi pokrivali celotno upravljanje kmetijskega gospodarstva, kot so: spodbujanje podjetniških spretnosti, ekonomika, trženje, obvladovanje tveganj, finančno upravljanje, varstvo narave in okolja, </w:t>
      </w:r>
      <w:r w:rsidR="008177D0" w:rsidRPr="001261F1">
        <w:rPr>
          <w:szCs w:val="20"/>
        </w:rPr>
        <w:t xml:space="preserve">učinkovitejše </w:t>
      </w:r>
      <w:r w:rsidRPr="001261F1">
        <w:rPr>
          <w:szCs w:val="20"/>
        </w:rPr>
        <w:t>ekološko kmetovanje, biotska raznovrstnost, digitalna pismenost</w:t>
      </w:r>
      <w:r w:rsidR="00242C95">
        <w:rPr>
          <w:szCs w:val="20"/>
        </w:rPr>
        <w:t>, uvajanje krožnega in biogospodarstva</w:t>
      </w:r>
      <w:r w:rsidRPr="001261F1">
        <w:rPr>
          <w:szCs w:val="20"/>
        </w:rPr>
        <w:t xml:space="preserve"> ipd. </w:t>
      </w:r>
      <w:r w:rsidR="008F49F7" w:rsidRPr="001261F1">
        <w:rPr>
          <w:szCs w:val="20"/>
        </w:rPr>
        <w:t xml:space="preserve">Nosilcem in članom </w:t>
      </w:r>
      <w:r w:rsidR="000935EF" w:rsidRPr="001261F1">
        <w:rPr>
          <w:szCs w:val="20"/>
        </w:rPr>
        <w:t xml:space="preserve">kmetijskih gospodarstev </w:t>
      </w:r>
      <w:r w:rsidRPr="001261F1">
        <w:rPr>
          <w:szCs w:val="20"/>
        </w:rPr>
        <w:t xml:space="preserve">tako </w:t>
      </w:r>
      <w:r w:rsidR="00E64A26" w:rsidRPr="001261F1">
        <w:rPr>
          <w:szCs w:val="20"/>
        </w:rPr>
        <w:t>primanjkuje znanj</w:t>
      </w:r>
      <w:r w:rsidRPr="001261F1">
        <w:rPr>
          <w:szCs w:val="20"/>
        </w:rPr>
        <w:t xml:space="preserve"> na področju vpeljave najnovejših tehnologij, digitalnih rešitev, podjetništva, trženja, ekonomike. Velika </w:t>
      </w:r>
      <w:r w:rsidR="00E64A26" w:rsidRPr="001261F1">
        <w:rPr>
          <w:szCs w:val="20"/>
        </w:rPr>
        <w:t xml:space="preserve">večina kmetijskih gospodarstev </w:t>
      </w:r>
      <w:r w:rsidRPr="001261F1">
        <w:rPr>
          <w:szCs w:val="20"/>
        </w:rPr>
        <w:t xml:space="preserve">tako tudi </w:t>
      </w:r>
      <w:r w:rsidR="00E64A26" w:rsidRPr="001261F1">
        <w:rPr>
          <w:szCs w:val="20"/>
        </w:rPr>
        <w:t xml:space="preserve">ne vodi poslovnih knjig, ki bi lahko predstavljale podlago za operativno upravljanje in strateške odločitve. Pomanjkanje evidenc in </w:t>
      </w:r>
      <w:r w:rsidRPr="001261F1">
        <w:rPr>
          <w:szCs w:val="20"/>
        </w:rPr>
        <w:t xml:space="preserve">prav </w:t>
      </w:r>
      <w:r w:rsidR="00E64A26" w:rsidRPr="001261F1">
        <w:rPr>
          <w:szCs w:val="20"/>
        </w:rPr>
        <w:t xml:space="preserve">nepoznavanje (lastnih) stroškov proizvodnje </w:t>
      </w:r>
      <w:r w:rsidRPr="001261F1">
        <w:rPr>
          <w:szCs w:val="20"/>
        </w:rPr>
        <w:t xml:space="preserve">pa močno </w:t>
      </w:r>
      <w:r w:rsidR="00E64A26" w:rsidRPr="001261F1">
        <w:rPr>
          <w:szCs w:val="20"/>
        </w:rPr>
        <w:t xml:space="preserve">otežuje sprejemanje optimalnih odločitev za investiranje, trženje, poslovno usmeritev ipd. </w:t>
      </w:r>
    </w:p>
    <w:p w14:paraId="3071267B" w14:textId="77777777" w:rsidR="00D47E10" w:rsidRPr="001261F1" w:rsidRDefault="00D47E10" w:rsidP="00FA3FBA">
      <w:pPr>
        <w:spacing w:before="0" w:line="260" w:lineRule="atLeast"/>
        <w:rPr>
          <w:szCs w:val="20"/>
        </w:rPr>
      </w:pPr>
    </w:p>
    <w:p w14:paraId="7FDE0416" w14:textId="16359F92" w:rsidR="00D47E10" w:rsidRPr="00ED35F3" w:rsidRDefault="00D47E10" w:rsidP="00FA3FBA">
      <w:pPr>
        <w:spacing w:before="0" w:line="260" w:lineRule="atLeast"/>
        <w:rPr>
          <w:szCs w:val="20"/>
        </w:rPr>
      </w:pPr>
      <w:r w:rsidRPr="00ED35F3">
        <w:rPr>
          <w:szCs w:val="20"/>
        </w:rPr>
        <w:t xml:space="preserve">Podrobneje je stanje na področju </w:t>
      </w:r>
      <w:r w:rsidR="00D9595A" w:rsidRPr="00ED35F3">
        <w:rPr>
          <w:szCs w:val="20"/>
        </w:rPr>
        <w:t xml:space="preserve">digitalizacije in </w:t>
      </w:r>
      <w:r w:rsidRPr="00ED35F3">
        <w:rPr>
          <w:szCs w:val="20"/>
        </w:rPr>
        <w:t xml:space="preserve">AKIS predstavljeno v analizi stanja za cilj 10. </w:t>
      </w:r>
      <w:r w:rsidR="00190BD2" w:rsidRPr="00ED35F3">
        <w:rPr>
          <w:szCs w:val="20"/>
        </w:rPr>
        <w:t>Iz te podrobnejše analize je razvidno, da je v slovenskem kmetijstvu vzpostavljen delujoč sistem izobraževalnih, svetovalnih in raziskovalnih institucij in tudi sistem delovanja različnih javnih služb</w:t>
      </w:r>
      <w:r w:rsidR="00EC1D1C" w:rsidRPr="00ED35F3">
        <w:rPr>
          <w:szCs w:val="20"/>
        </w:rPr>
        <w:t xml:space="preserve">  - t.i. sistem AKIS</w:t>
      </w:r>
      <w:r w:rsidR="00190BD2" w:rsidRPr="00ED35F3">
        <w:rPr>
          <w:szCs w:val="20"/>
        </w:rPr>
        <w:t>.</w:t>
      </w:r>
      <w:r w:rsidR="00EC1D1C" w:rsidRPr="00ED35F3">
        <w:rPr>
          <w:szCs w:val="20"/>
        </w:rPr>
        <w:t xml:space="preserve"> </w:t>
      </w:r>
      <w:r w:rsidR="00190BD2" w:rsidRPr="00ED35F3">
        <w:rPr>
          <w:szCs w:val="20"/>
        </w:rPr>
        <w:t xml:space="preserve"> </w:t>
      </w:r>
      <w:r w:rsidR="00EC1D1C" w:rsidRPr="00ED35F3">
        <w:rPr>
          <w:szCs w:val="20"/>
        </w:rPr>
        <w:t>V okviru študije Proakis  iz leta 2014 se je Slovenija glede kakovosti in povezanosti institucij znotraj sistema AKIS med analiziranimi državami članicami EU uvrstila nekje na sredino. Predvsem se kot pomanjkljivost kaže povezanost in sistemsko sodelovanje med tovrstnimi institucijami v sistemu AKIS</w:t>
      </w:r>
      <w:r w:rsidR="00D9595A" w:rsidRPr="00ED35F3">
        <w:rPr>
          <w:szCs w:val="20"/>
        </w:rPr>
        <w:t xml:space="preserve"> ter krepitev sodelovanja z zasebnim sektorjem</w:t>
      </w:r>
      <w:r w:rsidR="00EC1D1C" w:rsidRPr="00ED35F3">
        <w:rPr>
          <w:szCs w:val="20"/>
        </w:rPr>
        <w:t xml:space="preserve">. Podrobnejši opis sledi v analizi stanja za cilj 10. </w:t>
      </w:r>
    </w:p>
    <w:p w14:paraId="2A843834" w14:textId="60947CD8" w:rsidR="001261F1" w:rsidRDefault="001261F1" w:rsidP="00FA3FBA">
      <w:pPr>
        <w:spacing w:before="0" w:line="260" w:lineRule="atLeast"/>
        <w:rPr>
          <w:szCs w:val="20"/>
        </w:rPr>
      </w:pPr>
    </w:p>
    <w:p w14:paraId="3B865A6A" w14:textId="789B4D25" w:rsidR="00FB1223" w:rsidRDefault="00FB1223" w:rsidP="00FA3FBA">
      <w:pPr>
        <w:spacing w:before="0" w:line="260" w:lineRule="atLeast"/>
        <w:rPr>
          <w:szCs w:val="20"/>
        </w:rPr>
      </w:pPr>
    </w:p>
    <w:p w14:paraId="221E5C79" w14:textId="7EE788B0" w:rsidR="00FB1223" w:rsidRDefault="00FB1223" w:rsidP="00FB1223">
      <w:pPr>
        <w:pStyle w:val="Naslov2"/>
      </w:pPr>
      <w:bookmarkStart w:id="5771" w:name="_Toc90462319"/>
      <w:r w:rsidRPr="001F3065">
        <w:t>Vloga</w:t>
      </w:r>
      <w:r>
        <w:t xml:space="preserve"> AKIS</w:t>
      </w:r>
      <w:r w:rsidRPr="001F3065">
        <w:t xml:space="preserve"> </w:t>
      </w:r>
      <w:r>
        <w:t>in digitalizacije pri spodbujanju prehoda v krožno in biogospodarstvo</w:t>
      </w:r>
      <w:bookmarkEnd w:id="5771"/>
      <w:r>
        <w:t xml:space="preserve"> </w:t>
      </w:r>
    </w:p>
    <w:p w14:paraId="4CA6EA4A" w14:textId="74D2165B" w:rsidR="00FB1223" w:rsidRDefault="00FB1223" w:rsidP="00E155C1"/>
    <w:p w14:paraId="274EF972" w14:textId="13EEF39A" w:rsidR="00953BD3" w:rsidRDefault="00FB1223" w:rsidP="005A0031">
      <w:pPr>
        <w:spacing w:before="0" w:line="260" w:lineRule="atLeast"/>
        <w:rPr>
          <w:lang w:eastAsia="en-US"/>
        </w:rPr>
      </w:pPr>
      <w:r>
        <w:rPr>
          <w:lang w:eastAsia="en-US"/>
        </w:rPr>
        <w:t xml:space="preserve">Uvajanje krožnega in biogospodarstva v Sloveniji poteka počasi in sporadično. </w:t>
      </w:r>
      <w:r w:rsidR="005A0031">
        <w:rPr>
          <w:lang w:eastAsia="en-US"/>
        </w:rPr>
        <w:t xml:space="preserve">V nadaljevanju so povzete nekatere ključne ugotovitve iz </w:t>
      </w:r>
      <w:r w:rsidR="006B5D64">
        <w:rPr>
          <w:lang w:eastAsia="en-US"/>
        </w:rPr>
        <w:t xml:space="preserve">nedavno zaključenega </w:t>
      </w:r>
      <w:r w:rsidR="005A0031">
        <w:rPr>
          <w:lang w:eastAsia="en-US"/>
        </w:rPr>
        <w:t xml:space="preserve">Ciljnega raziskovalnega projekta </w:t>
      </w:r>
      <w:r w:rsidR="005A0031" w:rsidRPr="005A0031">
        <w:rPr>
          <w:lang w:eastAsia="en-US"/>
        </w:rPr>
        <w:t>V4-1824</w:t>
      </w:r>
      <w:r w:rsidR="005A0031">
        <w:rPr>
          <w:lang w:eastAsia="en-US"/>
        </w:rPr>
        <w:t xml:space="preserve"> Premostitev vrzeli v biogospodarstvu: od gozdne in kmetijske biomase do inovativnih tehnoloških rešitev (angl. Bridging gaps in Bioeconomy: from Foresty and Agriculture Biomass to Innovative Technological solutions)</w:t>
      </w:r>
      <w:r w:rsidR="005A0031">
        <w:rPr>
          <w:rStyle w:val="Sprotnaopomba-sklic"/>
          <w:lang w:eastAsia="en-US"/>
        </w:rPr>
        <w:footnoteReference w:id="29"/>
      </w:r>
      <w:r w:rsidR="005A0031">
        <w:rPr>
          <w:lang w:eastAsia="en-US"/>
        </w:rPr>
        <w:t xml:space="preserve">. </w:t>
      </w:r>
    </w:p>
    <w:p w14:paraId="58720C27" w14:textId="77777777" w:rsidR="00953BD3" w:rsidRDefault="00953BD3" w:rsidP="00953BD3">
      <w:pPr>
        <w:spacing w:before="0" w:line="260" w:lineRule="atLeast"/>
        <w:rPr>
          <w:lang w:eastAsia="en-US"/>
        </w:rPr>
      </w:pPr>
    </w:p>
    <w:p w14:paraId="3D8CC9C1" w14:textId="65043F59" w:rsidR="00FB1223" w:rsidRPr="0048510D" w:rsidRDefault="00953BD3" w:rsidP="00E155C1">
      <w:pPr>
        <w:pStyle w:val="Odstavekseznama"/>
        <w:numPr>
          <w:ilvl w:val="0"/>
          <w:numId w:val="224"/>
        </w:numPr>
        <w:spacing w:before="0" w:line="260" w:lineRule="atLeast"/>
        <w:rPr>
          <w:lang w:eastAsia="en-US"/>
        </w:rPr>
      </w:pPr>
      <w:r w:rsidRPr="00E155C1">
        <w:rPr>
          <w:rFonts w:ascii="Arial" w:hAnsi="Arial"/>
          <w:i/>
          <w:sz w:val="22"/>
          <w:lang w:eastAsia="en-US"/>
        </w:rPr>
        <w:t xml:space="preserve">Potencial gozda: </w:t>
      </w:r>
      <w:r w:rsidR="00FB1223" w:rsidRPr="00E155C1">
        <w:rPr>
          <w:rFonts w:ascii="Arial" w:hAnsi="Arial"/>
          <w:sz w:val="22"/>
          <w:lang w:eastAsia="en-US"/>
        </w:rPr>
        <w:t xml:space="preserve">Slovenija spada med najbolj gozdnate evropske države, saj gozd pokriva več kot polovice površine, vendar pa so pri izkoriščanju potenciala gozda realne strukturne omejitve (z vidika </w:t>
      </w:r>
      <w:r w:rsidRPr="00E155C1">
        <w:rPr>
          <w:rFonts w:ascii="Arial" w:hAnsi="Arial"/>
          <w:sz w:val="22"/>
          <w:lang w:eastAsia="en-US"/>
        </w:rPr>
        <w:t xml:space="preserve">velike </w:t>
      </w:r>
      <w:r w:rsidR="00FB1223" w:rsidRPr="00E155C1">
        <w:rPr>
          <w:rFonts w:ascii="Arial" w:hAnsi="Arial"/>
          <w:sz w:val="22"/>
          <w:lang w:eastAsia="en-US"/>
        </w:rPr>
        <w:t>razdrobljenosti gozdnih površin,</w:t>
      </w:r>
      <w:r w:rsidRPr="00E155C1">
        <w:rPr>
          <w:rFonts w:ascii="Arial" w:hAnsi="Arial"/>
          <w:sz w:val="22"/>
          <w:lang w:eastAsia="en-US"/>
        </w:rPr>
        <w:t xml:space="preserve"> majhnosti zasebne gozdne posesti), poleg tega so bili gozdovi v nedavnih naravnih nesrečah močno poškodovani (žledolom, vetrolomi, namnožitve podlubnikov). Dodana vrednost gozdno lesnih sortimentov je nizka, velik delež se porabi za energetske namene, pri izvozu prevladuje nepredelan okrogli les.  Z vidika dodane vrednosti gozdnih lesnih sortimentov imamo v Sloveniji izrazite rezerve. Te kaže iskati zlasti v povečanju gospodarske rabe okroglega lesa znotraj Slovenije ter v krepitvi tehnološko naprednejših alternativ energetski rabi okroglega lesa. Neizkoriščeni potenciali so najvišji pri lesu slabše kakovosti, pa tudi pri stranskih proizvodih in ostankih iz lesnopredelovalne industrije. </w:t>
      </w:r>
    </w:p>
    <w:p w14:paraId="5D0536CA" w14:textId="77777777" w:rsidR="00FB1223" w:rsidRPr="00E155C1" w:rsidRDefault="00FB1223" w:rsidP="00FA3FBA">
      <w:pPr>
        <w:spacing w:before="0" w:line="260" w:lineRule="atLeast"/>
        <w:rPr>
          <w:sz w:val="24"/>
          <w:szCs w:val="20"/>
        </w:rPr>
      </w:pPr>
    </w:p>
    <w:p w14:paraId="1F781713" w14:textId="75864EE8" w:rsidR="006B5D64" w:rsidRPr="00E155C1" w:rsidRDefault="00953BD3" w:rsidP="00E155C1">
      <w:pPr>
        <w:pStyle w:val="Odstavekseznama"/>
        <w:numPr>
          <w:ilvl w:val="0"/>
          <w:numId w:val="224"/>
        </w:numPr>
        <w:spacing w:before="0" w:line="260" w:lineRule="atLeast"/>
      </w:pPr>
      <w:r w:rsidRPr="00E155C1">
        <w:rPr>
          <w:rFonts w:ascii="Arial" w:hAnsi="Arial"/>
          <w:i/>
          <w:sz w:val="22"/>
        </w:rPr>
        <w:t>Potencial biomase kmetijskega izvora</w:t>
      </w:r>
      <w:r w:rsidRPr="0000287A">
        <w:rPr>
          <w:rFonts w:ascii="Arial" w:hAnsi="Arial"/>
          <w:sz w:val="22"/>
        </w:rPr>
        <w:t>:</w:t>
      </w:r>
      <w:r w:rsidRPr="00E155C1">
        <w:rPr>
          <w:rFonts w:ascii="Arial" w:hAnsi="Arial"/>
          <w:sz w:val="22"/>
        </w:rPr>
        <w:t xml:space="preserve"> </w:t>
      </w:r>
      <w:r w:rsidR="006B5D64" w:rsidRPr="00E155C1">
        <w:rPr>
          <w:rFonts w:ascii="Arial" w:hAnsi="Arial"/>
          <w:sz w:val="22"/>
        </w:rPr>
        <w:t>Raznoliki produkti primarne kmetijske proizvodnje so v</w:t>
      </w:r>
    </w:p>
    <w:p w14:paraId="2C3199C3" w14:textId="2B9CB682" w:rsidR="006B5D64" w:rsidRPr="0048510D" w:rsidRDefault="006B5D64" w:rsidP="00E155C1">
      <w:pPr>
        <w:pStyle w:val="Odstavekseznama"/>
        <w:spacing w:before="0" w:line="260" w:lineRule="atLeast"/>
      </w:pPr>
      <w:r w:rsidRPr="00E155C1">
        <w:rPr>
          <w:rFonts w:ascii="Arial" w:hAnsi="Arial"/>
          <w:sz w:val="22"/>
        </w:rPr>
        <w:t xml:space="preserve">prvi vrsti namenjeni verigi oskrbe s hrano, kjer potenciali dodajanja vrednosti ostajajo neizkoriščeni. </w:t>
      </w:r>
      <w:r w:rsidR="00953BD3" w:rsidRPr="00E155C1">
        <w:rPr>
          <w:rFonts w:ascii="Arial" w:hAnsi="Arial"/>
          <w:sz w:val="22"/>
        </w:rPr>
        <w:t>Naravni pogoji (v strukturi kmetijskih zemljišč s 58 % deležem prevladuje travinje, tri četrtine kmetijskih površin je v območjih z naravnimi in drugimi</w:t>
      </w:r>
      <w:r w:rsidRPr="00E155C1">
        <w:rPr>
          <w:rFonts w:ascii="Arial" w:hAnsi="Arial"/>
          <w:sz w:val="22"/>
        </w:rPr>
        <w:t xml:space="preserve"> </w:t>
      </w:r>
      <w:r w:rsidR="00953BD3" w:rsidRPr="00E155C1">
        <w:rPr>
          <w:rFonts w:ascii="Arial" w:hAnsi="Arial"/>
          <w:sz w:val="22"/>
        </w:rPr>
        <w:t>omejitvami) determinirajo obseg in strukturo primarne kmetijske proizvodnje. Dve tretjini kmetijskih gospodarstev se ukvarja z živinorejsko proizvodnjo, pri čemer prevladujeta (vse bolj specializirani) reja govedi za meso in prireja mleka. Živinoreja (skupaj s pridelavo krmnih rastlin) prispeva tudi največji delež (56 %) k vrednosti kmetijske proizvodnje. V smislu vloge kmetijstva kot ključnega člena v verigi oskrbe s hrano in izkoriščenosti potenciala dodane vrednosti v oči bode podatek, da v zgoraj navedenih panogah kmetijstva skoraj tretjina celotne</w:t>
      </w:r>
      <w:r w:rsidR="0000287A" w:rsidRPr="00E155C1">
        <w:rPr>
          <w:rFonts w:ascii="Arial" w:hAnsi="Arial"/>
          <w:sz w:val="22"/>
        </w:rPr>
        <w:t xml:space="preserve"> </w:t>
      </w:r>
      <w:r w:rsidR="00953BD3" w:rsidRPr="00E155C1">
        <w:rPr>
          <w:rFonts w:ascii="Arial" w:hAnsi="Arial"/>
          <w:sz w:val="22"/>
        </w:rPr>
        <w:t>proizvodnje gre v izvoz kot osnovna surovina (surovo mleko oziroma žive živali). Po drugi strani v panogah, kjer povpraševanje po živilih domačega izvora izrazito narašča (npr. sveža zelenjava, ekološka hrana), nikakor ne pride do oblikovanja sistemov ponudbe, ki bi bili zmožni oskrbe prodajnih formatov široke potrošnje. Na tem temelji prva ugotovitev, povezana s kmetijsko proizvodnjo v Sloveniji, da so največje rezerve v boljši vertikalni povezanosti in konkurenčnosti celotnih verig vrednosti, kot tudi celotnega sistema oskrbe slovenskega trga s hrano domačega izvora.</w:t>
      </w:r>
      <w:r w:rsidRPr="00E155C1">
        <w:rPr>
          <w:rFonts w:ascii="Arial" w:hAnsi="Arial"/>
          <w:sz w:val="22"/>
        </w:rPr>
        <w:t xml:space="preserve"> </w:t>
      </w:r>
    </w:p>
    <w:p w14:paraId="63133447" w14:textId="77777777" w:rsidR="006B5D64" w:rsidRPr="00E155C1" w:rsidRDefault="006B5D64" w:rsidP="006B5D64">
      <w:pPr>
        <w:spacing w:before="0" w:line="260" w:lineRule="atLeast"/>
        <w:rPr>
          <w:sz w:val="24"/>
          <w:szCs w:val="20"/>
        </w:rPr>
      </w:pPr>
    </w:p>
    <w:p w14:paraId="343CCCE6" w14:textId="400D84B0" w:rsidR="006B5D64" w:rsidRPr="0048510D" w:rsidRDefault="006B5D64" w:rsidP="00E155C1">
      <w:pPr>
        <w:pStyle w:val="Odstavekseznama"/>
        <w:numPr>
          <w:ilvl w:val="0"/>
          <w:numId w:val="224"/>
        </w:numPr>
        <w:spacing w:before="0" w:line="260" w:lineRule="atLeast"/>
      </w:pPr>
      <w:r w:rsidRPr="00E155C1">
        <w:rPr>
          <w:rFonts w:ascii="Arial" w:hAnsi="Arial"/>
          <w:sz w:val="22"/>
        </w:rPr>
        <w:t xml:space="preserve">Pri </w:t>
      </w:r>
      <w:r w:rsidRPr="00E155C1">
        <w:rPr>
          <w:rFonts w:ascii="Arial" w:hAnsi="Arial"/>
          <w:i/>
          <w:sz w:val="22"/>
        </w:rPr>
        <w:t>rastlinski proizvodnji</w:t>
      </w:r>
      <w:r w:rsidRPr="00E155C1">
        <w:rPr>
          <w:rFonts w:ascii="Arial" w:hAnsi="Arial"/>
          <w:sz w:val="22"/>
        </w:rPr>
        <w:t xml:space="preserve"> je izkoriščanje biogospodarskega potenciala ostankov in stranskih proizvodov rastlinske pridelave smotrno v obsegu, ki ne ogroža bilance organske snovi v tleh.  Glede na dejstvo, da je prevladujoči del primarne kmetijske proizvodnje vključen v prehransko verigo, in upoštevajoč načelo 'najprej hrana'  v kaskadni rabi primarnih kmetijskih proizvodov, gre komercialno zanimive tokove iskati v odpadnih in stranskih tokovih kmetijske biomase</w:t>
      </w:r>
      <w:r w:rsidR="00B26990" w:rsidRPr="00E155C1">
        <w:rPr>
          <w:rFonts w:ascii="Arial" w:hAnsi="Arial"/>
          <w:sz w:val="22"/>
        </w:rPr>
        <w:t xml:space="preserve"> (ostanki pridelkov, žetveni ostanki, hmeljevina ter ostanki zelenjadnic, oljnic in korenovk, zeleni odrez trte in sadnih rastlin…). </w:t>
      </w:r>
    </w:p>
    <w:p w14:paraId="1F0880E8" w14:textId="03F415C9" w:rsidR="006B5D64" w:rsidRPr="00E155C1" w:rsidRDefault="006B5D64" w:rsidP="00953BD3">
      <w:pPr>
        <w:spacing w:before="0" w:line="260" w:lineRule="atLeast"/>
        <w:rPr>
          <w:sz w:val="24"/>
          <w:szCs w:val="20"/>
        </w:rPr>
      </w:pPr>
    </w:p>
    <w:p w14:paraId="4413ED68" w14:textId="2A1E8742" w:rsidR="00953BD3" w:rsidRPr="0048510D" w:rsidRDefault="00953BD3" w:rsidP="00E155C1">
      <w:pPr>
        <w:pStyle w:val="Odstavekseznama"/>
        <w:numPr>
          <w:ilvl w:val="0"/>
          <w:numId w:val="224"/>
        </w:numPr>
        <w:spacing w:before="0" w:line="260" w:lineRule="atLeast"/>
      </w:pPr>
      <w:r w:rsidRPr="00E155C1">
        <w:rPr>
          <w:rFonts w:ascii="Arial" w:hAnsi="Arial"/>
          <w:sz w:val="22"/>
        </w:rPr>
        <w:t xml:space="preserve">Biogospodarska raba stranskih proizvodov </w:t>
      </w:r>
      <w:r w:rsidRPr="00E155C1">
        <w:rPr>
          <w:rFonts w:ascii="Arial" w:hAnsi="Arial"/>
          <w:i/>
          <w:sz w:val="22"/>
        </w:rPr>
        <w:t>živinorejske proizvodnje</w:t>
      </w:r>
      <w:r w:rsidRPr="00E155C1">
        <w:rPr>
          <w:rFonts w:ascii="Arial" w:hAnsi="Arial"/>
          <w:sz w:val="22"/>
        </w:rPr>
        <w:t xml:space="preserve"> je </w:t>
      </w:r>
      <w:r w:rsidR="005A0031" w:rsidRPr="00E155C1">
        <w:rPr>
          <w:rFonts w:ascii="Arial" w:hAnsi="Arial"/>
          <w:sz w:val="22"/>
        </w:rPr>
        <w:t xml:space="preserve">trenutno </w:t>
      </w:r>
      <w:r w:rsidRPr="00E155C1">
        <w:rPr>
          <w:rFonts w:ascii="Arial" w:hAnsi="Arial"/>
          <w:sz w:val="22"/>
        </w:rPr>
        <w:t xml:space="preserve">v prvi vrsti povezana z uporabo v energetiki. </w:t>
      </w:r>
      <w:r w:rsidR="005A0031" w:rsidRPr="00E155C1">
        <w:rPr>
          <w:rFonts w:ascii="Arial" w:hAnsi="Arial"/>
          <w:sz w:val="22"/>
        </w:rPr>
        <w:t>Obstoječa mreža bioplinskih naprav (med katerimi prevladujejo tiste reda velikosti med 1 in 4 MW) je velikostno predimenzionirana za način in organiziranost kmetijske proizvodnje v Sloveniji, kar povzroča točkovne prekomerne okoljske obremenitve (premalo površin za gnojenje z digestatom bioplinskih naprav). V prevladujočih razmerah slovenskega kmetijstva z razmeroma majhnimi in prostorska razpršenimi kmetijami je ključni izziv v vzpostavitvi manjših bioplinskih naprav (ranga velikosti 250 kW) na večjih kmetijskih gospodarstvih, oziroma povezovanju kmetijskih gospodarstev in drugih uporabnikov (npr. lokalne skupnosti) pri skupinskih naložbah in obratovanju manjših bioplinskih naprav.</w:t>
      </w:r>
    </w:p>
    <w:p w14:paraId="600E8D95" w14:textId="316B1C5E" w:rsidR="005A0031" w:rsidRPr="00E155C1" w:rsidRDefault="005A0031" w:rsidP="005A0031">
      <w:pPr>
        <w:spacing w:before="0" w:line="260" w:lineRule="atLeast"/>
        <w:rPr>
          <w:sz w:val="24"/>
          <w:szCs w:val="20"/>
        </w:rPr>
      </w:pPr>
    </w:p>
    <w:p w14:paraId="709B99B0" w14:textId="0F62E626" w:rsidR="005A0031" w:rsidRPr="0048510D" w:rsidRDefault="005A0031" w:rsidP="00E155C1">
      <w:pPr>
        <w:pStyle w:val="Odstavekseznama"/>
        <w:numPr>
          <w:ilvl w:val="0"/>
          <w:numId w:val="224"/>
        </w:numPr>
        <w:spacing w:before="0" w:line="260" w:lineRule="atLeast"/>
      </w:pPr>
      <w:r w:rsidRPr="00E155C1">
        <w:rPr>
          <w:rFonts w:ascii="Arial" w:hAnsi="Arial"/>
          <w:sz w:val="22"/>
        </w:rPr>
        <w:t xml:space="preserve">Pri ostankih </w:t>
      </w:r>
      <w:r w:rsidRPr="00E155C1">
        <w:rPr>
          <w:rFonts w:ascii="Arial" w:hAnsi="Arial"/>
          <w:i/>
          <w:sz w:val="22"/>
        </w:rPr>
        <w:t>v živilskopredelovalni industriji</w:t>
      </w:r>
      <w:r w:rsidRPr="00E155C1">
        <w:rPr>
          <w:rFonts w:ascii="Arial" w:hAnsi="Arial"/>
          <w:sz w:val="22"/>
        </w:rPr>
        <w:t xml:space="preserve"> gre v snovnem smislu za biomaso z izjemno raznoliko sestavo, ki nastaja v proizvodnji in predelavi mesa, mleka, sadja, zelenjave, pekovskih in slaščičarskih izdelkov ter alkoholnih in brezalkoholnih pijač. Raznolikost sestave ostankov v proizvodnji živil obeta raznovrsten biogospodarski potencial, ki pa ga je zaradi podatkovnih omejitev težko oceniti. Letna količina stranskih tokov v živilskopredelovalni industriji, ki se v trenutni klasifikaciji uvršča med odpadke, se giblje na letni ravni okrog 30.000 t. Poglavitni vir odpadkov predstavljata proizvodnja živil živalskega izvora (31 %) in proizvodnja mlečnih izdelkov (22 %), sledijo jim proizvodnja alkoholnih in brezalkoholnih pijač (17 %), ter ostale dejavnosti ki skupaj prispevajo preostalih 10 %. Več kot polovica odpadkov v proizvodnji živil se torej nanaša na predelavo mesa in mleka, prevladuje energetska raba (bioplinarne). Glede na raznovrstnost stranskih tokov, zlasti ostankov in odpadkov v predelave živil, so neizkoriščeni potenciali v pridobivanju funkcionalnih komponent in materialov (bioaktivne komponente, vlakninski materiali) ter šele v zadnji fazi uporaba za energetske namene (kar je pretežna raba danes). Obstajao raznolike možnosti izboljšanja rabe odpadkov in stranskih tokov v živilskopredelovalni industriji, najbolj izrazite so v mlekarstvu in pivovarski industriji. Pri drugih stranskih tokovih živilskopredelovalne industrije ni vprašanje biogospodarskega potenciala, temveč količin in logistične zahtevnosti. </w:t>
      </w:r>
    </w:p>
    <w:p w14:paraId="5B0711CA" w14:textId="4659334A" w:rsidR="005A0031" w:rsidRPr="00E155C1" w:rsidRDefault="005A0031" w:rsidP="005A0031">
      <w:pPr>
        <w:spacing w:before="0" w:line="260" w:lineRule="atLeast"/>
        <w:rPr>
          <w:sz w:val="24"/>
          <w:szCs w:val="20"/>
        </w:rPr>
      </w:pPr>
    </w:p>
    <w:p w14:paraId="67117C71" w14:textId="2DDC7F41" w:rsidR="005A0031" w:rsidRPr="0048510D" w:rsidRDefault="005A0031" w:rsidP="00E155C1">
      <w:pPr>
        <w:pStyle w:val="Odstavekseznama"/>
        <w:numPr>
          <w:ilvl w:val="0"/>
          <w:numId w:val="224"/>
        </w:numPr>
        <w:spacing w:before="0" w:line="260" w:lineRule="atLeast"/>
      </w:pPr>
      <w:r w:rsidRPr="00E155C1">
        <w:rPr>
          <w:rFonts w:ascii="Arial" w:hAnsi="Arial"/>
          <w:i/>
          <w:sz w:val="22"/>
        </w:rPr>
        <w:t>Zavržena hrana</w:t>
      </w:r>
      <w:r w:rsidRPr="00E155C1">
        <w:rPr>
          <w:rFonts w:ascii="Arial" w:hAnsi="Arial"/>
          <w:sz w:val="22"/>
        </w:rPr>
        <w:t xml:space="preserve"> predstavlja znaten vir odpadkov, katerega trenutne količine (povprečno 130.000 ton/leto) so večkratnik količin odpadkov v proizvodnji hrane. Pri zavrženi hrani je aktivnosti smiselno zastaviti v smeri zmanjšanja količin in čim večje vključitve le-te v prehranski cikel.</w:t>
      </w:r>
    </w:p>
    <w:p w14:paraId="7F0AA937" w14:textId="75FEFEB7" w:rsidR="00B26990" w:rsidRDefault="00B26990" w:rsidP="005A0031">
      <w:pPr>
        <w:spacing w:before="0" w:line="260" w:lineRule="atLeast"/>
        <w:rPr>
          <w:szCs w:val="20"/>
        </w:rPr>
      </w:pPr>
    </w:p>
    <w:p w14:paraId="40CF16B4" w14:textId="10D4E2AB" w:rsidR="004B0B53" w:rsidRPr="00165283" w:rsidRDefault="004B0B53" w:rsidP="005A0031">
      <w:pPr>
        <w:spacing w:before="0" w:line="260" w:lineRule="atLeast"/>
        <w:rPr>
          <w:szCs w:val="20"/>
        </w:rPr>
      </w:pPr>
      <w:r>
        <w:rPr>
          <w:szCs w:val="20"/>
        </w:rPr>
        <w:t>Tudi v</w:t>
      </w:r>
      <w:r w:rsidR="00B26990">
        <w:rPr>
          <w:szCs w:val="20"/>
        </w:rPr>
        <w:t xml:space="preserve"> smislu širšega prehoda na krožno gospodarstvo je v slovenskem gospodarstvu, vključno s kmetijstvom, živilstvom in gozdno-lesno verigo, še veliko neizkoriščenih potencialov</w:t>
      </w:r>
      <w:r>
        <w:rPr>
          <w:szCs w:val="20"/>
        </w:rPr>
        <w:t>, kot npr.</w:t>
      </w:r>
      <w:r w:rsidR="00B26990">
        <w:rPr>
          <w:szCs w:val="20"/>
        </w:rPr>
        <w:t xml:space="preserve"> z vidika večje učinkovitosti rabe vode, energije, materialov, zmanjševanja embalaže, odpadkov, odpadne hrane, recikliranja odpadkov, ponovne rabe stranskih proizvodov (sekundarnih surovin), uvajanja </w:t>
      </w:r>
      <w:r w:rsidR="00C2711C">
        <w:rPr>
          <w:szCs w:val="20"/>
        </w:rPr>
        <w:t xml:space="preserve">ekološkega kmetijstva in </w:t>
      </w:r>
      <w:r w:rsidR="00B26990">
        <w:rPr>
          <w:szCs w:val="20"/>
        </w:rPr>
        <w:t>preciznega kmetijstva (zmanjševanje rabe gnojil in FFS), inovacij in znanja</w:t>
      </w:r>
      <w:r w:rsidR="00C2711C">
        <w:rPr>
          <w:szCs w:val="20"/>
        </w:rPr>
        <w:t>, spodbujanja lokalnih oskrbnih verig</w:t>
      </w:r>
      <w:r w:rsidR="00B26990">
        <w:rPr>
          <w:szCs w:val="20"/>
        </w:rPr>
        <w:t>…, kot tudi  digitalizacije snovnih tokov, večje sledljivosti ter učinkovitega merjenja učinkovitosti prehoda na krožno gospodarstvo</w:t>
      </w:r>
      <w:r>
        <w:rPr>
          <w:szCs w:val="20"/>
        </w:rPr>
        <w:t xml:space="preserve"> itn</w:t>
      </w:r>
      <w:r w:rsidR="00B26990">
        <w:rPr>
          <w:szCs w:val="20"/>
        </w:rPr>
        <w:t xml:space="preserve">. </w:t>
      </w:r>
      <w:r>
        <w:rPr>
          <w:szCs w:val="20"/>
        </w:rPr>
        <w:t>V kontekstu hitrejšega in učinkovitejšega prehoda v krožno in biogospodarstvo bo potrebno pospešiti prenos znanja in inovacij tudi v kmetijskem, živilskem sektorju in gozdarskem sektorju (in naprej po verigi) ter podpreti ustrezna vlaganja.</w:t>
      </w:r>
    </w:p>
    <w:p w14:paraId="6A51B2B0" w14:textId="77777777" w:rsidR="00953BD3" w:rsidRPr="001261F1" w:rsidRDefault="00953BD3" w:rsidP="00FA3FBA">
      <w:pPr>
        <w:spacing w:before="0" w:line="260" w:lineRule="atLeast"/>
        <w:rPr>
          <w:szCs w:val="20"/>
        </w:rPr>
      </w:pPr>
    </w:p>
    <w:p w14:paraId="034FC42B" w14:textId="77777777" w:rsidR="00F03ED1" w:rsidRPr="0047652B" w:rsidRDefault="000935EF" w:rsidP="00FA3FBA">
      <w:pPr>
        <w:tabs>
          <w:tab w:val="left" w:pos="283"/>
        </w:tabs>
        <w:autoSpaceDE w:val="0"/>
        <w:autoSpaceDN w:val="0"/>
        <w:adjustRightInd w:val="0"/>
        <w:spacing w:before="0" w:line="260" w:lineRule="atLeast"/>
        <w:ind w:right="595"/>
        <w:textAlignment w:val="center"/>
        <w:rPr>
          <w:sz w:val="20"/>
          <w:szCs w:val="20"/>
        </w:rPr>
      </w:pPr>
      <w:r>
        <w:rPr>
          <w:sz w:val="20"/>
          <w:szCs w:val="20"/>
        </w:rPr>
        <w:t xml:space="preserve">  </w:t>
      </w:r>
    </w:p>
    <w:p w14:paraId="262568FC" w14:textId="61944DAA" w:rsidR="00A42884" w:rsidRPr="001F3065" w:rsidRDefault="001E5903" w:rsidP="001261F1">
      <w:pPr>
        <w:pStyle w:val="Naslov2"/>
      </w:pPr>
      <w:bookmarkStart w:id="5772" w:name="_Toc31577846"/>
      <w:bookmarkStart w:id="5773" w:name="_Toc31578041"/>
      <w:bookmarkStart w:id="5774" w:name="_Toc31578106"/>
      <w:bookmarkStart w:id="5775" w:name="_Toc31578171"/>
      <w:bookmarkStart w:id="5776" w:name="_Toc31673808"/>
      <w:bookmarkStart w:id="5777" w:name="_Toc31674647"/>
      <w:bookmarkStart w:id="5778" w:name="_Toc31675486"/>
      <w:bookmarkStart w:id="5779" w:name="_Toc31577847"/>
      <w:bookmarkStart w:id="5780" w:name="_Toc31578042"/>
      <w:bookmarkStart w:id="5781" w:name="_Toc31578107"/>
      <w:bookmarkStart w:id="5782" w:name="_Toc31578172"/>
      <w:bookmarkStart w:id="5783" w:name="_Toc31673809"/>
      <w:bookmarkStart w:id="5784" w:name="_Toc31674648"/>
      <w:bookmarkStart w:id="5785" w:name="_Toc31675487"/>
      <w:bookmarkStart w:id="5786" w:name="_Toc90462320"/>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r w:rsidRPr="001F3065">
        <w:t>Ključne ugotovitve</w:t>
      </w:r>
      <w:bookmarkEnd w:id="5786"/>
    </w:p>
    <w:p w14:paraId="04394A58" w14:textId="77777777" w:rsidR="00F03ED1" w:rsidRDefault="00F03ED1" w:rsidP="00FA3FBA">
      <w:pPr>
        <w:spacing w:before="0" w:line="260" w:lineRule="atLeast"/>
        <w:rPr>
          <w:sz w:val="20"/>
          <w:szCs w:val="20"/>
        </w:rPr>
      </w:pPr>
    </w:p>
    <w:p w14:paraId="24E5BE54" w14:textId="77777777" w:rsidR="00D47E10" w:rsidRDefault="00D47E10" w:rsidP="00FA3FBA">
      <w:pPr>
        <w:spacing w:before="0" w:line="260" w:lineRule="atLeast"/>
        <w:rPr>
          <w:sz w:val="20"/>
          <w:szCs w:val="20"/>
        </w:rPr>
      </w:pPr>
    </w:p>
    <w:p w14:paraId="1CC36460" w14:textId="2CA1020F" w:rsidR="00612824"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Digitalizacija v kmetijstvu in uporaba digitalnih tehnologij ima vse pomembnejšo vlogo tako pri doseganju višje produktivnosti kot tudi doseganju  </w:t>
      </w:r>
      <w:r w:rsidR="00F238AB" w:rsidRPr="001261F1">
        <w:rPr>
          <w:rFonts w:ascii="Arial" w:hAnsi="Arial"/>
          <w:sz w:val="22"/>
        </w:rPr>
        <w:t>ciljev na področju okolja ter blaženje podnebnih sprememb in prilagajanje nanj</w:t>
      </w:r>
      <w:r w:rsidRPr="001261F1">
        <w:rPr>
          <w:rFonts w:ascii="Arial" w:hAnsi="Arial"/>
          <w:sz w:val="22"/>
        </w:rPr>
        <w:t xml:space="preserve">. </w:t>
      </w:r>
    </w:p>
    <w:p w14:paraId="0EEE71C6" w14:textId="77777777" w:rsidR="00612824"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 in zmanjšajo vplivi kmetijstva na okolje, hkrati pa kmetovanje naredijo privlačnejše za mlajše generacije.</w:t>
      </w:r>
    </w:p>
    <w:p w14:paraId="6C8F6390" w14:textId="7689C6E2" w:rsidR="00612824" w:rsidRPr="001261F1" w:rsidRDefault="001261F1" w:rsidP="00FA3FBA">
      <w:pPr>
        <w:pStyle w:val="Odstavekseznama"/>
        <w:numPr>
          <w:ilvl w:val="0"/>
          <w:numId w:val="113"/>
        </w:numPr>
        <w:spacing w:before="0" w:line="260" w:lineRule="atLeast"/>
        <w:ind w:left="426" w:hanging="284"/>
        <w:rPr>
          <w:rFonts w:ascii="Arial" w:hAnsi="Arial"/>
          <w:sz w:val="22"/>
        </w:rPr>
      </w:pPr>
      <w:r>
        <w:rPr>
          <w:rFonts w:ascii="Arial" w:hAnsi="Arial"/>
          <w:b/>
          <w:bCs/>
          <w:color w:val="767676"/>
          <w:sz w:val="22"/>
        </w:rPr>
        <w:t xml:space="preserve">V </w:t>
      </w:r>
      <w:r w:rsidR="007C33A1" w:rsidRPr="001261F1">
        <w:rPr>
          <w:rFonts w:ascii="Arial" w:hAnsi="Arial"/>
          <w:sz w:val="22"/>
        </w:rPr>
        <w:t xml:space="preserve">slovenskem kmetijstvu se </w:t>
      </w:r>
      <w:r w:rsidR="007C33A1" w:rsidRPr="001261F1">
        <w:rPr>
          <w:rFonts w:ascii="Arial" w:hAnsi="Arial"/>
          <w:bCs/>
          <w:sz w:val="22"/>
        </w:rPr>
        <w:t>digitalizacija</w:t>
      </w:r>
      <w:r w:rsidR="007C33A1" w:rsidRPr="001261F1">
        <w:rPr>
          <w:rFonts w:ascii="Arial" w:hAnsi="Arial"/>
          <w:sz w:val="22"/>
        </w:rPr>
        <w:t xml:space="preserve"> uvaja postopno in na različnih področjih</w:t>
      </w:r>
      <w:r w:rsidR="00612824" w:rsidRPr="001261F1">
        <w:rPr>
          <w:rFonts w:ascii="Arial" w:hAnsi="Arial"/>
          <w:sz w:val="22"/>
        </w:rPr>
        <w:t>.</w:t>
      </w:r>
      <w:r w:rsidR="00C7691B" w:rsidRPr="001261F1">
        <w:rPr>
          <w:rFonts w:ascii="Arial" w:hAnsi="Arial"/>
          <w:sz w:val="22"/>
        </w:rPr>
        <w:t xml:space="preserve"> </w:t>
      </w:r>
      <w:r w:rsidR="00612824" w:rsidRPr="001261F1">
        <w:rPr>
          <w:rFonts w:ascii="Arial" w:hAnsi="Arial"/>
          <w:sz w:val="22"/>
        </w:rPr>
        <w:t xml:space="preserve">Obstajajo že določeni posamični primeri uspešnega uvajanja digitalnih tehnologij, a sistematičnega spremljanja tega področja v kmetijstvu nismo izvajali. </w:t>
      </w:r>
    </w:p>
    <w:p w14:paraId="53EB72B6" w14:textId="36759D18" w:rsidR="00612824" w:rsidRPr="001261F1" w:rsidRDefault="00992A0B"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V okviru ukrepov PRP 2014-2020 </w:t>
      </w:r>
      <w:r w:rsidR="007C33A1" w:rsidRPr="001261F1">
        <w:rPr>
          <w:rFonts w:ascii="Arial" w:hAnsi="Arial"/>
          <w:sz w:val="22"/>
        </w:rPr>
        <w:t>(M</w:t>
      </w:r>
      <w:r w:rsidR="001F27DC" w:rsidRPr="001261F1">
        <w:rPr>
          <w:rFonts w:ascii="Arial" w:hAnsi="Arial"/>
          <w:sz w:val="22"/>
        </w:rPr>
        <w:t>0</w:t>
      </w:r>
      <w:r w:rsidR="007C33A1" w:rsidRPr="001261F1">
        <w:rPr>
          <w:rFonts w:ascii="Arial" w:hAnsi="Arial"/>
          <w:sz w:val="22"/>
        </w:rPr>
        <w:t>4.1, M</w:t>
      </w:r>
      <w:r w:rsidR="001F27DC" w:rsidRPr="001261F1">
        <w:rPr>
          <w:rFonts w:ascii="Arial" w:hAnsi="Arial"/>
          <w:sz w:val="22"/>
        </w:rPr>
        <w:t>0</w:t>
      </w:r>
      <w:r w:rsidR="007C33A1" w:rsidRPr="001261F1">
        <w:rPr>
          <w:rFonts w:ascii="Arial" w:hAnsi="Arial"/>
          <w:sz w:val="22"/>
        </w:rPr>
        <w:t xml:space="preserve">4.2, M16) </w:t>
      </w:r>
      <w:r w:rsidRPr="001261F1">
        <w:rPr>
          <w:rFonts w:ascii="Arial" w:hAnsi="Arial"/>
          <w:sz w:val="22"/>
        </w:rPr>
        <w:t xml:space="preserve">se </w:t>
      </w:r>
      <w:r w:rsidR="007C33A1" w:rsidRPr="001261F1">
        <w:rPr>
          <w:rFonts w:ascii="Arial" w:hAnsi="Arial"/>
          <w:sz w:val="22"/>
        </w:rPr>
        <w:t>že</w:t>
      </w:r>
      <w:r w:rsidRPr="001261F1">
        <w:rPr>
          <w:rFonts w:ascii="Arial" w:hAnsi="Arial"/>
          <w:sz w:val="22"/>
        </w:rPr>
        <w:t xml:space="preserve"> izvajajo </w:t>
      </w:r>
      <w:r w:rsidR="007C33A1" w:rsidRPr="001261F1">
        <w:rPr>
          <w:rFonts w:ascii="Arial" w:hAnsi="Arial"/>
          <w:sz w:val="22"/>
        </w:rPr>
        <w:t>projekti</w:t>
      </w:r>
      <w:r w:rsidRPr="001261F1">
        <w:rPr>
          <w:rFonts w:ascii="Arial" w:hAnsi="Arial"/>
          <w:sz w:val="22"/>
        </w:rPr>
        <w:t xml:space="preserve"> </w:t>
      </w:r>
      <w:r w:rsidR="007C33A1" w:rsidRPr="001261F1">
        <w:rPr>
          <w:rFonts w:ascii="Arial" w:hAnsi="Arial"/>
          <w:sz w:val="22"/>
        </w:rPr>
        <w:t>in naložbe za</w:t>
      </w:r>
      <w:r w:rsidRPr="001261F1">
        <w:rPr>
          <w:rFonts w:ascii="Arial" w:hAnsi="Arial"/>
          <w:sz w:val="22"/>
        </w:rPr>
        <w:t xml:space="preserve"> </w:t>
      </w:r>
      <w:r w:rsidR="007C33A1" w:rsidRPr="001261F1">
        <w:rPr>
          <w:rFonts w:ascii="Arial" w:hAnsi="Arial"/>
          <w:sz w:val="22"/>
        </w:rPr>
        <w:t xml:space="preserve">uporabo digitalnih tehnologij </w:t>
      </w:r>
      <w:r w:rsidRPr="001261F1">
        <w:rPr>
          <w:rFonts w:ascii="Arial" w:hAnsi="Arial"/>
          <w:sz w:val="22"/>
        </w:rPr>
        <w:t>v proizvodnji</w:t>
      </w:r>
      <w:r w:rsidR="007C33A1" w:rsidRPr="001261F1">
        <w:rPr>
          <w:rFonts w:ascii="Arial" w:hAnsi="Arial"/>
          <w:sz w:val="22"/>
        </w:rPr>
        <w:t>.</w:t>
      </w:r>
    </w:p>
    <w:p w14:paraId="0A9CA36F" w14:textId="77777777" w:rsidR="00C7691B"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Da bi se možnosti digitalnih tehnologij lahko v celoti izkoristile, je v prvi vrsti bistven dosto</w:t>
      </w:r>
      <w:r w:rsidR="00C7691B" w:rsidRPr="001261F1">
        <w:rPr>
          <w:rFonts w:ascii="Arial" w:hAnsi="Arial"/>
          <w:sz w:val="22"/>
        </w:rPr>
        <w:t xml:space="preserve">p do širokopasovnega interneta, vlaganja v človeški kapital: kompetence, izobrazbo. </w:t>
      </w:r>
    </w:p>
    <w:p w14:paraId="3636A1B5" w14:textId="28DC6456" w:rsidR="00F03ED1" w:rsidRPr="001261F1" w:rsidRDefault="00F03ED1"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Tehnološk</w:t>
      </w:r>
      <w:r w:rsidR="00992A0B" w:rsidRPr="001261F1">
        <w:rPr>
          <w:rFonts w:ascii="Arial" w:hAnsi="Arial"/>
          <w:sz w:val="22"/>
        </w:rPr>
        <w:t>i napredek</w:t>
      </w:r>
      <w:r w:rsidR="009C3C2F">
        <w:rPr>
          <w:rFonts w:ascii="Arial" w:hAnsi="Arial"/>
          <w:sz w:val="22"/>
        </w:rPr>
        <w:t xml:space="preserve"> bo</w:t>
      </w:r>
      <w:r w:rsidRPr="001261F1">
        <w:rPr>
          <w:rFonts w:ascii="Arial" w:hAnsi="Arial"/>
          <w:sz w:val="22"/>
        </w:rPr>
        <w:t xml:space="preserve"> </w:t>
      </w:r>
      <w:r w:rsidR="00992A0B" w:rsidRPr="001261F1">
        <w:rPr>
          <w:rFonts w:ascii="Arial" w:hAnsi="Arial"/>
          <w:sz w:val="22"/>
        </w:rPr>
        <w:t>med drugim</w:t>
      </w:r>
      <w:r w:rsidRPr="001261F1">
        <w:rPr>
          <w:rFonts w:ascii="Arial" w:hAnsi="Arial"/>
          <w:sz w:val="22"/>
        </w:rPr>
        <w:t xml:space="preserve"> </w:t>
      </w:r>
      <w:r w:rsidR="009C3C2F" w:rsidRPr="001261F1">
        <w:rPr>
          <w:rFonts w:ascii="Arial" w:hAnsi="Arial"/>
          <w:sz w:val="22"/>
        </w:rPr>
        <w:t>prispeva</w:t>
      </w:r>
      <w:r w:rsidR="009C3C2F">
        <w:rPr>
          <w:rFonts w:ascii="Arial" w:hAnsi="Arial"/>
          <w:sz w:val="22"/>
        </w:rPr>
        <w:t>l k</w:t>
      </w:r>
      <w:r w:rsidR="009C3C2F" w:rsidRPr="001261F1">
        <w:rPr>
          <w:rFonts w:ascii="Arial" w:hAnsi="Arial"/>
          <w:sz w:val="22"/>
        </w:rPr>
        <w:t xml:space="preserve"> </w:t>
      </w:r>
      <w:r w:rsidRPr="001261F1">
        <w:rPr>
          <w:rFonts w:ascii="Arial" w:hAnsi="Arial"/>
          <w:sz w:val="22"/>
        </w:rPr>
        <w:t>razvoju TFP. Izboljšanje tehnološke učinkovitosti tako prinaša ohranjanje ali celo povečanje obsega proizvodnje ob nespremenjenem ali celo zmanjšanem obsegu vložkov</w:t>
      </w:r>
      <w:r w:rsidR="00C7691B" w:rsidRPr="001261F1">
        <w:rPr>
          <w:rFonts w:ascii="Arial" w:hAnsi="Arial"/>
          <w:sz w:val="22"/>
        </w:rPr>
        <w:t>.</w:t>
      </w:r>
    </w:p>
    <w:p w14:paraId="694CDA53" w14:textId="77777777" w:rsidR="00C7691B" w:rsidRPr="001261F1" w:rsidRDefault="00C7691B"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Tehnološke spremembe na kmetijskih gospodarstvih so v veliki meri odvisne od upravljavske sposobnosti nosilcev kmetijskih gospodarstev, na katero pa vpliva zlasti starost nosilca KMG, njegova izobrazba oz. usposobljenost ter profesionalizacija KMG. Vsi omenjeni dejavniki so v slovenskem kmetijstvu še vedno v neugodnem stanju. </w:t>
      </w:r>
    </w:p>
    <w:p w14:paraId="44608C2D" w14:textId="77777777" w:rsidR="00F03ED1" w:rsidRPr="001261F1" w:rsidRDefault="00F03ED1"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V obstoječem AKIS sistemu ne le v Sloveniji, temveč tudi drugod po EU kažejo šibkosti, in sicer predvsem v smislu razdrobljenosti in šibke povezanosti med akterji.  </w:t>
      </w:r>
      <w:r w:rsidRPr="001261F1">
        <w:rPr>
          <w:rFonts w:ascii="Arial" w:eastAsia="SimSun" w:hAnsi="Arial"/>
          <w:sz w:val="22"/>
          <w:lang w:eastAsia="sl-SI"/>
        </w:rPr>
        <w:t>Prenos znanja v prakso je nezadosten, prav tako pa tudi povratni tok o zaznanih potrebah kmetijske prakse.</w:t>
      </w:r>
      <w:r w:rsidR="00C7691B" w:rsidRPr="001261F1">
        <w:rPr>
          <w:rFonts w:ascii="Arial" w:eastAsia="SimSun" w:hAnsi="Arial"/>
          <w:sz w:val="22"/>
          <w:lang w:eastAsia="sl-SI"/>
        </w:rPr>
        <w:t xml:space="preserve"> Prav tako pa tudi ni razvitih celovitih programov usposabljanja in svetovanja o tematikah, ki bi pokrivali celotno upravljanje kmetijskega gospodarstva,</w:t>
      </w:r>
    </w:p>
    <w:p w14:paraId="46EE7503" w14:textId="77777777" w:rsidR="00F03ED1" w:rsidRPr="001261F1" w:rsidRDefault="00F03ED1" w:rsidP="00FA3FBA">
      <w:pPr>
        <w:pStyle w:val="Odstavekseznama"/>
        <w:numPr>
          <w:ilvl w:val="0"/>
          <w:numId w:val="113"/>
        </w:numPr>
        <w:spacing w:before="0" w:line="260" w:lineRule="atLeast"/>
        <w:ind w:left="426" w:hanging="284"/>
        <w:rPr>
          <w:rFonts w:ascii="Arial" w:eastAsia="SimSun" w:hAnsi="Arial"/>
          <w:sz w:val="22"/>
          <w:lang w:eastAsia="zh-CN"/>
        </w:rPr>
      </w:pPr>
      <w:r w:rsidRPr="001261F1">
        <w:rPr>
          <w:rFonts w:ascii="Arial" w:eastAsia="SimSun" w:hAnsi="Arial"/>
          <w:sz w:val="22"/>
          <w:lang w:eastAsia="zh-CN"/>
        </w:rPr>
        <w:t>Izkušnje iz programskega obdob</w:t>
      </w:r>
      <w:r w:rsidR="00187524" w:rsidRPr="001261F1">
        <w:rPr>
          <w:rFonts w:ascii="Arial" w:eastAsia="SimSun" w:hAnsi="Arial"/>
          <w:sz w:val="22"/>
          <w:lang w:eastAsia="zh-CN"/>
        </w:rPr>
        <w:t>j</w:t>
      </w:r>
      <w:r w:rsidRPr="001261F1">
        <w:rPr>
          <w:rFonts w:ascii="Arial" w:eastAsia="SimSun" w:hAnsi="Arial"/>
          <w:sz w:val="22"/>
          <w:lang w:eastAsia="zh-CN"/>
        </w:rPr>
        <w:t xml:space="preserve">a 2014–2020 kažejo na potencial pilotnih projektov in projektov EIP kot primer »pomanjšanih modelov« v smeri bolj povezanega AKIS. </w:t>
      </w:r>
    </w:p>
    <w:p w14:paraId="450BC5B0" w14:textId="263DB4CE" w:rsidR="00613209" w:rsidRDefault="00613209"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Pomanjkanje evidenc in nepoznavanje (lastnih) stroškov proizvodnje otežuje sprejemanje optimalnih odločitev za investiranje, trženje, poslovno usmeritev ipd. </w:t>
      </w:r>
    </w:p>
    <w:p w14:paraId="2B7272C5" w14:textId="2BA10C73" w:rsidR="00193108" w:rsidRDefault="004B0B53" w:rsidP="00FA3FBA">
      <w:pPr>
        <w:pStyle w:val="1"/>
        <w:spacing w:before="0"/>
      </w:pPr>
      <w:r w:rsidRPr="005A712B">
        <w:rPr>
          <w:sz w:val="22"/>
        </w:rPr>
        <w:t>V Sloveniji obstajajo neizkoriščeni potenciali krožnega in biogospodarstva, zato je potrebno povečati osveščenost in znanje v kmetijskem, živilskem in gozdarskem sektorju</w:t>
      </w:r>
      <w:r w:rsidRPr="005A712B">
        <w:t xml:space="preserve"> (in naprej po verigi) ter podpreti vlaganja. </w:t>
      </w:r>
      <w:bookmarkStart w:id="5787" w:name="_Toc31577853"/>
      <w:bookmarkStart w:id="5788" w:name="_Toc31578048"/>
      <w:bookmarkStart w:id="5789" w:name="_Toc31578113"/>
      <w:bookmarkStart w:id="5790" w:name="_Toc31578178"/>
      <w:bookmarkStart w:id="5791" w:name="_Toc31577855"/>
      <w:bookmarkStart w:id="5792" w:name="_Toc31578050"/>
      <w:bookmarkStart w:id="5793" w:name="_Toc31578115"/>
      <w:bookmarkStart w:id="5794" w:name="_Toc31578180"/>
      <w:bookmarkStart w:id="5795" w:name="_Toc31577856"/>
      <w:bookmarkStart w:id="5796" w:name="_Toc31578051"/>
      <w:bookmarkStart w:id="5797" w:name="_Toc31578116"/>
      <w:bookmarkStart w:id="5798" w:name="_Toc31578181"/>
      <w:bookmarkStart w:id="5799" w:name="_Toc31576985"/>
      <w:bookmarkStart w:id="5800" w:name="_Toc31577770"/>
      <w:bookmarkStart w:id="5801" w:name="_Toc31577984"/>
      <w:bookmarkStart w:id="5802" w:name="_Toc31576986"/>
      <w:bookmarkStart w:id="5803" w:name="_Toc31577771"/>
      <w:bookmarkStart w:id="5804" w:name="_Toc31577985"/>
      <w:bookmarkStart w:id="5805" w:name="_Toc40959311"/>
      <w:bookmarkStart w:id="5806" w:name="_Toc26277355"/>
      <w:bookmarkStart w:id="5807" w:name="_Toc26278117"/>
      <w:bookmarkStart w:id="5808" w:name="_Toc26278867"/>
      <w:bookmarkStart w:id="5809" w:name="_Toc26279610"/>
      <w:bookmarkStart w:id="5810" w:name="_Toc26280346"/>
      <w:bookmarkStart w:id="5811" w:name="_Toc26277358"/>
      <w:bookmarkStart w:id="5812" w:name="_Toc26278120"/>
      <w:bookmarkStart w:id="5813" w:name="_Toc26278870"/>
      <w:bookmarkStart w:id="5814" w:name="_Toc26279613"/>
      <w:bookmarkStart w:id="5815" w:name="_Toc26280349"/>
      <w:bookmarkStart w:id="5816" w:name="_Toc26277359"/>
      <w:bookmarkStart w:id="5817" w:name="_Toc26278121"/>
      <w:bookmarkStart w:id="5818" w:name="_Toc26278871"/>
      <w:bookmarkStart w:id="5819" w:name="_Toc26279614"/>
      <w:bookmarkStart w:id="5820" w:name="_Toc26280350"/>
      <w:bookmarkStart w:id="5821" w:name="_Toc26277360"/>
      <w:bookmarkStart w:id="5822" w:name="_Toc26278122"/>
      <w:bookmarkStart w:id="5823" w:name="_Toc26278872"/>
      <w:bookmarkStart w:id="5824" w:name="_Toc26279615"/>
      <w:bookmarkStart w:id="5825" w:name="_Toc26280351"/>
      <w:bookmarkStart w:id="5826" w:name="_Toc26277361"/>
      <w:bookmarkStart w:id="5827" w:name="_Toc26278123"/>
      <w:bookmarkStart w:id="5828" w:name="_Toc26278873"/>
      <w:bookmarkStart w:id="5829" w:name="_Toc26279616"/>
      <w:bookmarkStart w:id="5830" w:name="_Toc26280352"/>
      <w:bookmarkStart w:id="5831" w:name="_Toc26277362"/>
      <w:bookmarkStart w:id="5832" w:name="_Toc26278124"/>
      <w:bookmarkStart w:id="5833" w:name="_Toc26278874"/>
      <w:bookmarkStart w:id="5834" w:name="_Toc26279617"/>
      <w:bookmarkStart w:id="5835" w:name="_Toc26280353"/>
      <w:bookmarkStart w:id="5836" w:name="_Toc26277365"/>
      <w:bookmarkStart w:id="5837" w:name="_Toc26278127"/>
      <w:bookmarkStart w:id="5838" w:name="_Toc26278877"/>
      <w:bookmarkStart w:id="5839" w:name="_Toc26279620"/>
      <w:bookmarkStart w:id="5840" w:name="_Toc26280356"/>
      <w:bookmarkStart w:id="5841" w:name="_Toc26277367"/>
      <w:bookmarkStart w:id="5842" w:name="_Toc26278129"/>
      <w:bookmarkStart w:id="5843" w:name="_Toc26278879"/>
      <w:bookmarkStart w:id="5844" w:name="_Toc26279622"/>
      <w:bookmarkStart w:id="5845" w:name="_Toc26280358"/>
      <w:bookmarkStart w:id="5846" w:name="_Toc26277368"/>
      <w:bookmarkStart w:id="5847" w:name="_Toc26278130"/>
      <w:bookmarkStart w:id="5848" w:name="_Toc26278880"/>
      <w:bookmarkStart w:id="5849" w:name="_Toc26279623"/>
      <w:bookmarkStart w:id="5850" w:name="_Toc26280359"/>
      <w:bookmarkStart w:id="5851" w:name="_Toc26277369"/>
      <w:bookmarkStart w:id="5852" w:name="_Toc26278131"/>
      <w:bookmarkStart w:id="5853" w:name="_Toc26278881"/>
      <w:bookmarkStart w:id="5854" w:name="_Toc26279624"/>
      <w:bookmarkStart w:id="5855" w:name="_Toc26280360"/>
      <w:bookmarkStart w:id="5856" w:name="_Toc26277495"/>
      <w:bookmarkStart w:id="5857" w:name="_Toc26278257"/>
      <w:bookmarkStart w:id="5858" w:name="_Toc26279007"/>
      <w:bookmarkStart w:id="5859" w:name="_Toc26279750"/>
      <w:bookmarkStart w:id="5860" w:name="_Toc26280486"/>
      <w:bookmarkStart w:id="5861" w:name="_Toc26277496"/>
      <w:bookmarkStart w:id="5862" w:name="_Toc26278258"/>
      <w:bookmarkStart w:id="5863" w:name="_Toc26279008"/>
      <w:bookmarkStart w:id="5864" w:name="_Toc26279751"/>
      <w:bookmarkStart w:id="5865" w:name="_Toc26280487"/>
      <w:bookmarkStart w:id="5866" w:name="_Toc26277499"/>
      <w:bookmarkStart w:id="5867" w:name="_Toc26278261"/>
      <w:bookmarkStart w:id="5868" w:name="_Toc26279011"/>
      <w:bookmarkStart w:id="5869" w:name="_Toc26279754"/>
      <w:bookmarkStart w:id="5870" w:name="_Toc26280490"/>
      <w:bookmarkStart w:id="5871" w:name="_Toc26277606"/>
      <w:bookmarkStart w:id="5872" w:name="_Toc26278368"/>
      <w:bookmarkStart w:id="5873" w:name="_Toc26279118"/>
      <w:bookmarkStart w:id="5874" w:name="_Toc26279861"/>
      <w:bookmarkStart w:id="5875" w:name="_Toc26280597"/>
      <w:bookmarkStart w:id="5876" w:name="_Toc26277608"/>
      <w:bookmarkStart w:id="5877" w:name="_Toc26278370"/>
      <w:bookmarkStart w:id="5878" w:name="_Toc26279120"/>
      <w:bookmarkStart w:id="5879" w:name="_Toc26279863"/>
      <w:bookmarkStart w:id="5880" w:name="_Toc26280599"/>
      <w:bookmarkStart w:id="5881" w:name="_Toc26277713"/>
      <w:bookmarkStart w:id="5882" w:name="_Toc26278475"/>
      <w:bookmarkStart w:id="5883" w:name="_Toc26279225"/>
      <w:bookmarkStart w:id="5884" w:name="_Toc26279968"/>
      <w:bookmarkStart w:id="5885" w:name="_Toc26280704"/>
      <w:bookmarkStart w:id="5886" w:name="_Toc26277714"/>
      <w:bookmarkStart w:id="5887" w:name="_Toc26278476"/>
      <w:bookmarkStart w:id="5888" w:name="_Toc26279226"/>
      <w:bookmarkStart w:id="5889" w:name="_Toc26279969"/>
      <w:bookmarkStart w:id="5890" w:name="_Toc26280705"/>
      <w:bookmarkStart w:id="5891" w:name="_Toc26277715"/>
      <w:bookmarkStart w:id="5892" w:name="_Toc26278477"/>
      <w:bookmarkStart w:id="5893" w:name="_Toc26279227"/>
      <w:bookmarkStart w:id="5894" w:name="_Toc26279970"/>
      <w:bookmarkStart w:id="5895" w:name="_Toc26280706"/>
      <w:bookmarkStart w:id="5896" w:name="_Toc26277716"/>
      <w:bookmarkStart w:id="5897" w:name="_Toc26278478"/>
      <w:bookmarkStart w:id="5898" w:name="_Toc26279228"/>
      <w:bookmarkStart w:id="5899" w:name="_Toc26279971"/>
      <w:bookmarkStart w:id="5900" w:name="_Toc26280707"/>
      <w:bookmarkStart w:id="5901" w:name="_Toc26277721"/>
      <w:bookmarkStart w:id="5902" w:name="_Toc26278483"/>
      <w:bookmarkStart w:id="5903" w:name="_Toc26279233"/>
      <w:bookmarkStart w:id="5904" w:name="_Toc26279976"/>
      <w:bookmarkStart w:id="5905" w:name="_Toc26280712"/>
      <w:bookmarkStart w:id="5906" w:name="_Toc26277727"/>
      <w:bookmarkStart w:id="5907" w:name="_Toc26278489"/>
      <w:bookmarkStart w:id="5908" w:name="_Toc26279239"/>
      <w:bookmarkStart w:id="5909" w:name="_Toc26279982"/>
      <w:bookmarkStart w:id="5910" w:name="_Toc26280718"/>
      <w:bookmarkStart w:id="5911" w:name="_Toc26277793"/>
      <w:bookmarkStart w:id="5912" w:name="_Toc26278555"/>
      <w:bookmarkStart w:id="5913" w:name="_Toc26279305"/>
      <w:bookmarkStart w:id="5914" w:name="_Toc26280048"/>
      <w:bookmarkStart w:id="5915" w:name="_Toc26280784"/>
      <w:bookmarkStart w:id="5916" w:name="_Toc26277794"/>
      <w:bookmarkStart w:id="5917" w:name="_Toc26278556"/>
      <w:bookmarkStart w:id="5918" w:name="_Toc26279306"/>
      <w:bookmarkStart w:id="5919" w:name="_Toc26280049"/>
      <w:bookmarkStart w:id="5920" w:name="_Toc26280785"/>
      <w:bookmarkStart w:id="5921" w:name="_Toc26277796"/>
      <w:bookmarkStart w:id="5922" w:name="_Toc26278558"/>
      <w:bookmarkStart w:id="5923" w:name="_Toc26279308"/>
      <w:bookmarkStart w:id="5924" w:name="_Toc26280051"/>
      <w:bookmarkStart w:id="5925" w:name="_Toc26280787"/>
      <w:bookmarkStart w:id="5926" w:name="_Toc26277798"/>
      <w:bookmarkStart w:id="5927" w:name="_Toc26278560"/>
      <w:bookmarkStart w:id="5928" w:name="_Toc26279310"/>
      <w:bookmarkStart w:id="5929" w:name="_Toc26280053"/>
      <w:bookmarkStart w:id="5930" w:name="_Toc26280789"/>
      <w:bookmarkStart w:id="5931" w:name="_Toc26277800"/>
      <w:bookmarkStart w:id="5932" w:name="_Toc26278562"/>
      <w:bookmarkStart w:id="5933" w:name="_Toc26279312"/>
      <w:bookmarkStart w:id="5934" w:name="_Toc26280055"/>
      <w:bookmarkStart w:id="5935" w:name="_Toc26280791"/>
      <w:bookmarkStart w:id="5936" w:name="_Toc26277801"/>
      <w:bookmarkStart w:id="5937" w:name="_Toc26278563"/>
      <w:bookmarkStart w:id="5938" w:name="_Toc26279313"/>
      <w:bookmarkStart w:id="5939" w:name="_Toc26280056"/>
      <w:bookmarkStart w:id="5940" w:name="_Toc26280792"/>
      <w:bookmarkStart w:id="5941" w:name="_Toc26277802"/>
      <w:bookmarkStart w:id="5942" w:name="_Toc26278564"/>
      <w:bookmarkStart w:id="5943" w:name="_Toc26279314"/>
      <w:bookmarkStart w:id="5944" w:name="_Toc26280057"/>
      <w:bookmarkStart w:id="5945" w:name="_Toc26280793"/>
      <w:bookmarkStart w:id="5946" w:name="_Toc26277803"/>
      <w:bookmarkStart w:id="5947" w:name="_Toc26278565"/>
      <w:bookmarkStart w:id="5948" w:name="_Toc26279315"/>
      <w:bookmarkStart w:id="5949" w:name="_Toc26280058"/>
      <w:bookmarkStart w:id="5950" w:name="_Toc26280794"/>
      <w:bookmarkStart w:id="5951" w:name="_Toc26277869"/>
      <w:bookmarkStart w:id="5952" w:name="_Toc26278631"/>
      <w:bookmarkStart w:id="5953" w:name="_Toc26279381"/>
      <w:bookmarkStart w:id="5954" w:name="_Toc26280124"/>
      <w:bookmarkStart w:id="5955" w:name="_Toc26280860"/>
      <w:bookmarkStart w:id="5956" w:name="_Toc26277871"/>
      <w:bookmarkStart w:id="5957" w:name="_Toc26278633"/>
      <w:bookmarkStart w:id="5958" w:name="_Toc26279383"/>
      <w:bookmarkStart w:id="5959" w:name="_Toc26280126"/>
      <w:bookmarkStart w:id="5960" w:name="_Toc26280862"/>
      <w:bookmarkStart w:id="5961" w:name="_Toc26277872"/>
      <w:bookmarkStart w:id="5962" w:name="_Toc26278634"/>
      <w:bookmarkStart w:id="5963" w:name="_Toc26279384"/>
      <w:bookmarkStart w:id="5964" w:name="_Toc26280127"/>
      <w:bookmarkStart w:id="5965" w:name="_Toc26280863"/>
      <w:bookmarkStart w:id="5966" w:name="_Toc26277938"/>
      <w:bookmarkStart w:id="5967" w:name="_Toc26278700"/>
      <w:bookmarkStart w:id="5968" w:name="_Toc26279450"/>
      <w:bookmarkStart w:id="5969" w:name="_Toc26280193"/>
      <w:bookmarkStart w:id="5970" w:name="_Toc26280929"/>
      <w:bookmarkStart w:id="5971" w:name="_Toc26277942"/>
      <w:bookmarkStart w:id="5972" w:name="_Toc26278704"/>
      <w:bookmarkStart w:id="5973" w:name="_Toc26279454"/>
      <w:bookmarkStart w:id="5974" w:name="_Toc26280197"/>
      <w:bookmarkStart w:id="5975" w:name="_Toc26280933"/>
      <w:bookmarkStart w:id="5976" w:name="_Toc26277943"/>
      <w:bookmarkStart w:id="5977" w:name="_Toc26278705"/>
      <w:bookmarkStart w:id="5978" w:name="_Toc26279455"/>
      <w:bookmarkStart w:id="5979" w:name="_Toc26280198"/>
      <w:bookmarkStart w:id="5980" w:name="_Toc26280934"/>
      <w:bookmarkStart w:id="5981" w:name="_Toc26277944"/>
      <w:bookmarkStart w:id="5982" w:name="_Toc26278706"/>
      <w:bookmarkStart w:id="5983" w:name="_Toc26279456"/>
      <w:bookmarkStart w:id="5984" w:name="_Toc26280199"/>
      <w:bookmarkStart w:id="5985" w:name="_Toc26280935"/>
      <w:bookmarkStart w:id="5986" w:name="_Toc26277945"/>
      <w:bookmarkStart w:id="5987" w:name="_Toc26278707"/>
      <w:bookmarkStart w:id="5988" w:name="_Toc26279457"/>
      <w:bookmarkStart w:id="5989" w:name="_Toc26280200"/>
      <w:bookmarkStart w:id="5990" w:name="_Toc26280936"/>
      <w:bookmarkStart w:id="5991" w:name="_Toc26277947"/>
      <w:bookmarkStart w:id="5992" w:name="_Toc26278709"/>
      <w:bookmarkStart w:id="5993" w:name="_Toc26279459"/>
      <w:bookmarkStart w:id="5994" w:name="_Toc26280202"/>
      <w:bookmarkStart w:id="5995" w:name="_Toc26280938"/>
      <w:bookmarkStart w:id="5996" w:name="_Toc26278030"/>
      <w:bookmarkStart w:id="5997" w:name="_Toc26278792"/>
      <w:bookmarkStart w:id="5998" w:name="_Toc26279542"/>
      <w:bookmarkStart w:id="5999" w:name="_Toc26280285"/>
      <w:bookmarkStart w:id="6000" w:name="_Toc26281021"/>
      <w:bookmarkStart w:id="6001" w:name="_Toc26278031"/>
      <w:bookmarkStart w:id="6002" w:name="_Toc26278793"/>
      <w:bookmarkStart w:id="6003" w:name="_Toc26279543"/>
      <w:bookmarkStart w:id="6004" w:name="_Toc26280286"/>
      <w:bookmarkStart w:id="6005" w:name="_Toc26281022"/>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r w:rsidR="00193108">
        <w:br w:type="page"/>
      </w:r>
    </w:p>
    <w:p w14:paraId="60A9BB04" w14:textId="30FC3F1D" w:rsidR="005C25A4" w:rsidRPr="009F3567" w:rsidRDefault="00D07B63" w:rsidP="001261F1">
      <w:pPr>
        <w:pStyle w:val="Naslov1"/>
        <w:rPr>
          <w:rFonts w:eastAsiaTheme="minorHAnsi"/>
        </w:rPr>
      </w:pPr>
      <w:bookmarkStart w:id="6006" w:name="_Toc90462321"/>
      <w:r>
        <w:t xml:space="preserve">VIRI IN </w:t>
      </w:r>
      <w:r w:rsidR="00193108" w:rsidRPr="009F3567">
        <w:t>LITERATURA</w:t>
      </w:r>
      <w:bookmarkEnd w:id="6006"/>
    </w:p>
    <w:p w14:paraId="6A788548" w14:textId="77777777" w:rsidR="005C25A4" w:rsidRDefault="005C25A4" w:rsidP="00A204E1">
      <w:pPr>
        <w:pStyle w:val="1"/>
      </w:pPr>
    </w:p>
    <w:p w14:paraId="465343B3" w14:textId="77777777" w:rsidR="00D07B63" w:rsidRPr="000C1085" w:rsidRDefault="00D07B63" w:rsidP="00D07B63">
      <w:pPr>
        <w:spacing w:before="0" w:after="120" w:line="276" w:lineRule="auto"/>
        <w:rPr>
          <w:sz w:val="20"/>
          <w:szCs w:val="20"/>
        </w:rPr>
      </w:pPr>
      <w:r w:rsidRPr="000C1085">
        <w:rPr>
          <w:iCs/>
          <w:sz w:val="20"/>
          <w:szCs w:val="20"/>
        </w:rPr>
        <w:t xml:space="preserve">Baráth L., Fertő I., Bojnec Š. (2017): </w:t>
      </w:r>
      <w:r w:rsidRPr="000C1085">
        <w:rPr>
          <w:bCs/>
          <w:sz w:val="20"/>
          <w:szCs w:val="20"/>
        </w:rPr>
        <w:t>Are Farms in Less Favoured Areas Less Efficient? Dostopno na:</w:t>
      </w:r>
      <w:r w:rsidRPr="000C1085">
        <w:rPr>
          <w:iCs/>
          <w:sz w:val="20"/>
          <w:szCs w:val="20"/>
        </w:rPr>
        <w:t xml:space="preserve"> </w:t>
      </w:r>
      <w:hyperlink r:id="rId156" w:history="1">
        <w:r w:rsidRPr="000C1085">
          <w:rPr>
            <w:rStyle w:val="Hiperpovezava"/>
            <w:sz w:val="20"/>
            <w:szCs w:val="20"/>
          </w:rPr>
          <w:t>https://onlinelibrary.wiley.com/doi/abs/10.1111/agec.12391</w:t>
        </w:r>
      </w:hyperlink>
      <w:r w:rsidRPr="000C1085">
        <w:rPr>
          <w:sz w:val="20"/>
          <w:szCs w:val="20"/>
        </w:rPr>
        <w:t>.</w:t>
      </w:r>
    </w:p>
    <w:p w14:paraId="03590DC3" w14:textId="77777777" w:rsidR="00D07B63" w:rsidRPr="000C1085" w:rsidRDefault="00D07B63" w:rsidP="00D07B63">
      <w:pPr>
        <w:spacing w:before="0" w:after="120" w:line="276" w:lineRule="auto"/>
        <w:rPr>
          <w:sz w:val="20"/>
          <w:szCs w:val="20"/>
        </w:rPr>
      </w:pPr>
      <w:r w:rsidRPr="000C1085">
        <w:rPr>
          <w:sz w:val="20"/>
          <w:szCs w:val="20"/>
        </w:rPr>
        <w:t>CEMA (2017): Digital Farming: what does it really mean?</w:t>
      </w:r>
      <w:r>
        <w:rPr>
          <w:sz w:val="20"/>
          <w:szCs w:val="20"/>
        </w:rPr>
        <w:t xml:space="preserve"> Dostopno na:  </w:t>
      </w:r>
      <w:hyperlink r:id="rId157" w:history="1">
        <w:r w:rsidRPr="00554B53">
          <w:rPr>
            <w:rStyle w:val="Hiperpovezava"/>
            <w:sz w:val="20"/>
            <w:szCs w:val="20"/>
          </w:rPr>
          <w:t>https://cema-agri.org/images/publications/position-papers/CEMA_Digital_Farming_-_Agriculture_4.0__13_02_2017_0.pdf</w:t>
        </w:r>
      </w:hyperlink>
      <w:r>
        <w:rPr>
          <w:sz w:val="20"/>
          <w:szCs w:val="20"/>
        </w:rPr>
        <w:t xml:space="preserve">. </w:t>
      </w:r>
    </w:p>
    <w:p w14:paraId="0A719C41" w14:textId="77777777" w:rsidR="00D07B63" w:rsidRPr="000C1085" w:rsidRDefault="00D07B63" w:rsidP="00D07B63">
      <w:pPr>
        <w:spacing w:before="0" w:after="120" w:line="276" w:lineRule="auto"/>
        <w:rPr>
          <w:sz w:val="20"/>
          <w:szCs w:val="20"/>
        </w:rPr>
      </w:pPr>
      <w:r w:rsidRPr="000C1085">
        <w:rPr>
          <w:sz w:val="20"/>
          <w:szCs w:val="20"/>
        </w:rPr>
        <w:t>EIP-AGRI (2017): Oblikovanje digitalne (r)evolucije v kmetijstvu</w:t>
      </w:r>
      <w:r>
        <w:rPr>
          <w:sz w:val="20"/>
          <w:szCs w:val="20"/>
        </w:rPr>
        <w:t xml:space="preserve">. Dostopno na: </w:t>
      </w:r>
      <w:hyperlink r:id="rId158" w:history="1">
        <w:r w:rsidRPr="00554B53">
          <w:rPr>
            <w:rStyle w:val="Hiperpovezava"/>
            <w:sz w:val="20"/>
            <w:szCs w:val="20"/>
          </w:rPr>
          <w:t>https://ec.europa.eu/eip/agriculture/sites/agri-eip/files/eip-agri_brochure_digital_revolution_2017_sl_infographic.pdf</w:t>
        </w:r>
      </w:hyperlink>
      <w:r>
        <w:rPr>
          <w:sz w:val="20"/>
          <w:szCs w:val="20"/>
        </w:rPr>
        <w:t xml:space="preserve">. </w:t>
      </w:r>
      <w:r w:rsidRPr="000C1085">
        <w:rPr>
          <w:sz w:val="20"/>
          <w:szCs w:val="20"/>
        </w:rPr>
        <w:t xml:space="preserve"> </w:t>
      </w:r>
      <w:r w:rsidRPr="000C1085">
        <w:rPr>
          <w:sz w:val="20"/>
          <w:szCs w:val="20"/>
        </w:rPr>
        <w:softHyphen/>
      </w:r>
    </w:p>
    <w:p w14:paraId="438415BF" w14:textId="77777777" w:rsidR="00D07B63" w:rsidRPr="000C1085" w:rsidRDefault="00D07B63" w:rsidP="00D07B63">
      <w:pPr>
        <w:pStyle w:val="Sprotnaopomba-besedilo"/>
        <w:spacing w:before="0" w:after="120" w:line="276" w:lineRule="auto"/>
        <w:ind w:left="0" w:firstLine="0"/>
        <w:rPr>
          <w:rFonts w:ascii="Arial" w:hAnsi="Arial"/>
          <w:color w:val="000000" w:themeColor="text1"/>
        </w:rPr>
      </w:pPr>
      <w:r w:rsidRPr="000C1085">
        <w:rPr>
          <w:rFonts w:ascii="Arial" w:hAnsi="Arial"/>
          <w:color w:val="000000" w:themeColor="text1"/>
        </w:rPr>
        <w:t xml:space="preserve">EUROSTAT (2019): </w:t>
      </w:r>
      <w:r w:rsidRPr="000C1085">
        <w:rPr>
          <w:rFonts w:ascii="Arial" w:hAnsi="Arial"/>
          <w:color w:val="000000" w:themeColor="text1"/>
          <w:kern w:val="36"/>
          <w:lang w:val="en"/>
        </w:rPr>
        <w:t xml:space="preserve">Performance of the agricultural sector. Dosegljivo na: </w:t>
      </w:r>
      <w:hyperlink r:id="rId159" w:anchor="Resource_performance_of_the_agricultural_sector" w:history="1">
        <w:r w:rsidRPr="000C1085">
          <w:rPr>
            <w:rStyle w:val="Hiperpovezava"/>
            <w:rFonts w:ascii="Arial" w:hAnsi="Arial"/>
          </w:rPr>
          <w:t>https://ec.europa.eu/eurostat/statistics-explained/index.php?title=Performance_of_the_agricultural_sector#Resource_performance_of_the_agricultural_sector</w:t>
        </w:r>
      </w:hyperlink>
      <w:r>
        <w:rPr>
          <w:rFonts w:ascii="Arial" w:hAnsi="Arial"/>
          <w:color w:val="000000" w:themeColor="text1"/>
        </w:rPr>
        <w:t>.</w:t>
      </w:r>
    </w:p>
    <w:p w14:paraId="3D4319B4" w14:textId="77777777" w:rsidR="00F5728D" w:rsidRDefault="00F5728D" w:rsidP="00F5728D">
      <w:pPr>
        <w:pStyle w:val="Sprotnaopomba-besedilo"/>
        <w:spacing w:before="0" w:after="120" w:line="276" w:lineRule="auto"/>
        <w:ind w:left="0" w:firstLine="0"/>
        <w:rPr>
          <w:rFonts w:ascii="Arial" w:hAnsi="Arial"/>
        </w:rPr>
      </w:pPr>
      <w:r w:rsidRPr="000C1085">
        <w:rPr>
          <w:rFonts w:ascii="Arial" w:hAnsi="Arial"/>
        </w:rPr>
        <w:t>Evropska komisija (2016</w:t>
      </w:r>
      <w:r>
        <w:rPr>
          <w:rFonts w:ascii="Arial" w:hAnsi="Arial"/>
        </w:rPr>
        <w:t>a</w:t>
      </w:r>
      <w:r w:rsidRPr="000C1085">
        <w:rPr>
          <w:rFonts w:ascii="Arial" w:hAnsi="Arial"/>
        </w:rPr>
        <w:t xml:space="preserve">): Productivity in EU agriculture- slowly but steadily growing. Dostopno na: </w:t>
      </w:r>
      <w:hyperlink r:id="rId160" w:history="1">
        <w:r w:rsidRPr="000C1085">
          <w:rPr>
            <w:rStyle w:val="Hiperpovezava"/>
            <w:rFonts w:ascii="Arial" w:hAnsi="Arial"/>
          </w:rPr>
          <w:t>https://ec.europa.eu/agriculture/sites/agriculture/files/mp-mb-010_en.pdf</w:t>
        </w:r>
      </w:hyperlink>
      <w:r>
        <w:rPr>
          <w:rFonts w:ascii="Arial" w:hAnsi="Arial"/>
        </w:rPr>
        <w:t>.</w:t>
      </w:r>
      <w:r w:rsidRPr="000C1085">
        <w:rPr>
          <w:rFonts w:ascii="Arial" w:hAnsi="Arial"/>
        </w:rPr>
        <w:t xml:space="preserve">  </w:t>
      </w:r>
    </w:p>
    <w:p w14:paraId="523DD5A6" w14:textId="77777777" w:rsidR="00D07B63" w:rsidRPr="000C1085" w:rsidRDefault="00D07B63" w:rsidP="00D07B63">
      <w:pPr>
        <w:spacing w:before="0" w:after="120" w:line="276" w:lineRule="auto"/>
        <w:rPr>
          <w:b/>
          <w:sz w:val="20"/>
          <w:szCs w:val="20"/>
        </w:rPr>
      </w:pPr>
      <w:r w:rsidRPr="000C1085">
        <w:rPr>
          <w:sz w:val="20"/>
          <w:szCs w:val="20"/>
        </w:rPr>
        <w:t>Evropska komisija (2016</w:t>
      </w:r>
      <w:r w:rsidR="00F5728D">
        <w:rPr>
          <w:sz w:val="20"/>
          <w:szCs w:val="20"/>
        </w:rPr>
        <w:t>b</w:t>
      </w:r>
      <w:r w:rsidRPr="000C1085">
        <w:rPr>
          <w:sz w:val="20"/>
          <w:szCs w:val="20"/>
        </w:rPr>
        <w:t>): A strategic approach to EU agricultural research &amp; innovation.</w:t>
      </w:r>
      <w:r>
        <w:rPr>
          <w:sz w:val="20"/>
          <w:szCs w:val="20"/>
        </w:rPr>
        <w:t xml:space="preserve"> Dostopno na: </w:t>
      </w:r>
      <w:hyperlink r:id="rId161" w:history="1">
        <w:r w:rsidRPr="00554B53">
          <w:rPr>
            <w:rStyle w:val="Hiperpovezava"/>
            <w:sz w:val="20"/>
            <w:szCs w:val="20"/>
          </w:rPr>
          <w:t>https://ec.europa.eu/programmes/horizon2020/en/news/final-paper-strategic-approach-eu-agricultural-research-and-innovation</w:t>
        </w:r>
      </w:hyperlink>
      <w:r>
        <w:rPr>
          <w:sz w:val="20"/>
          <w:szCs w:val="20"/>
        </w:rPr>
        <w:t xml:space="preserve">. </w:t>
      </w:r>
    </w:p>
    <w:p w14:paraId="293A112E" w14:textId="77777777"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Evropska komisija (2018): Production, yields and productivity. Dostopno na: </w:t>
      </w:r>
      <w:hyperlink r:id="rId162" w:history="1">
        <w:r w:rsidRPr="000C1085">
          <w:rPr>
            <w:rStyle w:val="Hiperpovezava"/>
            <w:rFonts w:ascii="Arial" w:hAnsi="Arial"/>
          </w:rPr>
          <w:t>https://ec.europa.eu/agriculture/sites/agriculture/files/statistics/facts-figures/production-yields-productivity.pdf</w:t>
        </w:r>
      </w:hyperlink>
      <w:r w:rsidRPr="000C1085">
        <w:rPr>
          <w:rFonts w:ascii="Arial" w:hAnsi="Arial"/>
        </w:rPr>
        <w:t xml:space="preserve">  </w:t>
      </w:r>
    </w:p>
    <w:p w14:paraId="33B1DD51" w14:textId="77777777" w:rsidR="009C1DF4" w:rsidRPr="000C1085" w:rsidRDefault="009C1DF4" w:rsidP="009C1DF4">
      <w:pPr>
        <w:pStyle w:val="Sprotnaopomba-besedilo"/>
        <w:spacing w:before="0" w:after="120" w:line="276" w:lineRule="auto"/>
        <w:ind w:left="0" w:firstLine="0"/>
        <w:rPr>
          <w:rFonts w:ascii="Arial" w:hAnsi="Arial"/>
        </w:rPr>
      </w:pPr>
      <w:r w:rsidRPr="000C1085">
        <w:rPr>
          <w:rFonts w:ascii="Arial" w:hAnsi="Arial"/>
        </w:rPr>
        <w:t>Evropska komisija (2019</w:t>
      </w:r>
      <w:r>
        <w:rPr>
          <w:rFonts w:ascii="Arial" w:hAnsi="Arial"/>
        </w:rPr>
        <w:t>a</w:t>
      </w:r>
      <w:r w:rsidRPr="000C1085">
        <w:rPr>
          <w:rFonts w:ascii="Arial" w:hAnsi="Arial"/>
        </w:rPr>
        <w:t xml:space="preserve">): CAP specific objective: Increasing competitiveness. Dostopno na: </w:t>
      </w:r>
      <w:hyperlink r:id="rId163" w:history="1">
        <w:r w:rsidRPr="000C1085">
          <w:rPr>
            <w:rStyle w:val="Hiperpovezava"/>
            <w:rFonts w:ascii="Arial" w:hAnsi="Arial"/>
          </w:rPr>
          <w:t>https://ec.europa.eu/info/sites/info/files/food-farming-fisheries/key_policies/documents/cap-briefs-2-productivity_en.pdf</w:t>
        </w:r>
      </w:hyperlink>
      <w:r w:rsidRPr="000C1085">
        <w:rPr>
          <w:rFonts w:ascii="Arial" w:hAnsi="Arial"/>
        </w:rPr>
        <w:t xml:space="preserve">. </w:t>
      </w:r>
    </w:p>
    <w:p w14:paraId="49842A77"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b</w:t>
      </w:r>
      <w:r w:rsidRPr="000C1085">
        <w:rPr>
          <w:sz w:val="20"/>
          <w:szCs w:val="20"/>
        </w:rPr>
        <w:t xml:space="preserve">): </w:t>
      </w:r>
      <w:r w:rsidRPr="000C1085">
        <w:rPr>
          <w:sz w:val="20"/>
          <w:szCs w:val="20"/>
          <w:lang w:val="en-GB"/>
        </w:rPr>
        <w:t>Analytical Factsheet for Slovenia: Nine objectives for a future Common Agricultural Policy</w:t>
      </w:r>
      <w:r w:rsidRPr="000C1085">
        <w:rPr>
          <w:sz w:val="20"/>
          <w:szCs w:val="20"/>
        </w:rPr>
        <w:t xml:space="preserve">. Dostopno na: </w:t>
      </w:r>
      <w:hyperlink r:id="rId164" w:history="1">
        <w:r w:rsidRPr="000C1085">
          <w:rPr>
            <w:rStyle w:val="Hiperpovezava"/>
            <w:sz w:val="20"/>
            <w:szCs w:val="20"/>
          </w:rPr>
          <w:t>https://ec.europa.eu/info/sites/info/files/food-farming-fisheries/by_country/documents/analytical_factsheet_sl.pdf</w:t>
        </w:r>
      </w:hyperlink>
      <w:r w:rsidRPr="000C1085">
        <w:rPr>
          <w:rStyle w:val="Hiperpovezava"/>
          <w:sz w:val="20"/>
          <w:szCs w:val="20"/>
        </w:rPr>
        <w:t xml:space="preserve">. </w:t>
      </w:r>
    </w:p>
    <w:p w14:paraId="6E5E005A"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c</w:t>
      </w:r>
      <w:r w:rsidRPr="000C1085">
        <w:rPr>
          <w:sz w:val="20"/>
          <w:szCs w:val="20"/>
        </w:rPr>
        <w:t xml:space="preserve">): Building stronger agricultural knowledge and innovation systems (AKIS) to foster advice, knowledge and innovation in agriculture and rural areas. </w:t>
      </w:r>
      <w:r>
        <w:rPr>
          <w:sz w:val="20"/>
          <w:szCs w:val="20"/>
        </w:rPr>
        <w:t xml:space="preserve">Dostopno na: </w:t>
      </w:r>
      <w:hyperlink r:id="rId165" w:history="1">
        <w:r w:rsidRPr="00554B53">
          <w:rPr>
            <w:rStyle w:val="Hiperpovezava"/>
            <w:sz w:val="20"/>
            <w:szCs w:val="20"/>
          </w:rPr>
          <w:t>https://ec.europa.eu/info/sites/info/files/food-farming-fisheries/key_policies/documents/building-stronger-akis_en.pdf</w:t>
        </w:r>
      </w:hyperlink>
      <w:r>
        <w:rPr>
          <w:sz w:val="20"/>
          <w:szCs w:val="20"/>
        </w:rPr>
        <w:t>.</w:t>
      </w:r>
    </w:p>
    <w:p w14:paraId="274076D5" w14:textId="77777777" w:rsidR="00D07B63" w:rsidRPr="000C1085" w:rsidRDefault="00D07B63" w:rsidP="00D07B63">
      <w:pPr>
        <w:spacing w:before="0" w:after="120" w:line="276" w:lineRule="auto"/>
        <w:rPr>
          <w:sz w:val="20"/>
          <w:szCs w:val="20"/>
        </w:rPr>
      </w:pPr>
      <w:r w:rsidRPr="000C1085">
        <w:rPr>
          <w:sz w:val="20"/>
          <w:szCs w:val="20"/>
        </w:rPr>
        <w:t>Evropski parlament (2016): Precision agriculture and the future of farming in Europe</w:t>
      </w:r>
      <w:r>
        <w:rPr>
          <w:sz w:val="20"/>
          <w:szCs w:val="20"/>
        </w:rPr>
        <w:t xml:space="preserve">. Dostopno na: </w:t>
      </w:r>
      <w:hyperlink r:id="rId166" w:history="1">
        <w:r w:rsidRPr="00554B53">
          <w:rPr>
            <w:rStyle w:val="Hiperpovezava"/>
            <w:sz w:val="20"/>
            <w:szCs w:val="20"/>
          </w:rPr>
          <w:t>https://www.europarl.europa.eu/RegData/etudes/STUD/2016/581892/EPRS_STU(2016)581892_EN.pdf</w:t>
        </w:r>
      </w:hyperlink>
      <w:r>
        <w:rPr>
          <w:sz w:val="20"/>
          <w:szCs w:val="20"/>
        </w:rPr>
        <w:t xml:space="preserve">.  </w:t>
      </w:r>
    </w:p>
    <w:p w14:paraId="7D8867A4" w14:textId="77777777" w:rsidR="006B2D3E" w:rsidRDefault="006B2D3E" w:rsidP="00C97B32">
      <w:pPr>
        <w:spacing w:before="0" w:after="120" w:line="276" w:lineRule="auto"/>
        <w:jc w:val="left"/>
        <w:rPr>
          <w:sz w:val="20"/>
          <w:szCs w:val="20"/>
        </w:rPr>
      </w:pPr>
      <w:r w:rsidRPr="00C97B32">
        <w:rPr>
          <w:i/>
          <w:iCs/>
          <w:sz w:val="20"/>
          <w:szCs w:val="20"/>
        </w:rPr>
        <w:t>fi-compass</w:t>
      </w:r>
      <w:r w:rsidRPr="00C97B32">
        <w:rPr>
          <w:sz w:val="20"/>
          <w:szCs w:val="20"/>
        </w:rPr>
        <w:t xml:space="preserve"> (2019): Survey on financial needs and access to finance of EU agricultural enterprises, Study report. Dostopno na </w:t>
      </w:r>
      <w:hyperlink r:id="rId167" w:history="1">
        <w:r w:rsidRPr="00C97B32">
          <w:rPr>
            <w:rStyle w:val="Hiperpovezava"/>
            <w:sz w:val="20"/>
            <w:szCs w:val="20"/>
          </w:rPr>
          <w:t>https://www.fi-compass.eu/publication/brochures/survey-financial-needs-and-access-finance-eu-agricultural-enterprises</w:t>
        </w:r>
      </w:hyperlink>
    </w:p>
    <w:p w14:paraId="1F48D756" w14:textId="2D6ABED8" w:rsidR="006B2D3E" w:rsidRDefault="00F8732D" w:rsidP="009F3567">
      <w:pPr>
        <w:spacing w:before="0" w:after="120" w:line="276" w:lineRule="auto"/>
        <w:jc w:val="left"/>
        <w:rPr>
          <w:rStyle w:val="Hiperpovezava"/>
          <w:sz w:val="20"/>
          <w:szCs w:val="20"/>
        </w:rPr>
      </w:pPr>
      <w:r w:rsidRPr="00C97B32">
        <w:rPr>
          <w:i/>
          <w:iCs/>
          <w:sz w:val="20"/>
          <w:szCs w:val="20"/>
        </w:rPr>
        <w:t>fi-compass</w:t>
      </w:r>
      <w:r w:rsidR="00D07B63" w:rsidRPr="000C1085">
        <w:rPr>
          <w:sz w:val="20"/>
          <w:szCs w:val="20"/>
        </w:rPr>
        <w:t xml:space="preserve"> </w:t>
      </w:r>
      <w:r>
        <w:rPr>
          <w:sz w:val="20"/>
          <w:szCs w:val="20"/>
        </w:rPr>
        <w:t>(</w:t>
      </w:r>
      <w:r w:rsidR="00D07B63" w:rsidRPr="000C1085">
        <w:rPr>
          <w:sz w:val="20"/>
          <w:szCs w:val="20"/>
        </w:rPr>
        <w:t>2020</w:t>
      </w:r>
      <w:r>
        <w:rPr>
          <w:sz w:val="20"/>
          <w:szCs w:val="20"/>
        </w:rPr>
        <w:t>):</w:t>
      </w:r>
      <w:r w:rsidR="00D07B63" w:rsidRPr="000C1085">
        <w:rPr>
          <w:sz w:val="20"/>
          <w:szCs w:val="20"/>
        </w:rPr>
        <w:t xml:space="preserve"> Financial needs in the agriculture and agri-food sectors in Slovenia, Study report. Dostopno na: </w:t>
      </w:r>
      <w:hyperlink r:id="rId168" w:history="1">
        <w:r w:rsidR="00D07B63" w:rsidRPr="000C1085">
          <w:rPr>
            <w:rStyle w:val="Hiperpovezava"/>
            <w:sz w:val="20"/>
            <w:szCs w:val="20"/>
          </w:rPr>
          <w:t>https://www.fi-compass.eu/sites/default/files/publications/financial_needs_agriculture_agrifood_sectors_Slovenia.pdf</w:t>
        </w:r>
      </w:hyperlink>
    </w:p>
    <w:p w14:paraId="6377951F" w14:textId="7A92B03F" w:rsidR="00A571FA" w:rsidRPr="00A571FA" w:rsidRDefault="00A571FA" w:rsidP="009F3567">
      <w:pPr>
        <w:spacing w:before="0" w:after="120" w:line="276" w:lineRule="auto"/>
        <w:jc w:val="left"/>
        <w:rPr>
          <w:sz w:val="20"/>
          <w:szCs w:val="20"/>
        </w:rPr>
      </w:pPr>
      <w:r w:rsidRPr="00A571FA">
        <w:rPr>
          <w:sz w:val="20"/>
          <w:szCs w:val="20"/>
        </w:rPr>
        <w:t>Geodetska uprava Republike Slovenije (2020): Poročilo o slovenskem trgu nepremičnin za leto 2019</w:t>
      </w:r>
      <w:r>
        <w:rPr>
          <w:sz w:val="20"/>
          <w:szCs w:val="20"/>
        </w:rPr>
        <w:t>. D</w:t>
      </w:r>
      <w:r w:rsidRPr="00A571FA">
        <w:rPr>
          <w:sz w:val="20"/>
          <w:szCs w:val="20"/>
        </w:rPr>
        <w:t xml:space="preserve">ostopno na: </w:t>
      </w:r>
      <w:hyperlink r:id="rId169" w:history="1">
        <w:r w:rsidRPr="00A571FA">
          <w:rPr>
            <w:rStyle w:val="Hiperpovezava"/>
            <w:sz w:val="20"/>
            <w:szCs w:val="20"/>
          </w:rPr>
          <w:t>https://www.mvn.e-prostor.gov.si/fileadmin/user_upload/MVN/Dokumenti/Porocila/Letno_porocilo_za_leto_2019.pdf</w:t>
        </w:r>
      </w:hyperlink>
    </w:p>
    <w:p w14:paraId="0D04AA10" w14:textId="3859AE11" w:rsidR="00D07B63" w:rsidRPr="000C1085" w:rsidRDefault="00D07B63">
      <w:pPr>
        <w:spacing w:before="0" w:after="120" w:line="276" w:lineRule="auto"/>
        <w:jc w:val="left"/>
        <w:rPr>
          <w:sz w:val="20"/>
          <w:szCs w:val="20"/>
        </w:rPr>
      </w:pPr>
      <w:r w:rsidRPr="000C1085">
        <w:rPr>
          <w:sz w:val="20"/>
          <w:szCs w:val="20"/>
        </w:rPr>
        <w:t xml:space="preserve">Gospodarska zbornica Slovenije (2019): Poslovanje kmetijskih in živilskih podjetij v Sloveniji v 2018. Dostopno na: </w:t>
      </w:r>
      <w:hyperlink r:id="rId170" w:history="1">
        <w:r w:rsidRPr="000C1085">
          <w:rPr>
            <w:rStyle w:val="Hiperpovezava"/>
            <w:sz w:val="20"/>
            <w:szCs w:val="20"/>
          </w:rPr>
          <w:t>https://www.gzs.si/Portals/Panoga-Kmetijska-Zivilska/brosura%20zpi%202018%20v2_web.pdf</w:t>
        </w:r>
      </w:hyperlink>
      <w:r>
        <w:rPr>
          <w:sz w:val="20"/>
          <w:szCs w:val="20"/>
        </w:rPr>
        <w:t>.</w:t>
      </w:r>
    </w:p>
    <w:p w14:paraId="06FCCF9A" w14:textId="77777777" w:rsidR="00D07B63" w:rsidRPr="000C1085" w:rsidRDefault="00D07B63" w:rsidP="00D07B63">
      <w:pPr>
        <w:spacing w:before="0" w:after="120" w:line="276" w:lineRule="auto"/>
        <w:rPr>
          <w:sz w:val="20"/>
          <w:szCs w:val="20"/>
        </w:rPr>
      </w:pPr>
      <w:r w:rsidRPr="000C1085">
        <w:rPr>
          <w:rFonts w:eastAsia="TimesNewRomanPSMT"/>
          <w:sz w:val="20"/>
          <w:szCs w:val="20"/>
          <w:lang w:eastAsia="en-US"/>
        </w:rPr>
        <w:t xml:space="preserve">Hill B., Bradley D. </w:t>
      </w:r>
      <w:r>
        <w:rPr>
          <w:rFonts w:eastAsia="TimesNewRomanPSMT"/>
          <w:sz w:val="20"/>
          <w:szCs w:val="20"/>
        </w:rPr>
        <w:t xml:space="preserve">(2015): </w:t>
      </w:r>
      <w:r w:rsidRPr="000C1085">
        <w:rPr>
          <w:rFonts w:eastAsia="TimesNewRomanPSMT"/>
          <w:sz w:val="20"/>
          <w:szCs w:val="20"/>
          <w:lang w:eastAsia="en-US"/>
        </w:rPr>
        <w:t>Comparison Of Farmers’ Incomes In The EU Member States Study, Directorate-General For Internal Policies Policy Department B: Structural And Cohesion Policies Agriculture And Rural Development</w:t>
      </w:r>
      <w:r>
        <w:rPr>
          <w:rFonts w:eastAsia="TimesNewRomanPSMT"/>
          <w:bCs/>
          <w:sz w:val="20"/>
          <w:szCs w:val="20"/>
        </w:rPr>
        <w:t>.</w:t>
      </w:r>
      <w:r w:rsidRPr="000C1085">
        <w:rPr>
          <w:sz w:val="20"/>
          <w:szCs w:val="20"/>
        </w:rPr>
        <w:t xml:space="preserve"> </w:t>
      </w:r>
      <w:r>
        <w:rPr>
          <w:sz w:val="20"/>
          <w:szCs w:val="20"/>
        </w:rPr>
        <w:t>D</w:t>
      </w:r>
      <w:r w:rsidRPr="000C1085">
        <w:rPr>
          <w:sz w:val="20"/>
          <w:szCs w:val="20"/>
        </w:rPr>
        <w:t xml:space="preserve">ostopno na: </w:t>
      </w:r>
      <w:hyperlink r:id="rId171" w:history="1">
        <w:r w:rsidRPr="000C1085">
          <w:rPr>
            <w:rStyle w:val="Hiperpovezava"/>
            <w:sz w:val="20"/>
            <w:szCs w:val="20"/>
          </w:rPr>
          <w:t>https://www.europarl.europa.eu/thinktank/en/document.html?reference=IPOL_STU(2015)540374</w:t>
        </w:r>
      </w:hyperlink>
      <w:r w:rsidRPr="000C1085">
        <w:rPr>
          <w:sz w:val="20"/>
          <w:szCs w:val="20"/>
        </w:rPr>
        <w:t xml:space="preserve">. </w:t>
      </w:r>
    </w:p>
    <w:p w14:paraId="2BB50BBB" w14:textId="503427B7" w:rsidR="00D07B63" w:rsidRDefault="00D07B63" w:rsidP="00D07B63">
      <w:pPr>
        <w:pStyle w:val="Sprotnaopomba-besedilo"/>
        <w:spacing w:before="0" w:after="120" w:line="276" w:lineRule="auto"/>
        <w:ind w:left="0" w:firstLine="0"/>
        <w:rPr>
          <w:rStyle w:val="Hiperpovezava"/>
          <w:rFonts w:ascii="Arial" w:hAnsi="Arial"/>
        </w:rPr>
      </w:pPr>
      <w:r w:rsidRPr="009F3567">
        <w:rPr>
          <w:rStyle w:val="Hiperpovezava"/>
          <w:rFonts w:ascii="Arial" w:hAnsi="Arial"/>
          <w:color w:val="000000" w:themeColor="text1"/>
          <w:u w:val="none"/>
        </w:rPr>
        <w:t>Hilmi, Martin (2006)</w:t>
      </w:r>
      <w:r w:rsidR="00181348">
        <w:rPr>
          <w:rStyle w:val="Hiperpovezava"/>
          <w:rFonts w:ascii="Arial" w:hAnsi="Arial"/>
          <w:color w:val="000000" w:themeColor="text1"/>
          <w:u w:val="none"/>
        </w:rPr>
        <w:t>:</w:t>
      </w:r>
      <w:r w:rsidRPr="009F3567">
        <w:rPr>
          <w:rStyle w:val="Hiperpovezava"/>
          <w:rFonts w:ascii="Arial" w:hAnsi="Arial"/>
          <w:color w:val="000000" w:themeColor="text1"/>
          <w:u w:val="none"/>
        </w:rPr>
        <w:t xml:space="preserve"> Economic concepts in market-oriented farming. Dostopno na: </w:t>
      </w:r>
      <w:hyperlink r:id="rId172" w:history="1">
        <w:r w:rsidRPr="0036007A">
          <w:rPr>
            <w:rStyle w:val="Hiperpovezava"/>
            <w:rFonts w:ascii="Arial" w:hAnsi="Arial"/>
          </w:rPr>
          <w:t>http://www.ruralfinanceandinvestment.org/sites/default/files/1166709374977_Economic_concepts_farming.pdf</w:t>
        </w:r>
      </w:hyperlink>
      <w:r w:rsidRPr="0036007A">
        <w:rPr>
          <w:rStyle w:val="Hiperpovezava"/>
          <w:rFonts w:ascii="Arial" w:hAnsi="Arial"/>
        </w:rPr>
        <w:t xml:space="preserve"> </w:t>
      </w:r>
    </w:p>
    <w:p w14:paraId="7BE48519" w14:textId="6119E50C" w:rsidR="00546EBF" w:rsidRPr="00546EBF" w:rsidRDefault="00546EBF" w:rsidP="00D07B63">
      <w:pPr>
        <w:pStyle w:val="Sprotnaopomba-besedilo"/>
        <w:spacing w:before="0" w:after="120" w:line="276" w:lineRule="auto"/>
        <w:ind w:left="0" w:firstLine="0"/>
        <w:rPr>
          <w:rStyle w:val="Hiperpovezava"/>
          <w:rFonts w:ascii="Arial" w:hAnsi="Arial"/>
        </w:rPr>
      </w:pPr>
      <w:r w:rsidRPr="00A204E1">
        <w:rPr>
          <w:rFonts w:ascii="Arial" w:eastAsia="Calibri" w:hAnsi="Arial"/>
        </w:rPr>
        <w:t>Hlavsa, Tomáš</w:t>
      </w:r>
      <w:r w:rsidRPr="00A204E1">
        <w:rPr>
          <w:rFonts w:ascii="Arial" w:hAnsi="Arial"/>
          <w:lang w:val="en"/>
        </w:rPr>
        <w:t xml:space="preserve">; </w:t>
      </w:r>
      <w:r w:rsidRPr="00A204E1">
        <w:rPr>
          <w:rFonts w:ascii="Arial" w:eastAsia="Calibri" w:hAnsi="Arial"/>
        </w:rPr>
        <w:t>Hruška, Martin</w:t>
      </w:r>
      <w:r w:rsidRPr="00A204E1">
        <w:rPr>
          <w:rFonts w:ascii="Arial" w:hAnsi="Arial"/>
          <w:lang w:val="en"/>
        </w:rPr>
        <w:t xml:space="preserve">; </w:t>
      </w:r>
      <w:r w:rsidRPr="00A204E1">
        <w:rPr>
          <w:rFonts w:ascii="Arial" w:eastAsia="Calibri" w:hAnsi="Arial"/>
        </w:rPr>
        <w:t>Turková, Edita</w:t>
      </w:r>
      <w:r w:rsidRPr="00A204E1">
        <w:rPr>
          <w:rFonts w:ascii="Arial" w:hAnsi="Arial"/>
          <w:lang w:val="en"/>
        </w:rPr>
        <w:t xml:space="preserve"> (2017): The impact of investment support from the Rural Development Programme of the Czech Republic for 2007-2013 on the economic efficiency of farms. Dostopno na: </w:t>
      </w:r>
      <w:hyperlink r:id="rId173" w:history="1">
        <w:r w:rsidRPr="00A204E1">
          <w:rPr>
            <w:rStyle w:val="Hiperpovezava"/>
            <w:rFonts w:ascii="Arial" w:hAnsi="Arial"/>
            <w:lang w:val="en"/>
          </w:rPr>
          <w:t>https://ageconsearch.umn.edu/record/257870</w:t>
        </w:r>
      </w:hyperlink>
      <w:r w:rsidRPr="00A204E1">
        <w:rPr>
          <w:rFonts w:ascii="Arial" w:hAnsi="Arial"/>
          <w:lang w:val="en"/>
        </w:rPr>
        <w:t xml:space="preserve"> </w:t>
      </w:r>
    </w:p>
    <w:p w14:paraId="6BDD07B9" w14:textId="77777777" w:rsidR="00F3225E" w:rsidRDefault="001F2226" w:rsidP="00D07B63">
      <w:pPr>
        <w:pStyle w:val="Sprotnaopomba-besedilo"/>
        <w:spacing w:before="0" w:after="120" w:line="276" w:lineRule="auto"/>
        <w:ind w:left="0" w:firstLine="0"/>
        <w:rPr>
          <w:rStyle w:val="Hiperpovezava"/>
          <w:rFonts w:ascii="Arial" w:hAnsi="Arial"/>
          <w:color w:val="000000" w:themeColor="text1"/>
          <w:u w:val="none"/>
        </w:rPr>
      </w:pPr>
      <w:r w:rsidRPr="0036007A">
        <w:rPr>
          <w:rStyle w:val="Hiperpovezava"/>
          <w:rFonts w:ascii="Arial" w:hAnsi="Arial"/>
          <w:color w:val="000000" w:themeColor="text1"/>
          <w:u w:val="none"/>
        </w:rPr>
        <w:t xml:space="preserve">Inštitut za nutricionistiko (2020): Rezultati raziskave: Epidemija Covid-19 pomembno vpliva na prehranjevalne navade prebivalcev Slovenije. Dostopno na: </w:t>
      </w:r>
      <w:hyperlink r:id="rId174" w:history="1">
        <w:r w:rsidRPr="0036007A">
          <w:rPr>
            <w:rStyle w:val="Hiperpovezava"/>
            <w:rFonts w:ascii="Arial" w:hAnsi="Arial"/>
            <w:color w:val="000000" w:themeColor="text1"/>
            <w:u w:val="none"/>
          </w:rPr>
          <w:t>https://nutris.org/novice/rezultati-raziskave-epidemija-covid-19-pomembno-vpliva-na-prehranjevalne-navade-prebivalcev-slovenije</w:t>
        </w:r>
      </w:hyperlink>
      <w:r w:rsidRPr="0036007A">
        <w:rPr>
          <w:rStyle w:val="Hiperpovezava"/>
          <w:rFonts w:ascii="Arial" w:hAnsi="Arial"/>
          <w:color w:val="000000" w:themeColor="text1"/>
          <w:u w:val="none"/>
        </w:rPr>
        <w:t xml:space="preserve">. </w:t>
      </w:r>
    </w:p>
    <w:p w14:paraId="2B89E132" w14:textId="39C26AEA" w:rsidR="000B2FB8" w:rsidRDefault="000B2FB8" w:rsidP="000B2FB8">
      <w:pPr>
        <w:pStyle w:val="Sprotnaopomba-besedilo"/>
        <w:spacing w:before="0" w:after="120" w:line="276" w:lineRule="auto"/>
        <w:ind w:left="0" w:firstLine="0"/>
        <w:rPr>
          <w:rFonts w:ascii="Arial" w:hAnsi="Arial"/>
        </w:rPr>
      </w:pPr>
      <w:r w:rsidRPr="000B2FB8">
        <w:rPr>
          <w:rFonts w:ascii="Arial" w:hAnsi="Arial"/>
        </w:rPr>
        <w:t>Juvančič et al (2021)</w:t>
      </w:r>
      <w:r>
        <w:rPr>
          <w:rFonts w:ascii="Arial" w:hAnsi="Arial"/>
        </w:rPr>
        <w:t>:</w:t>
      </w:r>
      <w:r w:rsidRPr="000B2FB8">
        <w:rPr>
          <w:rFonts w:ascii="Arial" w:hAnsi="Arial"/>
        </w:rPr>
        <w:t xml:space="preserve"> Premostitev vrzeli v biogospodarstvu: od gozdne in kmetijske biomase do inovativnih tehnoloških rešitev. Dostopno na: </w:t>
      </w:r>
    </w:p>
    <w:p w14:paraId="4009634F" w14:textId="26948A49" w:rsidR="000B2FB8" w:rsidRPr="000B2FB8" w:rsidRDefault="00FB6BEC" w:rsidP="000B2FB8">
      <w:pPr>
        <w:pStyle w:val="Sprotnaopomba-besedilo"/>
        <w:spacing w:before="0" w:after="120" w:line="276" w:lineRule="auto"/>
        <w:ind w:left="0" w:firstLine="0"/>
        <w:rPr>
          <w:rFonts w:ascii="Arial" w:hAnsi="Arial"/>
        </w:rPr>
      </w:pPr>
      <w:hyperlink r:id="rId175" w:history="1">
        <w:r w:rsidR="000B2FB8" w:rsidRPr="000B2FB8">
          <w:rPr>
            <w:rStyle w:val="Hiperpovezava"/>
            <w:rFonts w:ascii="Arial" w:hAnsi="Arial"/>
          </w:rPr>
          <w:t>https://www.gov.si/assets/ministrstva/MKGP/PODROCJA/NOVICE/CRP-V4-1824-Bridge2Bio-Zakljucno-porocilo-stisnjeno.pdf</w:t>
        </w:r>
      </w:hyperlink>
    </w:p>
    <w:p w14:paraId="5B8FD508" w14:textId="60D755F4"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Kahan, David (2013) Market oriented farming. An overview. FAO. Dostopno na: </w:t>
      </w:r>
      <w:hyperlink r:id="rId176" w:history="1">
        <w:r w:rsidRPr="000C1085">
          <w:rPr>
            <w:rStyle w:val="Hiperpovezava"/>
            <w:rFonts w:ascii="Arial" w:hAnsi="Arial"/>
          </w:rPr>
          <w:t>http://www.fao.org/3/a-i3227e.pdf</w:t>
        </w:r>
      </w:hyperlink>
      <w:r w:rsidRPr="000C1085">
        <w:rPr>
          <w:rFonts w:ascii="Arial" w:hAnsi="Arial"/>
        </w:rPr>
        <w:t xml:space="preserve">. </w:t>
      </w:r>
    </w:p>
    <w:p w14:paraId="35126B85" w14:textId="3EEA2CE7" w:rsidR="00A84ED1" w:rsidRDefault="00A84ED1" w:rsidP="0036007A">
      <w:pPr>
        <w:pStyle w:val="Sprotnaopomba-besedilo"/>
        <w:spacing w:before="0" w:after="120" w:line="276" w:lineRule="auto"/>
        <w:ind w:left="0" w:firstLine="0"/>
        <w:jc w:val="left"/>
        <w:rPr>
          <w:rFonts w:ascii="Arial" w:hAnsi="Arial"/>
        </w:rPr>
      </w:pPr>
      <w:r w:rsidRPr="00A84ED1">
        <w:rPr>
          <w:rFonts w:ascii="Arial" w:hAnsi="Arial"/>
        </w:rPr>
        <w:t>Kmetijski inštitut Slovenije (2019): Rezultati kontrole prireje in mleka in mesa. Pridobljeno 6. 10. 2020 s spletne strani: https://www.govedo.si/files/cpzgss/knjiznica/porocila/kontrola_porocila/REZULTATI_KONTROLE _2019.pdf.</w:t>
      </w:r>
    </w:p>
    <w:p w14:paraId="37EC746A" w14:textId="75F093B7" w:rsidR="007D30CC" w:rsidRPr="000C1085" w:rsidRDefault="007D30CC" w:rsidP="0036007A">
      <w:pPr>
        <w:pStyle w:val="Sprotnaopomba-besedilo"/>
        <w:spacing w:before="0" w:after="120" w:line="276" w:lineRule="auto"/>
        <w:ind w:left="0" w:firstLine="0"/>
        <w:jc w:val="left"/>
        <w:rPr>
          <w:rFonts w:ascii="Arial" w:hAnsi="Arial"/>
        </w:rPr>
      </w:pPr>
      <w:r w:rsidRPr="00AB3ABB">
        <w:rPr>
          <w:rFonts w:ascii="Arial" w:hAnsi="Arial"/>
        </w:rPr>
        <w:t>Kmetijski inštitut Slovenije (20</w:t>
      </w:r>
      <w:r w:rsidR="001F2226">
        <w:rPr>
          <w:rFonts w:ascii="Arial" w:hAnsi="Arial"/>
        </w:rPr>
        <w:t>20</w:t>
      </w:r>
      <w:r w:rsidRPr="00AB3ABB">
        <w:rPr>
          <w:rFonts w:ascii="Arial" w:hAnsi="Arial"/>
        </w:rPr>
        <w:t>): Poročilo o stanju kmetijstva, živilstva, gozdarstva in ribištva v letu 2018. Dostopno na:</w:t>
      </w:r>
      <w:r>
        <w:rPr>
          <w:rFonts w:ascii="Arial" w:hAnsi="Arial"/>
        </w:rPr>
        <w:t xml:space="preserve"> </w:t>
      </w:r>
      <w:r w:rsidR="001F2226" w:rsidRPr="001F2226">
        <w:rPr>
          <w:rStyle w:val="Hiperpovezava"/>
          <w:rFonts w:ascii="Arial" w:hAnsi="Arial"/>
        </w:rPr>
        <w:t>https://www.kis.si/f/docs/Porocila_o_stanju_v_kmetijstvu_OEK/ZP_2019_splosno__priloge_net.pdf</w:t>
      </w:r>
      <w:r w:rsidR="00AB3ABB">
        <w:rPr>
          <w:rFonts w:ascii="Arial" w:hAnsi="Arial"/>
        </w:rPr>
        <w:t xml:space="preserve">. </w:t>
      </w:r>
    </w:p>
    <w:p w14:paraId="053ADE8D" w14:textId="77777777" w:rsidR="00EF54A6" w:rsidRPr="00EF54A6" w:rsidRDefault="00EF54A6" w:rsidP="00EF54A6">
      <w:pPr>
        <w:spacing w:before="0" w:after="120" w:line="276" w:lineRule="auto"/>
        <w:rPr>
          <w:color w:val="000000" w:themeColor="text1"/>
          <w:sz w:val="20"/>
          <w:szCs w:val="20"/>
        </w:rPr>
      </w:pPr>
      <w:r w:rsidRPr="00EF54A6">
        <w:rPr>
          <w:color w:val="000000" w:themeColor="text1"/>
          <w:sz w:val="20"/>
          <w:szCs w:val="20"/>
        </w:rPr>
        <w:t>Kuhar</w:t>
      </w:r>
      <w:r>
        <w:rPr>
          <w:color w:val="000000" w:themeColor="text1"/>
          <w:sz w:val="20"/>
          <w:szCs w:val="20"/>
        </w:rPr>
        <w:t>, Aleš (2019):</w:t>
      </w:r>
      <w:r w:rsidRPr="00EF54A6">
        <w:rPr>
          <w:color w:val="000000" w:themeColor="text1"/>
          <w:sz w:val="20"/>
          <w:szCs w:val="20"/>
        </w:rPr>
        <w:t xml:space="preserve"> Gibanje realnih cen v živilski verigi, Analiza poslovanja živilske panoge v 2018, 19. Vrh kmetijskih in živilskih pod</w:t>
      </w:r>
      <w:r>
        <w:rPr>
          <w:color w:val="000000" w:themeColor="text1"/>
          <w:sz w:val="20"/>
          <w:szCs w:val="20"/>
        </w:rPr>
        <w:t>jetij, Bled, 5.6.</w:t>
      </w:r>
      <w:r w:rsidRPr="00EF54A6">
        <w:rPr>
          <w:color w:val="000000" w:themeColor="text1"/>
          <w:sz w:val="20"/>
          <w:szCs w:val="20"/>
        </w:rPr>
        <w:t>2019</w:t>
      </w:r>
      <w:r>
        <w:rPr>
          <w:color w:val="000000" w:themeColor="text1"/>
          <w:sz w:val="20"/>
          <w:szCs w:val="20"/>
        </w:rPr>
        <w:t>. Dostopno na:</w:t>
      </w:r>
      <w:r w:rsidRPr="00EF54A6">
        <w:rPr>
          <w:color w:val="000000" w:themeColor="text1"/>
          <w:sz w:val="20"/>
          <w:szCs w:val="20"/>
        </w:rPr>
        <w:t xml:space="preserve"> </w:t>
      </w:r>
      <w:hyperlink r:id="rId177" w:history="1">
        <w:r w:rsidRPr="00EF54A6">
          <w:rPr>
            <w:rStyle w:val="Hiperpovezava"/>
            <w:sz w:val="20"/>
            <w:szCs w:val="20"/>
          </w:rPr>
          <w:t>https://vrh-zkzp.gzs.si/Portals/Portal-Vrhzkzp/7.%20GZS_2019.pdf</w:t>
        </w:r>
      </w:hyperlink>
      <w:r>
        <w:rPr>
          <w:color w:val="000000" w:themeColor="text1"/>
          <w:sz w:val="20"/>
          <w:szCs w:val="20"/>
        </w:rPr>
        <w:t xml:space="preserve">. </w:t>
      </w:r>
    </w:p>
    <w:p w14:paraId="3E788B1C" w14:textId="0C9D8FF7" w:rsidR="00D07B63" w:rsidRDefault="00D07B63" w:rsidP="00D07B63">
      <w:pPr>
        <w:spacing w:before="0" w:after="120" w:line="276" w:lineRule="auto"/>
        <w:rPr>
          <w:rStyle w:val="Hiperpovezava"/>
          <w:sz w:val="20"/>
          <w:szCs w:val="20"/>
        </w:rPr>
      </w:pPr>
      <w:r w:rsidRPr="009F3567">
        <w:rPr>
          <w:rStyle w:val="Hiperpovezava"/>
          <w:color w:val="000000" w:themeColor="text1"/>
          <w:sz w:val="20"/>
          <w:szCs w:val="20"/>
          <w:u w:val="none"/>
        </w:rPr>
        <w:t>Latruffe, L. (2010)</w:t>
      </w:r>
      <w:r w:rsidR="00B95EA6">
        <w:rPr>
          <w:rStyle w:val="Hiperpovezava"/>
          <w:color w:val="000000" w:themeColor="text1"/>
          <w:sz w:val="20"/>
          <w:szCs w:val="20"/>
          <w:u w:val="none"/>
        </w:rPr>
        <w:t>:</w:t>
      </w:r>
      <w:r w:rsidRPr="009F3567">
        <w:rPr>
          <w:rStyle w:val="Hiperpovezava"/>
          <w:color w:val="000000" w:themeColor="text1"/>
          <w:sz w:val="20"/>
          <w:szCs w:val="20"/>
          <w:u w:val="none"/>
        </w:rPr>
        <w:t xml:space="preserve"> Competitiveness, Productivity and Efficiency in the Agricultural and Agri-Food Sectors, OECD Food, Agriculture and Fisheries Papers, No. 30, OECD Publishing, Paris. Dostopno na: </w:t>
      </w:r>
      <w:hyperlink r:id="rId178" w:history="1">
        <w:r w:rsidRPr="000C1085">
          <w:rPr>
            <w:rStyle w:val="Hiperpovezava"/>
            <w:sz w:val="20"/>
            <w:szCs w:val="20"/>
          </w:rPr>
          <w:t>http://dx.doi.org/10.1787/5km91nkdt6d6-en</w:t>
        </w:r>
      </w:hyperlink>
      <w:r w:rsidRPr="000C1085">
        <w:rPr>
          <w:rStyle w:val="Hiperpovezava"/>
          <w:sz w:val="20"/>
          <w:szCs w:val="20"/>
        </w:rPr>
        <w:t>.</w:t>
      </w:r>
    </w:p>
    <w:p w14:paraId="2827AA27" w14:textId="77777777" w:rsidR="000466F2" w:rsidRPr="000466F2" w:rsidRDefault="000466F2" w:rsidP="000466F2">
      <w:pPr>
        <w:spacing w:before="0" w:after="120" w:line="276" w:lineRule="auto"/>
        <w:rPr>
          <w:rStyle w:val="Hiperpovezava"/>
          <w:color w:val="000000" w:themeColor="text1"/>
          <w:sz w:val="20"/>
          <w:szCs w:val="20"/>
          <w:u w:val="none"/>
        </w:rPr>
      </w:pPr>
      <w:r w:rsidRPr="000466F2">
        <w:rPr>
          <w:rStyle w:val="Hiperpovezava"/>
          <w:color w:val="000000" w:themeColor="text1"/>
          <w:sz w:val="20"/>
          <w:szCs w:val="20"/>
          <w:u w:val="none"/>
        </w:rPr>
        <w:t>Latruffe L. in sod. (2013): Does land fragmentation affect farm performance? A case study from Brittany, Factor Markets Working Paper No. 40/April 2013, Brussels: Centre for European Policy Studies (CEPS). Dostopno na: https://www.sciencedirect.com.</w:t>
      </w:r>
    </w:p>
    <w:p w14:paraId="317D7A61" w14:textId="2E89339C" w:rsidR="00D07B63" w:rsidRPr="000C1085" w:rsidRDefault="00D07B63" w:rsidP="00D07B63">
      <w:pPr>
        <w:pStyle w:val="Sprotnaopomba-besedilo"/>
        <w:spacing w:before="0" w:after="120" w:line="276" w:lineRule="auto"/>
        <w:ind w:left="0" w:firstLine="0"/>
        <w:jc w:val="left"/>
        <w:rPr>
          <w:rFonts w:ascii="Arial" w:hAnsi="Arial"/>
        </w:rPr>
      </w:pPr>
      <w:r w:rsidRPr="000C1085">
        <w:rPr>
          <w:rFonts w:ascii="Arial" w:hAnsi="Arial"/>
        </w:rPr>
        <w:t>Lovec, Marko (2019)</w:t>
      </w:r>
      <w:r w:rsidR="00B95EA6">
        <w:rPr>
          <w:rFonts w:ascii="Arial" w:hAnsi="Arial"/>
        </w:rPr>
        <w:t>:</w:t>
      </w:r>
      <w:r w:rsidRPr="000C1085">
        <w:rPr>
          <w:rFonts w:ascii="Arial" w:hAnsi="Arial"/>
        </w:rPr>
        <w:t xml:space="preserve"> Tržna usmerjenost in konkurenčnost. 5. Slovenski podeželski parlament, 8. 10. 2019. Dostopno na: </w:t>
      </w:r>
      <w:hyperlink r:id="rId179" w:history="1">
        <w:r w:rsidRPr="000C1085">
          <w:rPr>
            <w:rStyle w:val="Hiperpovezava"/>
            <w:rFonts w:ascii="Arial" w:hAnsi="Arial"/>
          </w:rPr>
          <w:t>https://www.program-podezelja.si/images/SPLETNA_STRAN_PRP_NOVA/Novice/SPP2019/Uvodi/Uvod_2_Konkuren%C4%8Dnost_-_Lovec.pdf</w:t>
        </w:r>
      </w:hyperlink>
      <w:r w:rsidRPr="000C1085">
        <w:rPr>
          <w:rFonts w:ascii="Arial" w:hAnsi="Arial"/>
        </w:rPr>
        <w:t xml:space="preserve">.  </w:t>
      </w:r>
    </w:p>
    <w:p w14:paraId="35CCA079" w14:textId="05E43CA4" w:rsidR="00D07B63" w:rsidRDefault="001F2226" w:rsidP="00D07B63">
      <w:pPr>
        <w:pStyle w:val="Sprotnaopomba-besedilo"/>
        <w:tabs>
          <w:tab w:val="left" w:pos="0"/>
        </w:tabs>
        <w:spacing w:before="0" w:after="120" w:line="276" w:lineRule="auto"/>
        <w:ind w:left="0" w:firstLine="0"/>
        <w:rPr>
          <w:rFonts w:ascii="Arial" w:hAnsi="Arial"/>
        </w:rPr>
      </w:pPr>
      <w:r w:rsidRPr="00181348">
        <w:rPr>
          <w:rStyle w:val="Hiperpovezava"/>
          <w:rFonts w:ascii="Arial" w:hAnsi="Arial"/>
          <w:color w:val="000000" w:themeColor="text1"/>
          <w:u w:val="none"/>
        </w:rPr>
        <w:t>Potočnik Slavič</w:t>
      </w:r>
      <w:r>
        <w:rPr>
          <w:rStyle w:val="Hiperpovezava"/>
          <w:rFonts w:ascii="Arial" w:hAnsi="Arial"/>
          <w:color w:val="000000" w:themeColor="text1"/>
          <w:u w:val="none"/>
        </w:rPr>
        <w:t>, Irma</w:t>
      </w:r>
      <w:r w:rsidRPr="00181348">
        <w:rPr>
          <w:rStyle w:val="Hiperpovezava"/>
          <w:rFonts w:ascii="Arial" w:hAnsi="Arial"/>
          <w:color w:val="000000" w:themeColor="text1"/>
          <w:u w:val="none"/>
        </w:rPr>
        <w:t xml:space="preserve"> et al. (2017): (Ne)raba razpoložljivih virov na kmetijah v Sloveniji. Dostopno na: </w:t>
      </w:r>
      <w:hyperlink r:id="rId180" w:history="1">
        <w:r w:rsidRPr="00181348">
          <w:rPr>
            <w:rStyle w:val="Hiperpovezava"/>
            <w:rFonts w:ascii="Arial" w:hAnsi="Arial"/>
            <w:color w:val="000000" w:themeColor="text1"/>
            <w:u w:val="none"/>
          </w:rPr>
          <w:t>https://e-knjige.ff.uni-lj.si/znanstvena-zalozba/catalog/view/22/62/2544-1</w:t>
        </w:r>
      </w:hyperlink>
      <w:r>
        <w:rPr>
          <w:rStyle w:val="Hiperpovezava"/>
          <w:rFonts w:ascii="Arial" w:hAnsi="Arial"/>
          <w:color w:val="000000" w:themeColor="text1"/>
          <w:u w:val="none"/>
        </w:rPr>
        <w:t xml:space="preserve"> </w:t>
      </w:r>
      <w:r w:rsidR="00D07B63" w:rsidRPr="009F3567">
        <w:rPr>
          <w:rStyle w:val="Hiperpovezava"/>
          <w:rFonts w:ascii="Arial" w:hAnsi="Arial"/>
          <w:color w:val="000000" w:themeColor="text1"/>
          <w:u w:val="none"/>
        </w:rPr>
        <w:t>OECD (2001)</w:t>
      </w:r>
      <w:r w:rsidR="00D07B63" w:rsidRPr="009F3567">
        <w:rPr>
          <w:rStyle w:val="Hiperpovezava"/>
          <w:color w:val="000000" w:themeColor="text1"/>
          <w:u w:val="none"/>
        </w:rPr>
        <w:t>:</w:t>
      </w:r>
      <w:r w:rsidR="00D07B63" w:rsidRPr="009F3567">
        <w:rPr>
          <w:rStyle w:val="Hiperpovezava"/>
          <w:rFonts w:ascii="Arial" w:hAnsi="Arial"/>
          <w:color w:val="000000" w:themeColor="text1"/>
          <w:u w:val="none"/>
        </w:rPr>
        <w:t xml:space="preserve"> Measuring Productivity. OECD Manual. Measurement of aggregate and industry-level productivity growth. Dostopno na:</w:t>
      </w:r>
      <w:r w:rsidR="00D07B63" w:rsidRPr="000C1085">
        <w:rPr>
          <w:rStyle w:val="Hiperpovezava"/>
          <w:rFonts w:ascii="Arial" w:hAnsi="Arial"/>
          <w:color w:val="000000" w:themeColor="text1"/>
        </w:rPr>
        <w:t xml:space="preserve"> </w:t>
      </w:r>
      <w:hyperlink r:id="rId181" w:history="1">
        <w:r w:rsidR="00D07B63" w:rsidRPr="000C1085">
          <w:rPr>
            <w:rStyle w:val="Hiperpovezava"/>
            <w:rFonts w:ascii="Arial" w:hAnsi="Arial"/>
          </w:rPr>
          <w:t>http://www.oecd.org/sdd/productivity-stats/2352458.pdf</w:t>
        </w:r>
      </w:hyperlink>
      <w:r w:rsidR="00D07B63" w:rsidRPr="000C1085">
        <w:rPr>
          <w:rStyle w:val="Hiperpovezava"/>
          <w:rFonts w:ascii="Arial" w:hAnsi="Arial"/>
        </w:rPr>
        <w:t>.</w:t>
      </w:r>
      <w:r w:rsidR="00D07B63" w:rsidRPr="000C1085">
        <w:rPr>
          <w:rFonts w:ascii="Arial" w:hAnsi="Arial"/>
        </w:rPr>
        <w:t xml:space="preserve">  </w:t>
      </w:r>
    </w:p>
    <w:p w14:paraId="1FF7002D" w14:textId="34EDFC91" w:rsidR="000466F2" w:rsidRPr="000C1085" w:rsidRDefault="000466F2" w:rsidP="00D07B63">
      <w:pPr>
        <w:pStyle w:val="Sprotnaopomba-besedilo"/>
        <w:tabs>
          <w:tab w:val="left" w:pos="0"/>
        </w:tabs>
        <w:spacing w:before="0" w:after="120" w:line="276" w:lineRule="auto"/>
        <w:ind w:left="0" w:firstLine="0"/>
        <w:rPr>
          <w:rFonts w:ascii="Arial" w:hAnsi="Arial"/>
        </w:rPr>
      </w:pPr>
      <w:r w:rsidRPr="00056D91">
        <w:rPr>
          <w:rFonts w:ascii="Arial" w:hAnsi="Arial"/>
        </w:rPr>
        <w:t>Saint-Cyr L. in sod. (2016): Farm Fragmentation, Performance and Subsidies in the European Union - Technical Report, Rennes: FLINT. Dostopno na: https://www.researchgate.net.</w:t>
      </w:r>
    </w:p>
    <w:p w14:paraId="06351582" w14:textId="67EB944E" w:rsidR="00F5728D" w:rsidRDefault="00F5728D" w:rsidP="00D07B63">
      <w:pPr>
        <w:autoSpaceDE w:val="0"/>
        <w:autoSpaceDN w:val="0"/>
        <w:adjustRightInd w:val="0"/>
        <w:spacing w:before="0" w:after="120" w:line="276" w:lineRule="auto"/>
        <w:rPr>
          <w:sz w:val="20"/>
          <w:szCs w:val="20"/>
          <w:u w:val="single"/>
        </w:rPr>
      </w:pPr>
      <w:r w:rsidRPr="00F5728D">
        <w:rPr>
          <w:sz w:val="20"/>
          <w:szCs w:val="20"/>
        </w:rPr>
        <w:t>SURS</w:t>
      </w:r>
      <w:r>
        <w:rPr>
          <w:sz w:val="20"/>
          <w:szCs w:val="20"/>
        </w:rPr>
        <w:t xml:space="preserve"> (2016): </w:t>
      </w:r>
      <w:r w:rsidRPr="00F5728D">
        <w:rPr>
          <w:sz w:val="20"/>
          <w:szCs w:val="20"/>
        </w:rPr>
        <w:t>Struktura kmetijski</w:t>
      </w:r>
      <w:r>
        <w:rPr>
          <w:sz w:val="20"/>
          <w:szCs w:val="20"/>
        </w:rPr>
        <w:t>h gospodarstev, Slovenija, 2016.</w:t>
      </w:r>
      <w:r w:rsidRPr="00F5728D">
        <w:rPr>
          <w:sz w:val="20"/>
          <w:szCs w:val="20"/>
        </w:rPr>
        <w:t xml:space="preserve"> </w:t>
      </w:r>
      <w:r>
        <w:rPr>
          <w:sz w:val="20"/>
          <w:szCs w:val="20"/>
        </w:rPr>
        <w:t>D</w:t>
      </w:r>
      <w:r w:rsidRPr="00F5728D">
        <w:rPr>
          <w:sz w:val="20"/>
          <w:szCs w:val="20"/>
        </w:rPr>
        <w:t xml:space="preserve">ostopno na: </w:t>
      </w:r>
      <w:hyperlink r:id="rId182" w:history="1">
        <w:r w:rsidRPr="00F5728D">
          <w:rPr>
            <w:rStyle w:val="Hiperpovezava"/>
            <w:sz w:val="20"/>
            <w:szCs w:val="20"/>
          </w:rPr>
          <w:t>https://www.stat.si/StatWeb/News/Index/6208</w:t>
        </w:r>
      </w:hyperlink>
      <w:r w:rsidRPr="00F5728D">
        <w:rPr>
          <w:sz w:val="20"/>
          <w:szCs w:val="20"/>
          <w:u w:val="single"/>
        </w:rPr>
        <w:t>.</w:t>
      </w:r>
    </w:p>
    <w:p w14:paraId="53A550F2" w14:textId="58D8983D" w:rsidR="00167408" w:rsidRDefault="00167408" w:rsidP="00D07B63">
      <w:pPr>
        <w:autoSpaceDE w:val="0"/>
        <w:autoSpaceDN w:val="0"/>
        <w:adjustRightInd w:val="0"/>
        <w:spacing w:before="0" w:after="120" w:line="276" w:lineRule="auto"/>
        <w:rPr>
          <w:sz w:val="20"/>
          <w:szCs w:val="20"/>
        </w:rPr>
      </w:pPr>
      <w:r w:rsidRPr="00F5728D">
        <w:rPr>
          <w:sz w:val="20"/>
          <w:szCs w:val="20"/>
        </w:rPr>
        <w:t>SURS</w:t>
      </w:r>
      <w:r>
        <w:rPr>
          <w:sz w:val="20"/>
          <w:szCs w:val="20"/>
        </w:rPr>
        <w:t xml:space="preserve"> (2020): </w:t>
      </w:r>
      <w:r w:rsidRPr="00F468A8">
        <w:rPr>
          <w:sz w:val="20"/>
          <w:szCs w:val="20"/>
        </w:rPr>
        <w:t>V letu 2019 povprečna cena njiv nekoliko višja od povprečne cene trajnih travnikov in pašnikov</w:t>
      </w:r>
      <w:r>
        <w:rPr>
          <w:sz w:val="20"/>
          <w:szCs w:val="20"/>
        </w:rPr>
        <w:t xml:space="preserve">. Dostopno na: </w:t>
      </w:r>
      <w:hyperlink r:id="rId183" w:history="1">
        <w:r w:rsidRPr="00164E7A">
          <w:rPr>
            <w:rStyle w:val="Hiperpovezava"/>
            <w:sz w:val="20"/>
            <w:szCs w:val="20"/>
          </w:rPr>
          <w:t>https://www.stat.si/StatWeb/News/Index/9015</w:t>
        </w:r>
      </w:hyperlink>
      <w:r>
        <w:rPr>
          <w:sz w:val="20"/>
          <w:szCs w:val="20"/>
        </w:rPr>
        <w:t xml:space="preserve">. </w:t>
      </w:r>
    </w:p>
    <w:p w14:paraId="49938B8D" w14:textId="500D5F00" w:rsidR="00167408" w:rsidRPr="0047652B" w:rsidRDefault="00167408" w:rsidP="00167408">
      <w:pPr>
        <w:pStyle w:val="Sprotnaopomba-besedilo"/>
        <w:spacing w:before="0" w:after="120" w:line="276" w:lineRule="auto"/>
        <w:ind w:left="0" w:firstLine="0"/>
        <w:jc w:val="left"/>
        <w:rPr>
          <w:rFonts w:eastAsiaTheme="minorHAnsi"/>
        </w:rPr>
      </w:pPr>
      <w:r w:rsidRPr="00B95EA6">
        <w:rPr>
          <w:rFonts w:ascii="Arial" w:hAnsi="Arial"/>
        </w:rPr>
        <w:t>Ševčíková</w:t>
      </w:r>
      <w:r w:rsidR="001F2226">
        <w:rPr>
          <w:rFonts w:ascii="Arial" w:hAnsi="Arial"/>
        </w:rPr>
        <w:t>,</w:t>
      </w:r>
      <w:r w:rsidRPr="00B95EA6">
        <w:rPr>
          <w:rFonts w:ascii="Arial" w:hAnsi="Arial"/>
        </w:rPr>
        <w:t xml:space="preserve"> M. (2003): Comparison of the value added development in the agricultural and food sectors and the efficiency of its creation. Dostopno na: https://www.agriculturejournals.cz/publicFiles/59156.pdf.</w:t>
      </w:r>
      <w:r>
        <w:rPr>
          <w:color w:val="3E3E3E"/>
          <w:sz w:val="21"/>
          <w:szCs w:val="21"/>
        </w:rPr>
        <w:t xml:space="preserve"> </w:t>
      </w:r>
    </w:p>
    <w:p w14:paraId="3D86BDA5" w14:textId="77777777" w:rsidR="00D07B63" w:rsidRPr="000C1085" w:rsidRDefault="00D07B63" w:rsidP="00D07B63">
      <w:pPr>
        <w:autoSpaceDE w:val="0"/>
        <w:autoSpaceDN w:val="0"/>
        <w:adjustRightInd w:val="0"/>
        <w:spacing w:before="0" w:after="120" w:line="276" w:lineRule="auto"/>
        <w:rPr>
          <w:iCs/>
          <w:sz w:val="20"/>
          <w:szCs w:val="20"/>
        </w:rPr>
      </w:pPr>
      <w:r w:rsidRPr="000C1085">
        <w:rPr>
          <w:sz w:val="20"/>
          <w:szCs w:val="20"/>
        </w:rPr>
        <w:t xml:space="preserve">Trendov, N. M., Varas, S. </w:t>
      </w:r>
      <w:r>
        <w:rPr>
          <w:sz w:val="20"/>
          <w:szCs w:val="20"/>
        </w:rPr>
        <w:t>in</w:t>
      </w:r>
      <w:r w:rsidRPr="000C1085">
        <w:rPr>
          <w:sz w:val="20"/>
          <w:szCs w:val="20"/>
        </w:rPr>
        <w:t xml:space="preserve"> Zeng, M. </w:t>
      </w:r>
      <w:r>
        <w:rPr>
          <w:sz w:val="20"/>
          <w:szCs w:val="20"/>
        </w:rPr>
        <w:t>(</w:t>
      </w:r>
      <w:r w:rsidRPr="000C1085">
        <w:rPr>
          <w:sz w:val="20"/>
          <w:szCs w:val="20"/>
        </w:rPr>
        <w:t>2019</w:t>
      </w:r>
      <w:r>
        <w:rPr>
          <w:sz w:val="20"/>
          <w:szCs w:val="20"/>
        </w:rPr>
        <w:t>):</w:t>
      </w:r>
      <w:r w:rsidRPr="000C1085">
        <w:rPr>
          <w:sz w:val="20"/>
          <w:szCs w:val="20"/>
        </w:rPr>
        <w:t xml:space="preserve"> </w:t>
      </w:r>
      <w:r w:rsidRPr="000C1085">
        <w:rPr>
          <w:iCs/>
          <w:sz w:val="20"/>
          <w:szCs w:val="20"/>
        </w:rPr>
        <w:t>Digital technologies in agriculture and rural areas – Status</w:t>
      </w:r>
      <w:r>
        <w:rPr>
          <w:iCs/>
          <w:sz w:val="20"/>
          <w:szCs w:val="20"/>
        </w:rPr>
        <w:t xml:space="preserve"> Report. Dostopno na: </w:t>
      </w:r>
      <w:hyperlink r:id="rId184" w:history="1">
        <w:r w:rsidRPr="00554B53">
          <w:rPr>
            <w:rStyle w:val="Hiperpovezava"/>
            <w:iCs/>
            <w:sz w:val="20"/>
            <w:szCs w:val="20"/>
          </w:rPr>
          <w:t>http://www.fao.org/3/ca4985en/ca4985en.pdf</w:t>
        </w:r>
      </w:hyperlink>
      <w:r>
        <w:rPr>
          <w:iCs/>
          <w:sz w:val="20"/>
          <w:szCs w:val="20"/>
        </w:rPr>
        <w:t xml:space="preserve">. </w:t>
      </w:r>
    </w:p>
    <w:p w14:paraId="75263D3A" w14:textId="4AD77EFA" w:rsidR="00F51EFF" w:rsidRDefault="00D07B63" w:rsidP="00D07B63">
      <w:pPr>
        <w:pStyle w:val="Sprotnaopomba-besedilo"/>
        <w:spacing w:before="0" w:after="120" w:line="276" w:lineRule="auto"/>
        <w:ind w:left="0" w:firstLine="0"/>
        <w:jc w:val="left"/>
        <w:rPr>
          <w:rFonts w:ascii="Arial" w:hAnsi="Arial"/>
        </w:rPr>
      </w:pPr>
      <w:r w:rsidRPr="000C1085">
        <w:rPr>
          <w:rFonts w:ascii="Arial" w:hAnsi="Arial"/>
        </w:rPr>
        <w:t>World Economic Forum (2019)</w:t>
      </w:r>
      <w:r>
        <w:rPr>
          <w:rFonts w:ascii="Arial" w:hAnsi="Arial"/>
        </w:rPr>
        <w:t>:</w:t>
      </w:r>
      <w:r w:rsidRPr="000C1085">
        <w:rPr>
          <w:rFonts w:ascii="Arial" w:hAnsi="Arial"/>
        </w:rPr>
        <w:t xml:space="preserve"> The Global Competitiveness Report 2019. Dostopno na: </w:t>
      </w:r>
      <w:hyperlink r:id="rId185" w:history="1">
        <w:r w:rsidRPr="000C1085">
          <w:rPr>
            <w:rStyle w:val="Hiperpovezava"/>
            <w:rFonts w:ascii="Arial" w:hAnsi="Arial"/>
          </w:rPr>
          <w:t>https://www.weforum.org/reports/how-to-end-a-decade-of-lost-productivity-growth</w:t>
        </w:r>
      </w:hyperlink>
      <w:r w:rsidRPr="000C1085">
        <w:rPr>
          <w:rFonts w:ascii="Arial" w:hAnsi="Arial"/>
        </w:rPr>
        <w:t xml:space="preserve">. </w:t>
      </w:r>
    </w:p>
    <w:p w14:paraId="482F2725" w14:textId="77777777" w:rsidR="00F51EFF" w:rsidRDefault="00F51EFF">
      <w:pPr>
        <w:spacing w:before="0" w:after="200" w:line="276" w:lineRule="auto"/>
        <w:jc w:val="left"/>
        <w:rPr>
          <w:sz w:val="20"/>
          <w:szCs w:val="20"/>
        </w:rPr>
      </w:pPr>
      <w:r>
        <w:br w:type="page"/>
      </w:r>
    </w:p>
    <w:p w14:paraId="5B28E49F" w14:textId="77777777" w:rsidR="00D07B63" w:rsidRPr="000C1085" w:rsidRDefault="00D07B63" w:rsidP="00D07B63">
      <w:pPr>
        <w:pStyle w:val="Sprotnaopomba-besedilo"/>
        <w:spacing w:before="0" w:after="120" w:line="276" w:lineRule="auto"/>
        <w:ind w:left="0" w:firstLine="0"/>
        <w:jc w:val="left"/>
        <w:rPr>
          <w:rFonts w:ascii="Arial" w:hAnsi="Arial"/>
        </w:rPr>
      </w:pPr>
    </w:p>
    <w:p w14:paraId="6298693F" w14:textId="7CDE6515" w:rsidR="00CF06FD" w:rsidRPr="009F3567" w:rsidRDefault="00A66735" w:rsidP="00397402">
      <w:pPr>
        <w:pStyle w:val="Naslov1"/>
      </w:pPr>
      <w:bookmarkStart w:id="6007" w:name="_Toc22725678"/>
      <w:bookmarkStart w:id="6008" w:name="_Toc22725729"/>
      <w:bookmarkStart w:id="6009" w:name="_Toc22725936"/>
      <w:bookmarkStart w:id="6010" w:name="_Toc22725684"/>
      <w:bookmarkStart w:id="6011" w:name="_Toc22725735"/>
      <w:bookmarkStart w:id="6012" w:name="_Toc22725942"/>
      <w:bookmarkStart w:id="6013" w:name="_Toc22725689"/>
      <w:bookmarkStart w:id="6014" w:name="_Toc22725740"/>
      <w:bookmarkStart w:id="6015" w:name="_Toc22725947"/>
      <w:bookmarkStart w:id="6016" w:name="_Toc31673826"/>
      <w:bookmarkStart w:id="6017" w:name="_Toc31674665"/>
      <w:bookmarkStart w:id="6018" w:name="_Toc31675504"/>
      <w:bookmarkStart w:id="6019" w:name="_Toc31673827"/>
      <w:bookmarkStart w:id="6020" w:name="_Toc31674666"/>
      <w:bookmarkStart w:id="6021" w:name="_Toc31675505"/>
      <w:bookmarkStart w:id="6022" w:name="_Toc31673828"/>
      <w:bookmarkStart w:id="6023" w:name="_Toc31674667"/>
      <w:bookmarkStart w:id="6024" w:name="_Toc31675506"/>
      <w:bookmarkStart w:id="6025" w:name="_Toc31673829"/>
      <w:bookmarkStart w:id="6026" w:name="_Toc31674668"/>
      <w:bookmarkStart w:id="6027" w:name="_Toc31675507"/>
      <w:bookmarkStart w:id="6028" w:name="_Toc31673830"/>
      <w:bookmarkStart w:id="6029" w:name="_Toc31674669"/>
      <w:bookmarkStart w:id="6030" w:name="_Toc31675508"/>
      <w:bookmarkStart w:id="6031" w:name="_Toc31673831"/>
      <w:bookmarkStart w:id="6032" w:name="_Toc31674670"/>
      <w:bookmarkStart w:id="6033" w:name="_Toc31675509"/>
      <w:bookmarkStart w:id="6034" w:name="_Toc31673832"/>
      <w:bookmarkStart w:id="6035" w:name="_Toc31674671"/>
      <w:bookmarkStart w:id="6036" w:name="_Toc31675510"/>
      <w:bookmarkStart w:id="6037" w:name="_Toc31673833"/>
      <w:bookmarkStart w:id="6038" w:name="_Toc31674672"/>
      <w:bookmarkStart w:id="6039" w:name="_Toc31675511"/>
      <w:bookmarkStart w:id="6040" w:name="_Toc31673834"/>
      <w:bookmarkStart w:id="6041" w:name="_Toc31674673"/>
      <w:bookmarkStart w:id="6042" w:name="_Toc31675512"/>
      <w:bookmarkStart w:id="6043" w:name="_Toc90462322"/>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r w:rsidRPr="009F3567">
        <w:t>SWOT</w:t>
      </w:r>
      <w:bookmarkEnd w:id="6043"/>
    </w:p>
    <w:p w14:paraId="0C0A8CBA" w14:textId="77777777" w:rsidR="005259EF" w:rsidRDefault="005259EF" w:rsidP="009F3567">
      <w:pPr>
        <w:pStyle w:val="ZPtekst"/>
        <w:spacing w:before="0" w:line="276" w:lineRule="auto"/>
        <w:rPr>
          <w:b/>
          <w:sz w:val="20"/>
          <w:szCs w:val="20"/>
          <w:lang w:eastAsia="en-US"/>
        </w:rPr>
      </w:pPr>
    </w:p>
    <w:p w14:paraId="0BC57232" w14:textId="0107AF8C" w:rsidR="00A471B5" w:rsidRDefault="00A471B5" w:rsidP="00A471B5">
      <w:pPr>
        <w:pStyle w:val="ZPtekst"/>
        <w:keepNext/>
        <w:keepLines/>
        <w:spacing w:before="0" w:line="276" w:lineRule="auto"/>
        <w:rPr>
          <w:b/>
          <w:sz w:val="20"/>
          <w:szCs w:val="20"/>
        </w:rPr>
      </w:pPr>
      <w:r w:rsidRPr="00852E36">
        <w:rPr>
          <w:b/>
          <w:sz w:val="20"/>
          <w:szCs w:val="20"/>
        </w:rPr>
        <w:t xml:space="preserve">Analiza SWOT za </w:t>
      </w:r>
      <w:r>
        <w:rPr>
          <w:b/>
          <w:sz w:val="20"/>
          <w:szCs w:val="20"/>
        </w:rPr>
        <w:t xml:space="preserve">kmetijstvo in </w:t>
      </w:r>
      <w:r w:rsidR="00852A1D">
        <w:rPr>
          <w:b/>
          <w:sz w:val="20"/>
          <w:szCs w:val="20"/>
        </w:rPr>
        <w:t>ŽPI</w:t>
      </w:r>
    </w:p>
    <w:p w14:paraId="30BAAB9A" w14:textId="58F04C67" w:rsidR="00AB3ABB" w:rsidRDefault="00AB3ABB" w:rsidP="00A471B5">
      <w:pPr>
        <w:pStyle w:val="ZPtekst"/>
        <w:keepNext/>
        <w:keepLines/>
        <w:spacing w:before="0" w:line="276" w:lineRule="auto"/>
        <w:rPr>
          <w:b/>
          <w:sz w:val="20"/>
          <w:szCs w:val="20"/>
        </w:rPr>
      </w:pPr>
    </w:p>
    <w:p w14:paraId="0D395020" w14:textId="77777777" w:rsidR="00852A1D" w:rsidRDefault="00852A1D" w:rsidP="00A471B5">
      <w:pPr>
        <w:pStyle w:val="ZPtekst"/>
        <w:keepNext/>
        <w:keepLines/>
        <w:spacing w:before="0" w:line="276" w:lineRule="auto"/>
        <w:rPr>
          <w:b/>
          <w:sz w:val="20"/>
          <w:szCs w:val="20"/>
        </w:rPr>
      </w:pPr>
    </w:p>
    <w:p w14:paraId="0455F8B5" w14:textId="77777777" w:rsidR="00924F26" w:rsidRPr="00852E36" w:rsidRDefault="00924F26" w:rsidP="009F3567">
      <w:pPr>
        <w:pStyle w:val="ZPtekst"/>
        <w:spacing w:before="0" w:line="276" w:lineRule="auto"/>
        <w:rPr>
          <w:b/>
          <w:sz w:val="20"/>
          <w:szCs w:val="20"/>
        </w:rPr>
      </w:pPr>
    </w:p>
    <w:tbl>
      <w:tblPr>
        <w:tblStyle w:val="Tabelamrea"/>
        <w:tblW w:w="0" w:type="auto"/>
        <w:tblLook w:val="04A0" w:firstRow="1" w:lastRow="0" w:firstColumn="1" w:lastColumn="0" w:noHBand="0" w:noVBand="1"/>
      </w:tblPr>
      <w:tblGrid>
        <w:gridCol w:w="4618"/>
        <w:gridCol w:w="4444"/>
      </w:tblGrid>
      <w:tr w:rsidR="005259EF" w:rsidRPr="0047652B" w14:paraId="279F8D43" w14:textId="0BCDB109" w:rsidTr="000F4878">
        <w:tc>
          <w:tcPr>
            <w:tcW w:w="4735" w:type="dxa"/>
            <w:shd w:val="clear" w:color="auto" w:fill="C2D69B" w:themeFill="accent3" w:themeFillTint="99"/>
          </w:tcPr>
          <w:p w14:paraId="7132EF59" w14:textId="746B0C49" w:rsidR="005259EF" w:rsidRPr="0047652B" w:rsidRDefault="005259EF" w:rsidP="009F3567">
            <w:pPr>
              <w:spacing w:before="0" w:line="276" w:lineRule="auto"/>
              <w:jc w:val="center"/>
              <w:rPr>
                <w:lang w:val="sl-SI"/>
              </w:rPr>
            </w:pPr>
            <w:r w:rsidRPr="0047652B">
              <w:rPr>
                <w:rFonts w:eastAsia="TimesNewRoman"/>
                <w:b/>
                <w:bCs/>
                <w:lang w:val="sl-SI" w:eastAsia="sl-SI"/>
              </w:rPr>
              <w:t>PREDNOSTI</w:t>
            </w:r>
          </w:p>
        </w:tc>
        <w:tc>
          <w:tcPr>
            <w:tcW w:w="4553" w:type="dxa"/>
            <w:tcBorders>
              <w:bottom w:val="single" w:sz="4" w:space="0" w:color="auto"/>
            </w:tcBorders>
            <w:shd w:val="clear" w:color="auto" w:fill="B8CCE4" w:themeFill="accent1" w:themeFillTint="66"/>
          </w:tcPr>
          <w:p w14:paraId="4A1520FE" w14:textId="6496E4A0" w:rsidR="005259EF" w:rsidRPr="0047652B" w:rsidRDefault="005259EF" w:rsidP="009F3567">
            <w:pPr>
              <w:spacing w:before="0" w:line="276" w:lineRule="auto"/>
              <w:jc w:val="center"/>
              <w:rPr>
                <w:lang w:val="sl-SI"/>
              </w:rPr>
            </w:pPr>
            <w:r w:rsidRPr="0047652B">
              <w:rPr>
                <w:rFonts w:eastAsia="TimesNewRoman"/>
                <w:b/>
                <w:bCs/>
                <w:lang w:val="sl-SI" w:eastAsia="sl-SI"/>
              </w:rPr>
              <w:t>SLABOSTI</w:t>
            </w:r>
          </w:p>
        </w:tc>
      </w:tr>
      <w:tr w:rsidR="005259EF" w:rsidRPr="0047652B" w14:paraId="57E53B07" w14:textId="05E5EF8D" w:rsidTr="00954B88">
        <w:tc>
          <w:tcPr>
            <w:tcW w:w="4735" w:type="dxa"/>
          </w:tcPr>
          <w:p w14:paraId="381D7D1B" w14:textId="6D0D50C0" w:rsidR="00CD7C8F" w:rsidRDefault="00CD7C8F" w:rsidP="006249A0">
            <w:pPr>
              <w:pStyle w:val="Odstavekseznama"/>
              <w:spacing w:before="0" w:line="276" w:lineRule="auto"/>
              <w:ind w:left="360"/>
              <w:contextualSpacing/>
              <w:rPr>
                <w:lang w:val="sl-SI"/>
              </w:rPr>
            </w:pPr>
          </w:p>
          <w:p w14:paraId="60B3120A"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postopno povečevanje ekonomske in fizične velikosti KMG;</w:t>
            </w:r>
          </w:p>
          <w:p w14:paraId="50C7E38C"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kmetijski sektor je v fazi prestrukturiranja in modernizacije;</w:t>
            </w:r>
          </w:p>
          <w:p w14:paraId="1F714A80"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povečevanje interesa za izvajanje predelave hrane kot dopolnilne dejavnosti na kmetijah - večanje dodane vrednosti kmetijskih proizvodom;</w:t>
            </w:r>
          </w:p>
          <w:p w14:paraId="5843E5C4"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 xml:space="preserve">povečevanje števila kmetij in površin v ekološki pridelavi; </w:t>
            </w:r>
          </w:p>
          <w:p w14:paraId="3FD2852B"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stabilizacija poslovanja živilsko-predelovalne panoge in povečanje njene konkurenčnosti na tujih trgih;</w:t>
            </w:r>
          </w:p>
          <w:p w14:paraId="0A4B8ADB"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obstoj izobraževalnih, svetovalnih in raziskovalnih institucij in sistem delovanja različnih javnih služb.</w:t>
            </w:r>
          </w:p>
          <w:p w14:paraId="00BE7DE0" w14:textId="77777777" w:rsidR="00FF563A" w:rsidRDefault="00FF563A" w:rsidP="006249A0">
            <w:pPr>
              <w:pStyle w:val="Odstavekseznama"/>
              <w:spacing w:before="0" w:line="276" w:lineRule="auto"/>
              <w:ind w:left="360"/>
              <w:contextualSpacing/>
              <w:rPr>
                <w:rFonts w:ascii="Arial" w:hAnsi="Arial"/>
                <w:lang w:val="sl-SI"/>
              </w:rPr>
            </w:pPr>
          </w:p>
          <w:p w14:paraId="7BE011DD" w14:textId="7E76BB18" w:rsidR="007048A8" w:rsidRPr="007048A8" w:rsidRDefault="007048A8" w:rsidP="006249A0">
            <w:pPr>
              <w:pStyle w:val="Odstavekseznama"/>
              <w:spacing w:before="0" w:line="276" w:lineRule="auto"/>
              <w:ind w:left="360"/>
              <w:contextualSpacing/>
              <w:rPr>
                <w:rFonts w:ascii="Arial" w:hAnsi="Arial"/>
                <w:lang w:val="sl-SI"/>
              </w:rPr>
            </w:pPr>
          </w:p>
          <w:p w14:paraId="2EB4FF5B" w14:textId="2BF493D6" w:rsidR="00A318EC" w:rsidRPr="00A318EC" w:rsidRDefault="00A318EC" w:rsidP="005E5706">
            <w:pPr>
              <w:pStyle w:val="Odstavekseznama"/>
              <w:spacing w:before="0" w:line="276" w:lineRule="auto"/>
              <w:ind w:left="360"/>
              <w:contextualSpacing/>
              <w:rPr>
                <w:rFonts w:ascii="Arial" w:hAnsi="Arial"/>
                <w:lang w:val="sl-SI"/>
              </w:rPr>
            </w:pPr>
          </w:p>
        </w:tc>
        <w:tc>
          <w:tcPr>
            <w:tcW w:w="4553" w:type="dxa"/>
            <w:tcBorders>
              <w:bottom w:val="single" w:sz="4" w:space="0" w:color="auto"/>
            </w:tcBorders>
          </w:tcPr>
          <w:p w14:paraId="70B520B8" w14:textId="60D845FE" w:rsidR="005259EF" w:rsidRPr="00852E36" w:rsidRDefault="005259EF" w:rsidP="009F3567">
            <w:pPr>
              <w:spacing w:before="0" w:line="276" w:lineRule="auto"/>
              <w:contextualSpacing/>
              <w:rPr>
                <w:b/>
                <w:i/>
                <w:u w:val="single"/>
                <w:lang w:val="sl-SI"/>
              </w:rPr>
            </w:pPr>
          </w:p>
          <w:p w14:paraId="1F7C8909"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naravne omejitve za kmetijstvo (velik delež OMD);</w:t>
            </w:r>
          </w:p>
          <w:p w14:paraId="07A1E112"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omejena razpoložljivost in produktivnost kmetijskih zemljišč;</w:t>
            </w:r>
          </w:p>
          <w:p w14:paraId="68441F7E"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občutljivost kmetijstva na podnebne spremembe;</w:t>
            </w:r>
          </w:p>
          <w:p w14:paraId="18790835"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neugodna agrarna struktura;</w:t>
            </w:r>
          </w:p>
          <w:p w14:paraId="763C8E26" w14:textId="77777777" w:rsidR="00FF563A" w:rsidRPr="00304037" w:rsidRDefault="00FF563A" w:rsidP="00FF563A">
            <w:pPr>
              <w:pStyle w:val="Odstavekseznama"/>
              <w:numPr>
                <w:ilvl w:val="0"/>
                <w:numId w:val="12"/>
              </w:numPr>
              <w:tabs>
                <w:tab w:val="left" w:pos="1049"/>
              </w:tabs>
              <w:spacing w:line="276" w:lineRule="auto"/>
              <w:contextualSpacing/>
              <w:rPr>
                <w:rFonts w:ascii="Arial" w:hAnsi="Arial"/>
              </w:rPr>
            </w:pPr>
            <w:r w:rsidRPr="00304037">
              <w:rPr>
                <w:rFonts w:ascii="Arial" w:hAnsi="Arial"/>
              </w:rPr>
              <w:t xml:space="preserve">premajhna tržna usmerjenost, zlasti majhnih kmetij,  </w:t>
            </w:r>
          </w:p>
          <w:p w14:paraId="0C265127"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nižja produktivnost v kmetijstvu;</w:t>
            </w:r>
          </w:p>
          <w:p w14:paraId="3503F6B2"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nižja dodana vrednost kmetijstva;</w:t>
            </w:r>
          </w:p>
          <w:p w14:paraId="741BE6F9"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omejen dostop do kapitala;</w:t>
            </w:r>
          </w:p>
          <w:p w14:paraId="6D78D644"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nizka samooskrba s kmetijskimi proizvodi;</w:t>
            </w:r>
          </w:p>
          <w:p w14:paraId="4FC0D9A0" w14:textId="77777777" w:rsidR="00FF563A" w:rsidRPr="00304037" w:rsidRDefault="00FF563A" w:rsidP="00FF563A">
            <w:pPr>
              <w:pStyle w:val="Odstavekseznama"/>
              <w:numPr>
                <w:ilvl w:val="0"/>
                <w:numId w:val="12"/>
              </w:numPr>
              <w:tabs>
                <w:tab w:val="left" w:pos="1049"/>
              </w:tabs>
              <w:spacing w:line="276" w:lineRule="auto"/>
              <w:contextualSpacing/>
              <w:rPr>
                <w:rFonts w:ascii="Arial" w:hAnsi="Arial"/>
              </w:rPr>
            </w:pPr>
            <w:r w:rsidRPr="00304037">
              <w:rPr>
                <w:rFonts w:ascii="Arial" w:hAnsi="Arial"/>
              </w:rPr>
              <w:t>obseg in struktura ekološke pridelave ne ustreza povpraševanju;</w:t>
            </w:r>
          </w:p>
          <w:p w14:paraId="3469B0C2"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 xml:space="preserve">negativna trgovinska bilanca z agroživilskimi proizvodi in nizka dodana vrednost agro-živilskega izvoza;  </w:t>
            </w:r>
          </w:p>
          <w:p w14:paraId="55AECFF4"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nižja produktivnost ŽPI glede na ostale predelovalne dejavnosti;</w:t>
            </w:r>
          </w:p>
          <w:p w14:paraId="2E6C9670"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šibka povezanost akterjev v AKIS, pomanjkanje specializiranih znanj in prenosa znanja v prakso;</w:t>
            </w:r>
          </w:p>
          <w:p w14:paraId="16D41584" w14:textId="77777777" w:rsidR="00FF563A" w:rsidRPr="00304037" w:rsidRDefault="00FF563A" w:rsidP="00FF563A">
            <w:pPr>
              <w:pStyle w:val="Odstavekseznama"/>
              <w:numPr>
                <w:ilvl w:val="0"/>
                <w:numId w:val="12"/>
              </w:numPr>
              <w:tabs>
                <w:tab w:val="left" w:pos="1049"/>
              </w:tabs>
              <w:spacing w:before="0" w:line="276" w:lineRule="auto"/>
              <w:contextualSpacing/>
              <w:rPr>
                <w:rFonts w:ascii="Arial" w:hAnsi="Arial"/>
              </w:rPr>
            </w:pPr>
            <w:r w:rsidRPr="00304037">
              <w:rPr>
                <w:rFonts w:ascii="Arial" w:hAnsi="Arial"/>
              </w:rPr>
              <w:t>počasno uvajanje novih tehnologij, digitalizacije, znanj in inovacij in pomanjkanje sistemskega pristopa.</w:t>
            </w:r>
          </w:p>
          <w:p w14:paraId="3A07CA36" w14:textId="049FEA23" w:rsidR="005259EF" w:rsidRPr="0047652B" w:rsidRDefault="005259EF" w:rsidP="00E155C1">
            <w:pPr>
              <w:pStyle w:val="Odstavekseznama"/>
              <w:spacing w:before="0" w:line="276" w:lineRule="auto"/>
              <w:ind w:left="360"/>
              <w:contextualSpacing/>
              <w:jc w:val="left"/>
              <w:rPr>
                <w:lang w:val="sl-SI"/>
              </w:rPr>
            </w:pPr>
          </w:p>
        </w:tc>
      </w:tr>
      <w:tr w:rsidR="005259EF" w:rsidRPr="0047652B" w14:paraId="491C22C9" w14:textId="301E2775" w:rsidTr="00954B88">
        <w:tc>
          <w:tcPr>
            <w:tcW w:w="4735" w:type="dxa"/>
            <w:shd w:val="clear" w:color="auto" w:fill="C2D69B" w:themeFill="accent3" w:themeFillTint="99"/>
          </w:tcPr>
          <w:p w14:paraId="10166B57" w14:textId="2D2ACF20"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PRILOŽNOSTI</w:t>
            </w:r>
          </w:p>
        </w:tc>
        <w:tc>
          <w:tcPr>
            <w:tcW w:w="4553" w:type="dxa"/>
            <w:tcBorders>
              <w:top w:val="single" w:sz="4" w:space="0" w:color="auto"/>
            </w:tcBorders>
            <w:shd w:val="clear" w:color="auto" w:fill="B8CCE4" w:themeFill="accent1" w:themeFillTint="66"/>
          </w:tcPr>
          <w:p w14:paraId="47209C61" w14:textId="141CCE2C"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NEVARNOSTI</w:t>
            </w:r>
          </w:p>
        </w:tc>
      </w:tr>
      <w:tr w:rsidR="005259EF" w:rsidRPr="0047652B" w14:paraId="42162573" w14:textId="1E9F5D08" w:rsidTr="000F4878">
        <w:tc>
          <w:tcPr>
            <w:tcW w:w="4735" w:type="dxa"/>
          </w:tcPr>
          <w:p w14:paraId="576F41EC" w14:textId="0FDC7332" w:rsidR="005259EF" w:rsidRPr="00852E36" w:rsidRDefault="005259EF" w:rsidP="009F3567">
            <w:pPr>
              <w:spacing w:before="0" w:line="276" w:lineRule="auto"/>
              <w:contextualSpacing/>
              <w:jc w:val="left"/>
              <w:rPr>
                <w:b/>
                <w:i/>
                <w:u w:val="single"/>
                <w:lang w:val="sl-SI"/>
              </w:rPr>
            </w:pPr>
          </w:p>
          <w:p w14:paraId="161A8223" w14:textId="367F78C6" w:rsidR="00FF563A" w:rsidRDefault="00FF563A" w:rsidP="00FF563A">
            <w:pPr>
              <w:pStyle w:val="Odstavekseznama"/>
              <w:numPr>
                <w:ilvl w:val="0"/>
                <w:numId w:val="14"/>
              </w:numPr>
              <w:tabs>
                <w:tab w:val="left" w:pos="1049"/>
              </w:tabs>
              <w:spacing w:before="0" w:line="276" w:lineRule="auto"/>
              <w:contextualSpacing/>
              <w:rPr>
                <w:rFonts w:ascii="Arial" w:hAnsi="Arial"/>
              </w:rPr>
            </w:pPr>
            <w:r>
              <w:rPr>
                <w:rFonts w:ascii="Arial" w:hAnsi="Arial"/>
              </w:rPr>
              <w:t>ugodna gospodarska klima za vlaganja v modernizacijo, digitalizacijo;</w:t>
            </w:r>
          </w:p>
          <w:p w14:paraId="11FF3483"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Pr>
                <w:rFonts w:ascii="Arial" w:hAnsi="Arial"/>
              </w:rPr>
              <w:t xml:space="preserve">izkoriščanje potenciala </w:t>
            </w:r>
            <w:r w:rsidRPr="00304037">
              <w:rPr>
                <w:rFonts w:ascii="Arial" w:hAnsi="Arial"/>
              </w:rPr>
              <w:t>OVE in vodnih virov za namakanje;</w:t>
            </w:r>
          </w:p>
          <w:p w14:paraId="068E429F"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krepitev odpornosti na podnebne spremembe;</w:t>
            </w:r>
          </w:p>
          <w:p w14:paraId="1A9E925C" w14:textId="3D7B8904"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Pr>
                <w:rFonts w:ascii="Arial" w:hAnsi="Arial"/>
              </w:rPr>
              <w:t>rast</w:t>
            </w:r>
            <w:r w:rsidRPr="00304037">
              <w:rPr>
                <w:rFonts w:ascii="Arial" w:hAnsi="Arial"/>
              </w:rPr>
              <w:t xml:space="preserve"> povpraševanja za</w:t>
            </w:r>
            <w:r>
              <w:rPr>
                <w:rFonts w:ascii="Arial" w:hAnsi="Arial"/>
              </w:rPr>
              <w:t xml:space="preserve"> proizvode iz shem kakovosti, zlasti za</w:t>
            </w:r>
            <w:r w:rsidRPr="00304037">
              <w:rPr>
                <w:rFonts w:ascii="Arial" w:hAnsi="Arial"/>
              </w:rPr>
              <w:t xml:space="preserve"> ekološke proizvode</w:t>
            </w:r>
            <w:r>
              <w:rPr>
                <w:rFonts w:ascii="Arial" w:hAnsi="Arial"/>
              </w:rPr>
              <w:t xml:space="preserve"> in živila; </w:t>
            </w:r>
          </w:p>
          <w:p w14:paraId="5061A548"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dvig dodane vrednosti proizvodov;</w:t>
            </w:r>
          </w:p>
          <w:p w14:paraId="4D0E92C9"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povečanje tržne usmerjenosti</w:t>
            </w:r>
            <w:r>
              <w:rPr>
                <w:rFonts w:ascii="Arial" w:hAnsi="Arial"/>
              </w:rPr>
              <w:t>, zlasti majhnih</w:t>
            </w:r>
            <w:r w:rsidRPr="00304037">
              <w:rPr>
                <w:rFonts w:ascii="Arial" w:hAnsi="Arial"/>
              </w:rPr>
              <w:t xml:space="preserve"> kmetij;</w:t>
            </w:r>
          </w:p>
          <w:p w14:paraId="43220016"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krepitev povezanosti med vsemi členi v verigi vrednosti, zlasti pa povezave med ŽPI in kmetijstvom z vidika odkupa in predelave surovin ter višje dodane vrednosti;</w:t>
            </w:r>
          </w:p>
          <w:p w14:paraId="0A6A2862" w14:textId="5875250E" w:rsidR="00FF563A"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krepitev in tesnejša povezanost akterjev v AKIS za hitrejše uvajanje inovacij in znanja v kmetijsko in živilsko proizvodnjo</w:t>
            </w:r>
            <w:r>
              <w:rPr>
                <w:rFonts w:ascii="Arial" w:hAnsi="Arial"/>
              </w:rPr>
              <w:t>;</w:t>
            </w:r>
            <w:r w:rsidRPr="00304037">
              <w:rPr>
                <w:rFonts w:ascii="Arial" w:hAnsi="Arial"/>
              </w:rPr>
              <w:t xml:space="preserve"> </w:t>
            </w:r>
          </w:p>
          <w:p w14:paraId="259BE9A8" w14:textId="77777777" w:rsidR="00FF563A" w:rsidRPr="0061085D" w:rsidRDefault="00FF563A" w:rsidP="00FF563A">
            <w:pPr>
              <w:pStyle w:val="Odstavekseznama"/>
              <w:numPr>
                <w:ilvl w:val="0"/>
                <w:numId w:val="14"/>
              </w:numPr>
              <w:tabs>
                <w:tab w:val="left" w:pos="1049"/>
              </w:tabs>
              <w:spacing w:before="0" w:line="276" w:lineRule="auto"/>
              <w:contextualSpacing/>
              <w:rPr>
                <w:rFonts w:ascii="Arial" w:hAnsi="Arial"/>
              </w:rPr>
            </w:pPr>
            <w:r w:rsidRPr="0061085D">
              <w:rPr>
                <w:rFonts w:ascii="Arial" w:hAnsi="Arial"/>
                <w:lang w:val="pl-PL"/>
              </w:rPr>
              <w:t>generacijska pomladitev in izboljšanje kompetenc v kmetijstvu</w:t>
            </w:r>
            <w:r>
              <w:rPr>
                <w:rFonts w:ascii="Arial" w:hAnsi="Arial"/>
                <w:lang w:val="pl-PL"/>
              </w:rPr>
              <w:t xml:space="preserve">. </w:t>
            </w:r>
          </w:p>
          <w:p w14:paraId="748432D3" w14:textId="59554212" w:rsidR="005259EF" w:rsidRPr="0047652B" w:rsidRDefault="005259EF" w:rsidP="00E155C1">
            <w:pPr>
              <w:spacing w:before="0" w:line="276" w:lineRule="auto"/>
              <w:contextualSpacing/>
              <w:jc w:val="left"/>
              <w:rPr>
                <w:lang w:val="sl-SI"/>
              </w:rPr>
            </w:pPr>
          </w:p>
        </w:tc>
        <w:tc>
          <w:tcPr>
            <w:tcW w:w="4553" w:type="dxa"/>
          </w:tcPr>
          <w:p w14:paraId="0E9EAE8F" w14:textId="51E1CAF6" w:rsidR="005259EF" w:rsidRPr="00852E36" w:rsidRDefault="005259EF" w:rsidP="009F3567">
            <w:pPr>
              <w:spacing w:before="0" w:line="276" w:lineRule="auto"/>
              <w:contextualSpacing/>
              <w:jc w:val="left"/>
              <w:rPr>
                <w:b/>
                <w:i/>
                <w:u w:val="single"/>
                <w:lang w:val="sl-SI"/>
              </w:rPr>
            </w:pPr>
          </w:p>
          <w:p w14:paraId="5785EC9B"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 xml:space="preserve">vse pogostejše pojavljanje katastrofičnih vremenskih pojavov </w:t>
            </w:r>
            <w:r>
              <w:rPr>
                <w:rFonts w:ascii="Arial" w:hAnsi="Arial"/>
              </w:rPr>
              <w:t>zaradi</w:t>
            </w:r>
            <w:r w:rsidRPr="00304037">
              <w:rPr>
                <w:rFonts w:ascii="Arial" w:hAnsi="Arial"/>
              </w:rPr>
              <w:t xml:space="preserve"> klimatskih sprememb</w:t>
            </w:r>
            <w:r>
              <w:rPr>
                <w:rFonts w:ascii="Arial" w:hAnsi="Arial"/>
              </w:rPr>
              <w:t xml:space="preserve"> ter pojavljanje raznih bolezni in škodljivcev</w:t>
            </w:r>
            <w:r w:rsidRPr="00304037">
              <w:rPr>
                <w:rFonts w:ascii="Arial" w:hAnsi="Arial"/>
              </w:rPr>
              <w:t>;</w:t>
            </w:r>
          </w:p>
          <w:p w14:paraId="47D2DAA3" w14:textId="77777777" w:rsidR="00FF563A" w:rsidRPr="00304037" w:rsidRDefault="00FF563A" w:rsidP="00FF563A">
            <w:pPr>
              <w:pStyle w:val="Odstavekseznama"/>
              <w:numPr>
                <w:ilvl w:val="0"/>
                <w:numId w:val="14"/>
              </w:numPr>
              <w:tabs>
                <w:tab w:val="left" w:pos="1049"/>
              </w:tabs>
              <w:spacing w:before="0" w:line="276" w:lineRule="auto"/>
              <w:rPr>
                <w:rFonts w:ascii="Arial" w:hAnsi="Arial"/>
              </w:rPr>
            </w:pPr>
            <w:r w:rsidRPr="00304037">
              <w:rPr>
                <w:rFonts w:ascii="Arial" w:hAnsi="Arial"/>
                <w:lang w:eastAsia="sl-SI"/>
              </w:rPr>
              <w:t>nestabilne gospodarske in geopolitične razmere;</w:t>
            </w:r>
          </w:p>
          <w:p w14:paraId="7F1A815E" w14:textId="77777777" w:rsidR="00FF563A" w:rsidRPr="00304037" w:rsidRDefault="00FF563A" w:rsidP="00FF563A">
            <w:pPr>
              <w:pStyle w:val="Odstavekseznama"/>
              <w:numPr>
                <w:ilvl w:val="0"/>
                <w:numId w:val="14"/>
              </w:numPr>
              <w:tabs>
                <w:tab w:val="left" w:pos="1049"/>
              </w:tabs>
              <w:spacing w:before="0" w:line="276" w:lineRule="auto"/>
              <w:contextualSpacing/>
              <w:rPr>
                <w:rFonts w:ascii="Arial" w:hAnsi="Arial"/>
              </w:rPr>
            </w:pPr>
            <w:r w:rsidRPr="00304037">
              <w:rPr>
                <w:rFonts w:ascii="Arial" w:hAnsi="Arial"/>
              </w:rPr>
              <w:t>velika volatilnost na kmetijskih trgih (</w:t>
            </w:r>
            <w:r>
              <w:rPr>
                <w:rFonts w:ascii="Arial" w:hAnsi="Arial"/>
              </w:rPr>
              <w:t xml:space="preserve">nihanja cen kmetijskih </w:t>
            </w:r>
            <w:r w:rsidRPr="00304037">
              <w:rPr>
                <w:rFonts w:ascii="Arial" w:hAnsi="Arial"/>
              </w:rPr>
              <w:t>proizvodov</w:t>
            </w:r>
            <w:r>
              <w:rPr>
                <w:rFonts w:ascii="Arial" w:hAnsi="Arial"/>
              </w:rPr>
              <w:t>, energentov...</w:t>
            </w:r>
            <w:r w:rsidRPr="00304037">
              <w:rPr>
                <w:rFonts w:ascii="Arial" w:hAnsi="Arial"/>
              </w:rPr>
              <w:t xml:space="preserve">); </w:t>
            </w:r>
          </w:p>
          <w:p w14:paraId="36E1F167" w14:textId="77777777" w:rsidR="00FF563A" w:rsidRPr="0061085D" w:rsidRDefault="00FF563A" w:rsidP="00FF563A">
            <w:pPr>
              <w:pStyle w:val="Odstavekseznama"/>
              <w:numPr>
                <w:ilvl w:val="0"/>
                <w:numId w:val="14"/>
              </w:numPr>
              <w:tabs>
                <w:tab w:val="left" w:pos="1049"/>
              </w:tabs>
              <w:spacing w:before="0" w:line="276" w:lineRule="auto"/>
              <w:contextualSpacing/>
              <w:rPr>
                <w:rFonts w:ascii="Arial" w:hAnsi="Arial"/>
              </w:rPr>
            </w:pPr>
            <w:r>
              <w:rPr>
                <w:rFonts w:ascii="Arial" w:hAnsi="Arial"/>
                <w:iCs/>
              </w:rPr>
              <w:t>upad kupne moči prebivalstva;</w:t>
            </w:r>
          </w:p>
          <w:p w14:paraId="14F6D8CF" w14:textId="77777777" w:rsidR="00FF563A" w:rsidRPr="00304037" w:rsidRDefault="00FF563A" w:rsidP="00FF563A">
            <w:pPr>
              <w:pStyle w:val="Odstavekseznama"/>
              <w:numPr>
                <w:ilvl w:val="0"/>
                <w:numId w:val="14"/>
              </w:numPr>
              <w:tabs>
                <w:tab w:val="left" w:pos="1049"/>
              </w:tabs>
              <w:spacing w:before="0" w:line="240" w:lineRule="auto"/>
              <w:contextualSpacing/>
              <w:rPr>
                <w:rFonts w:ascii="Arial" w:hAnsi="Arial"/>
                <w:iCs/>
              </w:rPr>
            </w:pPr>
            <w:r w:rsidRPr="00304037">
              <w:rPr>
                <w:rFonts w:ascii="Arial" w:hAnsi="Arial"/>
                <w:iCs/>
              </w:rPr>
              <w:t>pomanjkanje kvalificirane delovne sile in interesa za kmetovanje</w:t>
            </w:r>
            <w:r>
              <w:rPr>
                <w:rFonts w:ascii="Arial" w:hAnsi="Arial"/>
                <w:iCs/>
              </w:rPr>
              <w:t xml:space="preserve"> (zlasti na OMD).</w:t>
            </w:r>
          </w:p>
          <w:p w14:paraId="654E1175" w14:textId="4B3F81F9" w:rsidR="005E5706" w:rsidRDefault="005E5706" w:rsidP="006249A0">
            <w:pPr>
              <w:spacing w:before="0" w:line="276" w:lineRule="auto"/>
              <w:contextualSpacing/>
              <w:jc w:val="left"/>
              <w:rPr>
                <w:lang w:val="sl-SI"/>
              </w:rPr>
            </w:pPr>
          </w:p>
          <w:p w14:paraId="5E6A0F29" w14:textId="77777777" w:rsidR="00E0391B" w:rsidRPr="005E5706" w:rsidRDefault="00E0391B" w:rsidP="006249A0">
            <w:pPr>
              <w:spacing w:before="0" w:line="276" w:lineRule="auto"/>
              <w:contextualSpacing/>
              <w:jc w:val="left"/>
              <w:rPr>
                <w:lang w:val="sl-SI"/>
              </w:rPr>
            </w:pPr>
          </w:p>
          <w:p w14:paraId="6BD0BE01" w14:textId="6EDC9079" w:rsidR="005259EF" w:rsidRPr="0047652B" w:rsidRDefault="005259EF" w:rsidP="006249A0">
            <w:pPr>
              <w:pStyle w:val="Odstavekseznama"/>
              <w:spacing w:before="0" w:line="276" w:lineRule="auto"/>
              <w:ind w:left="360"/>
              <w:contextualSpacing/>
              <w:jc w:val="left"/>
              <w:rPr>
                <w:lang w:val="sl-SI"/>
              </w:rPr>
            </w:pPr>
          </w:p>
        </w:tc>
      </w:tr>
    </w:tbl>
    <w:p w14:paraId="66A774A2" w14:textId="77777777" w:rsidR="00D13A1B" w:rsidRPr="00852E36" w:rsidRDefault="00D13A1B" w:rsidP="009F3567">
      <w:pPr>
        <w:pStyle w:val="ZPtekst"/>
        <w:spacing w:before="0" w:line="276" w:lineRule="auto"/>
        <w:rPr>
          <w:b/>
          <w:sz w:val="20"/>
          <w:szCs w:val="20"/>
        </w:rPr>
      </w:pPr>
    </w:p>
    <w:p w14:paraId="41324C1C" w14:textId="77777777" w:rsidR="00D13A1B" w:rsidRPr="00852E36" w:rsidRDefault="00D13A1B" w:rsidP="009F3567">
      <w:pPr>
        <w:pStyle w:val="ZPtekst"/>
        <w:spacing w:before="0" w:line="276" w:lineRule="auto"/>
        <w:rPr>
          <w:b/>
          <w:sz w:val="20"/>
          <w:szCs w:val="20"/>
        </w:rPr>
      </w:pPr>
    </w:p>
    <w:p w14:paraId="5D7B1FC5" w14:textId="77777777" w:rsidR="00852A1D" w:rsidRDefault="00D13A1B" w:rsidP="009F3567">
      <w:pPr>
        <w:pStyle w:val="ZPtekst"/>
        <w:keepNext/>
        <w:keepLines/>
        <w:spacing w:before="0" w:line="276" w:lineRule="auto"/>
        <w:rPr>
          <w:b/>
          <w:sz w:val="20"/>
          <w:szCs w:val="20"/>
        </w:rPr>
      </w:pPr>
      <w:r w:rsidRPr="00852E36">
        <w:rPr>
          <w:b/>
          <w:sz w:val="20"/>
          <w:szCs w:val="20"/>
        </w:rPr>
        <w:t>Analiza SWOT za gozdarstvo</w:t>
      </w:r>
    </w:p>
    <w:p w14:paraId="568980B0" w14:textId="77777777" w:rsidR="00852A1D" w:rsidRDefault="00852A1D" w:rsidP="009F3567">
      <w:pPr>
        <w:pStyle w:val="ZPtekst"/>
        <w:keepNext/>
        <w:keepLines/>
        <w:spacing w:before="0" w:line="276" w:lineRule="auto"/>
        <w:rPr>
          <w:b/>
          <w:sz w:val="20"/>
          <w:szCs w:val="20"/>
        </w:rPr>
      </w:pPr>
    </w:p>
    <w:tbl>
      <w:tblPr>
        <w:tblStyle w:val="Tabelamrea"/>
        <w:tblW w:w="5000" w:type="pct"/>
        <w:tblLook w:val="04A0" w:firstRow="1" w:lastRow="0" w:firstColumn="1" w:lastColumn="0" w:noHBand="0" w:noVBand="1"/>
      </w:tblPr>
      <w:tblGrid>
        <w:gridCol w:w="4355"/>
        <w:gridCol w:w="4707"/>
      </w:tblGrid>
      <w:tr w:rsidR="00852A1D" w14:paraId="599290E1" w14:textId="77777777" w:rsidTr="009A311B">
        <w:tc>
          <w:tcPr>
            <w:tcW w:w="2403" w:type="pct"/>
            <w:tcBorders>
              <w:top w:val="single" w:sz="4" w:space="0" w:color="auto"/>
              <w:left w:val="single" w:sz="4" w:space="0" w:color="auto"/>
              <w:bottom w:val="single" w:sz="4" w:space="0" w:color="auto"/>
              <w:right w:val="single" w:sz="4" w:space="0" w:color="auto"/>
            </w:tcBorders>
            <w:shd w:val="clear" w:color="auto" w:fill="00B050"/>
            <w:hideMark/>
          </w:tcPr>
          <w:p w14:paraId="1CE0A9C4" w14:textId="77777777" w:rsidR="00852A1D" w:rsidRDefault="00852A1D" w:rsidP="009A311B">
            <w:pPr>
              <w:keepNext/>
              <w:keepLines/>
              <w:rPr>
                <w:b/>
                <w:szCs w:val="20"/>
              </w:rPr>
            </w:pPr>
            <w:r>
              <w:rPr>
                <w:b/>
                <w:szCs w:val="20"/>
              </w:rPr>
              <w:t>PREDNOSTI</w:t>
            </w:r>
          </w:p>
        </w:tc>
        <w:tc>
          <w:tcPr>
            <w:tcW w:w="2597" w:type="pct"/>
            <w:tcBorders>
              <w:top w:val="single" w:sz="4" w:space="0" w:color="auto"/>
              <w:left w:val="single" w:sz="4" w:space="0" w:color="auto"/>
              <w:bottom w:val="single" w:sz="4" w:space="0" w:color="auto"/>
              <w:right w:val="single" w:sz="4" w:space="0" w:color="auto"/>
            </w:tcBorders>
            <w:shd w:val="clear" w:color="auto" w:fill="FFC000"/>
            <w:hideMark/>
          </w:tcPr>
          <w:p w14:paraId="71DD805E" w14:textId="77777777" w:rsidR="00852A1D" w:rsidRDefault="00852A1D" w:rsidP="009A311B">
            <w:pPr>
              <w:keepNext/>
              <w:keepLines/>
              <w:rPr>
                <w:b/>
                <w:szCs w:val="20"/>
              </w:rPr>
            </w:pPr>
            <w:r>
              <w:rPr>
                <w:b/>
                <w:szCs w:val="20"/>
              </w:rPr>
              <w:t>SLABOSTI</w:t>
            </w:r>
          </w:p>
        </w:tc>
      </w:tr>
      <w:tr w:rsidR="00852A1D" w14:paraId="2E61AB83" w14:textId="77777777" w:rsidTr="009A311B">
        <w:tc>
          <w:tcPr>
            <w:tcW w:w="2403" w:type="pct"/>
            <w:tcBorders>
              <w:top w:val="single" w:sz="4" w:space="0" w:color="auto"/>
              <w:left w:val="single" w:sz="4" w:space="0" w:color="auto"/>
              <w:bottom w:val="single" w:sz="4" w:space="0" w:color="auto"/>
              <w:right w:val="single" w:sz="4" w:space="0" w:color="auto"/>
            </w:tcBorders>
          </w:tcPr>
          <w:p w14:paraId="66CCF5F5" w14:textId="77777777" w:rsidR="00852A1D" w:rsidRDefault="00852A1D" w:rsidP="00852A1D">
            <w:pPr>
              <w:pStyle w:val="Odstavekseznama"/>
              <w:keepNext/>
              <w:keepLines/>
              <w:numPr>
                <w:ilvl w:val="0"/>
                <w:numId w:val="14"/>
              </w:numPr>
              <w:spacing w:before="0" w:line="240" w:lineRule="auto"/>
              <w:contextualSpacing/>
              <w:jc w:val="left"/>
              <w:rPr>
                <w:rFonts w:ascii="Arial" w:hAnsi="Arial"/>
                <w:lang w:val="pl-PL"/>
              </w:rPr>
            </w:pPr>
            <w:r>
              <w:rPr>
                <w:rFonts w:ascii="Arial" w:hAnsi="Arial"/>
                <w:lang w:val="pl-PL"/>
              </w:rPr>
              <w:t>tradicija trajnostnega, večnamenskega in sonaravnega gospodarjenja z gozdovi</w:t>
            </w:r>
          </w:p>
          <w:p w14:paraId="60049942" w14:textId="77777777" w:rsidR="00852A1D" w:rsidRDefault="00852A1D" w:rsidP="00852A1D">
            <w:pPr>
              <w:pStyle w:val="Odstavekseznama"/>
              <w:keepNext/>
              <w:keepLines/>
              <w:numPr>
                <w:ilvl w:val="0"/>
                <w:numId w:val="14"/>
              </w:numPr>
              <w:spacing w:before="0" w:line="240" w:lineRule="auto"/>
              <w:contextualSpacing/>
              <w:jc w:val="left"/>
              <w:rPr>
                <w:rFonts w:ascii="Arial" w:hAnsi="Arial"/>
                <w:lang w:val="pl-PL"/>
              </w:rPr>
            </w:pPr>
            <w:r>
              <w:rPr>
                <w:rFonts w:ascii="Arial" w:hAnsi="Arial"/>
                <w:lang w:val="pl-PL"/>
              </w:rPr>
              <w:t xml:space="preserve">Slovenija ima ohranjene gozdove s primerno lesno zalogo in prirastkom. </w:t>
            </w:r>
          </w:p>
          <w:p w14:paraId="2B787057" w14:textId="77777777" w:rsidR="00852A1D" w:rsidRDefault="00852A1D" w:rsidP="009A311B">
            <w:pPr>
              <w:pStyle w:val="Odstavekseznama"/>
              <w:keepNext/>
              <w:keepLines/>
              <w:ind w:left="360"/>
              <w:jc w:val="left"/>
              <w:rPr>
                <w:rFonts w:ascii="Arial" w:hAnsi="Arial"/>
              </w:rPr>
            </w:pPr>
          </w:p>
        </w:tc>
        <w:tc>
          <w:tcPr>
            <w:tcW w:w="2597" w:type="pct"/>
            <w:tcBorders>
              <w:top w:val="single" w:sz="4" w:space="0" w:color="auto"/>
              <w:left w:val="single" w:sz="4" w:space="0" w:color="auto"/>
              <w:bottom w:val="single" w:sz="4" w:space="0" w:color="auto"/>
              <w:right w:val="single" w:sz="4" w:space="0" w:color="auto"/>
            </w:tcBorders>
          </w:tcPr>
          <w:p w14:paraId="467A7AA5"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majhna in razdrobljena gozdna posest, ki ovira učinkovito gospodarjenje;</w:t>
            </w:r>
          </w:p>
          <w:p w14:paraId="63BFD8E4"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zastarela in neučinkovita gozdarska mehanizacija;</w:t>
            </w:r>
          </w:p>
          <w:p w14:paraId="51F09192"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veliko število delovnih nesreč pri delu v gozdu;</w:t>
            </w:r>
          </w:p>
          <w:p w14:paraId="150D79B7" w14:textId="77777777" w:rsidR="00852A1D" w:rsidRDefault="00852A1D" w:rsidP="00852A1D">
            <w:pPr>
              <w:pStyle w:val="Odstavekseznama"/>
              <w:keepNext/>
              <w:keepLines/>
              <w:numPr>
                <w:ilvl w:val="0"/>
                <w:numId w:val="3"/>
              </w:numPr>
              <w:spacing w:before="0" w:line="240" w:lineRule="auto"/>
              <w:contextualSpacing/>
              <w:jc w:val="left"/>
              <w:rPr>
                <w:rFonts w:ascii="Arial" w:eastAsia="TimesNewRoman" w:hAnsi="Arial"/>
                <w:lang w:eastAsia="sl-SI"/>
              </w:rPr>
            </w:pPr>
            <w:r>
              <w:rPr>
                <w:rFonts w:ascii="Arial" w:eastAsia="TimesNewRoman" w:hAnsi="Arial"/>
                <w:lang w:eastAsia="sl-SI"/>
              </w:rPr>
              <w:t>pomanjkanje zadostne količine gozdnega reprodukcijskega materiala.</w:t>
            </w:r>
          </w:p>
          <w:p w14:paraId="410315A1" w14:textId="77777777" w:rsidR="00852A1D" w:rsidRDefault="00852A1D" w:rsidP="009A311B">
            <w:pPr>
              <w:keepNext/>
              <w:keepLines/>
              <w:rPr>
                <w:rFonts w:eastAsia="TimesNewRoman"/>
                <w:lang w:eastAsia="sl-SI"/>
              </w:rPr>
            </w:pPr>
          </w:p>
        </w:tc>
      </w:tr>
      <w:tr w:rsidR="00852A1D" w14:paraId="3E0E901D" w14:textId="77777777" w:rsidTr="009A311B">
        <w:tc>
          <w:tcPr>
            <w:tcW w:w="2403" w:type="pct"/>
            <w:tcBorders>
              <w:top w:val="single" w:sz="4" w:space="0" w:color="auto"/>
              <w:left w:val="single" w:sz="4" w:space="0" w:color="auto"/>
              <w:bottom w:val="single" w:sz="4" w:space="0" w:color="auto"/>
              <w:right w:val="single" w:sz="4" w:space="0" w:color="auto"/>
            </w:tcBorders>
            <w:shd w:val="clear" w:color="auto" w:fill="00B050"/>
            <w:hideMark/>
          </w:tcPr>
          <w:p w14:paraId="73FD9B40" w14:textId="77777777" w:rsidR="00852A1D" w:rsidRDefault="00852A1D" w:rsidP="009A311B">
            <w:pPr>
              <w:rPr>
                <w:b/>
                <w:szCs w:val="20"/>
              </w:rPr>
            </w:pPr>
            <w:r>
              <w:rPr>
                <w:b/>
                <w:szCs w:val="20"/>
              </w:rPr>
              <w:t>PRILOŽNOSTI</w:t>
            </w:r>
          </w:p>
        </w:tc>
        <w:tc>
          <w:tcPr>
            <w:tcW w:w="2597" w:type="pct"/>
            <w:tcBorders>
              <w:top w:val="single" w:sz="4" w:space="0" w:color="auto"/>
              <w:left w:val="single" w:sz="4" w:space="0" w:color="auto"/>
              <w:bottom w:val="single" w:sz="4" w:space="0" w:color="auto"/>
              <w:right w:val="single" w:sz="4" w:space="0" w:color="auto"/>
            </w:tcBorders>
            <w:shd w:val="clear" w:color="auto" w:fill="FFC000"/>
            <w:hideMark/>
          </w:tcPr>
          <w:p w14:paraId="6339DE35" w14:textId="77777777" w:rsidR="00852A1D" w:rsidRDefault="00852A1D" w:rsidP="009A311B">
            <w:pPr>
              <w:rPr>
                <w:b/>
                <w:szCs w:val="20"/>
              </w:rPr>
            </w:pPr>
            <w:r>
              <w:rPr>
                <w:b/>
                <w:szCs w:val="20"/>
              </w:rPr>
              <w:t>NEVARNOSTI</w:t>
            </w:r>
          </w:p>
        </w:tc>
      </w:tr>
      <w:tr w:rsidR="00852A1D" w14:paraId="6CFFAC34" w14:textId="77777777" w:rsidTr="009A311B">
        <w:tc>
          <w:tcPr>
            <w:tcW w:w="2403" w:type="pct"/>
            <w:tcBorders>
              <w:top w:val="single" w:sz="4" w:space="0" w:color="auto"/>
              <w:left w:val="single" w:sz="4" w:space="0" w:color="auto"/>
              <w:bottom w:val="single" w:sz="4" w:space="0" w:color="auto"/>
              <w:right w:val="single" w:sz="4" w:space="0" w:color="auto"/>
            </w:tcBorders>
          </w:tcPr>
          <w:p w14:paraId="4FBB81D9"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povečanje odprtosti gozdov z gozdnimi prometnicami;</w:t>
            </w:r>
          </w:p>
          <w:p w14:paraId="67714F73"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profesionalizacija dela v gozdovih uvajanje učinkovite in okoljsko sprejemljive tehnologije za delo v gozdu;</w:t>
            </w:r>
          </w:p>
          <w:p w14:paraId="0101E505"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povečanje učinkovitosti in varnosti pri delu v gozdu;</w:t>
            </w:r>
          </w:p>
          <w:p w14:paraId="40BB960E"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vzpostavitev ustrezno velikih in modernizacija obstoječih obratov za primarno predelavo lesa in lesnih ostankov;</w:t>
            </w:r>
          </w:p>
          <w:p w14:paraId="77787B7D"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 xml:space="preserve">možnost povečanja realiziranega poseka; </w:t>
            </w:r>
          </w:p>
          <w:p w14:paraId="64265EFF" w14:textId="77777777" w:rsidR="00852A1D" w:rsidRDefault="00852A1D" w:rsidP="00852A1D">
            <w:pPr>
              <w:pStyle w:val="Odstavekseznama"/>
              <w:numPr>
                <w:ilvl w:val="0"/>
                <w:numId w:val="3"/>
              </w:numPr>
              <w:spacing w:before="0" w:line="240" w:lineRule="auto"/>
              <w:contextualSpacing/>
              <w:jc w:val="left"/>
              <w:rPr>
                <w:rFonts w:ascii="Arial" w:eastAsia="TimesNewRoman" w:hAnsi="Arial"/>
              </w:rPr>
            </w:pPr>
            <w:r>
              <w:rPr>
                <w:rFonts w:ascii="Arial" w:hAnsi="Arial"/>
              </w:rPr>
              <w:t>intenziviranje gospodarjenja z gozdovi;</w:t>
            </w:r>
          </w:p>
          <w:p w14:paraId="2F174EC1" w14:textId="77777777" w:rsidR="00852A1D" w:rsidRDefault="00852A1D" w:rsidP="00852A1D">
            <w:pPr>
              <w:pStyle w:val="Odstavekseznama"/>
              <w:numPr>
                <w:ilvl w:val="0"/>
                <w:numId w:val="3"/>
              </w:numPr>
              <w:spacing w:before="0" w:line="240" w:lineRule="auto"/>
              <w:contextualSpacing/>
              <w:jc w:val="left"/>
              <w:rPr>
                <w:rFonts w:ascii="Arial" w:eastAsia="TimesNewRoman" w:hAnsi="Arial"/>
              </w:rPr>
            </w:pPr>
            <w:r>
              <w:rPr>
                <w:rFonts w:ascii="Arial" w:eastAsia="TimesNewRoman" w:hAnsi="Arial"/>
              </w:rPr>
              <w:t>vzpostavitev in razvoj mreže gozdnih drevesnic za vzgojo zadostne količine sadik gozdnega drevja.</w:t>
            </w:r>
          </w:p>
          <w:p w14:paraId="2C350E18" w14:textId="77777777" w:rsidR="00852A1D" w:rsidRDefault="00852A1D" w:rsidP="009A311B">
            <w:pPr>
              <w:pStyle w:val="Odstavekseznama"/>
              <w:ind w:left="360"/>
              <w:rPr>
                <w:rFonts w:ascii="Arial" w:eastAsia="TimesNewRoman" w:hAnsi="Arial"/>
              </w:rPr>
            </w:pPr>
          </w:p>
        </w:tc>
        <w:tc>
          <w:tcPr>
            <w:tcW w:w="2597" w:type="pct"/>
            <w:tcBorders>
              <w:top w:val="single" w:sz="4" w:space="0" w:color="auto"/>
              <w:left w:val="single" w:sz="4" w:space="0" w:color="auto"/>
              <w:bottom w:val="single" w:sz="4" w:space="0" w:color="auto"/>
              <w:right w:val="single" w:sz="4" w:space="0" w:color="auto"/>
            </w:tcBorders>
            <w:hideMark/>
          </w:tcPr>
          <w:p w14:paraId="0A6A693E"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naraščanje negativnih vplivov podnebnih sprememb, večja pogostost ekstremnih vremenskih dogodkov;</w:t>
            </w:r>
          </w:p>
          <w:p w14:paraId="2F541DAE"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višanje števila nesreč pri delu v gozdu z višanjem količin poseka;</w:t>
            </w:r>
          </w:p>
          <w:p w14:paraId="490371DB"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zmanjševanje strokovnih kriterijev za pridobivanje, primernost, proizvodnjo in dobavo GRM zaradi pomanjkanja le-tega;</w:t>
            </w:r>
          </w:p>
          <w:p w14:paraId="2433A9A4"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povečevanje zahtev po uvozu rastišču neprimernega GRM za uporabo v slovenskih gozdovih.</w:t>
            </w:r>
          </w:p>
        </w:tc>
      </w:tr>
    </w:tbl>
    <w:p w14:paraId="419E9F2B" w14:textId="326347C1" w:rsidR="00D13A1B" w:rsidRDefault="00D13A1B" w:rsidP="009F3567">
      <w:pPr>
        <w:pStyle w:val="ZPtekst"/>
        <w:keepNext/>
        <w:keepLines/>
        <w:spacing w:before="0" w:line="276" w:lineRule="auto"/>
        <w:rPr>
          <w:b/>
          <w:sz w:val="20"/>
          <w:szCs w:val="20"/>
        </w:rPr>
      </w:pPr>
    </w:p>
    <w:p w14:paraId="2DDE1159" w14:textId="47181B73" w:rsidR="00ED35F3" w:rsidRPr="00ED35F3" w:rsidRDefault="00ED35F3" w:rsidP="00ED35F3">
      <w:pPr>
        <w:pStyle w:val="Naslov1"/>
        <w:spacing w:line="276" w:lineRule="auto"/>
        <w:sectPr w:rsidR="00ED35F3" w:rsidRPr="00ED35F3" w:rsidSect="00E7214B">
          <w:footerReference w:type="default" r:id="rId186"/>
          <w:pgSz w:w="11906" w:h="16838"/>
          <w:pgMar w:top="1417" w:right="1417" w:bottom="1417" w:left="1417" w:header="708" w:footer="708" w:gutter="0"/>
          <w:cols w:space="708"/>
          <w:docGrid w:linePitch="360"/>
        </w:sectPr>
      </w:pPr>
      <w:bookmarkStart w:id="6044" w:name="_Toc529965151"/>
      <w:bookmarkStart w:id="6045" w:name="_Toc531934836"/>
    </w:p>
    <w:p w14:paraId="2B12EB24" w14:textId="77777777" w:rsidR="00F51EFF" w:rsidRPr="00B071E9" w:rsidRDefault="00F51EFF" w:rsidP="003730FA">
      <w:pPr>
        <w:spacing w:before="0" w:line="276" w:lineRule="auto"/>
        <w:rPr>
          <w:b/>
          <w:szCs w:val="22"/>
        </w:rPr>
      </w:pPr>
      <w:bookmarkStart w:id="6046" w:name="_Toc40959321"/>
      <w:bookmarkEnd w:id="6044"/>
      <w:bookmarkEnd w:id="6045"/>
      <w:bookmarkEnd w:id="6046"/>
    </w:p>
    <w:sectPr w:rsidR="00F51EFF" w:rsidRPr="00B071E9" w:rsidSect="00F66C90">
      <w:pgSz w:w="16838" w:h="11906" w:orient="landscape"/>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6B3F" w16cex:dateUtc="2020-09-28T12:01:00Z"/>
  <w16cex:commentExtensible w16cex:durableId="231C6CCA" w16cex:dateUtc="2020-09-28T12:08:00Z"/>
  <w16cex:commentExtensible w16cex:durableId="231C61FA" w16cex:dateUtc="2020-09-28T11:22:00Z"/>
  <w16cex:commentExtensible w16cex:durableId="231C62AA" w16cex:dateUtc="2020-09-28T11:24:00Z"/>
  <w16cex:commentExtensible w16cex:durableId="231C6366" w16cex:dateUtc="2020-09-28T11:28:00Z"/>
  <w16cex:commentExtensible w16cex:durableId="231C6A8B" w16cex:dateUtc="2020-09-28T11:58:00Z"/>
  <w16cex:commentExtensible w16cex:durableId="231C6AB2" w16cex:dateUtc="2020-09-28T11:59:00Z"/>
  <w16cex:commentExtensible w16cex:durableId="231C6BED" w16cex:dateUtc="2020-09-28T12:04:00Z"/>
  <w16cex:commentExtensible w16cex:durableId="231C6C93" w16cex:dateUtc="2020-09-28T12:07:00Z"/>
  <w16cex:commentExtensible w16cex:durableId="231C6D67" w16cex:dateUtc="2020-09-28T12:10:00Z"/>
  <w16cex:commentExtensible w16cex:durableId="231C6DC4" w16cex:dateUtc="2020-09-28T12:12:00Z"/>
  <w16cex:commentExtensible w16cex:durableId="231C6E95" w16cex:dateUtc="2020-09-28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AC25B8" w16cid:durableId="231C58EA"/>
  <w16cid:commentId w16cid:paraId="2E43FADE" w16cid:durableId="231C58EB"/>
  <w16cid:commentId w16cid:paraId="00FBDF7C" w16cid:durableId="231C58EC"/>
  <w16cid:commentId w16cid:paraId="32935A3D" w16cid:durableId="231C58ED"/>
  <w16cid:commentId w16cid:paraId="59F9A06A" w16cid:durableId="231C58EE"/>
  <w16cid:commentId w16cid:paraId="588BDC92" w16cid:durableId="231C58EF"/>
  <w16cid:commentId w16cid:paraId="0899B39F" w16cid:durableId="231C58F0"/>
  <w16cid:commentId w16cid:paraId="0B8C816E" w16cid:durableId="231C58F1"/>
  <w16cid:commentId w16cid:paraId="284E01F3" w16cid:durableId="231C58F2"/>
  <w16cid:commentId w16cid:paraId="53AD8877" w16cid:durableId="231C58F3"/>
  <w16cid:commentId w16cid:paraId="4359181E" w16cid:durableId="231C58F4"/>
  <w16cid:commentId w16cid:paraId="4BFF1D66" w16cid:durableId="231C58F5"/>
  <w16cid:commentId w16cid:paraId="1517BE7B" w16cid:durableId="231C58F6"/>
  <w16cid:commentId w16cid:paraId="4AF321CA" w16cid:durableId="231C58F7"/>
  <w16cid:commentId w16cid:paraId="6C64298F" w16cid:durableId="231C58F8"/>
  <w16cid:commentId w16cid:paraId="599B315C" w16cid:durableId="231C58F9"/>
  <w16cid:commentId w16cid:paraId="31C16B2B" w16cid:durableId="231C58FA"/>
  <w16cid:commentId w16cid:paraId="643914CE" w16cid:durableId="231C58FB"/>
  <w16cid:commentId w16cid:paraId="7CE007E9" w16cid:durableId="231C58FC"/>
  <w16cid:commentId w16cid:paraId="399C771F" w16cid:durableId="231C58FD"/>
  <w16cid:commentId w16cid:paraId="4292B54E" w16cid:durableId="231C58FE"/>
  <w16cid:commentId w16cid:paraId="11425166" w16cid:durableId="231C58FF"/>
  <w16cid:commentId w16cid:paraId="38396449" w16cid:durableId="231C5900"/>
  <w16cid:commentId w16cid:paraId="0CC92122" w16cid:durableId="231C5901"/>
  <w16cid:commentId w16cid:paraId="1B08DC50" w16cid:durableId="231C5902"/>
  <w16cid:commentId w16cid:paraId="3DF89D10" w16cid:durableId="231C5903"/>
  <w16cid:commentId w16cid:paraId="0A7C3C77" w16cid:durableId="231C5904"/>
  <w16cid:commentId w16cid:paraId="5B284BB7" w16cid:durableId="231C5905"/>
  <w16cid:commentId w16cid:paraId="33ED84F2" w16cid:durableId="231C5906"/>
  <w16cid:commentId w16cid:paraId="14115531" w16cid:durableId="231C5907"/>
  <w16cid:commentId w16cid:paraId="77FDEFCC" w16cid:durableId="231C5908"/>
  <w16cid:commentId w16cid:paraId="63E54B62" w16cid:durableId="231C5909"/>
  <w16cid:commentId w16cid:paraId="3AE0B9E6" w16cid:durableId="231C590A"/>
  <w16cid:commentId w16cid:paraId="5A486F8A" w16cid:durableId="231C590B"/>
  <w16cid:commentId w16cid:paraId="27EBE9CF" w16cid:durableId="231C590C"/>
  <w16cid:commentId w16cid:paraId="20757A86" w16cid:durableId="231C590D"/>
  <w16cid:commentId w16cid:paraId="55EA35BA" w16cid:durableId="231C590E"/>
  <w16cid:commentId w16cid:paraId="151C129D" w16cid:durableId="231C590F"/>
  <w16cid:commentId w16cid:paraId="7102D60B" w16cid:durableId="231C5910"/>
  <w16cid:commentId w16cid:paraId="14DA4901" w16cid:durableId="231C5911"/>
  <w16cid:commentId w16cid:paraId="1AC31CC1" w16cid:durableId="231C5912"/>
  <w16cid:commentId w16cid:paraId="4A32D781" w16cid:durableId="231C5913"/>
  <w16cid:commentId w16cid:paraId="1B823CF8" w16cid:durableId="231C5914"/>
  <w16cid:commentId w16cid:paraId="6E69A60C" w16cid:durableId="231C5915"/>
  <w16cid:commentId w16cid:paraId="6613FDCA" w16cid:durableId="231C5916"/>
  <w16cid:commentId w16cid:paraId="27FC09B9" w16cid:durableId="231C5917"/>
  <w16cid:commentId w16cid:paraId="0B0DC1CC" w16cid:durableId="231C5918"/>
  <w16cid:commentId w16cid:paraId="29D05C71" w16cid:durableId="231C5919"/>
  <w16cid:commentId w16cid:paraId="2F74A7E8" w16cid:durableId="231C591A"/>
  <w16cid:commentId w16cid:paraId="295A28E7" w16cid:durableId="231C591B"/>
  <w16cid:commentId w16cid:paraId="02DFF38C" w16cid:durableId="231C591C"/>
  <w16cid:commentId w16cid:paraId="648EFC3A" w16cid:durableId="231C591D"/>
  <w16cid:commentId w16cid:paraId="0198776B" w16cid:durableId="231C591E"/>
  <w16cid:commentId w16cid:paraId="508C85C0" w16cid:durableId="231C591F"/>
  <w16cid:commentId w16cid:paraId="39F3ECB2" w16cid:durableId="231C5920"/>
  <w16cid:commentId w16cid:paraId="5DCC2940" w16cid:durableId="231C5921"/>
  <w16cid:commentId w16cid:paraId="7C576C1D" w16cid:durableId="231C5922"/>
  <w16cid:commentId w16cid:paraId="43FCBBCA" w16cid:durableId="231C5923"/>
  <w16cid:commentId w16cid:paraId="4BFBED10" w16cid:durableId="231C6B3F"/>
  <w16cid:commentId w16cid:paraId="70CF438E" w16cid:durableId="231C6CCA"/>
  <w16cid:commentId w16cid:paraId="16080250" w16cid:durableId="231C61FA"/>
  <w16cid:commentId w16cid:paraId="2A0AE741" w16cid:durableId="231C62AA"/>
  <w16cid:commentId w16cid:paraId="38BC0841" w16cid:durableId="231C6366"/>
  <w16cid:commentId w16cid:paraId="622E5D97" w16cid:durableId="231C6A8B"/>
  <w16cid:commentId w16cid:paraId="515B62BD" w16cid:durableId="231C6AB2"/>
  <w16cid:commentId w16cid:paraId="27344688" w16cid:durableId="231C6BED"/>
  <w16cid:commentId w16cid:paraId="6960AA99" w16cid:durableId="231C6C93"/>
  <w16cid:commentId w16cid:paraId="0A855B6B" w16cid:durableId="231C6D67"/>
  <w16cid:commentId w16cid:paraId="7F94250C" w16cid:durableId="231C6DC4"/>
  <w16cid:commentId w16cid:paraId="43DF4965" w16cid:durableId="231C6E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FD459" w14:textId="77777777" w:rsidR="006929E9" w:rsidRDefault="006929E9" w:rsidP="00B87389">
      <w:r>
        <w:separator/>
      </w:r>
    </w:p>
  </w:endnote>
  <w:endnote w:type="continuationSeparator" w:id="0">
    <w:p w14:paraId="730EBB6F" w14:textId="77777777" w:rsidR="006929E9" w:rsidRDefault="006929E9" w:rsidP="00B87389">
      <w:r>
        <w:continuationSeparator/>
      </w:r>
    </w:p>
  </w:endnote>
  <w:endnote w:type="continuationNotice" w:id="1">
    <w:p w14:paraId="16A7B8C2" w14:textId="77777777" w:rsidR="006929E9" w:rsidRDefault="006929E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NeueLT Pro 55 Roman">
    <w:altName w:val="Times New Roman"/>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7" w:usb1="00000000" w:usb2="00000000" w:usb3="00000000" w:csb0="00000003" w:csb1="00000000"/>
  </w:font>
  <w:font w:name="Liberation Serif">
    <w:altName w:val="Times New Roman"/>
    <w:charset w:val="00"/>
    <w:family w:val="roman"/>
    <w:pitch w:val="variable"/>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RobotoCondensed-Regular">
    <w:panose1 w:val="00000000000000000000"/>
    <w:charset w:val="EE"/>
    <w:family w:val="auto"/>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Humanist777BT-RomanB">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489470695"/>
      <w:docPartObj>
        <w:docPartGallery w:val="Page Numbers (Bottom of Page)"/>
        <w:docPartUnique/>
      </w:docPartObj>
    </w:sdtPr>
    <w:sdtEndPr>
      <w:rPr>
        <w:sz w:val="14"/>
        <w:szCs w:val="14"/>
      </w:rPr>
    </w:sdtEndPr>
    <w:sdtContent>
      <w:p w14:paraId="3335AD78" w14:textId="23072AF0" w:rsidR="006929E9" w:rsidRPr="00852E36" w:rsidRDefault="006929E9">
        <w:pPr>
          <w:pStyle w:val="Noga"/>
          <w:jc w:val="right"/>
          <w:rPr>
            <w:sz w:val="14"/>
            <w:szCs w:val="14"/>
          </w:rPr>
        </w:pPr>
        <w:r w:rsidRPr="00852E36">
          <w:rPr>
            <w:sz w:val="14"/>
            <w:szCs w:val="14"/>
          </w:rPr>
          <w:fldChar w:fldCharType="begin"/>
        </w:r>
        <w:r w:rsidRPr="00852E36">
          <w:rPr>
            <w:sz w:val="14"/>
            <w:szCs w:val="14"/>
          </w:rPr>
          <w:instrText>PAGE   \* MERGEFORMAT</w:instrText>
        </w:r>
        <w:r w:rsidRPr="00852E36">
          <w:rPr>
            <w:sz w:val="14"/>
            <w:szCs w:val="14"/>
          </w:rPr>
          <w:fldChar w:fldCharType="separate"/>
        </w:r>
        <w:r w:rsidR="00FB6BEC">
          <w:rPr>
            <w:noProof/>
            <w:sz w:val="14"/>
            <w:szCs w:val="14"/>
          </w:rPr>
          <w:t>1</w:t>
        </w:r>
        <w:r w:rsidRPr="00852E36">
          <w:rPr>
            <w:sz w:val="14"/>
            <w:szCs w:val="14"/>
          </w:rPr>
          <w:fldChar w:fldCharType="end"/>
        </w:r>
      </w:p>
    </w:sdtContent>
  </w:sdt>
  <w:p w14:paraId="2D4CA12C" w14:textId="77777777" w:rsidR="006929E9" w:rsidRDefault="006929E9"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AC7F4" w14:textId="77777777" w:rsidR="006929E9" w:rsidRDefault="006929E9" w:rsidP="00B87389">
      <w:r>
        <w:separator/>
      </w:r>
    </w:p>
  </w:footnote>
  <w:footnote w:type="continuationSeparator" w:id="0">
    <w:p w14:paraId="0163DBE4" w14:textId="77777777" w:rsidR="006929E9" w:rsidRDefault="006929E9" w:rsidP="00B87389">
      <w:r>
        <w:continuationSeparator/>
      </w:r>
    </w:p>
  </w:footnote>
  <w:footnote w:type="continuationNotice" w:id="1">
    <w:p w14:paraId="222F5D48" w14:textId="77777777" w:rsidR="006929E9" w:rsidRDefault="006929E9">
      <w:pPr>
        <w:spacing w:before="0" w:line="240" w:lineRule="auto"/>
      </w:pPr>
    </w:p>
  </w:footnote>
  <w:footnote w:id="2">
    <w:p w14:paraId="52ACE7E1" w14:textId="77777777" w:rsidR="006929E9" w:rsidRPr="009F3567" w:rsidRDefault="006929E9" w:rsidP="000150AF">
      <w:pPr>
        <w:pStyle w:val="Sprotnaopomba-besedilo"/>
        <w:ind w:left="0" w:firstLine="0"/>
        <w:rPr>
          <w:rFonts w:ascii="Arial" w:hAnsi="Arial"/>
        </w:rPr>
      </w:pPr>
      <w:r w:rsidRPr="009F3567">
        <w:rPr>
          <w:rStyle w:val="Sprotnaopomba-sklic"/>
          <w:rFonts w:ascii="Arial" w:hAnsi="Arial"/>
          <w:sz w:val="16"/>
        </w:rPr>
        <w:footnoteRef/>
      </w:r>
      <w:r>
        <w:rPr>
          <w:rFonts w:ascii="Arial" w:hAnsi="Arial"/>
          <w:sz w:val="16"/>
        </w:rPr>
        <w:t xml:space="preserve"> </w:t>
      </w:r>
      <w:r w:rsidRPr="009F3567">
        <w:rPr>
          <w:rFonts w:ascii="Arial" w:hAnsi="Arial"/>
          <w:sz w:val="16"/>
        </w:rPr>
        <w:t>Sporočilo Evropske komisije COM(2019) 640 končno: Evropski zeleni dogovor</w:t>
      </w:r>
      <w:r w:rsidRPr="006B7C21">
        <w:rPr>
          <w:rFonts w:ascii="Arial" w:hAnsi="Arial"/>
          <w:sz w:val="16"/>
        </w:rPr>
        <w:t xml:space="preserve"> in </w:t>
      </w:r>
      <w:r>
        <w:rPr>
          <w:rFonts w:ascii="Arial" w:hAnsi="Arial"/>
          <w:sz w:val="16"/>
        </w:rPr>
        <w:t xml:space="preserve">Sporočilo Evropske komisije </w:t>
      </w:r>
      <w:r w:rsidRPr="006B7C21">
        <w:rPr>
          <w:rFonts w:ascii="Arial" w:hAnsi="Arial"/>
          <w:sz w:val="16"/>
        </w:rPr>
        <w:t>COM/2020/381</w:t>
      </w:r>
      <w:r>
        <w:rPr>
          <w:rFonts w:ascii="Arial" w:hAnsi="Arial"/>
          <w:sz w:val="16"/>
        </w:rPr>
        <w:t xml:space="preserve"> končno: </w:t>
      </w:r>
      <w:r w:rsidRPr="006B7C21">
        <w:rPr>
          <w:rFonts w:ascii="Arial" w:hAnsi="Arial"/>
          <w:sz w:val="16"/>
        </w:rPr>
        <w:t>Strategija „od vil do vilic“ za pravičen, zdrav in okolju prijazen prehranski sistem</w:t>
      </w:r>
      <w:r>
        <w:rPr>
          <w:rFonts w:ascii="Arial" w:hAnsi="Arial"/>
          <w:sz w:val="16"/>
        </w:rPr>
        <w:t xml:space="preserve">. </w:t>
      </w:r>
    </w:p>
  </w:footnote>
  <w:footnote w:id="3">
    <w:p w14:paraId="2C5E2F61" w14:textId="77777777" w:rsidR="006929E9" w:rsidRDefault="006929E9" w:rsidP="00E155C1">
      <w:pPr>
        <w:pStyle w:val="Sprotnaopomba-besedilo"/>
        <w:ind w:left="0" w:firstLine="0"/>
      </w:pPr>
      <w:r>
        <w:rPr>
          <w:rStyle w:val="Sprotnaopomba-sklic"/>
        </w:rPr>
        <w:footnoteRef/>
      </w:r>
      <w:r>
        <w:t xml:space="preserve"> </w:t>
      </w:r>
      <w:r w:rsidRPr="00E155C1">
        <w:rPr>
          <w:rFonts w:ascii="Arial" w:hAnsi="Arial"/>
          <w:sz w:val="18"/>
          <w:lang w:eastAsia="sl-SI"/>
        </w:rPr>
        <w:t>V letu 2020 je skupna površina kmetijskih zemljišč na območjih z naravnimi ali drugimi posebnimi omejitvami (OMD) znašala 363.300 ha od skupno 488.000 ha, kar predstavlja 74,4 %. Trajno travinje predstavlja 73% vseh kmetijskih površin, njive pa le 23%.</w:t>
      </w:r>
    </w:p>
  </w:footnote>
  <w:footnote w:id="4">
    <w:p w14:paraId="2FC12066" w14:textId="77777777" w:rsidR="006929E9" w:rsidRDefault="006929E9" w:rsidP="00A44601">
      <w:pPr>
        <w:pStyle w:val="Sprotnaopomba-besedilo"/>
        <w:ind w:left="284" w:hanging="284"/>
      </w:pPr>
      <w:r>
        <w:rPr>
          <w:rStyle w:val="Sprotnaopomba-sklic"/>
        </w:rPr>
        <w:footnoteRef/>
      </w:r>
      <w:r>
        <w:t xml:space="preserve"> Vir: </w:t>
      </w:r>
      <w:r w:rsidRPr="00C75FF7">
        <w:rPr>
          <w:rFonts w:ascii="Arial" w:hAnsi="Arial"/>
          <w:sz w:val="18"/>
        </w:rPr>
        <w:t xml:space="preserve">Kmetijski inštitut Slovenije (2021): </w:t>
      </w:r>
      <w:r w:rsidRPr="00C75FF7">
        <w:rPr>
          <w:rFonts w:ascii="Arial" w:hAnsi="Arial"/>
          <w:i/>
          <w:iCs/>
          <w:sz w:val="18"/>
        </w:rPr>
        <w:t xml:space="preserve">Prva ocena stanja v kmetijstvu v letu 2021. </w:t>
      </w:r>
      <w:r w:rsidRPr="00C75FF7">
        <w:rPr>
          <w:rFonts w:ascii="Arial" w:hAnsi="Arial"/>
          <w:iCs/>
          <w:sz w:val="18"/>
        </w:rPr>
        <w:t>Dostopno na:</w:t>
      </w:r>
      <w:r w:rsidRPr="00C75FF7">
        <w:rPr>
          <w:rFonts w:ascii="Arial" w:hAnsi="Arial"/>
          <w:i/>
          <w:iCs/>
          <w:sz w:val="18"/>
        </w:rPr>
        <w:t xml:space="preserve"> </w:t>
      </w:r>
      <w:hyperlink r:id="rId1" w:history="1">
        <w:r w:rsidRPr="00C75FF7">
          <w:rPr>
            <w:rStyle w:val="Hiperpovezava"/>
            <w:rFonts w:ascii="Arial" w:hAnsi="Arial"/>
            <w:i/>
            <w:iCs/>
            <w:sz w:val="18"/>
          </w:rPr>
          <w:t>https://www.gov.si/assets/ministrstva/MKGP/PODROCJA/KMETIJSTVO/Kmetijstvo-v-st-/Jesensko-PDF-ZELENO-porocilo_17.12.2020-prva-ocena-za-leto-2020.pdf</w:t>
        </w:r>
      </w:hyperlink>
      <w:r w:rsidRPr="00C75FF7">
        <w:rPr>
          <w:i/>
          <w:iCs/>
          <w:sz w:val="18"/>
        </w:rPr>
        <w:t xml:space="preserve"> </w:t>
      </w:r>
    </w:p>
  </w:footnote>
  <w:footnote w:id="5">
    <w:p w14:paraId="1629C272" w14:textId="2A1E5D7B" w:rsidR="006929E9" w:rsidRDefault="006929E9" w:rsidP="00E764C9">
      <w:pPr>
        <w:pStyle w:val="Sprotnaopomba-besedilo"/>
        <w:ind w:left="357"/>
      </w:pPr>
      <w:r>
        <w:rPr>
          <w:rStyle w:val="Sprotnaopomba-sklic"/>
        </w:rPr>
        <w:footnoteRef/>
      </w:r>
      <w:r>
        <w:t xml:space="preserve"> </w:t>
      </w:r>
      <w:r w:rsidRPr="00E764C9">
        <w:rPr>
          <w:rFonts w:ascii="Arial" w:hAnsi="Arial"/>
          <w:sz w:val="16"/>
          <w:szCs w:val="16"/>
        </w:rPr>
        <w:t xml:space="preserve">Ocena. Vir: Eurostat, </w:t>
      </w:r>
      <w:r w:rsidRPr="00E764C9">
        <w:rPr>
          <w:rStyle w:val="rightside"/>
          <w:rFonts w:ascii="Arial" w:hAnsi="Arial"/>
          <w:sz w:val="16"/>
          <w:szCs w:val="16"/>
        </w:rPr>
        <w:t>[aact_ali01].</w:t>
      </w:r>
      <w:r>
        <w:rPr>
          <w:rStyle w:val="rightside"/>
          <w:rFonts w:ascii="Verdana" w:hAnsi="Verdana"/>
          <w:sz w:val="14"/>
          <w:szCs w:val="14"/>
        </w:rPr>
        <w:t xml:space="preserve"> </w:t>
      </w:r>
    </w:p>
  </w:footnote>
  <w:footnote w:id="6">
    <w:p w14:paraId="4D30B353" w14:textId="55ABD509" w:rsidR="006929E9" w:rsidRDefault="006929E9" w:rsidP="00852E36">
      <w:pPr>
        <w:pStyle w:val="Sprotnaopomba-besedilo"/>
        <w:spacing w:before="0" w:line="240" w:lineRule="auto"/>
        <w:ind w:left="0" w:firstLine="0"/>
      </w:pPr>
      <w:r w:rsidRPr="00614F33">
        <w:rPr>
          <w:rStyle w:val="Sprotnaopomba-sklic"/>
          <w:rFonts w:ascii="Arial" w:hAnsi="Arial"/>
          <w:sz w:val="16"/>
          <w:szCs w:val="16"/>
        </w:rPr>
        <w:footnoteRef/>
      </w:r>
      <w:r w:rsidRPr="00614F33">
        <w:rPr>
          <w:rFonts w:ascii="Arial" w:hAnsi="Arial"/>
          <w:sz w:val="16"/>
          <w:szCs w:val="16"/>
        </w:rPr>
        <w:t xml:space="preserve"> Bruto </w:t>
      </w:r>
      <w:r>
        <w:rPr>
          <w:rFonts w:ascii="Arial" w:hAnsi="Arial"/>
          <w:sz w:val="16"/>
          <w:szCs w:val="16"/>
        </w:rPr>
        <w:t>naložbe</w:t>
      </w:r>
      <w:r w:rsidRPr="00614F33">
        <w:rPr>
          <w:rFonts w:ascii="Arial" w:hAnsi="Arial"/>
          <w:sz w:val="16"/>
          <w:szCs w:val="16"/>
        </w:rPr>
        <w:t xml:space="preserve"> v osnovna sredstva so kupljena nova ali </w:t>
      </w:r>
      <w:r>
        <w:rPr>
          <w:rFonts w:ascii="Arial" w:hAnsi="Arial"/>
          <w:sz w:val="16"/>
          <w:szCs w:val="16"/>
        </w:rPr>
        <w:t>rabljena</w:t>
      </w:r>
      <w:r w:rsidRPr="00614F33">
        <w:rPr>
          <w:rFonts w:ascii="Arial" w:hAnsi="Arial"/>
          <w:sz w:val="16"/>
          <w:szCs w:val="16"/>
        </w:rPr>
        <w:t xml:space="preserve"> osnovna sredstva, zmanjšana za odtujitve osnovnih sredstev s strani rezidenčnih </w:t>
      </w:r>
      <w:r w:rsidRPr="00852E36">
        <w:rPr>
          <w:rFonts w:ascii="Arial" w:eastAsiaTheme="minorHAnsi" w:hAnsi="Arial"/>
          <w:sz w:val="16"/>
          <w:szCs w:val="16"/>
          <w:lang w:eastAsia="en-US"/>
        </w:rPr>
        <w:t>proizvajalcev</w:t>
      </w:r>
      <w:r w:rsidRPr="00614F33">
        <w:rPr>
          <w:rFonts w:ascii="Arial" w:hAnsi="Arial"/>
          <w:sz w:val="16"/>
          <w:szCs w:val="16"/>
        </w:rPr>
        <w:t xml:space="preserve"> v danem obdobju, povečane za določena povečanja vrednosti neproizvedenih sredstev, ki so rezultat proizvodne dejavnosti proizvajalca ali institucionalnih enot</w:t>
      </w:r>
      <w:r w:rsidRPr="00614F33">
        <w:rPr>
          <w:sz w:val="16"/>
        </w:rPr>
        <w:t xml:space="preserve">  </w:t>
      </w:r>
    </w:p>
  </w:footnote>
  <w:footnote w:id="7">
    <w:p w14:paraId="605C65BF" w14:textId="77777777" w:rsidR="006929E9" w:rsidRPr="00875DD8" w:rsidRDefault="006929E9" w:rsidP="004D40E8">
      <w:pPr>
        <w:pStyle w:val="Sprotnaopomba-besedilo"/>
        <w:ind w:left="142" w:hanging="142"/>
        <w:rPr>
          <w:rFonts w:ascii="Arial" w:hAnsi="Arial"/>
        </w:rPr>
      </w:pPr>
      <w:r w:rsidRPr="00875DD8">
        <w:rPr>
          <w:rStyle w:val="Sprotnaopomba-sklic"/>
          <w:rFonts w:ascii="Arial" w:hAnsi="Arial"/>
          <w:sz w:val="16"/>
        </w:rPr>
        <w:footnoteRef/>
      </w:r>
      <w:r w:rsidRPr="00875DD8">
        <w:rPr>
          <w:rFonts w:ascii="Arial" w:hAnsi="Arial"/>
        </w:rPr>
        <w:t xml:space="preserve"> </w:t>
      </w:r>
      <w:r w:rsidRPr="00875DD8">
        <w:rPr>
          <w:rFonts w:ascii="Arial" w:hAnsi="Arial"/>
          <w:sz w:val="16"/>
        </w:rPr>
        <w:t xml:space="preserve">Leto 2016 je </w:t>
      </w:r>
      <w:r>
        <w:rPr>
          <w:rFonts w:ascii="Arial" w:hAnsi="Arial"/>
          <w:sz w:val="16"/>
        </w:rPr>
        <w:t xml:space="preserve">zadnji znani podatek </w:t>
      </w:r>
      <w:r w:rsidRPr="00875DD8">
        <w:rPr>
          <w:rFonts w:ascii="Arial" w:eastAsiaTheme="minorHAnsi" w:hAnsi="Arial"/>
          <w:sz w:val="16"/>
          <w:szCs w:val="22"/>
          <w:lang w:eastAsia="en-US"/>
        </w:rPr>
        <w:t>glede obsega KZU po Eurostatu iz trenutno zadnjega dostopnega popisa v kmetijstvu za leto 2016.</w:t>
      </w:r>
    </w:p>
  </w:footnote>
  <w:footnote w:id="8">
    <w:p w14:paraId="53B82E1F" w14:textId="786C80F8" w:rsidR="006929E9" w:rsidRPr="009F3567" w:rsidRDefault="006929E9" w:rsidP="00875DD8">
      <w:pPr>
        <w:pStyle w:val="Sprotnaopomba-besedilo"/>
        <w:ind w:left="142" w:hanging="142"/>
        <w:rPr>
          <w:rFonts w:ascii="Arial" w:hAnsi="Arial"/>
          <w:sz w:val="16"/>
          <w:szCs w:val="16"/>
        </w:rPr>
      </w:pPr>
      <w:r w:rsidRPr="00875DD8">
        <w:rPr>
          <w:rStyle w:val="Sprotnaopomba-sklic"/>
          <w:rFonts w:ascii="Arial" w:hAnsi="Arial"/>
          <w:sz w:val="16"/>
          <w:szCs w:val="16"/>
        </w:rPr>
        <w:footnoteRef/>
      </w:r>
      <w:r w:rsidRPr="00875DD8">
        <w:rPr>
          <w:rFonts w:ascii="Arial" w:hAnsi="Arial"/>
          <w:sz w:val="16"/>
          <w:szCs w:val="16"/>
        </w:rPr>
        <w:t xml:space="preserve"> Najvišj</w:t>
      </w:r>
      <w:r>
        <w:rPr>
          <w:rFonts w:ascii="Arial" w:hAnsi="Arial"/>
          <w:sz w:val="16"/>
          <w:szCs w:val="16"/>
        </w:rPr>
        <w:t>o</w:t>
      </w:r>
      <w:r w:rsidRPr="00875DD8">
        <w:rPr>
          <w:rFonts w:ascii="Arial" w:hAnsi="Arial"/>
          <w:sz w:val="16"/>
          <w:szCs w:val="16"/>
        </w:rPr>
        <w:t xml:space="preserve"> vrednost kazalnika GFCF/ha KZU v l. 2016 ima Nizozemska (2.276</w:t>
      </w:r>
      <w:r>
        <w:rPr>
          <w:rFonts w:ascii="Arial" w:hAnsi="Arial"/>
          <w:sz w:val="16"/>
          <w:szCs w:val="16"/>
        </w:rPr>
        <w:t xml:space="preserve"> EUR</w:t>
      </w:r>
      <w:r w:rsidRPr="00875DD8">
        <w:rPr>
          <w:rFonts w:ascii="Arial" w:hAnsi="Arial"/>
          <w:sz w:val="16"/>
          <w:szCs w:val="16"/>
        </w:rPr>
        <w:t xml:space="preserve">/ha), sledijo Belgija, Malta, Italija, Luksemburg, Avstrija, Nemčija in Danska. Vir: </w:t>
      </w:r>
      <w:r>
        <w:rPr>
          <w:rFonts w:ascii="Arial" w:hAnsi="Arial"/>
          <w:sz w:val="16"/>
          <w:szCs w:val="16"/>
        </w:rPr>
        <w:t>EUROSTAT, preračun</w:t>
      </w:r>
      <w:r w:rsidRPr="00875DD8">
        <w:rPr>
          <w:rFonts w:ascii="Arial" w:hAnsi="Arial"/>
          <w:sz w:val="16"/>
          <w:szCs w:val="16"/>
        </w:rPr>
        <w:t xml:space="preserve"> MKGP</w:t>
      </w:r>
      <w:r>
        <w:rPr>
          <w:rFonts w:ascii="Arial" w:hAnsi="Arial"/>
          <w:sz w:val="16"/>
          <w:szCs w:val="16"/>
        </w:rPr>
        <w:t xml:space="preserve"> </w:t>
      </w:r>
      <w:r w:rsidRPr="00875DD8">
        <w:rPr>
          <w:rFonts w:ascii="Arial" w:hAnsi="Arial"/>
          <w:sz w:val="16"/>
          <w:szCs w:val="16"/>
        </w:rPr>
        <w:t xml:space="preserve">[aact_eaa01]. </w:t>
      </w:r>
    </w:p>
  </w:footnote>
  <w:footnote w:id="9">
    <w:p w14:paraId="5BCE3E04" w14:textId="77777777" w:rsidR="006929E9" w:rsidRDefault="006929E9" w:rsidP="009F3567">
      <w:pPr>
        <w:pStyle w:val="Sprotnaopomba-besedilo"/>
        <w:ind w:left="142" w:hanging="142"/>
      </w:pPr>
      <w:r w:rsidRPr="009F3567">
        <w:rPr>
          <w:rStyle w:val="Sprotnaopomba-sklic"/>
          <w:rFonts w:ascii="Arial" w:hAnsi="Arial"/>
          <w:sz w:val="16"/>
          <w:szCs w:val="16"/>
        </w:rPr>
        <w:footnoteRef/>
      </w:r>
      <w:r w:rsidRPr="009F3567">
        <w:rPr>
          <w:rFonts w:ascii="Arial" w:hAnsi="Arial"/>
          <w:sz w:val="16"/>
          <w:szCs w:val="16"/>
        </w:rPr>
        <w:t xml:space="preserve"> Površina kmetijskih zemljišč v uporabi (UAA) za EU-28 je izračunana kot seštevek površine kmetijskih zemljišč v uporabi posameznih držav. Vir: EUROSTAT, [ef_lus_main].</w:t>
      </w:r>
      <w:r>
        <w:t xml:space="preserve">  </w:t>
      </w:r>
    </w:p>
  </w:footnote>
  <w:footnote w:id="10">
    <w:p w14:paraId="10E7398E" w14:textId="5B58BE5B" w:rsidR="006929E9" w:rsidRPr="003C3CAB" w:rsidRDefault="006929E9" w:rsidP="003C3CAB">
      <w:pPr>
        <w:pStyle w:val="Sprotnaopomba-besedilo"/>
        <w:ind w:left="357"/>
        <w:rPr>
          <w:rFonts w:ascii="Arial" w:hAnsi="Arial"/>
          <w:sz w:val="16"/>
          <w:szCs w:val="16"/>
        </w:rPr>
      </w:pPr>
      <w:r w:rsidRPr="003C3CAB">
        <w:rPr>
          <w:rStyle w:val="Sprotnaopomba-sklic"/>
          <w:rFonts w:ascii="Arial" w:hAnsi="Arial"/>
          <w:sz w:val="16"/>
          <w:szCs w:val="16"/>
        </w:rPr>
        <w:footnoteRef/>
      </w:r>
      <w:r w:rsidRPr="003C3CAB">
        <w:rPr>
          <w:rFonts w:ascii="Arial" w:hAnsi="Arial"/>
          <w:sz w:val="16"/>
          <w:szCs w:val="16"/>
        </w:rPr>
        <w:t xml:space="preserve"> </w:t>
      </w:r>
      <w:r>
        <w:rPr>
          <w:rFonts w:ascii="Arial" w:hAnsi="Arial"/>
          <w:sz w:val="16"/>
          <w:szCs w:val="16"/>
        </w:rPr>
        <w:t xml:space="preserve">Več o tem </w:t>
      </w:r>
      <w:r w:rsidRPr="003C3CAB">
        <w:rPr>
          <w:rFonts w:ascii="Arial" w:hAnsi="Arial"/>
          <w:sz w:val="16"/>
          <w:szCs w:val="16"/>
        </w:rPr>
        <w:t xml:space="preserve">v podpoglavju </w:t>
      </w:r>
      <w:r w:rsidRPr="003C3CAB">
        <w:rPr>
          <w:rFonts w:ascii="Arial" w:hAnsi="Arial"/>
          <w:sz w:val="16"/>
          <w:szCs w:val="16"/>
          <w:u w:val="single"/>
        </w:rPr>
        <w:t xml:space="preserve">Potrebe po financiranju in dostop do finančnih sredstev. </w:t>
      </w:r>
    </w:p>
  </w:footnote>
  <w:footnote w:id="11">
    <w:p w14:paraId="3F97DD3D" w14:textId="759CB23C" w:rsidR="006929E9" w:rsidRPr="00551D9B" w:rsidRDefault="006929E9" w:rsidP="00AD583E">
      <w:pPr>
        <w:pStyle w:val="Sprotnaopomba-besedilo"/>
        <w:ind w:left="0" w:firstLine="0"/>
        <w:rPr>
          <w:rFonts w:ascii="Arial" w:hAnsi="Arial"/>
          <w:sz w:val="16"/>
          <w:szCs w:val="16"/>
        </w:rPr>
      </w:pPr>
      <w:r>
        <w:rPr>
          <w:rStyle w:val="Sprotnaopomba-sklic"/>
        </w:rPr>
        <w:footnoteRef/>
      </w:r>
      <w:r>
        <w:t xml:space="preserve"> </w:t>
      </w:r>
      <w:r w:rsidRPr="00551D9B">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i/>
          <w:sz w:val="16"/>
          <w:szCs w:val="16"/>
        </w:rPr>
        <w:t xml:space="preserve">, </w:t>
      </w:r>
      <w:r w:rsidRPr="0029768A">
        <w:rPr>
          <w:rFonts w:ascii="Arial" w:hAnsi="Arial"/>
          <w:sz w:val="16"/>
          <w:szCs w:val="16"/>
        </w:rPr>
        <w:t>2020)</w:t>
      </w:r>
      <w:r w:rsidRPr="00551D9B">
        <w:rPr>
          <w:rFonts w:ascii="Arial" w:hAnsi="Arial"/>
          <w:sz w:val="16"/>
          <w:szCs w:val="16"/>
        </w:rPr>
        <w:t xml:space="preserve"> je glede na zapadlost definirala kratkoročno posojilo: manj kot 18 mesecev; srednjeročno posojilo: od 18 mesecev do 5 let in dolgoročno posojilo: nad 5 let. </w:t>
      </w:r>
    </w:p>
  </w:footnote>
  <w:footnote w:id="12">
    <w:p w14:paraId="400F3BD6" w14:textId="176EA9A7" w:rsidR="006929E9" w:rsidRDefault="006929E9" w:rsidP="00AD583E">
      <w:pPr>
        <w:pStyle w:val="Sprotnaopomba-besedilo"/>
        <w:ind w:left="0" w:firstLine="0"/>
      </w:pPr>
      <w:r>
        <w:rPr>
          <w:rStyle w:val="Sprotnaopomba-sklic"/>
        </w:rPr>
        <w:footnoteRef/>
      </w:r>
      <w:r>
        <w:t xml:space="preserve"> </w:t>
      </w:r>
      <w:r w:rsidRPr="005F1A67">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sz w:val="16"/>
          <w:szCs w:val="16"/>
        </w:rPr>
        <w:t xml:space="preserve">, 2020) je kmetijska gospodarstva razdelila v tri velikostne kategorije: majhne (pod 20 hektarjev), srednje velike (od 20 do 100 hektarjev) in velike (nad 100 hektarjev). </w:t>
      </w:r>
    </w:p>
  </w:footnote>
  <w:footnote w:id="13">
    <w:p w14:paraId="1D424C1C" w14:textId="77777777" w:rsidR="006929E9" w:rsidRDefault="006929E9" w:rsidP="00C00231">
      <w:pPr>
        <w:pStyle w:val="Sprotnaopomba-besedilo"/>
        <w:ind w:left="0" w:firstLine="0"/>
      </w:pPr>
      <w:r w:rsidRPr="00A609A1">
        <w:rPr>
          <w:rStyle w:val="Sprotnaopomba-sklic"/>
          <w:rFonts w:ascii="Arial" w:hAnsi="Arial"/>
          <w:sz w:val="16"/>
        </w:rPr>
        <w:footnoteRef/>
      </w:r>
      <w:r w:rsidRPr="00A609A1">
        <w:rPr>
          <w:rFonts w:ascii="Arial" w:hAnsi="Arial"/>
          <w:sz w:val="16"/>
        </w:rPr>
        <w:t xml:space="preserve"> Vsi ti vidiki so podrobneje opisani </w:t>
      </w:r>
      <w:r>
        <w:rPr>
          <w:rFonts w:ascii="Arial" w:hAnsi="Arial"/>
          <w:sz w:val="16"/>
        </w:rPr>
        <w:t xml:space="preserve">bodisi </w:t>
      </w:r>
      <w:r w:rsidRPr="00A609A1">
        <w:rPr>
          <w:rFonts w:ascii="Arial" w:hAnsi="Arial"/>
          <w:sz w:val="16"/>
        </w:rPr>
        <w:t xml:space="preserve">v splošnem opisu kmetijstva v uvodu </w:t>
      </w:r>
      <w:r>
        <w:rPr>
          <w:rFonts w:ascii="Arial" w:hAnsi="Arial"/>
          <w:sz w:val="16"/>
        </w:rPr>
        <w:t>bodisi</w:t>
      </w:r>
      <w:r w:rsidRPr="00A609A1">
        <w:rPr>
          <w:rFonts w:ascii="Arial" w:hAnsi="Arial"/>
          <w:sz w:val="16"/>
        </w:rPr>
        <w:t xml:space="preserve"> v analizah stanja za cilje 4, 5 in 6, ki obravnavajo stanje tal, zato jih podrobneje v tem delu </w:t>
      </w:r>
      <w:r>
        <w:rPr>
          <w:rFonts w:ascii="Arial" w:hAnsi="Arial"/>
          <w:sz w:val="16"/>
        </w:rPr>
        <w:t xml:space="preserve">več </w:t>
      </w:r>
      <w:r w:rsidRPr="00A609A1">
        <w:rPr>
          <w:rFonts w:ascii="Arial" w:hAnsi="Arial"/>
          <w:sz w:val="16"/>
        </w:rPr>
        <w:t>ne pojasnjujemo.</w:t>
      </w:r>
    </w:p>
  </w:footnote>
  <w:footnote w:id="14">
    <w:p w14:paraId="136E9E46" w14:textId="77777777" w:rsidR="006929E9" w:rsidRPr="00FC7B0F" w:rsidRDefault="006929E9" w:rsidP="00975BEC">
      <w:pPr>
        <w:pStyle w:val="Sprotnaopomba-besedilo"/>
        <w:spacing w:before="0"/>
        <w:ind w:left="0" w:firstLine="0"/>
        <w:rPr>
          <w:rFonts w:ascii="Arial" w:hAnsi="Arial"/>
        </w:rPr>
      </w:pPr>
      <w:r w:rsidRPr="00FC7B0F">
        <w:rPr>
          <w:rStyle w:val="Sprotnaopomba-sklic"/>
          <w:rFonts w:ascii="Arial" w:hAnsi="Arial"/>
        </w:rPr>
        <w:footnoteRef/>
      </w:r>
      <w:r w:rsidRPr="00FC7B0F">
        <w:rPr>
          <w:rFonts w:ascii="Arial" w:hAnsi="Arial"/>
        </w:rPr>
        <w:t xml:space="preserve"> </w:t>
      </w:r>
      <w:r w:rsidRPr="00FC7B0F">
        <w:rPr>
          <w:rFonts w:ascii="Arial" w:hAnsi="Arial"/>
          <w:sz w:val="16"/>
          <w:szCs w:val="16"/>
        </w:rPr>
        <w:t>Primerjava razdrobljenosti kmetijskih zemljišč z ostalimi državami je dokaj težavna, ker ni na razpolago primerljivih podatkov (Saint-Cyr L. et at. (2016)).</w:t>
      </w:r>
    </w:p>
  </w:footnote>
  <w:footnote w:id="15">
    <w:p w14:paraId="13C2A19F" w14:textId="78472295" w:rsidR="006929E9" w:rsidRPr="006249A0" w:rsidRDefault="006929E9" w:rsidP="00CC740A">
      <w:pPr>
        <w:spacing w:before="0" w:line="260" w:lineRule="atLeast"/>
        <w:rPr>
          <w:sz w:val="14"/>
          <w:szCs w:val="20"/>
        </w:rPr>
      </w:pPr>
      <w:r w:rsidRPr="006249A0">
        <w:rPr>
          <w:rStyle w:val="Sprotnaopomba-sklic"/>
          <w:sz w:val="16"/>
        </w:rPr>
        <w:footnoteRef/>
      </w:r>
      <w:r>
        <w:t xml:space="preserve"> </w:t>
      </w:r>
      <w:r w:rsidRPr="006249A0">
        <w:rPr>
          <w:sz w:val="14"/>
          <w:szCs w:val="20"/>
        </w:rPr>
        <w:t xml:space="preserve">Podrobneje je ranljivost </w:t>
      </w:r>
      <w:r>
        <w:rPr>
          <w:sz w:val="14"/>
          <w:szCs w:val="20"/>
        </w:rPr>
        <w:t xml:space="preserve">kmetijstva </w:t>
      </w:r>
      <w:r w:rsidRPr="006249A0">
        <w:rPr>
          <w:sz w:val="14"/>
          <w:szCs w:val="20"/>
        </w:rPr>
        <w:t>na podnebne spremembe opisana v analizi stanja za cilj 4.</w:t>
      </w:r>
    </w:p>
    <w:p w14:paraId="6D165D93" w14:textId="31DB4D33" w:rsidR="006929E9" w:rsidRDefault="006929E9">
      <w:pPr>
        <w:pStyle w:val="Sprotnaopomba-besedilo"/>
      </w:pPr>
    </w:p>
  </w:footnote>
  <w:footnote w:id="16">
    <w:p w14:paraId="7F0E06B1" w14:textId="4E9735F8" w:rsidR="006929E9" w:rsidRDefault="006929E9" w:rsidP="002A60EF">
      <w:pPr>
        <w:pStyle w:val="Sprotnaopomba-besedilo"/>
        <w:ind w:left="0" w:firstLine="0"/>
      </w:pPr>
      <w:r>
        <w:rPr>
          <w:rStyle w:val="Sprotnaopomba-sklic"/>
        </w:rPr>
        <w:footnoteRef/>
      </w:r>
      <w:r>
        <w:t xml:space="preserve"> </w:t>
      </w:r>
      <w:r w:rsidRPr="002A60EF">
        <w:rPr>
          <w:rFonts w:ascii="Arial" w:hAnsi="Arial"/>
          <w:sz w:val="16"/>
          <w:szCs w:val="16"/>
        </w:rPr>
        <w:t>Vir: Eurostat, podatki o vmesni potrošnji v stalnih cenah (2005=100), podatki o KZU v EU-28 so seštevek KZU posameznih držav ([ef_lus_main]).</w:t>
      </w:r>
      <w:r>
        <w:t xml:space="preserve"> </w:t>
      </w:r>
    </w:p>
  </w:footnote>
  <w:footnote w:id="17">
    <w:p w14:paraId="57F880AD" w14:textId="77777777" w:rsidR="006929E9" w:rsidRDefault="006929E9" w:rsidP="009A1A7D">
      <w:pPr>
        <w:pStyle w:val="Sprotnaopomba-besedilo"/>
        <w:ind w:left="357"/>
      </w:pPr>
      <w:r>
        <w:rPr>
          <w:rStyle w:val="Sprotnaopomba-sklic"/>
        </w:rPr>
        <w:footnoteRef/>
      </w:r>
      <w:r>
        <w:t xml:space="preserve"> </w:t>
      </w:r>
      <w:r w:rsidRPr="009A1A7D">
        <w:rPr>
          <w:rFonts w:ascii="Arial" w:hAnsi="Arial"/>
          <w:sz w:val="16"/>
        </w:rPr>
        <w:t xml:space="preserve">Evropska komisija (2021) EU Farm Economics Review – FADN 2018. Dostopno na: </w:t>
      </w:r>
      <w:hyperlink r:id="rId2" w:history="1">
        <w:r w:rsidRPr="009A1A7D">
          <w:rPr>
            <w:rStyle w:val="Hiperpovezava"/>
            <w:rFonts w:ascii="Arial" w:hAnsi="Arial"/>
            <w:sz w:val="16"/>
          </w:rPr>
          <w:t>https://ec.europa.eu/info/sites/default/files/food-farming-f isheries/farming/documents/eu-farm-econ-overview-2018_en.pdf</w:t>
        </w:r>
      </w:hyperlink>
      <w:r w:rsidRPr="009A1A7D">
        <w:rPr>
          <w:rFonts w:ascii="Arial" w:hAnsi="Arial"/>
          <w:sz w:val="16"/>
        </w:rPr>
        <w:t xml:space="preserve"> (dostop: 5.12.2021)</w:t>
      </w:r>
    </w:p>
  </w:footnote>
  <w:footnote w:id="18">
    <w:p w14:paraId="0E185EC1" w14:textId="55049D0F" w:rsidR="006929E9" w:rsidRPr="000235C6" w:rsidRDefault="006929E9" w:rsidP="00BB4596">
      <w:pPr>
        <w:pStyle w:val="Sprotnaopomba-besedilo"/>
        <w:ind w:left="357"/>
        <w:rPr>
          <w:rStyle w:val="Sprotnaopomba-sklic"/>
          <w:rFonts w:ascii="Arial" w:hAnsi="Arial"/>
          <w:sz w:val="16"/>
          <w:szCs w:val="16"/>
          <w:vertAlign w:val="baseline"/>
        </w:rPr>
      </w:pPr>
      <w:r>
        <w:rPr>
          <w:rStyle w:val="Sprotnaopomba-sklic"/>
        </w:rPr>
        <w:footnoteRef/>
      </w:r>
      <w:r w:rsidRPr="00BB4596">
        <w:rPr>
          <w:rStyle w:val="Sprotnaopomba-sklic"/>
        </w:rPr>
        <w:t xml:space="preserve"> </w:t>
      </w:r>
      <w:r w:rsidRPr="000235C6">
        <w:rPr>
          <w:rStyle w:val="Sprotnaopomba-sklic"/>
          <w:rFonts w:ascii="Arial" w:hAnsi="Arial"/>
          <w:sz w:val="16"/>
          <w:szCs w:val="16"/>
          <w:vertAlign w:val="baseline"/>
        </w:rPr>
        <w:t>Vključene kmetije in podjetja s KMG-MID-om.</w:t>
      </w:r>
    </w:p>
  </w:footnote>
  <w:footnote w:id="19">
    <w:p w14:paraId="70D2063D" w14:textId="77777777" w:rsidR="006929E9" w:rsidRPr="00BB4596" w:rsidRDefault="006929E9" w:rsidP="000235C6">
      <w:pPr>
        <w:pStyle w:val="Sprotnaopomba-besedilo"/>
        <w:ind w:left="0" w:firstLine="0"/>
        <w:rPr>
          <w:rStyle w:val="Sprotnaopomba-sklic"/>
        </w:rPr>
      </w:pPr>
      <w:r>
        <w:rPr>
          <w:rStyle w:val="Sprotnaopomba-sklic"/>
        </w:rPr>
        <w:footnoteRef/>
      </w:r>
      <w:r w:rsidRPr="00BB4596">
        <w:rPr>
          <w:rStyle w:val="Sprotnaopomba-sklic"/>
        </w:rPr>
        <w:t xml:space="preserve"> </w:t>
      </w:r>
      <w:r w:rsidRPr="000854D1">
        <w:rPr>
          <w:rFonts w:ascii="Arial" w:hAnsi="Arial"/>
          <w:sz w:val="16"/>
          <w:szCs w:val="16"/>
        </w:rPr>
        <w:t xml:space="preserve">KMG, ki ima kmetijska zemljišča v OMD, je glede na težavnostne pogoje kmetovanja točkovano in razdeljeno v razrede (najnižji razred pod 200 točk, najvišji razred nad 800 točk). Višje število točk pomeni težje pogoje kmetovanja. V razredu od 200 do 400 točk se nahaja 43 % vseh KMG, ki so v OMD. </w:t>
      </w:r>
      <w:r w:rsidRPr="00BB4596">
        <w:rPr>
          <w:rStyle w:val="Sprotnaopomba-sklic"/>
        </w:rPr>
        <w:t xml:space="preserve"> </w:t>
      </w:r>
    </w:p>
  </w:footnote>
  <w:footnote w:id="20">
    <w:p w14:paraId="3342AA2B" w14:textId="363B53CE" w:rsidR="006929E9" w:rsidRDefault="006929E9" w:rsidP="002A60EF">
      <w:pPr>
        <w:pStyle w:val="Sprotnaopomba-besedilo"/>
        <w:ind w:left="357"/>
      </w:pPr>
      <w:r>
        <w:rPr>
          <w:rStyle w:val="Sprotnaopomba-sklic"/>
        </w:rPr>
        <w:footnoteRef/>
      </w:r>
      <w:r>
        <w:t xml:space="preserve"> </w:t>
      </w:r>
      <w:r w:rsidRPr="000235C6">
        <w:rPr>
          <w:rFonts w:ascii="Arial" w:hAnsi="Arial"/>
          <w:sz w:val="16"/>
          <w:szCs w:val="16"/>
        </w:rPr>
        <w:t>Sektor govedoreja:</w:t>
      </w:r>
      <w:r>
        <w:t xml:space="preserve"> </w:t>
      </w:r>
      <w:r w:rsidRPr="00842217">
        <w:rPr>
          <w:rFonts w:ascii="Arial" w:hAnsi="Arial"/>
          <w:i/>
          <w:sz w:val="16"/>
          <w:szCs w:val="16"/>
        </w:rPr>
        <w:t>mleko - govedoreja</w:t>
      </w:r>
      <w:r w:rsidRPr="00842217">
        <w:rPr>
          <w:rFonts w:ascii="Arial" w:hAnsi="Arial"/>
          <w:sz w:val="16"/>
          <w:szCs w:val="16"/>
        </w:rPr>
        <w:t xml:space="preserve">: krave molznice in </w:t>
      </w:r>
      <w:r w:rsidRPr="00842217">
        <w:rPr>
          <w:rFonts w:ascii="Arial" w:hAnsi="Arial"/>
          <w:i/>
          <w:sz w:val="16"/>
          <w:szCs w:val="16"/>
        </w:rPr>
        <w:t>pašna živina - govedoreja</w:t>
      </w:r>
      <w:r w:rsidRPr="00842217">
        <w:rPr>
          <w:rFonts w:ascii="Arial" w:hAnsi="Arial"/>
          <w:sz w:val="16"/>
          <w:szCs w:val="16"/>
        </w:rPr>
        <w:t>: krave dojilje; goveji pitanci, reja telet.</w:t>
      </w:r>
      <w:r>
        <w:rPr>
          <w:rFonts w:ascii="Arial" w:hAnsi="Arial"/>
        </w:rPr>
        <w:t xml:space="preserve"> </w:t>
      </w:r>
    </w:p>
  </w:footnote>
  <w:footnote w:id="21">
    <w:p w14:paraId="019DA099" w14:textId="4E3E944C" w:rsidR="006929E9" w:rsidRPr="0037317E" w:rsidRDefault="006929E9" w:rsidP="00797A13">
      <w:pPr>
        <w:pStyle w:val="Sprotnaopomba-besedilo"/>
        <w:ind w:left="357"/>
        <w:rPr>
          <w:rFonts w:ascii="Arial" w:hAnsi="Arial"/>
          <w:sz w:val="16"/>
          <w:szCs w:val="16"/>
        </w:rPr>
      </w:pPr>
      <w:r w:rsidRPr="0037317E">
        <w:rPr>
          <w:rStyle w:val="Sprotnaopomba-sklic"/>
          <w:rFonts w:ascii="Arial" w:hAnsi="Arial"/>
        </w:rPr>
        <w:footnoteRef/>
      </w:r>
      <w:r w:rsidRPr="0037317E">
        <w:rPr>
          <w:rFonts w:ascii="Arial" w:hAnsi="Arial"/>
        </w:rPr>
        <w:t xml:space="preserve"> </w:t>
      </w:r>
      <w:r w:rsidRPr="0037317E">
        <w:rPr>
          <w:rFonts w:ascii="Arial" w:hAnsi="Arial"/>
          <w:sz w:val="16"/>
          <w:szCs w:val="16"/>
        </w:rPr>
        <w:t xml:space="preserve">Vrednosti vključujejo davek na dodano vrednost (DDV). </w:t>
      </w:r>
    </w:p>
  </w:footnote>
  <w:footnote w:id="22">
    <w:p w14:paraId="7E0F8E6C" w14:textId="77777777" w:rsidR="006929E9" w:rsidRPr="0037317E" w:rsidRDefault="006929E9" w:rsidP="000000B3">
      <w:pPr>
        <w:pStyle w:val="Sprotnaopomba-besedilo"/>
        <w:ind w:left="357"/>
        <w:rPr>
          <w:rFonts w:ascii="Arial" w:hAnsi="Arial"/>
          <w:sz w:val="16"/>
          <w:szCs w:val="16"/>
        </w:rPr>
      </w:pPr>
      <w:r w:rsidRPr="0037317E">
        <w:rPr>
          <w:rStyle w:val="Sprotnaopomba-sklic"/>
          <w:rFonts w:ascii="Arial" w:hAnsi="Arial"/>
        </w:rPr>
        <w:footnoteRef/>
      </w:r>
      <w:r w:rsidRPr="0037317E">
        <w:rPr>
          <w:rFonts w:ascii="Arial" w:hAnsi="Arial"/>
        </w:rPr>
        <w:t xml:space="preserve"> </w:t>
      </w:r>
      <w:r w:rsidRPr="0037317E">
        <w:rPr>
          <w:rFonts w:ascii="Arial" w:hAnsi="Arial"/>
          <w:sz w:val="16"/>
          <w:szCs w:val="16"/>
        </w:rPr>
        <w:t xml:space="preserve">Vrednosti vključujejo davek na dodano vrednost (DDV). </w:t>
      </w:r>
    </w:p>
  </w:footnote>
  <w:footnote w:id="23">
    <w:p w14:paraId="1F86F064" w14:textId="77777777" w:rsidR="006929E9" w:rsidRDefault="006929E9" w:rsidP="00E250CA">
      <w:pPr>
        <w:pStyle w:val="Sprotnaopomba-besedilo"/>
        <w:ind w:left="0" w:firstLine="0"/>
      </w:pPr>
      <w:r w:rsidRPr="00E250CA">
        <w:rPr>
          <w:rStyle w:val="Sprotnaopomba-sklic"/>
          <w:rFonts w:ascii="Arial" w:hAnsi="Arial"/>
          <w:sz w:val="16"/>
        </w:rPr>
        <w:footnoteRef/>
      </w:r>
      <w:r w:rsidRPr="00E250CA">
        <w:rPr>
          <w:rFonts w:ascii="Arial" w:hAnsi="Arial"/>
          <w:sz w:val="16"/>
        </w:rPr>
        <w:t xml:space="preserve"> Kmetijska gospodarstva, ki so organizirana kot pravna oseba</w:t>
      </w:r>
      <w:r>
        <w:rPr>
          <w:rFonts w:ascii="Arial" w:hAnsi="Arial"/>
          <w:sz w:val="16"/>
        </w:rPr>
        <w:t xml:space="preserve"> ali samostojni podjetnik posameznik</w:t>
      </w:r>
      <w:r w:rsidRPr="00E250CA">
        <w:rPr>
          <w:rFonts w:ascii="Arial" w:hAnsi="Arial"/>
          <w:sz w:val="16"/>
        </w:rPr>
        <w:t>, so podvržen</w:t>
      </w:r>
      <w:r>
        <w:rPr>
          <w:rFonts w:ascii="Arial" w:hAnsi="Arial"/>
          <w:sz w:val="16"/>
        </w:rPr>
        <w:t>i</w:t>
      </w:r>
      <w:r w:rsidRPr="00E250CA">
        <w:rPr>
          <w:rFonts w:ascii="Arial" w:hAnsi="Arial"/>
          <w:sz w:val="16"/>
        </w:rPr>
        <w:t xml:space="preserve"> vodenju knjig</w:t>
      </w:r>
      <w:r>
        <w:rPr>
          <w:rFonts w:ascii="Arial" w:hAnsi="Arial"/>
          <w:sz w:val="16"/>
        </w:rPr>
        <w:t>ovodstva</w:t>
      </w:r>
      <w:r w:rsidRPr="00E250CA">
        <w:rPr>
          <w:rFonts w:ascii="Arial" w:hAnsi="Arial"/>
          <w:sz w:val="16"/>
        </w:rPr>
        <w:t xml:space="preserve">, tako kot </w:t>
      </w:r>
      <w:r>
        <w:rPr>
          <w:rFonts w:ascii="Arial" w:hAnsi="Arial"/>
          <w:sz w:val="16"/>
        </w:rPr>
        <w:t xml:space="preserve">vsi </w:t>
      </w:r>
      <w:r w:rsidRPr="00E250CA">
        <w:rPr>
          <w:rFonts w:ascii="Arial" w:hAnsi="Arial"/>
          <w:sz w:val="16"/>
        </w:rPr>
        <w:t>ostali gospodarski subjekti.</w:t>
      </w:r>
      <w:r>
        <w:rPr>
          <w:rFonts w:ascii="Arial" w:hAnsi="Arial"/>
          <w:sz w:val="16"/>
        </w:rPr>
        <w:t xml:space="preserve"> Kmetije, katerih nosilci so fizične osebe, pa niso dolžne voditi knjig po slovenski zakonodaji.</w:t>
      </w:r>
    </w:p>
  </w:footnote>
  <w:footnote w:id="24">
    <w:p w14:paraId="16C0EBB8" w14:textId="77777777" w:rsidR="006929E9" w:rsidRPr="00E250CA" w:rsidRDefault="006929E9" w:rsidP="00E250CA">
      <w:pPr>
        <w:pStyle w:val="Sprotnaopomba-besedilo"/>
        <w:ind w:left="0" w:firstLine="0"/>
      </w:pPr>
      <w:r w:rsidRPr="00E250CA">
        <w:rPr>
          <w:rStyle w:val="Sprotnaopomba-sklic"/>
          <w:rFonts w:ascii="Arial" w:hAnsi="Arial"/>
          <w:sz w:val="16"/>
        </w:rPr>
        <w:footnoteRef/>
      </w:r>
      <w:r>
        <w:t xml:space="preserve"> </w:t>
      </w:r>
      <w:r w:rsidRPr="00E250CA">
        <w:rPr>
          <w:rFonts w:ascii="Arial" w:hAnsi="Arial"/>
          <w:sz w:val="16"/>
        </w:rPr>
        <w:t>Davčni zavezanec, ki dobavlja blago in storitve v okviru osnovne kmetijske in osnovne gozdarske dejavnosti, kot ju določajo predpisi o dohodnini, je oproščen obračunavanja DDV, če se zanjo dohodek ne ugotavlja na podlagi dejanskih prihodkov in odhodkov ali dejanskih prihodkov in normiranih odhodkov in, če katastrski dohodek vseh članov kmečkega gospodinjstva za zadnje koledarsko leto ne presega 7.500 evrov.</w:t>
      </w:r>
      <w:r>
        <w:rPr>
          <w:rFonts w:ascii="Arial" w:hAnsi="Arial"/>
          <w:sz w:val="16"/>
        </w:rPr>
        <w:t xml:space="preserve"> Vir: FURS, </w:t>
      </w:r>
      <w:hyperlink r:id="rId3" w:history="1">
        <w:r w:rsidRPr="008C7895">
          <w:rPr>
            <w:rStyle w:val="Hiperpovezava"/>
            <w:rFonts w:ascii="Arial" w:hAnsi="Arial"/>
            <w:sz w:val="16"/>
          </w:rPr>
          <w:t>https://www.fu.gov.si/davki_in_druge_dajatve/podrocja/davek_na_dodano_vrednost_ddv/</w:t>
        </w:r>
      </w:hyperlink>
      <w:r>
        <w:rPr>
          <w:rFonts w:ascii="Arial" w:hAnsi="Arial"/>
          <w:sz w:val="16"/>
        </w:rPr>
        <w:t xml:space="preserve"> </w:t>
      </w:r>
    </w:p>
  </w:footnote>
  <w:footnote w:id="25">
    <w:p w14:paraId="3CBDDEE2" w14:textId="77777777" w:rsidR="006929E9" w:rsidRDefault="006929E9" w:rsidP="004E2B93">
      <w:pPr>
        <w:pStyle w:val="Sprotnaopomba-besedilo"/>
        <w:ind w:left="0" w:firstLine="0"/>
      </w:pPr>
      <w:r w:rsidRPr="0071006D">
        <w:rPr>
          <w:rStyle w:val="Sprotnaopomba-sklic"/>
          <w:rFonts w:ascii="Arial" w:hAnsi="Arial"/>
          <w:sz w:val="16"/>
          <w:szCs w:val="16"/>
        </w:rPr>
        <w:footnoteRef/>
      </w:r>
      <w:r>
        <w:t xml:space="preserve"> </w:t>
      </w:r>
      <w:r w:rsidRPr="00BC1C56">
        <w:rPr>
          <w:rFonts w:ascii="Arial" w:hAnsi="Arial"/>
          <w:sz w:val="16"/>
          <w:szCs w:val="16"/>
        </w:rPr>
        <w:t xml:space="preserve">V živilskopredelovalno industrijo je zajeta proizvodnja živil (C10), pijač (C11) in tobačnih izdelkov (C12), pri čemer v Sloveniji ni proizvodnje tobačnih </w:t>
      </w:r>
      <w:r w:rsidRPr="0047652B">
        <w:rPr>
          <w:rFonts w:ascii="Arial" w:hAnsi="Arial"/>
          <w:sz w:val="16"/>
          <w:szCs w:val="16"/>
        </w:rPr>
        <w:t>izdelkov</w:t>
      </w:r>
      <w:r w:rsidRPr="00BC1C56">
        <w:rPr>
          <w:rFonts w:ascii="Arial" w:hAnsi="Arial"/>
          <w:sz w:val="16"/>
          <w:szCs w:val="16"/>
        </w:rPr>
        <w:t>.</w:t>
      </w:r>
    </w:p>
  </w:footnote>
  <w:footnote w:id="26">
    <w:p w14:paraId="2BF49206" w14:textId="3FCE6E57" w:rsidR="006929E9" w:rsidRPr="00C36861" w:rsidRDefault="006929E9" w:rsidP="003406B9">
      <w:pPr>
        <w:pStyle w:val="Sprotnaopomba-besedilo"/>
        <w:spacing w:before="0" w:line="240" w:lineRule="auto"/>
        <w:ind w:left="0" w:firstLine="0"/>
        <w:rPr>
          <w:rFonts w:ascii="Arial" w:hAnsi="Arial"/>
          <w:sz w:val="16"/>
          <w:szCs w:val="16"/>
        </w:rPr>
      </w:pPr>
      <w:r>
        <w:rPr>
          <w:rStyle w:val="Sprotnaopomba-sklic"/>
        </w:rPr>
        <w:footnoteRef/>
      </w:r>
      <w:r>
        <w:t xml:space="preserve"> </w:t>
      </w:r>
      <w:r w:rsidRPr="001261D8">
        <w:rPr>
          <w:rFonts w:ascii="Arial" w:hAnsi="Arial"/>
          <w:sz w:val="16"/>
          <w:szCs w:val="16"/>
        </w:rPr>
        <w:t xml:space="preserve">Vir: Register kmetijskih gospodarstev. </w:t>
      </w:r>
    </w:p>
  </w:footnote>
  <w:footnote w:id="27">
    <w:p w14:paraId="4612C4D6" w14:textId="77777777" w:rsidR="006929E9" w:rsidRPr="008375EC" w:rsidRDefault="006929E9" w:rsidP="00672A7B">
      <w:pPr>
        <w:pStyle w:val="Sprotnaopomba-besedilo"/>
        <w:spacing w:before="0" w:line="240" w:lineRule="auto"/>
        <w:ind w:left="0" w:firstLine="0"/>
        <w:rPr>
          <w:rFonts w:ascii="Arial" w:hAnsi="Arial"/>
        </w:rPr>
      </w:pPr>
      <w:r>
        <w:rPr>
          <w:rStyle w:val="Sprotnaopomba-sklic"/>
        </w:rPr>
        <w:footnoteRef/>
      </w:r>
      <w:r>
        <w:t xml:space="preserve"> </w:t>
      </w:r>
      <w:r w:rsidRPr="00F66C90">
        <w:rPr>
          <w:rFonts w:ascii="Arial" w:hAnsi="Arial"/>
          <w:sz w:val="16"/>
        </w:rPr>
        <w:t>Akcijski načrt za povečanje konkurenčnosti gozdno-lesne verige v Sloveniji do leta 2020 »Les je lep«.</w:t>
      </w:r>
    </w:p>
  </w:footnote>
  <w:footnote w:id="28">
    <w:p w14:paraId="5BCFA78C" w14:textId="77777777" w:rsidR="006929E9" w:rsidRPr="00F67DAC" w:rsidRDefault="006929E9" w:rsidP="00C36861">
      <w:pPr>
        <w:pStyle w:val="Sprotnaopomba-besedilo"/>
        <w:ind w:left="0" w:firstLine="0"/>
        <w:rPr>
          <w:rFonts w:ascii="Arial" w:hAnsi="Arial"/>
        </w:rPr>
      </w:pPr>
      <w:r w:rsidRPr="00F67DAC">
        <w:rPr>
          <w:rStyle w:val="Sprotnaopomba-sklic"/>
          <w:rFonts w:ascii="Arial" w:hAnsi="Arial"/>
        </w:rPr>
        <w:footnoteRef/>
      </w:r>
      <w:r w:rsidRPr="00F67DAC">
        <w:rPr>
          <w:rFonts w:ascii="Arial" w:hAnsi="Arial"/>
        </w:rPr>
        <w:t xml:space="preserve"> </w:t>
      </w:r>
      <w:r w:rsidRPr="00791B01">
        <w:rPr>
          <w:rFonts w:ascii="Arial" w:hAnsi="Arial"/>
          <w:sz w:val="16"/>
          <w:szCs w:val="16"/>
        </w:rPr>
        <w:t>P</w:t>
      </w:r>
      <w:r w:rsidRPr="009F3567">
        <w:rPr>
          <w:rFonts w:ascii="Arial" w:hAnsi="Arial"/>
          <w:sz w:val="16"/>
        </w:rPr>
        <w:t>odukrep 7.3 Podpora za širokopasovno infrastrukturo, vključno z njeno vzpostavitvijo, izboljšanjem in razširitvijo, pasivno širokopasovno infrastrukturo ter zagotavljanjem dostopa do širokopasovnega interneta in rešitev v zvezi z e-upravo.</w:t>
      </w:r>
    </w:p>
  </w:footnote>
  <w:footnote w:id="29">
    <w:p w14:paraId="2F9EF248" w14:textId="37DECC20" w:rsidR="006929E9" w:rsidRPr="00E155C1" w:rsidRDefault="006929E9" w:rsidP="00E155C1">
      <w:pPr>
        <w:pStyle w:val="Sprotnaopomba-besedilo"/>
        <w:ind w:left="0" w:firstLine="0"/>
        <w:rPr>
          <w:rFonts w:ascii="Arial" w:hAnsi="Arial"/>
          <w:sz w:val="18"/>
        </w:rPr>
      </w:pPr>
      <w:r w:rsidRPr="00E155C1">
        <w:rPr>
          <w:rStyle w:val="Sprotnaopomba-sklic"/>
          <w:rFonts w:ascii="Arial" w:hAnsi="Arial"/>
          <w:sz w:val="18"/>
        </w:rPr>
        <w:footnoteRef/>
      </w:r>
      <w:r w:rsidRPr="00E155C1">
        <w:rPr>
          <w:rFonts w:ascii="Arial" w:hAnsi="Arial"/>
          <w:sz w:val="18"/>
        </w:rPr>
        <w:t xml:space="preserve"> Juvančič et al (2021)  Premostitev vrzeli v biogospodarstvu: od gozdne in kmetijske biomase do inovativnih tehnoloških rešitev. Dostopno na: </w:t>
      </w:r>
      <w:hyperlink r:id="rId4" w:history="1">
        <w:r w:rsidRPr="00E155C1">
          <w:rPr>
            <w:rStyle w:val="Hiperpovezava"/>
            <w:rFonts w:ascii="Arial" w:hAnsi="Arial"/>
            <w:sz w:val="18"/>
          </w:rPr>
          <w:t>https://www.gov.si/assets/ministrstva/MKGP/PODROCJA/NOVICE/CRP-V4-1824-Bridge2Bio-Zakljucno-porocilo-stisnjeno.pdf</w:t>
        </w:r>
      </w:hyperlink>
      <w:r>
        <w:rPr>
          <w:rFonts w:ascii="Arial" w:hAnsi="Arial"/>
          <w:sz w:val="18"/>
        </w:rPr>
        <w:t xml:space="preserve"> </w:t>
      </w:r>
    </w:p>
    <w:p w14:paraId="2A96913F" w14:textId="77777777" w:rsidR="006929E9" w:rsidRDefault="006929E9" w:rsidP="005A0031">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1049"/>
        </w:tabs>
        <w:ind w:left="1332" w:hanging="283"/>
      </w:pPr>
      <w:rPr>
        <w:rFonts w:ascii="Symbol" w:eastAsia="Symbol" w:hAnsi="Symbol"/>
        <w:w w:val="100"/>
        <w:sz w:val="20"/>
        <w:szCs w:val="20"/>
        <w:shd w:val="clear" w:color="auto" w:fill="auto"/>
      </w:rPr>
    </w:lvl>
    <w:lvl w:ilvl="1" w:tplc="4E04828E">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2" w:tplc="238E8172">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3" w:tplc="4F584F90">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4" w:tplc="D8B8A9C6">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5" w:tplc="AA8EA6C6">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6" w:tplc="96CA3FEA">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7" w:tplc="3E362ED8">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8" w:tplc="76D437B2">
      <w:start w:val="1"/>
      <w:numFmt w:val="bullet"/>
      <w:lvlText w:val="·"/>
      <w:lvlJc w:val="left"/>
      <w:pPr>
        <w:tabs>
          <w:tab w:val="left" w:pos="1049"/>
        </w:tabs>
        <w:ind w:left="1332"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CD62DDFA"/>
    <w:lvl w:ilvl="0">
      <w:start w:val="1"/>
      <w:numFmt w:val="decimal"/>
      <w:lvlText w:val="%1."/>
      <w:lvlJc w:val="left"/>
      <w:pPr>
        <w:tabs>
          <w:tab w:val="left" w:pos="0"/>
        </w:tabs>
        <w:ind w:left="480" w:hanging="480"/>
      </w:pPr>
    </w:lvl>
    <w:lvl w:ilvl="1">
      <w:start w:val="1"/>
      <w:numFmt w:val="decimal"/>
      <w:lvlText w:val="%1.%2."/>
      <w:lvlJc w:val="left"/>
      <w:pPr>
        <w:tabs>
          <w:tab w:val="left" w:pos="0"/>
        </w:tabs>
        <w:ind w:left="600" w:hanging="600"/>
      </w:pPr>
      <w:rPr>
        <w:b/>
      </w:rPr>
    </w:lvl>
    <w:lvl w:ilvl="2">
      <w:start w:val="1"/>
      <w:numFmt w:val="decimal"/>
      <w:lvlText w:val="%1.%2.%3."/>
      <w:lvlJc w:val="left"/>
      <w:pPr>
        <w:tabs>
          <w:tab w:val="left" w:pos="360"/>
        </w:tabs>
        <w:ind w:left="1200" w:hanging="840"/>
      </w:pPr>
      <w:rPr>
        <w:w w:val="100"/>
        <w:sz w:val="22"/>
        <w:szCs w:val="24"/>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0000047"/>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48"/>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683379"/>
    <w:multiLevelType w:val="hybridMultilevel"/>
    <w:tmpl w:val="D0200188"/>
    <w:lvl w:ilvl="0" w:tplc="1082BBEE">
      <w:start w:val="1"/>
      <w:numFmt w:val="bullet"/>
      <w:pStyle w:val="SLIK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1CB6735"/>
    <w:multiLevelType w:val="hybridMultilevel"/>
    <w:tmpl w:val="6FEC338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02465DF5"/>
    <w:multiLevelType w:val="hybridMultilevel"/>
    <w:tmpl w:val="A0404D5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0297060B"/>
    <w:multiLevelType w:val="hybridMultilevel"/>
    <w:tmpl w:val="258A7EF6"/>
    <w:lvl w:ilvl="0" w:tplc="48C625DC">
      <w:numFmt w:val="bullet"/>
      <w:lvlText w:val="-"/>
      <w:lvlJc w:val="left"/>
      <w:pPr>
        <w:ind w:left="1068" w:hanging="360"/>
      </w:pPr>
      <w:rPr>
        <w:rFonts w:ascii="Arial" w:eastAsiaTheme="minorEastAsia"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7" w15:restartNumberingAfterBreak="0">
    <w:nsid w:val="032F585F"/>
    <w:multiLevelType w:val="hybridMultilevel"/>
    <w:tmpl w:val="4B623D0E"/>
    <w:lvl w:ilvl="0" w:tplc="41BC348C">
      <w:start w:val="2"/>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3A039A2"/>
    <w:multiLevelType w:val="hybridMultilevel"/>
    <w:tmpl w:val="B37AFCDE"/>
    <w:lvl w:ilvl="0" w:tplc="5FE43522">
      <w:start w:val="1"/>
      <w:numFmt w:val="decimal"/>
      <w:lvlText w:val="4.%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052464AC"/>
    <w:multiLevelType w:val="hybridMultilevel"/>
    <w:tmpl w:val="F8CC4286"/>
    <w:lvl w:ilvl="0" w:tplc="5FE43522">
      <w:start w:val="1"/>
      <w:numFmt w:val="decimal"/>
      <w:lvlText w:val="4.%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058B50B3"/>
    <w:multiLevelType w:val="hybridMultilevel"/>
    <w:tmpl w:val="4790EF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5E37308"/>
    <w:multiLevelType w:val="hybridMultilevel"/>
    <w:tmpl w:val="5446786E"/>
    <w:lvl w:ilvl="0" w:tplc="E4983186">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06A51518"/>
    <w:multiLevelType w:val="multilevel"/>
    <w:tmpl w:val="BF60488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06AB731F"/>
    <w:multiLevelType w:val="multilevel"/>
    <w:tmpl w:val="A156CE5E"/>
    <w:numStyleLink w:val="CILJ2NOV"/>
  </w:abstractNum>
  <w:abstractNum w:abstractNumId="34" w15:restartNumberingAfterBreak="0">
    <w:nsid w:val="06C035F4"/>
    <w:multiLevelType w:val="hybridMultilevel"/>
    <w:tmpl w:val="35FC5708"/>
    <w:lvl w:ilvl="0" w:tplc="C2CA52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084F6D3C"/>
    <w:multiLevelType w:val="hybridMultilevel"/>
    <w:tmpl w:val="DB90C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0875192D"/>
    <w:multiLevelType w:val="hybridMultilevel"/>
    <w:tmpl w:val="334E8050"/>
    <w:lvl w:ilvl="0" w:tplc="04240005">
      <w:start w:val="1"/>
      <w:numFmt w:val="bullet"/>
      <w:lvlText w:val=""/>
      <w:lvlJc w:val="left"/>
      <w:pPr>
        <w:ind w:left="717" w:hanging="360"/>
      </w:pPr>
      <w:rPr>
        <w:rFonts w:ascii="Wingdings" w:hAnsi="Wingdings"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37" w15:restartNumberingAfterBreak="0">
    <w:nsid w:val="08C478A0"/>
    <w:multiLevelType w:val="hybridMultilevel"/>
    <w:tmpl w:val="D206DAE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08DF0F38"/>
    <w:multiLevelType w:val="hybridMultilevel"/>
    <w:tmpl w:val="20F81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0" w15:restartNumberingAfterBreak="0">
    <w:nsid w:val="0FD22E0C"/>
    <w:multiLevelType w:val="hybridMultilevel"/>
    <w:tmpl w:val="A0926D56"/>
    <w:lvl w:ilvl="0" w:tplc="2EF61C1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0E96B6B"/>
    <w:multiLevelType w:val="multilevel"/>
    <w:tmpl w:val="8B526678"/>
    <w:lvl w:ilvl="0">
      <w:start w:val="1"/>
      <w:numFmt w:val="bullet"/>
      <w:lvlText w:val=""/>
      <w:lvlJc w:val="left"/>
      <w:pPr>
        <w:ind w:left="360" w:hanging="360"/>
      </w:pPr>
      <w:rPr>
        <w:rFonts w:ascii="Symbol" w:hAnsi="Symbol" w:hint="default"/>
      </w:rPr>
    </w:lvl>
    <w:lvl w:ilvl="1">
      <w:start w:val="4"/>
      <w:numFmt w:val="decimal"/>
      <w:isLgl/>
      <w:lvlText w:val="%1.%2"/>
      <w:lvlJc w:val="left"/>
      <w:pPr>
        <w:ind w:left="360" w:hanging="360"/>
      </w:pPr>
      <w:rPr>
        <w:rFonts w:hint="default"/>
        <w:color w:val="0070C0"/>
      </w:rPr>
    </w:lvl>
    <w:lvl w:ilvl="2">
      <w:start w:val="1"/>
      <w:numFmt w:val="decimal"/>
      <w:isLgl/>
      <w:lvlText w:val="%1.%2.%3"/>
      <w:lvlJc w:val="left"/>
      <w:pPr>
        <w:ind w:left="720" w:hanging="720"/>
      </w:pPr>
      <w:rPr>
        <w:rFonts w:hint="default"/>
        <w:color w:val="0070C0"/>
      </w:rPr>
    </w:lvl>
    <w:lvl w:ilvl="3">
      <w:start w:val="1"/>
      <w:numFmt w:val="decimal"/>
      <w:isLgl/>
      <w:lvlText w:val="%1.%2.%3.%4"/>
      <w:lvlJc w:val="left"/>
      <w:pPr>
        <w:ind w:left="720" w:hanging="72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080" w:hanging="108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440" w:hanging="144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42" w15:restartNumberingAfterBreak="0">
    <w:nsid w:val="11261270"/>
    <w:multiLevelType w:val="multilevel"/>
    <w:tmpl w:val="47340A8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18B2440"/>
    <w:multiLevelType w:val="multilevel"/>
    <w:tmpl w:val="9A7AC98E"/>
    <w:styleLink w:val="Slog2"/>
    <w:lvl w:ilvl="0">
      <w:start w:val="1"/>
      <w:numFmt w:val="decimal"/>
      <w:lvlText w:val="%1."/>
      <w:lvlJc w:val="left"/>
      <w:pPr>
        <w:ind w:left="2880" w:hanging="360"/>
      </w:pPr>
      <w:rPr>
        <w:rFonts w:ascii="Arial" w:hAnsi="Arial" w:hint="default"/>
        <w:b/>
        <w:i w:val="0"/>
        <w:sz w:val="20"/>
      </w:rPr>
    </w:lvl>
    <w:lvl w:ilvl="1">
      <w:start w:val="1"/>
      <w:numFmt w:val="decimal"/>
      <w:lvlText w:val="%1.%2"/>
      <w:lvlJc w:val="left"/>
      <w:pPr>
        <w:ind w:left="3600" w:hanging="360"/>
      </w:pPr>
      <w:rPr>
        <w:rFonts w:hint="default"/>
      </w:rPr>
    </w:lvl>
    <w:lvl w:ilvl="2">
      <w:start w:val="1"/>
      <w:numFmt w:val="decimal"/>
      <w:lvlText w:val="%1.%2.%3"/>
      <w:lvlJc w:val="right"/>
      <w:pPr>
        <w:ind w:left="4320" w:hanging="180"/>
      </w:pPr>
      <w:rPr>
        <w:rFonts w:hint="default"/>
      </w:rPr>
    </w:lvl>
    <w:lvl w:ilvl="3">
      <w:start w:val="1"/>
      <w:numFmt w:val="decimal"/>
      <w:lvlText w:val="%1.%2.%3.%4"/>
      <w:lvlJc w:val="left"/>
      <w:pPr>
        <w:ind w:left="4608"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44" w15:restartNumberingAfterBreak="0">
    <w:nsid w:val="11EA6280"/>
    <w:multiLevelType w:val="hybridMultilevel"/>
    <w:tmpl w:val="0A70C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612530B"/>
    <w:multiLevelType w:val="hybridMultilevel"/>
    <w:tmpl w:val="4DA6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434081"/>
    <w:multiLevelType w:val="hybridMultilevel"/>
    <w:tmpl w:val="85E8A5DC"/>
    <w:lvl w:ilvl="0" w:tplc="8DDE07E6">
      <w:start w:val="1"/>
      <w:numFmt w:val="decimal"/>
      <w:lvlText w:val="7.%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16A73272"/>
    <w:multiLevelType w:val="hybridMultilevel"/>
    <w:tmpl w:val="F9281C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7531234"/>
    <w:multiLevelType w:val="multilevel"/>
    <w:tmpl w:val="A156CE5E"/>
    <w:numStyleLink w:val="CILJ2NOV"/>
  </w:abstractNum>
  <w:abstractNum w:abstractNumId="49" w15:restartNumberingAfterBreak="0">
    <w:nsid w:val="17DF7DCC"/>
    <w:multiLevelType w:val="hybridMultilevel"/>
    <w:tmpl w:val="BAEC97A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0" w15:restartNumberingAfterBreak="0">
    <w:nsid w:val="18286F67"/>
    <w:multiLevelType w:val="hybridMultilevel"/>
    <w:tmpl w:val="F5E4ACD2"/>
    <w:lvl w:ilvl="0" w:tplc="5358AA64">
      <w:start w:val="1"/>
      <w:numFmt w:val="bullet"/>
      <w:lvlText w:val=""/>
      <w:lvlJc w:val="left"/>
      <w:pPr>
        <w:ind w:left="720" w:hanging="360"/>
      </w:pPr>
      <w:rPr>
        <w:rFonts w:ascii="Symbol" w:hAnsi="Symbol" w:hint="default"/>
      </w:rPr>
    </w:lvl>
    <w:lvl w:ilvl="1" w:tplc="A0F2115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18BE6E81"/>
    <w:multiLevelType w:val="hybridMultilevel"/>
    <w:tmpl w:val="C1A0B9E8"/>
    <w:lvl w:ilvl="0" w:tplc="C466FA20">
      <w:start w:val="1"/>
      <w:numFmt w:val="bullet"/>
      <w:lvlText w:val=""/>
      <w:lvlJc w:val="left"/>
      <w:pPr>
        <w:ind w:left="360" w:hanging="360"/>
      </w:pPr>
      <w:rPr>
        <w:rFonts w:ascii="Symbol" w:hAnsi="Symbol" w:hint="default"/>
      </w:rPr>
    </w:lvl>
    <w:lvl w:ilvl="1" w:tplc="6B5E4D34">
      <w:start w:val="1"/>
      <w:numFmt w:val="bullet"/>
      <w:lvlText w:val="-"/>
      <w:lvlJc w:val="left"/>
      <w:pPr>
        <w:ind w:left="1080" w:hanging="360"/>
      </w:pPr>
      <w:rPr>
        <w:rFonts w:ascii="Arial" w:eastAsiaTheme="majorEastAsia"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1A5C6AC0"/>
    <w:multiLevelType w:val="hybridMultilevel"/>
    <w:tmpl w:val="CACA3A22"/>
    <w:lvl w:ilvl="0" w:tplc="A720F7AA">
      <w:start w:val="1"/>
      <w:numFmt w:val="decimal"/>
      <w:lvlText w:val="6.%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1AB82EBE"/>
    <w:multiLevelType w:val="hybridMultilevel"/>
    <w:tmpl w:val="F844F9BA"/>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BBA773F"/>
    <w:multiLevelType w:val="hybridMultilevel"/>
    <w:tmpl w:val="087A94CC"/>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C675DC8"/>
    <w:multiLevelType w:val="hybridMultilevel"/>
    <w:tmpl w:val="F4D88DA6"/>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1D272948"/>
    <w:multiLevelType w:val="multilevel"/>
    <w:tmpl w:val="776E122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color w:val="0070C0"/>
      </w:rPr>
    </w:lvl>
    <w:lvl w:ilvl="2">
      <w:start w:val="1"/>
      <w:numFmt w:val="decimal"/>
      <w:isLgl/>
      <w:lvlText w:val="%1.%2.%3"/>
      <w:lvlJc w:val="left"/>
      <w:pPr>
        <w:ind w:left="720" w:hanging="720"/>
      </w:pPr>
      <w:rPr>
        <w:rFonts w:hint="default"/>
        <w:color w:val="0070C0"/>
      </w:rPr>
    </w:lvl>
    <w:lvl w:ilvl="3">
      <w:start w:val="1"/>
      <w:numFmt w:val="decimal"/>
      <w:isLgl/>
      <w:lvlText w:val="%1.%2.%3.%4"/>
      <w:lvlJc w:val="left"/>
      <w:pPr>
        <w:ind w:left="720" w:hanging="72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080" w:hanging="108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440" w:hanging="144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59" w15:restartNumberingAfterBreak="0">
    <w:nsid w:val="1D5754A3"/>
    <w:multiLevelType w:val="hybridMultilevel"/>
    <w:tmpl w:val="7422B81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DF626CC"/>
    <w:multiLevelType w:val="hybridMultilevel"/>
    <w:tmpl w:val="27DA552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1" w15:restartNumberingAfterBreak="0">
    <w:nsid w:val="1E792CFF"/>
    <w:multiLevelType w:val="hybridMultilevel"/>
    <w:tmpl w:val="EFE8297A"/>
    <w:lvl w:ilvl="0" w:tplc="A1BC1C40">
      <w:start w:val="1"/>
      <w:numFmt w:val="decimal"/>
      <w:pStyle w:val="TABELA"/>
      <w:lvlText w:val="Tabela %1:"/>
      <w:lvlJc w:val="left"/>
      <w:pPr>
        <w:ind w:left="360" w:hanging="72"/>
      </w:pPr>
      <w:rPr>
        <w:rFonts w:ascii="Times New Roman" w:hAnsi="Times New Roman" w:hint="default"/>
        <w:b w:val="0"/>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07E31F9"/>
    <w:multiLevelType w:val="hybridMultilevel"/>
    <w:tmpl w:val="C6BC9EB6"/>
    <w:lvl w:ilvl="0" w:tplc="6D0CDF88">
      <w:start w:val="1"/>
      <w:numFmt w:val="bullet"/>
      <w:lvlText w:val=""/>
      <w:lvlJc w:val="left"/>
      <w:pPr>
        <w:ind w:left="360" w:hanging="360"/>
      </w:pPr>
      <w:rPr>
        <w:rFonts w:ascii="Symbol" w:hAnsi="Symbol" w:hint="default"/>
        <w:color w:val="000000" w:themeColor="text1"/>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09F37AC"/>
    <w:multiLevelType w:val="multilevel"/>
    <w:tmpl w:val="B6CAF8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1BC5F35"/>
    <w:multiLevelType w:val="hybridMultilevel"/>
    <w:tmpl w:val="FACAD1C6"/>
    <w:lvl w:ilvl="0" w:tplc="0AAEF9D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23970D75"/>
    <w:multiLevelType w:val="hybridMultilevel"/>
    <w:tmpl w:val="CD9A44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3D010E4"/>
    <w:multiLevelType w:val="hybridMultilevel"/>
    <w:tmpl w:val="5E4847F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24157EB6"/>
    <w:multiLevelType w:val="multilevel"/>
    <w:tmpl w:val="04240025"/>
    <w:lvl w:ilvl="0">
      <w:start w:val="1"/>
      <w:numFmt w:val="decimal"/>
      <w:lvlText w:val="%1"/>
      <w:lvlJc w:val="left"/>
      <w:pPr>
        <w:ind w:left="432" w:hanging="432"/>
      </w:pPr>
    </w:lvl>
    <w:lvl w:ilvl="1">
      <w:start w:val="1"/>
      <w:numFmt w:val="decimal"/>
      <w:lvlText w:val="%1.%2"/>
      <w:lvlJc w:val="left"/>
      <w:pPr>
        <w:ind w:left="27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24225E81"/>
    <w:multiLevelType w:val="hybridMultilevel"/>
    <w:tmpl w:val="6F3E11C4"/>
    <w:lvl w:ilvl="0" w:tplc="5358AA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248A0352"/>
    <w:multiLevelType w:val="multilevel"/>
    <w:tmpl w:val="07A8F6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5560B14"/>
    <w:multiLevelType w:val="hybridMultilevel"/>
    <w:tmpl w:val="575CDA1E"/>
    <w:lvl w:ilvl="0" w:tplc="FEBAB542">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71" w15:restartNumberingAfterBreak="0">
    <w:nsid w:val="25A0166E"/>
    <w:multiLevelType w:val="hybridMultilevel"/>
    <w:tmpl w:val="4B7E8FE6"/>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26C0505B"/>
    <w:multiLevelType w:val="hybridMultilevel"/>
    <w:tmpl w:val="5CEEB0BC"/>
    <w:lvl w:ilvl="0" w:tplc="862A74C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279B288E"/>
    <w:multiLevelType w:val="hybridMultilevel"/>
    <w:tmpl w:val="31121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614ACB"/>
    <w:multiLevelType w:val="multilevel"/>
    <w:tmpl w:val="A156CE5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28FB5424"/>
    <w:multiLevelType w:val="hybridMultilevel"/>
    <w:tmpl w:val="F0C07586"/>
    <w:lvl w:ilvl="0" w:tplc="C466FA20">
      <w:start w:val="1"/>
      <w:numFmt w:val="bullet"/>
      <w:lvlText w:val=""/>
      <w:lvlJc w:val="left"/>
      <w:pPr>
        <w:ind w:left="720" w:hanging="360"/>
      </w:pPr>
      <w:rPr>
        <w:rFonts w:ascii="Symbol" w:hAnsi="Symbol" w:hint="default"/>
      </w:rPr>
    </w:lvl>
    <w:lvl w:ilvl="1" w:tplc="F8E40F7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293502FB"/>
    <w:multiLevelType w:val="multilevel"/>
    <w:tmpl w:val="73D07722"/>
    <w:styleLink w:val="Slog1"/>
    <w:lvl w:ilvl="0">
      <w:start w:val="1"/>
      <w:numFmt w:val="decimal"/>
      <w:lvlText w:val="%1."/>
      <w:lvlJc w:val="left"/>
      <w:pPr>
        <w:ind w:left="2484" w:hanging="360"/>
      </w:pPr>
      <w:rPr>
        <w:rFonts w:ascii="Arial" w:hAnsi="Arial" w:hint="default"/>
        <w:b/>
        <w:i w:val="0"/>
        <w:sz w:val="20"/>
      </w:rPr>
    </w:lvl>
    <w:lvl w:ilvl="1">
      <w:start w:val="1"/>
      <w:numFmt w:val="decimal"/>
      <w:lvlText w:val="%1.%2"/>
      <w:lvlJc w:val="left"/>
      <w:pPr>
        <w:ind w:left="2832" w:hanging="360"/>
      </w:pPr>
      <w:rPr>
        <w:rFonts w:hint="default"/>
      </w:rPr>
    </w:lvl>
    <w:lvl w:ilvl="2">
      <w:start w:val="1"/>
      <w:numFmt w:val="decimal"/>
      <w:lvlText w:val="%3.%1.%2"/>
      <w:lvlJc w:val="right"/>
      <w:pPr>
        <w:ind w:left="3360" w:hanging="180"/>
      </w:pPr>
      <w:rPr>
        <w:rFonts w:hint="default"/>
      </w:rPr>
    </w:lvl>
    <w:lvl w:ilvl="3">
      <w:start w:val="1"/>
      <w:numFmt w:val="decimal"/>
      <w:lvlText w:val="%4.%2.%3.%1"/>
      <w:lvlJc w:val="left"/>
      <w:pPr>
        <w:ind w:left="3900" w:hanging="360"/>
      </w:pPr>
      <w:rPr>
        <w:rFonts w:hint="default"/>
      </w:rPr>
    </w:lvl>
    <w:lvl w:ilvl="4">
      <w:start w:val="1"/>
      <w:numFmt w:val="lowerLetter"/>
      <w:lvlText w:val="%5."/>
      <w:lvlJc w:val="left"/>
      <w:pPr>
        <w:ind w:left="5364" w:hanging="360"/>
      </w:pPr>
      <w:rPr>
        <w:rFonts w:hint="default"/>
      </w:rPr>
    </w:lvl>
    <w:lvl w:ilvl="5">
      <w:start w:val="1"/>
      <w:numFmt w:val="lowerRoman"/>
      <w:lvlText w:val="%6."/>
      <w:lvlJc w:val="right"/>
      <w:pPr>
        <w:ind w:left="6084" w:hanging="180"/>
      </w:pPr>
      <w:rPr>
        <w:rFonts w:hint="default"/>
      </w:rPr>
    </w:lvl>
    <w:lvl w:ilvl="6">
      <w:start w:val="1"/>
      <w:numFmt w:val="decimal"/>
      <w:lvlText w:val="%7."/>
      <w:lvlJc w:val="left"/>
      <w:pPr>
        <w:ind w:left="6804" w:hanging="360"/>
      </w:pPr>
      <w:rPr>
        <w:rFonts w:hint="default"/>
      </w:rPr>
    </w:lvl>
    <w:lvl w:ilvl="7">
      <w:start w:val="1"/>
      <w:numFmt w:val="lowerLetter"/>
      <w:lvlText w:val="%8."/>
      <w:lvlJc w:val="left"/>
      <w:pPr>
        <w:ind w:left="7524" w:hanging="360"/>
      </w:pPr>
      <w:rPr>
        <w:rFonts w:hint="default"/>
      </w:rPr>
    </w:lvl>
    <w:lvl w:ilvl="8">
      <w:start w:val="1"/>
      <w:numFmt w:val="lowerRoman"/>
      <w:lvlText w:val="%9."/>
      <w:lvlJc w:val="right"/>
      <w:pPr>
        <w:ind w:left="8244" w:hanging="180"/>
      </w:pPr>
      <w:rPr>
        <w:rFonts w:hint="default"/>
      </w:rPr>
    </w:lvl>
  </w:abstractNum>
  <w:abstractNum w:abstractNumId="77" w15:restartNumberingAfterBreak="0">
    <w:nsid w:val="297F163C"/>
    <w:multiLevelType w:val="hybridMultilevel"/>
    <w:tmpl w:val="B574B08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A4E29B4"/>
    <w:multiLevelType w:val="multilevel"/>
    <w:tmpl w:val="A156CE5E"/>
    <w:numStyleLink w:val="CILJ2"/>
  </w:abstractNum>
  <w:abstractNum w:abstractNumId="79" w15:restartNumberingAfterBreak="0">
    <w:nsid w:val="2B0529D3"/>
    <w:multiLevelType w:val="hybridMultilevel"/>
    <w:tmpl w:val="853847B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15:restartNumberingAfterBreak="0">
    <w:nsid w:val="2B731670"/>
    <w:multiLevelType w:val="hybridMultilevel"/>
    <w:tmpl w:val="DAC8C7D8"/>
    <w:lvl w:ilvl="0" w:tplc="8C5646B4">
      <w:start w:val="1"/>
      <w:numFmt w:val="decimal"/>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2C516289"/>
    <w:multiLevelType w:val="hybridMultilevel"/>
    <w:tmpl w:val="B9D0106E"/>
    <w:lvl w:ilvl="0" w:tplc="1EF86CE0">
      <w:start w:val="1"/>
      <w:numFmt w:val="bullet"/>
      <w:lvlText w:val="▪"/>
      <w:lvlJc w:val="left"/>
      <w:pPr>
        <w:ind w:left="360" w:hanging="360"/>
      </w:pPr>
      <w:rPr>
        <w:rFonts w:ascii="Times New Roman" w:hAnsi="Times New Roman" w:cs="Times New Roman" w:hint="default"/>
        <w:b w:val="0"/>
        <w:i w:val="0"/>
        <w:strike w:val="0"/>
        <w:dstrike w:val="0"/>
        <w:color w:val="000000"/>
        <w:sz w:val="22"/>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2" w15:restartNumberingAfterBreak="0">
    <w:nsid w:val="2CF742C0"/>
    <w:multiLevelType w:val="hybridMultilevel"/>
    <w:tmpl w:val="0ADC0534"/>
    <w:lvl w:ilvl="0" w:tplc="6B589AD2">
      <w:start w:val="4"/>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2D02719C"/>
    <w:multiLevelType w:val="hybridMultilevel"/>
    <w:tmpl w:val="5AF0FF48"/>
    <w:lvl w:ilvl="0" w:tplc="C2CA52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0E40C0"/>
    <w:multiLevelType w:val="hybridMultilevel"/>
    <w:tmpl w:val="AC2E1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DC75C36"/>
    <w:multiLevelType w:val="hybridMultilevel"/>
    <w:tmpl w:val="89A880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2F5F07F3"/>
    <w:multiLevelType w:val="hybridMultilevel"/>
    <w:tmpl w:val="6AA6F16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2F6E598B"/>
    <w:multiLevelType w:val="hybridMultilevel"/>
    <w:tmpl w:val="F84887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2FA47312"/>
    <w:multiLevelType w:val="hybridMultilevel"/>
    <w:tmpl w:val="9A8A07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311064DA"/>
    <w:multiLevelType w:val="multilevel"/>
    <w:tmpl w:val="25885A0A"/>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90" w15:restartNumberingAfterBreak="0">
    <w:nsid w:val="31ED0950"/>
    <w:multiLevelType w:val="multilevel"/>
    <w:tmpl w:val="A156CE5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338E1D3F"/>
    <w:multiLevelType w:val="hybridMultilevel"/>
    <w:tmpl w:val="486CAA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33D9411D"/>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48D45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4" w15:restartNumberingAfterBreak="0">
    <w:nsid w:val="34CD530D"/>
    <w:multiLevelType w:val="hybridMultilevel"/>
    <w:tmpl w:val="2DDEF72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35095D17"/>
    <w:multiLevelType w:val="multilevel"/>
    <w:tmpl w:val="F57C35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5FA64F4"/>
    <w:multiLevelType w:val="multilevel"/>
    <w:tmpl w:val="BF60488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75337ED"/>
    <w:multiLevelType w:val="multilevel"/>
    <w:tmpl w:val="73D07722"/>
    <w:numStyleLink w:val="Slog1"/>
  </w:abstractNum>
  <w:abstractNum w:abstractNumId="99" w15:restartNumberingAfterBreak="0">
    <w:nsid w:val="3A0218A1"/>
    <w:multiLevelType w:val="hybridMultilevel"/>
    <w:tmpl w:val="03484C6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B77728F"/>
    <w:multiLevelType w:val="hybridMultilevel"/>
    <w:tmpl w:val="3DDEDB50"/>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3D85484F"/>
    <w:multiLevelType w:val="hybridMultilevel"/>
    <w:tmpl w:val="9F5864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3F2F3C81"/>
    <w:multiLevelType w:val="hybridMultilevel"/>
    <w:tmpl w:val="C4962750"/>
    <w:lvl w:ilvl="0" w:tplc="0424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12F71E4"/>
    <w:multiLevelType w:val="multilevel"/>
    <w:tmpl w:val="A6188B3A"/>
    <w:lvl w:ilvl="0">
      <w:start w:val="1"/>
      <w:numFmt w:val="decimal"/>
      <w:lvlText w:val="%1."/>
      <w:lvlJc w:val="left"/>
      <w:pPr>
        <w:ind w:left="720" w:hanging="360"/>
      </w:pPr>
      <w:rPr>
        <w:rFonts w:ascii="Arial" w:hAnsi="Arial" w:hint="default"/>
        <w:b/>
        <w:i w:val="0"/>
        <w:sz w:val="2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41BC7CA2"/>
    <w:multiLevelType w:val="hybridMultilevel"/>
    <w:tmpl w:val="4D54E5EC"/>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5691D24"/>
    <w:multiLevelType w:val="hybridMultilevel"/>
    <w:tmpl w:val="64D014C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45895AE7"/>
    <w:multiLevelType w:val="multilevel"/>
    <w:tmpl w:val="A156CE5E"/>
    <w:numStyleLink w:val="CILJ2NOV"/>
  </w:abstractNum>
  <w:abstractNum w:abstractNumId="107" w15:restartNumberingAfterBreak="0">
    <w:nsid w:val="45CB4BCC"/>
    <w:multiLevelType w:val="hybridMultilevel"/>
    <w:tmpl w:val="16B224A8"/>
    <w:lvl w:ilvl="0" w:tplc="4E04828E">
      <w:start w:val="1"/>
      <w:numFmt w:val="bullet"/>
      <w:lvlText w:val="·"/>
      <w:lvlJc w:val="left"/>
      <w:pPr>
        <w:ind w:left="720" w:hanging="360"/>
      </w:pPr>
      <w:rPr>
        <w:rFonts w:ascii="Symbol" w:eastAsia="Symbol" w:hAnsi="Symbol"/>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463D660C"/>
    <w:multiLevelType w:val="hybridMultilevel"/>
    <w:tmpl w:val="52168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47031130"/>
    <w:multiLevelType w:val="hybridMultilevel"/>
    <w:tmpl w:val="8BC69010"/>
    <w:lvl w:ilvl="0" w:tplc="6C16DF8C">
      <w:numFmt w:val="bullet"/>
      <w:lvlText w:val="-"/>
      <w:lvlJc w:val="left"/>
      <w:pPr>
        <w:ind w:left="644" w:hanging="360"/>
      </w:pPr>
      <w:rPr>
        <w:rFonts w:ascii="Arial" w:eastAsia="Times New Roman" w:hAnsi="Arial" w:cs="Arial" w:hint="default"/>
        <w: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4735043B"/>
    <w:multiLevelType w:val="hybridMultilevel"/>
    <w:tmpl w:val="F5F8AF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477754D3"/>
    <w:multiLevelType w:val="hybridMultilevel"/>
    <w:tmpl w:val="F50C575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47AC471A"/>
    <w:multiLevelType w:val="hybridMultilevel"/>
    <w:tmpl w:val="083C58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114" w15:restartNumberingAfterBreak="0">
    <w:nsid w:val="4A6A7C79"/>
    <w:multiLevelType w:val="hybridMultilevel"/>
    <w:tmpl w:val="285CD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CCD1DFF"/>
    <w:multiLevelType w:val="hybridMultilevel"/>
    <w:tmpl w:val="EABA9D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7" w15:restartNumberingAfterBreak="0">
    <w:nsid w:val="4F2912F7"/>
    <w:multiLevelType w:val="hybridMultilevel"/>
    <w:tmpl w:val="C96A95A2"/>
    <w:lvl w:ilvl="0" w:tplc="518861E2">
      <w:start w:val="1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8" w15:restartNumberingAfterBreak="0">
    <w:nsid w:val="4FD85492"/>
    <w:multiLevelType w:val="hybridMultilevel"/>
    <w:tmpl w:val="7B0AC240"/>
    <w:lvl w:ilvl="0" w:tplc="2A2E8AB0">
      <w:start w:val="1"/>
      <w:numFmt w:val="bullet"/>
      <w:lvlText w:val="▪"/>
      <w:lvlJc w:val="left"/>
      <w:pPr>
        <w:tabs>
          <w:tab w:val="left" w:pos="432"/>
        </w:tabs>
        <w:ind w:left="715" w:hanging="283"/>
      </w:pPr>
      <w:rPr>
        <w:rFonts w:ascii="Times New Roman" w:eastAsia="Times New Roman" w:hAnsi="Times New Roman" w:cs="Times New Roman"/>
        <w:b w:val="0"/>
        <w:i w:val="0"/>
        <w:strike w:val="0"/>
        <w:dstrike w:val="0"/>
        <w:color w:val="000000"/>
        <w:w w:val="100"/>
        <w:sz w:val="20"/>
        <w:szCs w:val="20"/>
        <w:u w:val="none" w:color="000000"/>
        <w:bdr w:val="none" w:sz="0" w:space="0" w:color="auto"/>
        <w:shd w:val="clear" w:color="auto" w:fill="auto"/>
        <w:vertAlign w:val="baseline"/>
      </w:rPr>
    </w:lvl>
    <w:lvl w:ilvl="1" w:tplc="4E04828E">
      <w:start w:val="1"/>
      <w:numFmt w:val="bullet"/>
      <w:lvlText w:val="·"/>
      <w:lvlJc w:val="left"/>
      <w:pPr>
        <w:tabs>
          <w:tab w:val="left" w:pos="432"/>
        </w:tabs>
        <w:ind w:left="715" w:hanging="283"/>
      </w:pPr>
      <w:rPr>
        <w:rFonts w:ascii="Symbol" w:eastAsia="Symbol" w:hAnsi="Symbol"/>
        <w:w w:val="100"/>
        <w:sz w:val="20"/>
        <w:szCs w:val="20"/>
        <w:shd w:val="clear" w:color="auto" w:fill="auto"/>
      </w:rPr>
    </w:lvl>
    <w:lvl w:ilvl="2" w:tplc="238E8172">
      <w:start w:val="1"/>
      <w:numFmt w:val="bullet"/>
      <w:lvlText w:val="·"/>
      <w:lvlJc w:val="left"/>
      <w:pPr>
        <w:tabs>
          <w:tab w:val="left" w:pos="432"/>
        </w:tabs>
        <w:ind w:left="715" w:hanging="283"/>
      </w:pPr>
      <w:rPr>
        <w:rFonts w:ascii="Symbol" w:eastAsia="Symbol" w:hAnsi="Symbol"/>
        <w:w w:val="100"/>
        <w:sz w:val="20"/>
        <w:szCs w:val="20"/>
        <w:shd w:val="clear" w:color="auto" w:fill="auto"/>
      </w:rPr>
    </w:lvl>
    <w:lvl w:ilvl="3" w:tplc="4F584F90">
      <w:start w:val="1"/>
      <w:numFmt w:val="bullet"/>
      <w:lvlText w:val="·"/>
      <w:lvlJc w:val="left"/>
      <w:pPr>
        <w:tabs>
          <w:tab w:val="left" w:pos="432"/>
        </w:tabs>
        <w:ind w:left="715" w:hanging="283"/>
      </w:pPr>
      <w:rPr>
        <w:rFonts w:ascii="Symbol" w:eastAsia="Symbol" w:hAnsi="Symbol"/>
        <w:w w:val="100"/>
        <w:sz w:val="20"/>
        <w:szCs w:val="20"/>
        <w:shd w:val="clear" w:color="auto" w:fill="auto"/>
      </w:rPr>
    </w:lvl>
    <w:lvl w:ilvl="4" w:tplc="D8B8A9C6">
      <w:start w:val="1"/>
      <w:numFmt w:val="bullet"/>
      <w:lvlText w:val="·"/>
      <w:lvlJc w:val="left"/>
      <w:pPr>
        <w:tabs>
          <w:tab w:val="left" w:pos="432"/>
        </w:tabs>
        <w:ind w:left="715" w:hanging="283"/>
      </w:pPr>
      <w:rPr>
        <w:rFonts w:ascii="Symbol" w:eastAsia="Symbol" w:hAnsi="Symbol"/>
        <w:w w:val="100"/>
        <w:sz w:val="20"/>
        <w:szCs w:val="20"/>
        <w:shd w:val="clear" w:color="auto" w:fill="auto"/>
      </w:rPr>
    </w:lvl>
    <w:lvl w:ilvl="5" w:tplc="AA8EA6C6">
      <w:start w:val="1"/>
      <w:numFmt w:val="bullet"/>
      <w:lvlText w:val="·"/>
      <w:lvlJc w:val="left"/>
      <w:pPr>
        <w:tabs>
          <w:tab w:val="left" w:pos="432"/>
        </w:tabs>
        <w:ind w:left="715" w:hanging="283"/>
      </w:pPr>
      <w:rPr>
        <w:rFonts w:ascii="Symbol" w:eastAsia="Symbol" w:hAnsi="Symbol"/>
        <w:w w:val="100"/>
        <w:sz w:val="20"/>
        <w:szCs w:val="20"/>
        <w:shd w:val="clear" w:color="auto" w:fill="auto"/>
      </w:rPr>
    </w:lvl>
    <w:lvl w:ilvl="6" w:tplc="96CA3FEA">
      <w:start w:val="1"/>
      <w:numFmt w:val="bullet"/>
      <w:lvlText w:val="·"/>
      <w:lvlJc w:val="left"/>
      <w:pPr>
        <w:tabs>
          <w:tab w:val="left" w:pos="432"/>
        </w:tabs>
        <w:ind w:left="715" w:hanging="283"/>
      </w:pPr>
      <w:rPr>
        <w:rFonts w:ascii="Symbol" w:eastAsia="Symbol" w:hAnsi="Symbol"/>
        <w:w w:val="100"/>
        <w:sz w:val="20"/>
        <w:szCs w:val="20"/>
        <w:shd w:val="clear" w:color="auto" w:fill="auto"/>
      </w:rPr>
    </w:lvl>
    <w:lvl w:ilvl="7" w:tplc="3E362ED8">
      <w:start w:val="1"/>
      <w:numFmt w:val="bullet"/>
      <w:lvlText w:val="·"/>
      <w:lvlJc w:val="left"/>
      <w:pPr>
        <w:tabs>
          <w:tab w:val="left" w:pos="432"/>
        </w:tabs>
        <w:ind w:left="715" w:hanging="283"/>
      </w:pPr>
      <w:rPr>
        <w:rFonts w:ascii="Symbol" w:eastAsia="Symbol" w:hAnsi="Symbol"/>
        <w:w w:val="100"/>
        <w:sz w:val="20"/>
        <w:szCs w:val="20"/>
        <w:shd w:val="clear" w:color="auto" w:fill="auto"/>
      </w:rPr>
    </w:lvl>
    <w:lvl w:ilvl="8" w:tplc="76D437B2">
      <w:start w:val="1"/>
      <w:numFmt w:val="bullet"/>
      <w:lvlText w:val="·"/>
      <w:lvlJc w:val="left"/>
      <w:pPr>
        <w:tabs>
          <w:tab w:val="left" w:pos="432"/>
        </w:tabs>
        <w:ind w:left="715" w:hanging="283"/>
      </w:pPr>
      <w:rPr>
        <w:rFonts w:ascii="Symbol" w:eastAsia="Symbol" w:hAnsi="Symbol"/>
        <w:w w:val="100"/>
        <w:sz w:val="20"/>
        <w:szCs w:val="20"/>
        <w:shd w:val="clear" w:color="auto" w:fill="auto"/>
      </w:rPr>
    </w:lvl>
  </w:abstractNum>
  <w:abstractNum w:abstractNumId="119" w15:restartNumberingAfterBreak="0">
    <w:nsid w:val="50744065"/>
    <w:multiLevelType w:val="hybridMultilevel"/>
    <w:tmpl w:val="604CB168"/>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15608FB"/>
    <w:multiLevelType w:val="hybridMultilevel"/>
    <w:tmpl w:val="70A26D62"/>
    <w:lvl w:ilvl="0" w:tplc="3138944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5193463D"/>
    <w:multiLevelType w:val="hybridMultilevel"/>
    <w:tmpl w:val="BDFCE8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3040F87"/>
    <w:multiLevelType w:val="hybridMultilevel"/>
    <w:tmpl w:val="AE5A42E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3" w15:restartNumberingAfterBreak="0">
    <w:nsid w:val="54811F79"/>
    <w:multiLevelType w:val="hybridMultilevel"/>
    <w:tmpl w:val="4836C57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55433D6D"/>
    <w:multiLevelType w:val="hybridMultilevel"/>
    <w:tmpl w:val="8F147E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55B6639D"/>
    <w:multiLevelType w:val="hybridMultilevel"/>
    <w:tmpl w:val="ABC2B3F4"/>
    <w:lvl w:ilvl="0" w:tplc="6D745E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573F5EB5"/>
    <w:multiLevelType w:val="hybridMultilevel"/>
    <w:tmpl w:val="10A4D70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575110E5"/>
    <w:multiLevelType w:val="hybridMultilevel"/>
    <w:tmpl w:val="9ACE4206"/>
    <w:lvl w:ilvl="0" w:tplc="3B94081C">
      <w:start w:val="2"/>
      <w:numFmt w:val="bullet"/>
      <w:lvlText w:val="Ü"/>
      <w:lvlJc w:val="left"/>
      <w:pPr>
        <w:ind w:left="720" w:hanging="360"/>
      </w:pPr>
      <w:rPr>
        <w:rFonts w:ascii="Wingdings" w:eastAsia="Times New Roman" w:hAnsi="Wingding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7D70C4D"/>
    <w:multiLevelType w:val="hybridMultilevel"/>
    <w:tmpl w:val="2B3A940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57ED5E4B"/>
    <w:multiLevelType w:val="hybridMultilevel"/>
    <w:tmpl w:val="6660DE7A"/>
    <w:lvl w:ilvl="0" w:tplc="2A2E8AB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0" w15:restartNumberingAfterBreak="0">
    <w:nsid w:val="58F60FB7"/>
    <w:multiLevelType w:val="hybridMultilevel"/>
    <w:tmpl w:val="22E890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C085E60"/>
    <w:multiLevelType w:val="hybridMultilevel"/>
    <w:tmpl w:val="B1BC306E"/>
    <w:lvl w:ilvl="0" w:tplc="6D0CDF8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0E5E66"/>
    <w:multiLevelType w:val="hybridMultilevel"/>
    <w:tmpl w:val="7A5A6896"/>
    <w:lvl w:ilvl="0" w:tplc="6D745E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CA91A12"/>
    <w:multiLevelType w:val="hybridMultilevel"/>
    <w:tmpl w:val="C14AB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5D2C39BB"/>
    <w:multiLevelType w:val="multilevel"/>
    <w:tmpl w:val="A156CE5E"/>
    <w:styleLink w:val="CILJ2"/>
    <w:lvl w:ilvl="0">
      <w:start w:val="1"/>
      <w:numFmt w:val="decimal"/>
      <w:lvlText w:val="%1."/>
      <w:lvlJc w:val="left"/>
      <w:pPr>
        <w:ind w:left="1068" w:hanging="360"/>
      </w:pPr>
      <w:rPr>
        <w:rFonts w:ascii="Arial" w:hAnsi="Arial" w:hint="default"/>
        <w:b/>
        <w:i w:val="0"/>
        <w:sz w:val="28"/>
      </w:rPr>
    </w:lvl>
    <w:lvl w:ilvl="1">
      <w:start w:val="1"/>
      <w:numFmt w:val="decimal"/>
      <w:lvlText w:val="%1.%2"/>
      <w:lvlJc w:val="left"/>
      <w:pPr>
        <w:ind w:left="1776" w:hanging="360"/>
      </w:pPr>
      <w:rPr>
        <w:rFonts w:ascii="Arial" w:hAnsi="Arial" w:hint="default"/>
        <w:sz w:val="24"/>
      </w:rPr>
    </w:lvl>
    <w:lvl w:ilvl="2">
      <w:start w:val="1"/>
      <w:numFmt w:val="decimal"/>
      <w:lvlText w:val="%1.%2.%3"/>
      <w:lvlJc w:val="right"/>
      <w:pPr>
        <w:ind w:left="2304" w:hanging="180"/>
      </w:pPr>
      <w:rPr>
        <w:rFonts w:ascii="Arial" w:hAnsi="Arial" w:hint="default"/>
        <w:sz w:val="20"/>
      </w:rPr>
    </w:lvl>
    <w:lvl w:ilvl="3">
      <w:start w:val="1"/>
      <w:numFmt w:val="decimal"/>
      <w:lvlRestart w:val="0"/>
      <w:lvlText w:val="%1.%2.%3.%4"/>
      <w:lvlJc w:val="left"/>
      <w:pPr>
        <w:ind w:left="2484" w:hanging="360"/>
      </w:pPr>
      <w:rPr>
        <w:rFonts w:ascii="Arial" w:hAnsi="Arial" w:hint="default"/>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5D6F3B40"/>
    <w:multiLevelType w:val="hybridMultilevel"/>
    <w:tmpl w:val="22E88F10"/>
    <w:lvl w:ilvl="0" w:tplc="291C99E2">
      <w:start w:val="1"/>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6" w15:restartNumberingAfterBreak="0">
    <w:nsid w:val="60BB4033"/>
    <w:multiLevelType w:val="hybridMultilevel"/>
    <w:tmpl w:val="724A16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62D26E84"/>
    <w:multiLevelType w:val="hybridMultilevel"/>
    <w:tmpl w:val="FEDE0F88"/>
    <w:lvl w:ilvl="0" w:tplc="2A2E8AB0">
      <w:start w:val="1"/>
      <w:numFmt w:val="bullet"/>
      <w:lvlText w:val="▪"/>
      <w:lvlJc w:val="left"/>
      <w:pPr>
        <w:ind w:left="36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8" w15:restartNumberingAfterBreak="0">
    <w:nsid w:val="66121082"/>
    <w:multiLevelType w:val="hybridMultilevel"/>
    <w:tmpl w:val="3CAE5116"/>
    <w:lvl w:ilvl="0" w:tplc="F680315E">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9" w15:restartNumberingAfterBreak="0">
    <w:nsid w:val="66686DFB"/>
    <w:multiLevelType w:val="hybridMultilevel"/>
    <w:tmpl w:val="E28CB3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6C30942"/>
    <w:multiLevelType w:val="hybridMultilevel"/>
    <w:tmpl w:val="D8D0542C"/>
    <w:lvl w:ilvl="0" w:tplc="F66E664C">
      <w:start w:val="1"/>
      <w:numFmt w:val="decimal"/>
      <w:lvlText w:val="2.%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6893134B"/>
    <w:multiLevelType w:val="hybridMultilevel"/>
    <w:tmpl w:val="D1ECF9B0"/>
    <w:lvl w:ilvl="0" w:tplc="72BAE8FC">
      <w:start w:val="1"/>
      <w:numFmt w:val="decimal"/>
      <w:lvlText w:val="8.%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15:restartNumberingAfterBreak="0">
    <w:nsid w:val="691923FF"/>
    <w:multiLevelType w:val="hybridMultilevel"/>
    <w:tmpl w:val="D8DCF3C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6A8C3D4C"/>
    <w:multiLevelType w:val="hybridMultilevel"/>
    <w:tmpl w:val="AA2AB210"/>
    <w:lvl w:ilvl="0" w:tplc="7F5EC300">
      <w:start w:val="1"/>
      <w:numFmt w:val="bullet"/>
      <w:lvlText w:val="•"/>
      <w:lvlJc w:val="left"/>
      <w:pPr>
        <w:tabs>
          <w:tab w:val="num" w:pos="720"/>
        </w:tabs>
        <w:ind w:left="720" w:hanging="360"/>
      </w:pPr>
      <w:rPr>
        <w:rFonts w:ascii="Arial" w:hAnsi="Arial" w:hint="default"/>
      </w:rPr>
    </w:lvl>
    <w:lvl w:ilvl="1" w:tplc="5A864F5A" w:tentative="1">
      <w:start w:val="1"/>
      <w:numFmt w:val="bullet"/>
      <w:lvlText w:val="•"/>
      <w:lvlJc w:val="left"/>
      <w:pPr>
        <w:tabs>
          <w:tab w:val="num" w:pos="1440"/>
        </w:tabs>
        <w:ind w:left="1440" w:hanging="360"/>
      </w:pPr>
      <w:rPr>
        <w:rFonts w:ascii="Arial" w:hAnsi="Arial" w:hint="default"/>
      </w:rPr>
    </w:lvl>
    <w:lvl w:ilvl="2" w:tplc="BD62EC86" w:tentative="1">
      <w:start w:val="1"/>
      <w:numFmt w:val="bullet"/>
      <w:lvlText w:val="•"/>
      <w:lvlJc w:val="left"/>
      <w:pPr>
        <w:tabs>
          <w:tab w:val="num" w:pos="2160"/>
        </w:tabs>
        <w:ind w:left="2160" w:hanging="360"/>
      </w:pPr>
      <w:rPr>
        <w:rFonts w:ascii="Arial" w:hAnsi="Arial" w:hint="default"/>
      </w:rPr>
    </w:lvl>
    <w:lvl w:ilvl="3" w:tplc="5C9C2F38" w:tentative="1">
      <w:start w:val="1"/>
      <w:numFmt w:val="bullet"/>
      <w:lvlText w:val="•"/>
      <w:lvlJc w:val="left"/>
      <w:pPr>
        <w:tabs>
          <w:tab w:val="num" w:pos="2880"/>
        </w:tabs>
        <w:ind w:left="2880" w:hanging="360"/>
      </w:pPr>
      <w:rPr>
        <w:rFonts w:ascii="Arial" w:hAnsi="Arial" w:hint="default"/>
      </w:rPr>
    </w:lvl>
    <w:lvl w:ilvl="4" w:tplc="C6AADFB0" w:tentative="1">
      <w:start w:val="1"/>
      <w:numFmt w:val="bullet"/>
      <w:lvlText w:val="•"/>
      <w:lvlJc w:val="left"/>
      <w:pPr>
        <w:tabs>
          <w:tab w:val="num" w:pos="3600"/>
        </w:tabs>
        <w:ind w:left="3600" w:hanging="360"/>
      </w:pPr>
      <w:rPr>
        <w:rFonts w:ascii="Arial" w:hAnsi="Arial" w:hint="default"/>
      </w:rPr>
    </w:lvl>
    <w:lvl w:ilvl="5" w:tplc="F87AE18C" w:tentative="1">
      <w:start w:val="1"/>
      <w:numFmt w:val="bullet"/>
      <w:lvlText w:val="•"/>
      <w:lvlJc w:val="left"/>
      <w:pPr>
        <w:tabs>
          <w:tab w:val="num" w:pos="4320"/>
        </w:tabs>
        <w:ind w:left="4320" w:hanging="360"/>
      </w:pPr>
      <w:rPr>
        <w:rFonts w:ascii="Arial" w:hAnsi="Arial" w:hint="default"/>
      </w:rPr>
    </w:lvl>
    <w:lvl w:ilvl="6" w:tplc="6406D2F4" w:tentative="1">
      <w:start w:val="1"/>
      <w:numFmt w:val="bullet"/>
      <w:lvlText w:val="•"/>
      <w:lvlJc w:val="left"/>
      <w:pPr>
        <w:tabs>
          <w:tab w:val="num" w:pos="5040"/>
        </w:tabs>
        <w:ind w:left="5040" w:hanging="360"/>
      </w:pPr>
      <w:rPr>
        <w:rFonts w:ascii="Arial" w:hAnsi="Arial" w:hint="default"/>
      </w:rPr>
    </w:lvl>
    <w:lvl w:ilvl="7" w:tplc="6922B118" w:tentative="1">
      <w:start w:val="1"/>
      <w:numFmt w:val="bullet"/>
      <w:lvlText w:val="•"/>
      <w:lvlJc w:val="left"/>
      <w:pPr>
        <w:tabs>
          <w:tab w:val="num" w:pos="5760"/>
        </w:tabs>
        <w:ind w:left="5760" w:hanging="360"/>
      </w:pPr>
      <w:rPr>
        <w:rFonts w:ascii="Arial" w:hAnsi="Arial" w:hint="default"/>
      </w:rPr>
    </w:lvl>
    <w:lvl w:ilvl="8" w:tplc="8A4C1D7C"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6BC532F8"/>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6C9A1803"/>
    <w:multiLevelType w:val="hybridMultilevel"/>
    <w:tmpl w:val="CE02C3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D2856AC"/>
    <w:multiLevelType w:val="hybridMultilevel"/>
    <w:tmpl w:val="A110873A"/>
    <w:lvl w:ilvl="0" w:tplc="A46A08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7" w15:restartNumberingAfterBreak="0">
    <w:nsid w:val="6D7C7D8E"/>
    <w:multiLevelType w:val="multilevel"/>
    <w:tmpl w:val="A156CE5E"/>
    <w:numStyleLink w:val="CILJ2NOV"/>
  </w:abstractNum>
  <w:abstractNum w:abstractNumId="148" w15:restartNumberingAfterBreak="0">
    <w:nsid w:val="6D7F5FC7"/>
    <w:multiLevelType w:val="hybridMultilevel"/>
    <w:tmpl w:val="4538E972"/>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E01753D"/>
    <w:multiLevelType w:val="hybridMultilevel"/>
    <w:tmpl w:val="E640E12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0" w15:restartNumberingAfterBreak="0">
    <w:nsid w:val="6F3A4BC0"/>
    <w:multiLevelType w:val="hybridMultilevel"/>
    <w:tmpl w:val="9A5077B6"/>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7B04D5"/>
    <w:multiLevelType w:val="hybridMultilevel"/>
    <w:tmpl w:val="FC20091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0B94BF9"/>
    <w:multiLevelType w:val="hybridMultilevel"/>
    <w:tmpl w:val="C1C4F4F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4" w15:restartNumberingAfterBreak="0">
    <w:nsid w:val="71F633CB"/>
    <w:multiLevelType w:val="hybridMultilevel"/>
    <w:tmpl w:val="2FAC536A"/>
    <w:lvl w:ilvl="0" w:tplc="9760B382">
      <w:start w:val="1"/>
      <w:numFmt w:val="decimal"/>
      <w:lvlText w:val="9.%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7456586C"/>
    <w:multiLevelType w:val="hybridMultilevel"/>
    <w:tmpl w:val="CBDA1B9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6" w15:restartNumberingAfterBreak="0">
    <w:nsid w:val="74A52F9E"/>
    <w:multiLevelType w:val="multilevel"/>
    <w:tmpl w:val="9A7AC98E"/>
    <w:numStyleLink w:val="Slog2"/>
  </w:abstractNum>
  <w:abstractNum w:abstractNumId="157" w15:restartNumberingAfterBreak="0">
    <w:nsid w:val="75BB4B76"/>
    <w:multiLevelType w:val="hybridMultilevel"/>
    <w:tmpl w:val="798A1F32"/>
    <w:lvl w:ilvl="0" w:tplc="04240005">
      <w:start w:val="1"/>
      <w:numFmt w:val="bullet"/>
      <w:lvlText w:val=""/>
      <w:lvlJc w:val="left"/>
      <w:pPr>
        <w:ind w:left="1440" w:hanging="360"/>
      </w:pPr>
      <w:rPr>
        <w:rFonts w:ascii="Wingdings" w:hAnsi="Wingdings" w:hint="default"/>
      </w:rPr>
    </w:lvl>
    <w:lvl w:ilvl="1" w:tplc="48C625DC">
      <w:numFmt w:val="bullet"/>
      <w:lvlText w:val="-"/>
      <w:lvlJc w:val="left"/>
      <w:pPr>
        <w:ind w:left="2510" w:hanging="710"/>
      </w:pPr>
      <w:rPr>
        <w:rFonts w:ascii="Arial" w:eastAsiaTheme="minorEastAsia" w:hAnsi="Arial" w:cs="Arial"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8" w15:restartNumberingAfterBreak="0">
    <w:nsid w:val="79CC5311"/>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7B316A27"/>
    <w:multiLevelType w:val="hybridMultilevel"/>
    <w:tmpl w:val="342E1C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7B634619"/>
    <w:multiLevelType w:val="hybridMultilevel"/>
    <w:tmpl w:val="3CE8F3C0"/>
    <w:lvl w:ilvl="0" w:tplc="D5E083D0">
      <w:start w:val="1"/>
      <w:numFmt w:val="decimal"/>
      <w:lvlText w:val="10.%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7C81328A"/>
    <w:multiLevelType w:val="hybridMultilevel"/>
    <w:tmpl w:val="305EEC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E3A3AB1"/>
    <w:multiLevelType w:val="hybridMultilevel"/>
    <w:tmpl w:val="A7A04BA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3" w15:restartNumberingAfterBreak="0">
    <w:nsid w:val="7FFD6FFC"/>
    <w:multiLevelType w:val="hybridMultilevel"/>
    <w:tmpl w:val="5E0ECD10"/>
    <w:lvl w:ilvl="0" w:tplc="4A724902">
      <w:start w:val="1"/>
      <w:numFmt w:val="decimal"/>
      <w:lvlText w:val="5.%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8"/>
  </w:num>
  <w:num w:numId="3">
    <w:abstractNumId w:val="111"/>
  </w:num>
  <w:num w:numId="4">
    <w:abstractNumId w:val="21"/>
  </w:num>
  <w:num w:numId="5">
    <w:abstractNumId w:val="22"/>
  </w:num>
  <w:num w:numId="6">
    <w:abstractNumId w:val="86"/>
  </w:num>
  <w:num w:numId="7">
    <w:abstractNumId w:val="68"/>
  </w:num>
  <w:num w:numId="8">
    <w:abstractNumId w:val="84"/>
  </w:num>
  <w:num w:numId="9">
    <w:abstractNumId w:val="151"/>
  </w:num>
  <w:num w:numId="10">
    <w:abstractNumId w:val="31"/>
  </w:num>
  <w:num w:numId="11">
    <w:abstractNumId w:val="82"/>
  </w:num>
  <w:num w:numId="12">
    <w:abstractNumId w:val="120"/>
  </w:num>
  <w:num w:numId="13">
    <w:abstractNumId w:val="34"/>
  </w:num>
  <w:num w:numId="14">
    <w:abstractNumId w:val="131"/>
  </w:num>
  <w:num w:numId="15">
    <w:abstractNumId w:val="77"/>
  </w:num>
  <w:num w:numId="16">
    <w:abstractNumId w:val="59"/>
  </w:num>
  <w:num w:numId="17">
    <w:abstractNumId w:val="119"/>
  </w:num>
  <w:num w:numId="18">
    <w:abstractNumId w:val="148"/>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73"/>
  </w:num>
  <w:num w:numId="36">
    <w:abstractNumId w:val="143"/>
  </w:num>
  <w:num w:numId="37">
    <w:abstractNumId w:val="60"/>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7"/>
  </w:num>
  <w:num w:numId="40">
    <w:abstractNumId w:val="102"/>
  </w:num>
  <w:num w:numId="41">
    <w:abstractNumId w:val="104"/>
  </w:num>
  <w:num w:numId="42">
    <w:abstractNumId w:val="121"/>
  </w:num>
  <w:num w:numId="43">
    <w:abstractNumId w:val="99"/>
  </w:num>
  <w:num w:numId="44">
    <w:abstractNumId w:val="55"/>
  </w:num>
  <w:num w:numId="45">
    <w:abstractNumId w:val="83"/>
  </w:num>
  <w:num w:numId="46">
    <w:abstractNumId w:val="13"/>
  </w:num>
  <w:num w:numId="47">
    <w:abstractNumId w:val="45"/>
  </w:num>
  <w:num w:numId="48">
    <w:abstractNumId w:val="62"/>
  </w:num>
  <w:num w:numId="49">
    <w:abstractNumId w:val="40"/>
  </w:num>
  <w:num w:numId="50">
    <w:abstractNumId w:val="70"/>
  </w:num>
  <w:num w:numId="51">
    <w:abstractNumId w:val="109"/>
  </w:num>
  <w:num w:numId="52">
    <w:abstractNumId w:val="142"/>
  </w:num>
  <w:num w:numId="53">
    <w:abstractNumId w:val="53"/>
  </w:num>
  <w:num w:numId="54">
    <w:abstractNumId w:val="69"/>
  </w:num>
  <w:num w:numId="55">
    <w:abstractNumId w:val="114"/>
  </w:num>
  <w:num w:numId="56">
    <w:abstractNumId w:val="13"/>
  </w:num>
  <w:num w:numId="57">
    <w:abstractNumId w:val="42"/>
  </w:num>
  <w:num w:numId="58">
    <w:abstractNumId w:val="105"/>
  </w:num>
  <w:num w:numId="59">
    <w:abstractNumId w:val="63"/>
  </w:num>
  <w:num w:numId="60">
    <w:abstractNumId w:val="135"/>
  </w:num>
  <w:num w:numId="61">
    <w:abstractNumId w:val="117"/>
  </w:num>
  <w:num w:numId="62">
    <w:abstractNumId w:val="138"/>
  </w:num>
  <w:num w:numId="63">
    <w:abstractNumId w:val="146"/>
  </w:num>
  <w:num w:numId="64">
    <w:abstractNumId w:val="95"/>
  </w:num>
  <w:num w:numId="65">
    <w:abstractNumId w:val="51"/>
  </w:num>
  <w:num w:numId="66">
    <w:abstractNumId w:val="71"/>
  </w:num>
  <w:num w:numId="67">
    <w:abstractNumId w:val="75"/>
  </w:num>
  <w:num w:numId="68">
    <w:abstractNumId w:val="58"/>
  </w:num>
  <w:num w:numId="69">
    <w:abstractNumId w:val="41"/>
  </w:num>
  <w:num w:numId="70">
    <w:abstractNumId w:val="13"/>
  </w:num>
  <w:num w:numId="71">
    <w:abstractNumId w:val="13"/>
  </w:num>
  <w:num w:numId="72">
    <w:abstractNumId w:val="13"/>
  </w:num>
  <w:num w:numId="73">
    <w:abstractNumId w:val="13"/>
  </w:num>
  <w:num w:numId="74">
    <w:abstractNumId w:val="136"/>
  </w:num>
  <w:num w:numId="75">
    <w:abstractNumId w:val="35"/>
  </w:num>
  <w:num w:numId="76">
    <w:abstractNumId w:val="48"/>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7">
    <w:abstractNumId w:val="163"/>
  </w:num>
  <w:num w:numId="78">
    <w:abstractNumId w:val="163"/>
  </w:num>
  <w:num w:numId="79">
    <w:abstractNumId w:val="163"/>
    <w:lvlOverride w:ilvl="0">
      <w:startOverride w:val="1"/>
    </w:lvlOverride>
  </w:num>
  <w:num w:numId="80">
    <w:abstractNumId w:val="163"/>
  </w:num>
  <w:num w:numId="81">
    <w:abstractNumId w:val="163"/>
  </w:num>
  <w:num w:numId="82">
    <w:abstractNumId w:val="163"/>
  </w:num>
  <w:num w:numId="83">
    <w:abstractNumId w:val="140"/>
  </w:num>
  <w:num w:numId="84">
    <w:abstractNumId w:val="163"/>
  </w:num>
  <w:num w:numId="85">
    <w:abstractNumId w:val="163"/>
  </w:num>
  <w:num w:numId="86">
    <w:abstractNumId w:val="163"/>
  </w:num>
  <w:num w:numId="87">
    <w:abstractNumId w:val="163"/>
  </w:num>
  <w:num w:numId="88">
    <w:abstractNumId w:val="150"/>
  </w:num>
  <w:num w:numId="89">
    <w:abstractNumId w:val="56"/>
  </w:num>
  <w:num w:numId="90">
    <w:abstractNumId w:val="163"/>
  </w:num>
  <w:num w:numId="91">
    <w:abstractNumId w:val="163"/>
  </w:num>
  <w:num w:numId="92">
    <w:abstractNumId w:val="163"/>
  </w:num>
  <w:num w:numId="93">
    <w:abstractNumId w:val="28"/>
  </w:num>
  <w:num w:numId="94">
    <w:abstractNumId w:val="163"/>
  </w:num>
  <w:num w:numId="95">
    <w:abstractNumId w:val="163"/>
  </w:num>
  <w:num w:numId="96">
    <w:abstractNumId w:val="163"/>
  </w:num>
  <w:num w:numId="97">
    <w:abstractNumId w:val="163"/>
  </w:num>
  <w:num w:numId="98">
    <w:abstractNumId w:val="161"/>
  </w:num>
  <w:num w:numId="99">
    <w:abstractNumId w:val="163"/>
  </w:num>
  <w:num w:numId="100">
    <w:abstractNumId w:val="163"/>
  </w:num>
  <w:num w:numId="101">
    <w:abstractNumId w:val="163"/>
  </w:num>
  <w:num w:numId="102">
    <w:abstractNumId w:val="163"/>
  </w:num>
  <w:num w:numId="103">
    <w:abstractNumId w:val="163"/>
  </w:num>
  <w:num w:numId="104">
    <w:abstractNumId w:val="54"/>
  </w:num>
  <w:num w:numId="105">
    <w:abstractNumId w:val="48"/>
  </w:num>
  <w:num w:numId="106">
    <w:abstractNumId w:val="46"/>
  </w:num>
  <w:num w:numId="107">
    <w:abstractNumId w:val="46"/>
  </w:num>
  <w:num w:numId="108">
    <w:abstractNumId w:val="29"/>
  </w:num>
  <w:num w:numId="109">
    <w:abstractNumId w:val="80"/>
  </w:num>
  <w:num w:numId="110">
    <w:abstractNumId w:val="141"/>
  </w:num>
  <w:num w:numId="111">
    <w:abstractNumId w:val="154"/>
  </w:num>
  <w:num w:numId="112">
    <w:abstractNumId w:val="160"/>
  </w:num>
  <w:num w:numId="113">
    <w:abstractNumId w:val="155"/>
  </w:num>
  <w:num w:numId="114">
    <w:abstractNumId w:val="65"/>
  </w:num>
  <w:num w:numId="115">
    <w:abstractNumId w:val="49"/>
  </w:num>
  <w:num w:numId="116">
    <w:abstractNumId w:val="38"/>
  </w:num>
  <w:num w:numId="117">
    <w:abstractNumId w:val="48"/>
  </w:num>
  <w:num w:numId="118">
    <w:abstractNumId w:val="48"/>
  </w:num>
  <w:num w:numId="119">
    <w:abstractNumId w:val="112"/>
  </w:num>
  <w:num w:numId="120">
    <w:abstractNumId w:val="88"/>
  </w:num>
  <w:num w:numId="121">
    <w:abstractNumId w:val="76"/>
  </w:num>
  <w:num w:numId="122">
    <w:abstractNumId w:val="98"/>
  </w:num>
  <w:num w:numId="123">
    <w:abstractNumId w:val="43"/>
  </w:num>
  <w:num w:numId="124">
    <w:abstractNumId w:val="156"/>
  </w:num>
  <w:num w:numId="125">
    <w:abstractNumId w:val="103"/>
  </w:num>
  <w:num w:numId="126">
    <w:abstractNumId w:val="134"/>
  </w:num>
  <w:num w:numId="127">
    <w:abstractNumId w:val="52"/>
  </w:num>
  <w:num w:numId="128">
    <w:abstractNumId w:val="144"/>
  </w:num>
  <w:num w:numId="129">
    <w:abstractNumId w:val="92"/>
  </w:num>
  <w:num w:numId="130">
    <w:abstractNumId w:val="158"/>
  </w:num>
  <w:num w:numId="131">
    <w:abstractNumId w:val="47"/>
  </w:num>
  <w:num w:numId="132">
    <w:abstractNumId w:val="147"/>
  </w:num>
  <w:num w:numId="133">
    <w:abstractNumId w:val="33"/>
  </w:num>
  <w:num w:numId="134">
    <w:abstractNumId w:val="106"/>
  </w:num>
  <w:num w:numId="135">
    <w:abstractNumId w:val="32"/>
  </w:num>
  <w:num w:numId="136">
    <w:abstractNumId w:val="97"/>
  </w:num>
  <w:num w:numId="137">
    <w:abstractNumId w:val="131"/>
  </w:num>
  <w:num w:numId="138">
    <w:abstractNumId w:val="111"/>
  </w:num>
  <w:num w:numId="139">
    <w:abstractNumId w:val="115"/>
  </w:num>
  <w:num w:numId="140">
    <w:abstractNumId w:val="72"/>
  </w:num>
  <w:num w:numId="141">
    <w:abstractNumId w:val="133"/>
  </w:num>
  <w:num w:numId="142">
    <w:abstractNumId w:val="74"/>
  </w:num>
  <w:num w:numId="143">
    <w:abstractNumId w:val="27"/>
  </w:num>
  <w:num w:numId="144">
    <w:abstractNumId w:val="107"/>
  </w:num>
  <w:num w:numId="145">
    <w:abstractNumId w:val="30"/>
  </w:num>
  <w:num w:numId="146">
    <w:abstractNumId w:val="90"/>
  </w:num>
  <w:num w:numId="147">
    <w:abstractNumId w:val="64"/>
  </w:num>
  <w:num w:numId="148">
    <w:abstractNumId w:val="78"/>
  </w:num>
  <w:num w:numId="149">
    <w:abstractNumId w:val="93"/>
  </w:num>
  <w:num w:numId="150">
    <w:abstractNumId w:val="123"/>
  </w:num>
  <w:num w:numId="151">
    <w:abstractNumId w:val="50"/>
  </w:num>
  <w:num w:numId="152">
    <w:abstractNumId w:val="67"/>
  </w:num>
  <w:num w:numId="153">
    <w:abstractNumId w:val="23"/>
  </w:num>
  <w:num w:numId="154">
    <w:abstractNumId w:val="96"/>
  </w:num>
  <w:num w:numId="155">
    <w:abstractNumId w:val="89"/>
  </w:num>
  <w:num w:numId="156">
    <w:abstractNumId w:val="0"/>
  </w:num>
  <w:num w:numId="157">
    <w:abstractNumId w:val="113"/>
  </w:num>
  <w:num w:numId="158">
    <w:abstractNumId w:val="14"/>
  </w:num>
  <w:num w:numId="159">
    <w:abstractNumId w:val="6"/>
  </w:num>
  <w:num w:numId="160">
    <w:abstractNumId w:val="3"/>
  </w:num>
  <w:num w:numId="161">
    <w:abstractNumId w:val="2"/>
  </w:num>
  <w:num w:numId="162">
    <w:abstractNumId w:val="16"/>
  </w:num>
  <w:num w:numId="163">
    <w:abstractNumId w:val="15"/>
  </w:num>
  <w:num w:numId="164">
    <w:abstractNumId w:val="18"/>
  </w:num>
  <w:num w:numId="165">
    <w:abstractNumId w:val="5"/>
  </w:num>
  <w:num w:numId="166">
    <w:abstractNumId w:val="9"/>
  </w:num>
  <w:num w:numId="167">
    <w:abstractNumId w:val="11"/>
  </w:num>
  <w:num w:numId="168">
    <w:abstractNumId w:val="10"/>
  </w:num>
  <w:num w:numId="169">
    <w:abstractNumId w:val="1"/>
  </w:num>
  <w:num w:numId="170">
    <w:abstractNumId w:val="12"/>
  </w:num>
  <w:num w:numId="171">
    <w:abstractNumId w:val="7"/>
  </w:num>
  <w:num w:numId="172">
    <w:abstractNumId w:val="4"/>
  </w:num>
  <w:num w:numId="173">
    <w:abstractNumId w:val="17"/>
    <w:lvlOverride w:ilvl="0">
      <w:startOverride w:val="1"/>
    </w:lvlOverride>
  </w:num>
  <w:num w:numId="174">
    <w:abstractNumId w:val="19"/>
  </w:num>
  <w:num w:numId="175">
    <w:abstractNumId w:val="20"/>
  </w:num>
  <w:num w:numId="176">
    <w:abstractNumId w:val="39"/>
  </w:num>
  <w:num w:numId="1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3"/>
  </w:num>
  <w:num w:numId="179">
    <w:abstractNumId w:val="130"/>
  </w:num>
  <w:num w:numId="180">
    <w:abstractNumId w:val="61"/>
  </w:num>
  <w:num w:numId="181">
    <w:abstractNumId w:val="66"/>
  </w:num>
  <w:num w:numId="182">
    <w:abstractNumId w:val="157"/>
  </w:num>
  <w:num w:numId="183">
    <w:abstractNumId w:val="152"/>
  </w:num>
  <w:num w:numId="184">
    <w:abstractNumId w:val="126"/>
  </w:num>
  <w:num w:numId="185">
    <w:abstractNumId w:val="24"/>
  </w:num>
  <w:num w:numId="186">
    <w:abstractNumId w:val="85"/>
  </w:num>
  <w:num w:numId="187">
    <w:abstractNumId w:val="101"/>
  </w:num>
  <w:num w:numId="188">
    <w:abstractNumId w:val="79"/>
  </w:num>
  <w:num w:numId="189">
    <w:abstractNumId w:val="149"/>
  </w:num>
  <w:num w:numId="190">
    <w:abstractNumId w:val="128"/>
  </w:num>
  <w:num w:numId="191">
    <w:abstractNumId w:val="37"/>
  </w:num>
  <w:num w:numId="192">
    <w:abstractNumId w:val="36"/>
  </w:num>
  <w:num w:numId="193">
    <w:abstractNumId w:val="25"/>
  </w:num>
  <w:num w:numId="194">
    <w:abstractNumId w:val="162"/>
  </w:num>
  <w:num w:numId="195">
    <w:abstractNumId w:val="26"/>
  </w:num>
  <w:num w:numId="196">
    <w:abstractNumId w:val="93"/>
  </w:num>
  <w:num w:numId="197">
    <w:abstractNumId w:val="125"/>
  </w:num>
  <w:num w:numId="198">
    <w:abstractNumId w:val="108"/>
  </w:num>
  <w:num w:numId="199">
    <w:abstractNumId w:val="132"/>
  </w:num>
  <w:num w:numId="200">
    <w:abstractNumId w:val="100"/>
  </w:num>
  <w:num w:numId="201">
    <w:abstractNumId w:val="57"/>
  </w:num>
  <w:num w:numId="202">
    <w:abstractNumId w:val="129"/>
  </w:num>
  <w:num w:numId="203">
    <w:abstractNumId w:val="118"/>
  </w:num>
  <w:num w:numId="204">
    <w:abstractNumId w:val="137"/>
  </w:num>
  <w:num w:numId="205">
    <w:abstractNumId w:val="81"/>
  </w:num>
  <w:num w:numId="206">
    <w:abstractNumId w:val="93"/>
  </w:num>
  <w:num w:numId="207">
    <w:abstractNumId w:val="93"/>
  </w:num>
  <w:num w:numId="208">
    <w:abstractNumId w:val="93"/>
  </w:num>
  <w:num w:numId="209">
    <w:abstractNumId w:val="93"/>
  </w:num>
  <w:num w:numId="210">
    <w:abstractNumId w:val="139"/>
  </w:num>
  <w:num w:numId="211">
    <w:abstractNumId w:val="91"/>
  </w:num>
  <w:num w:numId="212">
    <w:abstractNumId w:val="93"/>
  </w:num>
  <w:num w:numId="21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4"/>
  </w:num>
  <w:num w:numId="215">
    <w:abstractNumId w:val="44"/>
  </w:num>
  <w:num w:numId="216">
    <w:abstractNumId w:val="110"/>
  </w:num>
  <w:num w:numId="217">
    <w:abstractNumId w:val="87"/>
  </w:num>
  <w:num w:numId="218">
    <w:abstractNumId w:val="145"/>
  </w:num>
  <w:num w:numId="219">
    <w:abstractNumId w:val="93"/>
  </w:num>
  <w:num w:numId="220">
    <w:abstractNumId w:val="93"/>
  </w:num>
  <w:num w:numId="221">
    <w:abstractNumId w:val="124"/>
  </w:num>
  <w:num w:numId="222">
    <w:abstractNumId w:val="93"/>
  </w:num>
  <w:num w:numId="223">
    <w:abstractNumId w:val="93"/>
  </w:num>
  <w:num w:numId="224">
    <w:abstractNumId w:val="159"/>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documentProtection w:edit="trackedChanges"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DE"/>
    <w:rsid w:val="000000B3"/>
    <w:rsid w:val="0000287A"/>
    <w:rsid w:val="0000325D"/>
    <w:rsid w:val="00003336"/>
    <w:rsid w:val="00003603"/>
    <w:rsid w:val="00004705"/>
    <w:rsid w:val="00005A6E"/>
    <w:rsid w:val="00005B69"/>
    <w:rsid w:val="00005C94"/>
    <w:rsid w:val="00006530"/>
    <w:rsid w:val="00006AD8"/>
    <w:rsid w:val="00006EA1"/>
    <w:rsid w:val="000076D0"/>
    <w:rsid w:val="00007A57"/>
    <w:rsid w:val="00011EEF"/>
    <w:rsid w:val="0001226D"/>
    <w:rsid w:val="000129A0"/>
    <w:rsid w:val="00012AF6"/>
    <w:rsid w:val="00012B73"/>
    <w:rsid w:val="000150AF"/>
    <w:rsid w:val="0001569B"/>
    <w:rsid w:val="00017044"/>
    <w:rsid w:val="000172FC"/>
    <w:rsid w:val="00017F40"/>
    <w:rsid w:val="0002159C"/>
    <w:rsid w:val="00022367"/>
    <w:rsid w:val="0002244F"/>
    <w:rsid w:val="000235C6"/>
    <w:rsid w:val="00023796"/>
    <w:rsid w:val="0002387B"/>
    <w:rsid w:val="00023B2D"/>
    <w:rsid w:val="0002599A"/>
    <w:rsid w:val="00025B89"/>
    <w:rsid w:val="000266ED"/>
    <w:rsid w:val="000269F3"/>
    <w:rsid w:val="00026D2C"/>
    <w:rsid w:val="00027077"/>
    <w:rsid w:val="0002776E"/>
    <w:rsid w:val="00030A95"/>
    <w:rsid w:val="00030ECC"/>
    <w:rsid w:val="000314AD"/>
    <w:rsid w:val="000346FC"/>
    <w:rsid w:val="00034E76"/>
    <w:rsid w:val="000352B0"/>
    <w:rsid w:val="00035406"/>
    <w:rsid w:val="000357C2"/>
    <w:rsid w:val="00036451"/>
    <w:rsid w:val="00036486"/>
    <w:rsid w:val="00037B95"/>
    <w:rsid w:val="00040F4B"/>
    <w:rsid w:val="0004104B"/>
    <w:rsid w:val="000426F5"/>
    <w:rsid w:val="000429A3"/>
    <w:rsid w:val="000431A4"/>
    <w:rsid w:val="000431EF"/>
    <w:rsid w:val="000446B7"/>
    <w:rsid w:val="00044E2A"/>
    <w:rsid w:val="000454DB"/>
    <w:rsid w:val="000455F1"/>
    <w:rsid w:val="000466F2"/>
    <w:rsid w:val="00046D4F"/>
    <w:rsid w:val="000471AB"/>
    <w:rsid w:val="00047BAB"/>
    <w:rsid w:val="00053207"/>
    <w:rsid w:val="0005323C"/>
    <w:rsid w:val="00053987"/>
    <w:rsid w:val="0005461C"/>
    <w:rsid w:val="0005485C"/>
    <w:rsid w:val="00054ECD"/>
    <w:rsid w:val="00055288"/>
    <w:rsid w:val="00056F93"/>
    <w:rsid w:val="00057958"/>
    <w:rsid w:val="00057A65"/>
    <w:rsid w:val="00057B59"/>
    <w:rsid w:val="000606D2"/>
    <w:rsid w:val="00060CF1"/>
    <w:rsid w:val="0006126A"/>
    <w:rsid w:val="000614AC"/>
    <w:rsid w:val="00061A89"/>
    <w:rsid w:val="0006207C"/>
    <w:rsid w:val="0006239A"/>
    <w:rsid w:val="000626E9"/>
    <w:rsid w:val="00063323"/>
    <w:rsid w:val="00063547"/>
    <w:rsid w:val="00063DA4"/>
    <w:rsid w:val="0006401E"/>
    <w:rsid w:val="0006430D"/>
    <w:rsid w:val="00064D6A"/>
    <w:rsid w:val="00064FEE"/>
    <w:rsid w:val="00064FF9"/>
    <w:rsid w:val="00065547"/>
    <w:rsid w:val="00066429"/>
    <w:rsid w:val="00066694"/>
    <w:rsid w:val="00066B8D"/>
    <w:rsid w:val="00071D3D"/>
    <w:rsid w:val="00071D4F"/>
    <w:rsid w:val="00072594"/>
    <w:rsid w:val="00072786"/>
    <w:rsid w:val="00072AFA"/>
    <w:rsid w:val="0007362B"/>
    <w:rsid w:val="00073827"/>
    <w:rsid w:val="00073ABB"/>
    <w:rsid w:val="00073C85"/>
    <w:rsid w:val="00074FC4"/>
    <w:rsid w:val="0007527D"/>
    <w:rsid w:val="0007710B"/>
    <w:rsid w:val="0007738B"/>
    <w:rsid w:val="00080881"/>
    <w:rsid w:val="00081CD6"/>
    <w:rsid w:val="00081D62"/>
    <w:rsid w:val="0008210C"/>
    <w:rsid w:val="0008236A"/>
    <w:rsid w:val="00085DA4"/>
    <w:rsid w:val="00085DC4"/>
    <w:rsid w:val="00085F18"/>
    <w:rsid w:val="000863B3"/>
    <w:rsid w:val="0008694D"/>
    <w:rsid w:val="00086EB1"/>
    <w:rsid w:val="000873FF"/>
    <w:rsid w:val="00087638"/>
    <w:rsid w:val="00091306"/>
    <w:rsid w:val="00091828"/>
    <w:rsid w:val="00092206"/>
    <w:rsid w:val="0009257B"/>
    <w:rsid w:val="000935EF"/>
    <w:rsid w:val="000936BE"/>
    <w:rsid w:val="00093C31"/>
    <w:rsid w:val="0009401A"/>
    <w:rsid w:val="0009424F"/>
    <w:rsid w:val="000942FF"/>
    <w:rsid w:val="000944E0"/>
    <w:rsid w:val="00095418"/>
    <w:rsid w:val="00096EC6"/>
    <w:rsid w:val="00097725"/>
    <w:rsid w:val="0009776F"/>
    <w:rsid w:val="00097852"/>
    <w:rsid w:val="000979FF"/>
    <w:rsid w:val="000A03ED"/>
    <w:rsid w:val="000A0947"/>
    <w:rsid w:val="000A0E01"/>
    <w:rsid w:val="000A0F47"/>
    <w:rsid w:val="000A2916"/>
    <w:rsid w:val="000A3A41"/>
    <w:rsid w:val="000A4059"/>
    <w:rsid w:val="000A44F0"/>
    <w:rsid w:val="000A4B2A"/>
    <w:rsid w:val="000A7F0F"/>
    <w:rsid w:val="000B00A0"/>
    <w:rsid w:val="000B0122"/>
    <w:rsid w:val="000B01A6"/>
    <w:rsid w:val="000B0AE5"/>
    <w:rsid w:val="000B16D1"/>
    <w:rsid w:val="000B195B"/>
    <w:rsid w:val="000B1D1C"/>
    <w:rsid w:val="000B2381"/>
    <w:rsid w:val="000B2FB8"/>
    <w:rsid w:val="000B3085"/>
    <w:rsid w:val="000B3FB2"/>
    <w:rsid w:val="000B4403"/>
    <w:rsid w:val="000B4744"/>
    <w:rsid w:val="000B4C41"/>
    <w:rsid w:val="000B4D80"/>
    <w:rsid w:val="000B4E89"/>
    <w:rsid w:val="000B51AB"/>
    <w:rsid w:val="000B5898"/>
    <w:rsid w:val="000B59B6"/>
    <w:rsid w:val="000B5FD0"/>
    <w:rsid w:val="000B618C"/>
    <w:rsid w:val="000B6854"/>
    <w:rsid w:val="000B6E0D"/>
    <w:rsid w:val="000B7F6A"/>
    <w:rsid w:val="000C201A"/>
    <w:rsid w:val="000C20FA"/>
    <w:rsid w:val="000C3B23"/>
    <w:rsid w:val="000C3EFF"/>
    <w:rsid w:val="000C466B"/>
    <w:rsid w:val="000C4F51"/>
    <w:rsid w:val="000C653B"/>
    <w:rsid w:val="000C6B4B"/>
    <w:rsid w:val="000C7EA7"/>
    <w:rsid w:val="000C7F10"/>
    <w:rsid w:val="000D0095"/>
    <w:rsid w:val="000D0720"/>
    <w:rsid w:val="000D0871"/>
    <w:rsid w:val="000D0896"/>
    <w:rsid w:val="000D08E8"/>
    <w:rsid w:val="000D289F"/>
    <w:rsid w:val="000D293E"/>
    <w:rsid w:val="000D2D03"/>
    <w:rsid w:val="000D3C63"/>
    <w:rsid w:val="000D3E72"/>
    <w:rsid w:val="000D3FEC"/>
    <w:rsid w:val="000D4266"/>
    <w:rsid w:val="000D463B"/>
    <w:rsid w:val="000D4730"/>
    <w:rsid w:val="000D4875"/>
    <w:rsid w:val="000D56F6"/>
    <w:rsid w:val="000D70A3"/>
    <w:rsid w:val="000D77D6"/>
    <w:rsid w:val="000D79EF"/>
    <w:rsid w:val="000E07B1"/>
    <w:rsid w:val="000E084E"/>
    <w:rsid w:val="000E1467"/>
    <w:rsid w:val="000E235D"/>
    <w:rsid w:val="000E2AE3"/>
    <w:rsid w:val="000E40C6"/>
    <w:rsid w:val="000E44BC"/>
    <w:rsid w:val="000E47A0"/>
    <w:rsid w:val="000E4B38"/>
    <w:rsid w:val="000E54FD"/>
    <w:rsid w:val="000E6065"/>
    <w:rsid w:val="000E6BA7"/>
    <w:rsid w:val="000E703B"/>
    <w:rsid w:val="000E73C4"/>
    <w:rsid w:val="000E7466"/>
    <w:rsid w:val="000E7B25"/>
    <w:rsid w:val="000F0078"/>
    <w:rsid w:val="000F0B42"/>
    <w:rsid w:val="000F1941"/>
    <w:rsid w:val="000F2199"/>
    <w:rsid w:val="000F29A9"/>
    <w:rsid w:val="000F3937"/>
    <w:rsid w:val="000F3AC4"/>
    <w:rsid w:val="000F3EF4"/>
    <w:rsid w:val="000F3F43"/>
    <w:rsid w:val="000F4878"/>
    <w:rsid w:val="000F54B2"/>
    <w:rsid w:val="000F5DC6"/>
    <w:rsid w:val="000F73FF"/>
    <w:rsid w:val="000F7C6D"/>
    <w:rsid w:val="001002AC"/>
    <w:rsid w:val="001006A8"/>
    <w:rsid w:val="001007E3"/>
    <w:rsid w:val="00101780"/>
    <w:rsid w:val="0010186B"/>
    <w:rsid w:val="00101ADE"/>
    <w:rsid w:val="00101EC3"/>
    <w:rsid w:val="00102C15"/>
    <w:rsid w:val="00104991"/>
    <w:rsid w:val="0010499F"/>
    <w:rsid w:val="00104B7F"/>
    <w:rsid w:val="00104C41"/>
    <w:rsid w:val="00104EAE"/>
    <w:rsid w:val="001076E3"/>
    <w:rsid w:val="0011122F"/>
    <w:rsid w:val="00113098"/>
    <w:rsid w:val="00113239"/>
    <w:rsid w:val="001135F6"/>
    <w:rsid w:val="00113A1F"/>
    <w:rsid w:val="00114106"/>
    <w:rsid w:val="001142D5"/>
    <w:rsid w:val="00114E22"/>
    <w:rsid w:val="00114E2D"/>
    <w:rsid w:val="0011558E"/>
    <w:rsid w:val="0011567C"/>
    <w:rsid w:val="00116A80"/>
    <w:rsid w:val="00117497"/>
    <w:rsid w:val="0012016E"/>
    <w:rsid w:val="00120BB9"/>
    <w:rsid w:val="0012143B"/>
    <w:rsid w:val="001222EA"/>
    <w:rsid w:val="00122362"/>
    <w:rsid w:val="0012257F"/>
    <w:rsid w:val="00123029"/>
    <w:rsid w:val="00123120"/>
    <w:rsid w:val="00123CA6"/>
    <w:rsid w:val="00124161"/>
    <w:rsid w:val="001244CE"/>
    <w:rsid w:val="00124A38"/>
    <w:rsid w:val="00124BB6"/>
    <w:rsid w:val="0012548D"/>
    <w:rsid w:val="00125970"/>
    <w:rsid w:val="001259B2"/>
    <w:rsid w:val="001261D8"/>
    <w:rsid w:val="001261F1"/>
    <w:rsid w:val="00126E16"/>
    <w:rsid w:val="001274E8"/>
    <w:rsid w:val="0012770D"/>
    <w:rsid w:val="00127947"/>
    <w:rsid w:val="00127D59"/>
    <w:rsid w:val="00127DF7"/>
    <w:rsid w:val="0013008F"/>
    <w:rsid w:val="00130171"/>
    <w:rsid w:val="00131FE4"/>
    <w:rsid w:val="00132331"/>
    <w:rsid w:val="00132A00"/>
    <w:rsid w:val="0013347D"/>
    <w:rsid w:val="001337E1"/>
    <w:rsid w:val="00133EDB"/>
    <w:rsid w:val="0013420C"/>
    <w:rsid w:val="00134998"/>
    <w:rsid w:val="0013528D"/>
    <w:rsid w:val="001362F9"/>
    <w:rsid w:val="00136471"/>
    <w:rsid w:val="0013663B"/>
    <w:rsid w:val="0013669D"/>
    <w:rsid w:val="00136B06"/>
    <w:rsid w:val="00137C2F"/>
    <w:rsid w:val="00137E52"/>
    <w:rsid w:val="00137ED5"/>
    <w:rsid w:val="0014068A"/>
    <w:rsid w:val="001406A3"/>
    <w:rsid w:val="00140767"/>
    <w:rsid w:val="00140BA5"/>
    <w:rsid w:val="00141712"/>
    <w:rsid w:val="00141C6B"/>
    <w:rsid w:val="001436D5"/>
    <w:rsid w:val="001452FB"/>
    <w:rsid w:val="001461B9"/>
    <w:rsid w:val="0014645F"/>
    <w:rsid w:val="00146C50"/>
    <w:rsid w:val="001471E1"/>
    <w:rsid w:val="001473D9"/>
    <w:rsid w:val="00147BB3"/>
    <w:rsid w:val="001507D8"/>
    <w:rsid w:val="00152530"/>
    <w:rsid w:val="00152CAC"/>
    <w:rsid w:val="00152DDF"/>
    <w:rsid w:val="00153471"/>
    <w:rsid w:val="00153AA8"/>
    <w:rsid w:val="00153F6E"/>
    <w:rsid w:val="00154E7B"/>
    <w:rsid w:val="001550E2"/>
    <w:rsid w:val="001551CF"/>
    <w:rsid w:val="0015568F"/>
    <w:rsid w:val="0015570A"/>
    <w:rsid w:val="00155F3A"/>
    <w:rsid w:val="001566F0"/>
    <w:rsid w:val="00156AD9"/>
    <w:rsid w:val="00157A41"/>
    <w:rsid w:val="00157D66"/>
    <w:rsid w:val="00157FC2"/>
    <w:rsid w:val="0016008E"/>
    <w:rsid w:val="00160CBC"/>
    <w:rsid w:val="00160CC4"/>
    <w:rsid w:val="00162258"/>
    <w:rsid w:val="001629CE"/>
    <w:rsid w:val="00162CEE"/>
    <w:rsid w:val="0016378E"/>
    <w:rsid w:val="00165283"/>
    <w:rsid w:val="00165E45"/>
    <w:rsid w:val="001673EB"/>
    <w:rsid w:val="00167408"/>
    <w:rsid w:val="00170798"/>
    <w:rsid w:val="001710A6"/>
    <w:rsid w:val="00171141"/>
    <w:rsid w:val="00172181"/>
    <w:rsid w:val="00172453"/>
    <w:rsid w:val="00172BB8"/>
    <w:rsid w:val="00173009"/>
    <w:rsid w:val="00174CFC"/>
    <w:rsid w:val="00175627"/>
    <w:rsid w:val="00176BA7"/>
    <w:rsid w:val="00176BB6"/>
    <w:rsid w:val="0017742E"/>
    <w:rsid w:val="001774C6"/>
    <w:rsid w:val="0017767D"/>
    <w:rsid w:val="0018033B"/>
    <w:rsid w:val="00180741"/>
    <w:rsid w:val="001810B6"/>
    <w:rsid w:val="00181348"/>
    <w:rsid w:val="001829AF"/>
    <w:rsid w:val="00183528"/>
    <w:rsid w:val="00183A56"/>
    <w:rsid w:val="00183F58"/>
    <w:rsid w:val="001840C6"/>
    <w:rsid w:val="001841A7"/>
    <w:rsid w:val="00184E99"/>
    <w:rsid w:val="00185603"/>
    <w:rsid w:val="001859F5"/>
    <w:rsid w:val="001863D0"/>
    <w:rsid w:val="00187524"/>
    <w:rsid w:val="001875AF"/>
    <w:rsid w:val="00190ABB"/>
    <w:rsid w:val="00190BD2"/>
    <w:rsid w:val="00190C9E"/>
    <w:rsid w:val="001912AE"/>
    <w:rsid w:val="0019145F"/>
    <w:rsid w:val="001916F1"/>
    <w:rsid w:val="00193108"/>
    <w:rsid w:val="00193679"/>
    <w:rsid w:val="00194509"/>
    <w:rsid w:val="00194736"/>
    <w:rsid w:val="0019483B"/>
    <w:rsid w:val="00194921"/>
    <w:rsid w:val="0019595D"/>
    <w:rsid w:val="00195BBE"/>
    <w:rsid w:val="0019649F"/>
    <w:rsid w:val="001964BE"/>
    <w:rsid w:val="00197251"/>
    <w:rsid w:val="00197491"/>
    <w:rsid w:val="00197710"/>
    <w:rsid w:val="00197A50"/>
    <w:rsid w:val="00197E9E"/>
    <w:rsid w:val="001A002D"/>
    <w:rsid w:val="001A0C65"/>
    <w:rsid w:val="001A1A0D"/>
    <w:rsid w:val="001A1C66"/>
    <w:rsid w:val="001A1E31"/>
    <w:rsid w:val="001A2544"/>
    <w:rsid w:val="001A2A40"/>
    <w:rsid w:val="001A388E"/>
    <w:rsid w:val="001A41AD"/>
    <w:rsid w:val="001A447B"/>
    <w:rsid w:val="001A464D"/>
    <w:rsid w:val="001A4818"/>
    <w:rsid w:val="001A4858"/>
    <w:rsid w:val="001A49C2"/>
    <w:rsid w:val="001A4D7F"/>
    <w:rsid w:val="001A4F85"/>
    <w:rsid w:val="001A5331"/>
    <w:rsid w:val="001A5EDB"/>
    <w:rsid w:val="001A60FC"/>
    <w:rsid w:val="001A6307"/>
    <w:rsid w:val="001A79CA"/>
    <w:rsid w:val="001B0217"/>
    <w:rsid w:val="001B086C"/>
    <w:rsid w:val="001B1BE3"/>
    <w:rsid w:val="001B1F17"/>
    <w:rsid w:val="001B20B4"/>
    <w:rsid w:val="001B2299"/>
    <w:rsid w:val="001B2A9F"/>
    <w:rsid w:val="001B35D6"/>
    <w:rsid w:val="001B3870"/>
    <w:rsid w:val="001B3E9B"/>
    <w:rsid w:val="001B3FF0"/>
    <w:rsid w:val="001B457B"/>
    <w:rsid w:val="001B4AD6"/>
    <w:rsid w:val="001B4B00"/>
    <w:rsid w:val="001B60E4"/>
    <w:rsid w:val="001B70BE"/>
    <w:rsid w:val="001B7244"/>
    <w:rsid w:val="001B73AA"/>
    <w:rsid w:val="001B73C4"/>
    <w:rsid w:val="001C042B"/>
    <w:rsid w:val="001C1D23"/>
    <w:rsid w:val="001C2009"/>
    <w:rsid w:val="001C2475"/>
    <w:rsid w:val="001C2B40"/>
    <w:rsid w:val="001C2C9A"/>
    <w:rsid w:val="001C2CE4"/>
    <w:rsid w:val="001C2FF5"/>
    <w:rsid w:val="001C36FF"/>
    <w:rsid w:val="001C41CC"/>
    <w:rsid w:val="001C472D"/>
    <w:rsid w:val="001C5AF2"/>
    <w:rsid w:val="001C6933"/>
    <w:rsid w:val="001C6C2C"/>
    <w:rsid w:val="001C7EFA"/>
    <w:rsid w:val="001D015D"/>
    <w:rsid w:val="001D0908"/>
    <w:rsid w:val="001D20C2"/>
    <w:rsid w:val="001D2A90"/>
    <w:rsid w:val="001D31C4"/>
    <w:rsid w:val="001D3839"/>
    <w:rsid w:val="001D416A"/>
    <w:rsid w:val="001D4BEE"/>
    <w:rsid w:val="001D4DB3"/>
    <w:rsid w:val="001D5AE9"/>
    <w:rsid w:val="001D5DC8"/>
    <w:rsid w:val="001D60B9"/>
    <w:rsid w:val="001D62B4"/>
    <w:rsid w:val="001D6A7B"/>
    <w:rsid w:val="001D761E"/>
    <w:rsid w:val="001D78A8"/>
    <w:rsid w:val="001D7D17"/>
    <w:rsid w:val="001E07F4"/>
    <w:rsid w:val="001E086C"/>
    <w:rsid w:val="001E0AAA"/>
    <w:rsid w:val="001E1019"/>
    <w:rsid w:val="001E16CE"/>
    <w:rsid w:val="001E1F08"/>
    <w:rsid w:val="001E27CC"/>
    <w:rsid w:val="001E2F51"/>
    <w:rsid w:val="001E3484"/>
    <w:rsid w:val="001E3BED"/>
    <w:rsid w:val="001E4D14"/>
    <w:rsid w:val="001E54BD"/>
    <w:rsid w:val="001E5903"/>
    <w:rsid w:val="001E5E40"/>
    <w:rsid w:val="001E5EB8"/>
    <w:rsid w:val="001E6604"/>
    <w:rsid w:val="001E6B6C"/>
    <w:rsid w:val="001E6B9E"/>
    <w:rsid w:val="001E6F77"/>
    <w:rsid w:val="001E7759"/>
    <w:rsid w:val="001F027D"/>
    <w:rsid w:val="001F0577"/>
    <w:rsid w:val="001F11F4"/>
    <w:rsid w:val="001F1687"/>
    <w:rsid w:val="001F1746"/>
    <w:rsid w:val="001F1926"/>
    <w:rsid w:val="001F2226"/>
    <w:rsid w:val="001F2345"/>
    <w:rsid w:val="001F27DC"/>
    <w:rsid w:val="001F2C20"/>
    <w:rsid w:val="001F2F37"/>
    <w:rsid w:val="001F3065"/>
    <w:rsid w:val="001F3812"/>
    <w:rsid w:val="001F4F71"/>
    <w:rsid w:val="001F553D"/>
    <w:rsid w:val="001F56A4"/>
    <w:rsid w:val="001F5E34"/>
    <w:rsid w:val="001F6254"/>
    <w:rsid w:val="001F6AC8"/>
    <w:rsid w:val="001F6B3E"/>
    <w:rsid w:val="001F6F7B"/>
    <w:rsid w:val="00200693"/>
    <w:rsid w:val="00201DFD"/>
    <w:rsid w:val="0020268E"/>
    <w:rsid w:val="00203B8F"/>
    <w:rsid w:val="00203E75"/>
    <w:rsid w:val="00205175"/>
    <w:rsid w:val="002063F4"/>
    <w:rsid w:val="00206583"/>
    <w:rsid w:val="00206918"/>
    <w:rsid w:val="00210031"/>
    <w:rsid w:val="00211B4E"/>
    <w:rsid w:val="002122FD"/>
    <w:rsid w:val="002127E4"/>
    <w:rsid w:val="00212B88"/>
    <w:rsid w:val="002134D1"/>
    <w:rsid w:val="0021387C"/>
    <w:rsid w:val="00214207"/>
    <w:rsid w:val="00214264"/>
    <w:rsid w:val="00216C2C"/>
    <w:rsid w:val="00217122"/>
    <w:rsid w:val="00221E3B"/>
    <w:rsid w:val="002222FC"/>
    <w:rsid w:val="00222654"/>
    <w:rsid w:val="00222696"/>
    <w:rsid w:val="00222C81"/>
    <w:rsid w:val="0022400E"/>
    <w:rsid w:val="0022456F"/>
    <w:rsid w:val="00225678"/>
    <w:rsid w:val="002259AE"/>
    <w:rsid w:val="0022674E"/>
    <w:rsid w:val="0022695D"/>
    <w:rsid w:val="00226F09"/>
    <w:rsid w:val="0022702B"/>
    <w:rsid w:val="00227284"/>
    <w:rsid w:val="002275B5"/>
    <w:rsid w:val="0023001C"/>
    <w:rsid w:val="00230946"/>
    <w:rsid w:val="002316B8"/>
    <w:rsid w:val="00231DF4"/>
    <w:rsid w:val="00231E5A"/>
    <w:rsid w:val="00232537"/>
    <w:rsid w:val="002329CF"/>
    <w:rsid w:val="00232E47"/>
    <w:rsid w:val="00234965"/>
    <w:rsid w:val="002349E0"/>
    <w:rsid w:val="0023520B"/>
    <w:rsid w:val="00235A22"/>
    <w:rsid w:val="00236E5E"/>
    <w:rsid w:val="00236ED0"/>
    <w:rsid w:val="0023783B"/>
    <w:rsid w:val="002404B3"/>
    <w:rsid w:val="00240B7A"/>
    <w:rsid w:val="00240CC9"/>
    <w:rsid w:val="002424F2"/>
    <w:rsid w:val="00242C95"/>
    <w:rsid w:val="00243205"/>
    <w:rsid w:val="00244441"/>
    <w:rsid w:val="002445CA"/>
    <w:rsid w:val="002448D3"/>
    <w:rsid w:val="00244F17"/>
    <w:rsid w:val="00245443"/>
    <w:rsid w:val="00246387"/>
    <w:rsid w:val="002467B8"/>
    <w:rsid w:val="00246EC8"/>
    <w:rsid w:val="00247017"/>
    <w:rsid w:val="00247116"/>
    <w:rsid w:val="00247359"/>
    <w:rsid w:val="00247579"/>
    <w:rsid w:val="00247FC1"/>
    <w:rsid w:val="00251920"/>
    <w:rsid w:val="00251C3F"/>
    <w:rsid w:val="002525E6"/>
    <w:rsid w:val="00252ACD"/>
    <w:rsid w:val="00252F88"/>
    <w:rsid w:val="00253593"/>
    <w:rsid w:val="002536F8"/>
    <w:rsid w:val="00253DC0"/>
    <w:rsid w:val="00254301"/>
    <w:rsid w:val="00254B1B"/>
    <w:rsid w:val="00254EE0"/>
    <w:rsid w:val="00254F36"/>
    <w:rsid w:val="002555D9"/>
    <w:rsid w:val="002557C0"/>
    <w:rsid w:val="00255AFA"/>
    <w:rsid w:val="00260111"/>
    <w:rsid w:val="002603A9"/>
    <w:rsid w:val="00261153"/>
    <w:rsid w:val="0026160B"/>
    <w:rsid w:val="00261FFE"/>
    <w:rsid w:val="00262321"/>
    <w:rsid w:val="00263083"/>
    <w:rsid w:val="002638B3"/>
    <w:rsid w:val="00263A7A"/>
    <w:rsid w:val="00263E95"/>
    <w:rsid w:val="0026570F"/>
    <w:rsid w:val="002657D2"/>
    <w:rsid w:val="00266251"/>
    <w:rsid w:val="00266524"/>
    <w:rsid w:val="00266A0F"/>
    <w:rsid w:val="00266A48"/>
    <w:rsid w:val="00267222"/>
    <w:rsid w:val="00267988"/>
    <w:rsid w:val="00270156"/>
    <w:rsid w:val="00270915"/>
    <w:rsid w:val="00270EF8"/>
    <w:rsid w:val="00271180"/>
    <w:rsid w:val="002718D6"/>
    <w:rsid w:val="00271E78"/>
    <w:rsid w:val="00271FF1"/>
    <w:rsid w:val="00272A81"/>
    <w:rsid w:val="0027301F"/>
    <w:rsid w:val="00273341"/>
    <w:rsid w:val="00274053"/>
    <w:rsid w:val="0027421D"/>
    <w:rsid w:val="002742D1"/>
    <w:rsid w:val="00274854"/>
    <w:rsid w:val="00274A49"/>
    <w:rsid w:val="00274AF8"/>
    <w:rsid w:val="00275370"/>
    <w:rsid w:val="00275988"/>
    <w:rsid w:val="00275C35"/>
    <w:rsid w:val="00276143"/>
    <w:rsid w:val="00277BF1"/>
    <w:rsid w:val="002803BA"/>
    <w:rsid w:val="0028114C"/>
    <w:rsid w:val="00281751"/>
    <w:rsid w:val="00282924"/>
    <w:rsid w:val="00282B5F"/>
    <w:rsid w:val="00282FF0"/>
    <w:rsid w:val="00283BF2"/>
    <w:rsid w:val="00284F75"/>
    <w:rsid w:val="00285AF9"/>
    <w:rsid w:val="00285CC6"/>
    <w:rsid w:val="00286497"/>
    <w:rsid w:val="00286D79"/>
    <w:rsid w:val="00290C3A"/>
    <w:rsid w:val="00290C4F"/>
    <w:rsid w:val="00291338"/>
    <w:rsid w:val="0029133B"/>
    <w:rsid w:val="002930C2"/>
    <w:rsid w:val="00293242"/>
    <w:rsid w:val="002945CE"/>
    <w:rsid w:val="00295E33"/>
    <w:rsid w:val="00296516"/>
    <w:rsid w:val="0029714C"/>
    <w:rsid w:val="0029768A"/>
    <w:rsid w:val="00297723"/>
    <w:rsid w:val="00297B12"/>
    <w:rsid w:val="002A0E60"/>
    <w:rsid w:val="002A1222"/>
    <w:rsid w:val="002A1F15"/>
    <w:rsid w:val="002A20C5"/>
    <w:rsid w:val="002A2A47"/>
    <w:rsid w:val="002A2E5E"/>
    <w:rsid w:val="002A2F70"/>
    <w:rsid w:val="002A49E1"/>
    <w:rsid w:val="002A55CF"/>
    <w:rsid w:val="002A5644"/>
    <w:rsid w:val="002A5738"/>
    <w:rsid w:val="002A5A61"/>
    <w:rsid w:val="002A5D8B"/>
    <w:rsid w:val="002A60EF"/>
    <w:rsid w:val="002A6150"/>
    <w:rsid w:val="002A6734"/>
    <w:rsid w:val="002A71AB"/>
    <w:rsid w:val="002B02EC"/>
    <w:rsid w:val="002B06C7"/>
    <w:rsid w:val="002B071B"/>
    <w:rsid w:val="002B1165"/>
    <w:rsid w:val="002B2005"/>
    <w:rsid w:val="002B27E0"/>
    <w:rsid w:val="002B2C4D"/>
    <w:rsid w:val="002B2D37"/>
    <w:rsid w:val="002B2F36"/>
    <w:rsid w:val="002B3072"/>
    <w:rsid w:val="002B32F0"/>
    <w:rsid w:val="002B39A7"/>
    <w:rsid w:val="002B3BEC"/>
    <w:rsid w:val="002B5AD9"/>
    <w:rsid w:val="002B6669"/>
    <w:rsid w:val="002B7243"/>
    <w:rsid w:val="002B788A"/>
    <w:rsid w:val="002B7C32"/>
    <w:rsid w:val="002C1FFA"/>
    <w:rsid w:val="002C23F2"/>
    <w:rsid w:val="002C44EA"/>
    <w:rsid w:val="002C476D"/>
    <w:rsid w:val="002C4980"/>
    <w:rsid w:val="002C6065"/>
    <w:rsid w:val="002C621D"/>
    <w:rsid w:val="002C6644"/>
    <w:rsid w:val="002D080B"/>
    <w:rsid w:val="002D10A4"/>
    <w:rsid w:val="002D1233"/>
    <w:rsid w:val="002D188C"/>
    <w:rsid w:val="002D29E2"/>
    <w:rsid w:val="002D4093"/>
    <w:rsid w:val="002D497C"/>
    <w:rsid w:val="002D5030"/>
    <w:rsid w:val="002D503E"/>
    <w:rsid w:val="002D53C7"/>
    <w:rsid w:val="002D6748"/>
    <w:rsid w:val="002D6D3B"/>
    <w:rsid w:val="002D7846"/>
    <w:rsid w:val="002E0056"/>
    <w:rsid w:val="002E00EF"/>
    <w:rsid w:val="002E0365"/>
    <w:rsid w:val="002E0CDE"/>
    <w:rsid w:val="002E0D2A"/>
    <w:rsid w:val="002E1536"/>
    <w:rsid w:val="002E1B21"/>
    <w:rsid w:val="002E27BD"/>
    <w:rsid w:val="002E2BCB"/>
    <w:rsid w:val="002E2D08"/>
    <w:rsid w:val="002E38AE"/>
    <w:rsid w:val="002E410E"/>
    <w:rsid w:val="002E416B"/>
    <w:rsid w:val="002E44F9"/>
    <w:rsid w:val="002E4D69"/>
    <w:rsid w:val="002E5901"/>
    <w:rsid w:val="002E5B67"/>
    <w:rsid w:val="002E65AF"/>
    <w:rsid w:val="002E78A7"/>
    <w:rsid w:val="002E7B9B"/>
    <w:rsid w:val="002E7FB6"/>
    <w:rsid w:val="002F00F2"/>
    <w:rsid w:val="002F02CA"/>
    <w:rsid w:val="002F1056"/>
    <w:rsid w:val="002F13D1"/>
    <w:rsid w:val="002F1D70"/>
    <w:rsid w:val="002F2639"/>
    <w:rsid w:val="002F2B6E"/>
    <w:rsid w:val="002F4937"/>
    <w:rsid w:val="002F4AD0"/>
    <w:rsid w:val="002F5526"/>
    <w:rsid w:val="002F6D89"/>
    <w:rsid w:val="002F6FEB"/>
    <w:rsid w:val="003000F3"/>
    <w:rsid w:val="0030046B"/>
    <w:rsid w:val="0030046C"/>
    <w:rsid w:val="00300831"/>
    <w:rsid w:val="00300BD0"/>
    <w:rsid w:val="003016E0"/>
    <w:rsid w:val="00301839"/>
    <w:rsid w:val="00301906"/>
    <w:rsid w:val="00301AD7"/>
    <w:rsid w:val="00301C1C"/>
    <w:rsid w:val="003031AD"/>
    <w:rsid w:val="00303560"/>
    <w:rsid w:val="00303A41"/>
    <w:rsid w:val="00303CE3"/>
    <w:rsid w:val="00304C05"/>
    <w:rsid w:val="003053E5"/>
    <w:rsid w:val="003059B6"/>
    <w:rsid w:val="00305A92"/>
    <w:rsid w:val="00307A17"/>
    <w:rsid w:val="003102C4"/>
    <w:rsid w:val="00310F32"/>
    <w:rsid w:val="00311948"/>
    <w:rsid w:val="00311C7C"/>
    <w:rsid w:val="00312684"/>
    <w:rsid w:val="00312A14"/>
    <w:rsid w:val="00312B39"/>
    <w:rsid w:val="00314AA9"/>
    <w:rsid w:val="00314AEB"/>
    <w:rsid w:val="003154B3"/>
    <w:rsid w:val="0031586F"/>
    <w:rsid w:val="00316E9A"/>
    <w:rsid w:val="00322CBF"/>
    <w:rsid w:val="00322FC6"/>
    <w:rsid w:val="00326984"/>
    <w:rsid w:val="003306D0"/>
    <w:rsid w:val="00330E08"/>
    <w:rsid w:val="00330FA8"/>
    <w:rsid w:val="00332381"/>
    <w:rsid w:val="0033252F"/>
    <w:rsid w:val="00332D22"/>
    <w:rsid w:val="00333312"/>
    <w:rsid w:val="00333DE2"/>
    <w:rsid w:val="00333ECF"/>
    <w:rsid w:val="0033516E"/>
    <w:rsid w:val="003356E2"/>
    <w:rsid w:val="003367AF"/>
    <w:rsid w:val="00337011"/>
    <w:rsid w:val="00337CD8"/>
    <w:rsid w:val="00337E5F"/>
    <w:rsid w:val="00340481"/>
    <w:rsid w:val="003406B9"/>
    <w:rsid w:val="003412D5"/>
    <w:rsid w:val="00341414"/>
    <w:rsid w:val="00341EF7"/>
    <w:rsid w:val="003421F0"/>
    <w:rsid w:val="00342449"/>
    <w:rsid w:val="003439B6"/>
    <w:rsid w:val="00343E70"/>
    <w:rsid w:val="00344274"/>
    <w:rsid w:val="00344B83"/>
    <w:rsid w:val="003453AC"/>
    <w:rsid w:val="0034627E"/>
    <w:rsid w:val="003465E3"/>
    <w:rsid w:val="00346B78"/>
    <w:rsid w:val="003470B7"/>
    <w:rsid w:val="003472BC"/>
    <w:rsid w:val="00350582"/>
    <w:rsid w:val="003506AA"/>
    <w:rsid w:val="00350F20"/>
    <w:rsid w:val="0035127E"/>
    <w:rsid w:val="003514A8"/>
    <w:rsid w:val="00351ADE"/>
    <w:rsid w:val="003523E6"/>
    <w:rsid w:val="00353746"/>
    <w:rsid w:val="00353CB8"/>
    <w:rsid w:val="00353FCD"/>
    <w:rsid w:val="00355375"/>
    <w:rsid w:val="0035791E"/>
    <w:rsid w:val="00357B10"/>
    <w:rsid w:val="0036007A"/>
    <w:rsid w:val="00360802"/>
    <w:rsid w:val="00360D92"/>
    <w:rsid w:val="00361371"/>
    <w:rsid w:val="003618DA"/>
    <w:rsid w:val="00362734"/>
    <w:rsid w:val="00362A4A"/>
    <w:rsid w:val="00363B0E"/>
    <w:rsid w:val="00364433"/>
    <w:rsid w:val="003655AD"/>
    <w:rsid w:val="0036597E"/>
    <w:rsid w:val="00365C4C"/>
    <w:rsid w:val="00367363"/>
    <w:rsid w:val="00367511"/>
    <w:rsid w:val="00371187"/>
    <w:rsid w:val="003730FA"/>
    <w:rsid w:val="0037317E"/>
    <w:rsid w:val="00373AE3"/>
    <w:rsid w:val="00375447"/>
    <w:rsid w:val="00375ECD"/>
    <w:rsid w:val="00375F08"/>
    <w:rsid w:val="003760E3"/>
    <w:rsid w:val="00376F0D"/>
    <w:rsid w:val="00377525"/>
    <w:rsid w:val="00377A91"/>
    <w:rsid w:val="00380B7A"/>
    <w:rsid w:val="00381252"/>
    <w:rsid w:val="003816CE"/>
    <w:rsid w:val="003821C4"/>
    <w:rsid w:val="00383639"/>
    <w:rsid w:val="00384D71"/>
    <w:rsid w:val="003852AD"/>
    <w:rsid w:val="00385411"/>
    <w:rsid w:val="00385C33"/>
    <w:rsid w:val="00385D6E"/>
    <w:rsid w:val="00386249"/>
    <w:rsid w:val="00386EE2"/>
    <w:rsid w:val="003907AA"/>
    <w:rsid w:val="00390855"/>
    <w:rsid w:val="003908D7"/>
    <w:rsid w:val="003908E7"/>
    <w:rsid w:val="00390BCE"/>
    <w:rsid w:val="0039230C"/>
    <w:rsid w:val="003923E9"/>
    <w:rsid w:val="003934AA"/>
    <w:rsid w:val="00393968"/>
    <w:rsid w:val="00395123"/>
    <w:rsid w:val="00395177"/>
    <w:rsid w:val="003954F9"/>
    <w:rsid w:val="00395775"/>
    <w:rsid w:val="00395B78"/>
    <w:rsid w:val="003967CF"/>
    <w:rsid w:val="00396EB7"/>
    <w:rsid w:val="003973C9"/>
    <w:rsid w:val="00397402"/>
    <w:rsid w:val="003A082F"/>
    <w:rsid w:val="003A17F7"/>
    <w:rsid w:val="003A18ED"/>
    <w:rsid w:val="003A1AC6"/>
    <w:rsid w:val="003A1AE4"/>
    <w:rsid w:val="003A2226"/>
    <w:rsid w:val="003A281E"/>
    <w:rsid w:val="003A30BB"/>
    <w:rsid w:val="003A3D26"/>
    <w:rsid w:val="003A4632"/>
    <w:rsid w:val="003A46A5"/>
    <w:rsid w:val="003A63EB"/>
    <w:rsid w:val="003A65F4"/>
    <w:rsid w:val="003A6E82"/>
    <w:rsid w:val="003B024E"/>
    <w:rsid w:val="003B0CA4"/>
    <w:rsid w:val="003B14CA"/>
    <w:rsid w:val="003B3D47"/>
    <w:rsid w:val="003B3E34"/>
    <w:rsid w:val="003B41F6"/>
    <w:rsid w:val="003B4EE0"/>
    <w:rsid w:val="003B5832"/>
    <w:rsid w:val="003B5979"/>
    <w:rsid w:val="003B65FE"/>
    <w:rsid w:val="003B6D15"/>
    <w:rsid w:val="003B6FDD"/>
    <w:rsid w:val="003B7FDB"/>
    <w:rsid w:val="003C024A"/>
    <w:rsid w:val="003C0255"/>
    <w:rsid w:val="003C105B"/>
    <w:rsid w:val="003C1243"/>
    <w:rsid w:val="003C15CC"/>
    <w:rsid w:val="003C1C2C"/>
    <w:rsid w:val="003C2BD6"/>
    <w:rsid w:val="003C33B4"/>
    <w:rsid w:val="003C33D4"/>
    <w:rsid w:val="003C3CAB"/>
    <w:rsid w:val="003C453F"/>
    <w:rsid w:val="003C45CB"/>
    <w:rsid w:val="003C4A48"/>
    <w:rsid w:val="003C4CB5"/>
    <w:rsid w:val="003C763B"/>
    <w:rsid w:val="003C76BE"/>
    <w:rsid w:val="003D01CC"/>
    <w:rsid w:val="003D02FC"/>
    <w:rsid w:val="003D28CC"/>
    <w:rsid w:val="003D2BF7"/>
    <w:rsid w:val="003D2E71"/>
    <w:rsid w:val="003D521E"/>
    <w:rsid w:val="003D52D7"/>
    <w:rsid w:val="003D5A52"/>
    <w:rsid w:val="003D5D84"/>
    <w:rsid w:val="003D5DE6"/>
    <w:rsid w:val="003D685F"/>
    <w:rsid w:val="003D78CE"/>
    <w:rsid w:val="003E05AC"/>
    <w:rsid w:val="003E07BD"/>
    <w:rsid w:val="003E0D40"/>
    <w:rsid w:val="003E227D"/>
    <w:rsid w:val="003E2D7C"/>
    <w:rsid w:val="003E492B"/>
    <w:rsid w:val="003E4D1B"/>
    <w:rsid w:val="003E52F7"/>
    <w:rsid w:val="003E630D"/>
    <w:rsid w:val="003E6C92"/>
    <w:rsid w:val="003E7BA8"/>
    <w:rsid w:val="003F053F"/>
    <w:rsid w:val="003F0DE8"/>
    <w:rsid w:val="003F1D67"/>
    <w:rsid w:val="003F1E1A"/>
    <w:rsid w:val="003F3B2E"/>
    <w:rsid w:val="003F3F26"/>
    <w:rsid w:val="003F4281"/>
    <w:rsid w:val="003F44F4"/>
    <w:rsid w:val="003F54E6"/>
    <w:rsid w:val="003F5847"/>
    <w:rsid w:val="003F5CEC"/>
    <w:rsid w:val="003F5CF7"/>
    <w:rsid w:val="003F614C"/>
    <w:rsid w:val="003F6CBC"/>
    <w:rsid w:val="00400714"/>
    <w:rsid w:val="00402333"/>
    <w:rsid w:val="0040315E"/>
    <w:rsid w:val="0040324F"/>
    <w:rsid w:val="00403FF2"/>
    <w:rsid w:val="004042DC"/>
    <w:rsid w:val="00405E4E"/>
    <w:rsid w:val="004064A0"/>
    <w:rsid w:val="0040691E"/>
    <w:rsid w:val="00407A78"/>
    <w:rsid w:val="00407FE6"/>
    <w:rsid w:val="00410913"/>
    <w:rsid w:val="0041098C"/>
    <w:rsid w:val="0041111A"/>
    <w:rsid w:val="004116DD"/>
    <w:rsid w:val="00411786"/>
    <w:rsid w:val="00411FCF"/>
    <w:rsid w:val="00412B83"/>
    <w:rsid w:val="00412C47"/>
    <w:rsid w:val="0041369A"/>
    <w:rsid w:val="00414231"/>
    <w:rsid w:val="00416DE4"/>
    <w:rsid w:val="00416DF3"/>
    <w:rsid w:val="004177AD"/>
    <w:rsid w:val="00417CA1"/>
    <w:rsid w:val="004203D8"/>
    <w:rsid w:val="00420C5B"/>
    <w:rsid w:val="004213DB"/>
    <w:rsid w:val="0042173C"/>
    <w:rsid w:val="00421EDC"/>
    <w:rsid w:val="00421F08"/>
    <w:rsid w:val="00422505"/>
    <w:rsid w:val="0042269F"/>
    <w:rsid w:val="00422F49"/>
    <w:rsid w:val="00423A02"/>
    <w:rsid w:val="00423C4E"/>
    <w:rsid w:val="0042479F"/>
    <w:rsid w:val="00424C83"/>
    <w:rsid w:val="00424F28"/>
    <w:rsid w:val="004251F2"/>
    <w:rsid w:val="00425A64"/>
    <w:rsid w:val="004260A9"/>
    <w:rsid w:val="004270C1"/>
    <w:rsid w:val="00427D99"/>
    <w:rsid w:val="004312C9"/>
    <w:rsid w:val="0043184E"/>
    <w:rsid w:val="00431CFD"/>
    <w:rsid w:val="00432C1A"/>
    <w:rsid w:val="004346E2"/>
    <w:rsid w:val="00435937"/>
    <w:rsid w:val="00435AFF"/>
    <w:rsid w:val="00435D19"/>
    <w:rsid w:val="0043618D"/>
    <w:rsid w:val="00436C5C"/>
    <w:rsid w:val="00437970"/>
    <w:rsid w:val="0044092E"/>
    <w:rsid w:val="0044134D"/>
    <w:rsid w:val="004422BF"/>
    <w:rsid w:val="00442663"/>
    <w:rsid w:val="00442938"/>
    <w:rsid w:val="00442E6B"/>
    <w:rsid w:val="0044346D"/>
    <w:rsid w:val="004439B1"/>
    <w:rsid w:val="0044414B"/>
    <w:rsid w:val="004454C0"/>
    <w:rsid w:val="00445D50"/>
    <w:rsid w:val="00450178"/>
    <w:rsid w:val="004503E3"/>
    <w:rsid w:val="00451314"/>
    <w:rsid w:val="0045160C"/>
    <w:rsid w:val="0045196F"/>
    <w:rsid w:val="0045250D"/>
    <w:rsid w:val="004534D5"/>
    <w:rsid w:val="00453B7C"/>
    <w:rsid w:val="004541CC"/>
    <w:rsid w:val="00454EB0"/>
    <w:rsid w:val="0045564E"/>
    <w:rsid w:val="00456119"/>
    <w:rsid w:val="004567BB"/>
    <w:rsid w:val="00456D23"/>
    <w:rsid w:val="00457724"/>
    <w:rsid w:val="00457C62"/>
    <w:rsid w:val="00457F35"/>
    <w:rsid w:val="00460106"/>
    <w:rsid w:val="00460376"/>
    <w:rsid w:val="004630B7"/>
    <w:rsid w:val="00463648"/>
    <w:rsid w:val="00463870"/>
    <w:rsid w:val="00463913"/>
    <w:rsid w:val="0046399B"/>
    <w:rsid w:val="00464726"/>
    <w:rsid w:val="00464E53"/>
    <w:rsid w:val="00465E10"/>
    <w:rsid w:val="00466069"/>
    <w:rsid w:val="0046638B"/>
    <w:rsid w:val="0047006B"/>
    <w:rsid w:val="00470177"/>
    <w:rsid w:val="00470B3D"/>
    <w:rsid w:val="00470E73"/>
    <w:rsid w:val="0047211F"/>
    <w:rsid w:val="004732CD"/>
    <w:rsid w:val="00473712"/>
    <w:rsid w:val="0047416C"/>
    <w:rsid w:val="0047439D"/>
    <w:rsid w:val="00474828"/>
    <w:rsid w:val="00474ECB"/>
    <w:rsid w:val="004750CF"/>
    <w:rsid w:val="00475646"/>
    <w:rsid w:val="00475D31"/>
    <w:rsid w:val="004762B2"/>
    <w:rsid w:val="0047652B"/>
    <w:rsid w:val="004765AB"/>
    <w:rsid w:val="004778D4"/>
    <w:rsid w:val="00477D01"/>
    <w:rsid w:val="00477FEF"/>
    <w:rsid w:val="0048090A"/>
    <w:rsid w:val="00483030"/>
    <w:rsid w:val="00483207"/>
    <w:rsid w:val="00483955"/>
    <w:rsid w:val="00484397"/>
    <w:rsid w:val="004849A8"/>
    <w:rsid w:val="0048510D"/>
    <w:rsid w:val="00485694"/>
    <w:rsid w:val="004871CB"/>
    <w:rsid w:val="0048766D"/>
    <w:rsid w:val="004879E5"/>
    <w:rsid w:val="0049168F"/>
    <w:rsid w:val="004925F8"/>
    <w:rsid w:val="00492765"/>
    <w:rsid w:val="004929B4"/>
    <w:rsid w:val="00492DB4"/>
    <w:rsid w:val="00493350"/>
    <w:rsid w:val="00494185"/>
    <w:rsid w:val="00494539"/>
    <w:rsid w:val="00495565"/>
    <w:rsid w:val="00495660"/>
    <w:rsid w:val="0049693F"/>
    <w:rsid w:val="00496E2A"/>
    <w:rsid w:val="004A0065"/>
    <w:rsid w:val="004A080E"/>
    <w:rsid w:val="004A111A"/>
    <w:rsid w:val="004A30C8"/>
    <w:rsid w:val="004A362F"/>
    <w:rsid w:val="004A36A3"/>
    <w:rsid w:val="004A38A1"/>
    <w:rsid w:val="004A3DCE"/>
    <w:rsid w:val="004A4622"/>
    <w:rsid w:val="004A5322"/>
    <w:rsid w:val="004A5CFE"/>
    <w:rsid w:val="004A63D9"/>
    <w:rsid w:val="004A6459"/>
    <w:rsid w:val="004A7B95"/>
    <w:rsid w:val="004B07DA"/>
    <w:rsid w:val="004B0B53"/>
    <w:rsid w:val="004B1043"/>
    <w:rsid w:val="004B1310"/>
    <w:rsid w:val="004B1A07"/>
    <w:rsid w:val="004B25E6"/>
    <w:rsid w:val="004B25F8"/>
    <w:rsid w:val="004B337F"/>
    <w:rsid w:val="004B4309"/>
    <w:rsid w:val="004B4AF8"/>
    <w:rsid w:val="004B4BE9"/>
    <w:rsid w:val="004B4D4C"/>
    <w:rsid w:val="004B56E6"/>
    <w:rsid w:val="004B7110"/>
    <w:rsid w:val="004B77CE"/>
    <w:rsid w:val="004C15DA"/>
    <w:rsid w:val="004C1BD3"/>
    <w:rsid w:val="004C24E4"/>
    <w:rsid w:val="004C2B74"/>
    <w:rsid w:val="004C33E3"/>
    <w:rsid w:val="004C3C78"/>
    <w:rsid w:val="004C482A"/>
    <w:rsid w:val="004C4848"/>
    <w:rsid w:val="004C5093"/>
    <w:rsid w:val="004C5161"/>
    <w:rsid w:val="004C54C8"/>
    <w:rsid w:val="004C7157"/>
    <w:rsid w:val="004C7E0D"/>
    <w:rsid w:val="004D089C"/>
    <w:rsid w:val="004D08EF"/>
    <w:rsid w:val="004D0D07"/>
    <w:rsid w:val="004D0F0E"/>
    <w:rsid w:val="004D1025"/>
    <w:rsid w:val="004D1124"/>
    <w:rsid w:val="004D116D"/>
    <w:rsid w:val="004D1B41"/>
    <w:rsid w:val="004D263E"/>
    <w:rsid w:val="004D2ADE"/>
    <w:rsid w:val="004D40E8"/>
    <w:rsid w:val="004D4506"/>
    <w:rsid w:val="004D457D"/>
    <w:rsid w:val="004D4726"/>
    <w:rsid w:val="004D49AD"/>
    <w:rsid w:val="004D505D"/>
    <w:rsid w:val="004D6716"/>
    <w:rsid w:val="004D6869"/>
    <w:rsid w:val="004D711E"/>
    <w:rsid w:val="004D7454"/>
    <w:rsid w:val="004D7563"/>
    <w:rsid w:val="004D7600"/>
    <w:rsid w:val="004E0036"/>
    <w:rsid w:val="004E0D28"/>
    <w:rsid w:val="004E1D9A"/>
    <w:rsid w:val="004E269D"/>
    <w:rsid w:val="004E2735"/>
    <w:rsid w:val="004E29E4"/>
    <w:rsid w:val="004E2B93"/>
    <w:rsid w:val="004E37A0"/>
    <w:rsid w:val="004E42A9"/>
    <w:rsid w:val="004E508B"/>
    <w:rsid w:val="004E556B"/>
    <w:rsid w:val="004E55AE"/>
    <w:rsid w:val="004E56E8"/>
    <w:rsid w:val="004E6762"/>
    <w:rsid w:val="004E79A8"/>
    <w:rsid w:val="004E7E63"/>
    <w:rsid w:val="004F1896"/>
    <w:rsid w:val="004F1D3A"/>
    <w:rsid w:val="004F2111"/>
    <w:rsid w:val="004F2181"/>
    <w:rsid w:val="004F22C9"/>
    <w:rsid w:val="004F3DF6"/>
    <w:rsid w:val="004F4CA2"/>
    <w:rsid w:val="004F4E1F"/>
    <w:rsid w:val="004F51D4"/>
    <w:rsid w:val="004F53AF"/>
    <w:rsid w:val="004F60EC"/>
    <w:rsid w:val="004F78B0"/>
    <w:rsid w:val="004F78B4"/>
    <w:rsid w:val="004F7F56"/>
    <w:rsid w:val="00500DBE"/>
    <w:rsid w:val="005014C1"/>
    <w:rsid w:val="005016E0"/>
    <w:rsid w:val="00501D81"/>
    <w:rsid w:val="00501D9F"/>
    <w:rsid w:val="0050246E"/>
    <w:rsid w:val="005026F8"/>
    <w:rsid w:val="00502AA8"/>
    <w:rsid w:val="00502BCA"/>
    <w:rsid w:val="005035C5"/>
    <w:rsid w:val="00504215"/>
    <w:rsid w:val="00504242"/>
    <w:rsid w:val="00504D13"/>
    <w:rsid w:val="0050567A"/>
    <w:rsid w:val="00506189"/>
    <w:rsid w:val="00506247"/>
    <w:rsid w:val="00506905"/>
    <w:rsid w:val="00507885"/>
    <w:rsid w:val="0051008A"/>
    <w:rsid w:val="0051019D"/>
    <w:rsid w:val="00510FE5"/>
    <w:rsid w:val="005118F2"/>
    <w:rsid w:val="005122A4"/>
    <w:rsid w:val="00512397"/>
    <w:rsid w:val="005128A9"/>
    <w:rsid w:val="00513024"/>
    <w:rsid w:val="00513A24"/>
    <w:rsid w:val="0051446C"/>
    <w:rsid w:val="00515109"/>
    <w:rsid w:val="00515202"/>
    <w:rsid w:val="005154CA"/>
    <w:rsid w:val="00515A40"/>
    <w:rsid w:val="00515BF6"/>
    <w:rsid w:val="0051637F"/>
    <w:rsid w:val="00516C31"/>
    <w:rsid w:val="00517100"/>
    <w:rsid w:val="0051744A"/>
    <w:rsid w:val="005177BC"/>
    <w:rsid w:val="005203DB"/>
    <w:rsid w:val="00523155"/>
    <w:rsid w:val="0052336F"/>
    <w:rsid w:val="00523D88"/>
    <w:rsid w:val="00524892"/>
    <w:rsid w:val="00525807"/>
    <w:rsid w:val="005259EF"/>
    <w:rsid w:val="00525B9E"/>
    <w:rsid w:val="00525C7E"/>
    <w:rsid w:val="0052650E"/>
    <w:rsid w:val="005266D5"/>
    <w:rsid w:val="00526934"/>
    <w:rsid w:val="005300A7"/>
    <w:rsid w:val="00530545"/>
    <w:rsid w:val="00530C5E"/>
    <w:rsid w:val="005319C3"/>
    <w:rsid w:val="00531B6C"/>
    <w:rsid w:val="00531EBE"/>
    <w:rsid w:val="005320DC"/>
    <w:rsid w:val="0053222F"/>
    <w:rsid w:val="005328FD"/>
    <w:rsid w:val="00532B01"/>
    <w:rsid w:val="00533FE9"/>
    <w:rsid w:val="00534775"/>
    <w:rsid w:val="00534AC9"/>
    <w:rsid w:val="00534D5B"/>
    <w:rsid w:val="0053514E"/>
    <w:rsid w:val="00535352"/>
    <w:rsid w:val="00535382"/>
    <w:rsid w:val="005355EF"/>
    <w:rsid w:val="005355FD"/>
    <w:rsid w:val="00535923"/>
    <w:rsid w:val="005359CB"/>
    <w:rsid w:val="00537F0C"/>
    <w:rsid w:val="00540476"/>
    <w:rsid w:val="00540569"/>
    <w:rsid w:val="005422C0"/>
    <w:rsid w:val="00542F17"/>
    <w:rsid w:val="00543391"/>
    <w:rsid w:val="00543B09"/>
    <w:rsid w:val="00545879"/>
    <w:rsid w:val="00545F5D"/>
    <w:rsid w:val="00546278"/>
    <w:rsid w:val="00546BD5"/>
    <w:rsid w:val="00546EBF"/>
    <w:rsid w:val="00546FF4"/>
    <w:rsid w:val="005501AC"/>
    <w:rsid w:val="00550EC5"/>
    <w:rsid w:val="00551716"/>
    <w:rsid w:val="00551C3A"/>
    <w:rsid w:val="00551D04"/>
    <w:rsid w:val="00551D9B"/>
    <w:rsid w:val="00552041"/>
    <w:rsid w:val="00552227"/>
    <w:rsid w:val="005529F5"/>
    <w:rsid w:val="00552E8F"/>
    <w:rsid w:val="005535AD"/>
    <w:rsid w:val="00553C42"/>
    <w:rsid w:val="00554855"/>
    <w:rsid w:val="00554C82"/>
    <w:rsid w:val="00554E13"/>
    <w:rsid w:val="00555606"/>
    <w:rsid w:val="00555769"/>
    <w:rsid w:val="00555A86"/>
    <w:rsid w:val="00555F8A"/>
    <w:rsid w:val="00555FFF"/>
    <w:rsid w:val="00556077"/>
    <w:rsid w:val="00556163"/>
    <w:rsid w:val="005566F5"/>
    <w:rsid w:val="0055763A"/>
    <w:rsid w:val="0055789D"/>
    <w:rsid w:val="00560E75"/>
    <w:rsid w:val="00560F91"/>
    <w:rsid w:val="005619FE"/>
    <w:rsid w:val="00561A36"/>
    <w:rsid w:val="00561EDC"/>
    <w:rsid w:val="00562161"/>
    <w:rsid w:val="00562D0C"/>
    <w:rsid w:val="005645BE"/>
    <w:rsid w:val="00564756"/>
    <w:rsid w:val="00565926"/>
    <w:rsid w:val="00565D0F"/>
    <w:rsid w:val="00566CCF"/>
    <w:rsid w:val="00567AC9"/>
    <w:rsid w:val="005709F6"/>
    <w:rsid w:val="00570F25"/>
    <w:rsid w:val="00571704"/>
    <w:rsid w:val="00571CE9"/>
    <w:rsid w:val="00572BD5"/>
    <w:rsid w:val="0057399A"/>
    <w:rsid w:val="00573DCD"/>
    <w:rsid w:val="005741FB"/>
    <w:rsid w:val="005743D2"/>
    <w:rsid w:val="00574589"/>
    <w:rsid w:val="00574FA5"/>
    <w:rsid w:val="005750A9"/>
    <w:rsid w:val="00576371"/>
    <w:rsid w:val="0057680F"/>
    <w:rsid w:val="00576C0D"/>
    <w:rsid w:val="00576F2D"/>
    <w:rsid w:val="0057701D"/>
    <w:rsid w:val="00580C04"/>
    <w:rsid w:val="00580C4A"/>
    <w:rsid w:val="00581FBF"/>
    <w:rsid w:val="00582272"/>
    <w:rsid w:val="00582562"/>
    <w:rsid w:val="00582971"/>
    <w:rsid w:val="005830A6"/>
    <w:rsid w:val="00584820"/>
    <w:rsid w:val="00584A43"/>
    <w:rsid w:val="00584A67"/>
    <w:rsid w:val="005854AE"/>
    <w:rsid w:val="00586422"/>
    <w:rsid w:val="00586A30"/>
    <w:rsid w:val="00587733"/>
    <w:rsid w:val="00587FC5"/>
    <w:rsid w:val="005901F1"/>
    <w:rsid w:val="00590336"/>
    <w:rsid w:val="00590F0A"/>
    <w:rsid w:val="0059137C"/>
    <w:rsid w:val="00591398"/>
    <w:rsid w:val="005917B1"/>
    <w:rsid w:val="0059263B"/>
    <w:rsid w:val="00593231"/>
    <w:rsid w:val="005946EE"/>
    <w:rsid w:val="00595190"/>
    <w:rsid w:val="005955B4"/>
    <w:rsid w:val="00595B86"/>
    <w:rsid w:val="00595D1A"/>
    <w:rsid w:val="00595DCB"/>
    <w:rsid w:val="005960B7"/>
    <w:rsid w:val="005960CC"/>
    <w:rsid w:val="00596C82"/>
    <w:rsid w:val="005970FD"/>
    <w:rsid w:val="00597226"/>
    <w:rsid w:val="00597D50"/>
    <w:rsid w:val="00597DFB"/>
    <w:rsid w:val="005A0031"/>
    <w:rsid w:val="005A0803"/>
    <w:rsid w:val="005A1177"/>
    <w:rsid w:val="005A1BE2"/>
    <w:rsid w:val="005A2E09"/>
    <w:rsid w:val="005A35F0"/>
    <w:rsid w:val="005A3B6F"/>
    <w:rsid w:val="005A3C78"/>
    <w:rsid w:val="005A4B91"/>
    <w:rsid w:val="005A4E79"/>
    <w:rsid w:val="005A52FA"/>
    <w:rsid w:val="005A542F"/>
    <w:rsid w:val="005A59A3"/>
    <w:rsid w:val="005A712B"/>
    <w:rsid w:val="005B0145"/>
    <w:rsid w:val="005B0214"/>
    <w:rsid w:val="005B02D9"/>
    <w:rsid w:val="005B0A21"/>
    <w:rsid w:val="005B0B0D"/>
    <w:rsid w:val="005B100A"/>
    <w:rsid w:val="005B1990"/>
    <w:rsid w:val="005B2669"/>
    <w:rsid w:val="005B2A49"/>
    <w:rsid w:val="005B307E"/>
    <w:rsid w:val="005B3628"/>
    <w:rsid w:val="005B3893"/>
    <w:rsid w:val="005B399C"/>
    <w:rsid w:val="005B3E9B"/>
    <w:rsid w:val="005B4D30"/>
    <w:rsid w:val="005B4F09"/>
    <w:rsid w:val="005B722F"/>
    <w:rsid w:val="005B7358"/>
    <w:rsid w:val="005B7D8D"/>
    <w:rsid w:val="005C07F4"/>
    <w:rsid w:val="005C0DB4"/>
    <w:rsid w:val="005C0FAE"/>
    <w:rsid w:val="005C13DE"/>
    <w:rsid w:val="005C1706"/>
    <w:rsid w:val="005C1915"/>
    <w:rsid w:val="005C1E71"/>
    <w:rsid w:val="005C21DD"/>
    <w:rsid w:val="005C25A4"/>
    <w:rsid w:val="005C2A10"/>
    <w:rsid w:val="005C2E4F"/>
    <w:rsid w:val="005C3379"/>
    <w:rsid w:val="005C39A4"/>
    <w:rsid w:val="005C3B78"/>
    <w:rsid w:val="005C528B"/>
    <w:rsid w:val="005C6188"/>
    <w:rsid w:val="005C672C"/>
    <w:rsid w:val="005C74B1"/>
    <w:rsid w:val="005C7624"/>
    <w:rsid w:val="005C7809"/>
    <w:rsid w:val="005D0318"/>
    <w:rsid w:val="005D06F0"/>
    <w:rsid w:val="005D094E"/>
    <w:rsid w:val="005D1335"/>
    <w:rsid w:val="005D22E4"/>
    <w:rsid w:val="005D252D"/>
    <w:rsid w:val="005D2553"/>
    <w:rsid w:val="005D2706"/>
    <w:rsid w:val="005D2BDC"/>
    <w:rsid w:val="005D34D0"/>
    <w:rsid w:val="005D3D25"/>
    <w:rsid w:val="005D4E23"/>
    <w:rsid w:val="005D5DB0"/>
    <w:rsid w:val="005D5DFB"/>
    <w:rsid w:val="005D62BC"/>
    <w:rsid w:val="005D62D6"/>
    <w:rsid w:val="005D69B5"/>
    <w:rsid w:val="005D6D65"/>
    <w:rsid w:val="005D6E33"/>
    <w:rsid w:val="005E0FDD"/>
    <w:rsid w:val="005E1951"/>
    <w:rsid w:val="005E1EB8"/>
    <w:rsid w:val="005E230B"/>
    <w:rsid w:val="005E2691"/>
    <w:rsid w:val="005E2851"/>
    <w:rsid w:val="005E398A"/>
    <w:rsid w:val="005E42F7"/>
    <w:rsid w:val="005E4397"/>
    <w:rsid w:val="005E45CD"/>
    <w:rsid w:val="005E543F"/>
    <w:rsid w:val="005E5689"/>
    <w:rsid w:val="005E5706"/>
    <w:rsid w:val="005E6F45"/>
    <w:rsid w:val="005E7519"/>
    <w:rsid w:val="005F3C03"/>
    <w:rsid w:val="005F40CD"/>
    <w:rsid w:val="005F4125"/>
    <w:rsid w:val="005F41A5"/>
    <w:rsid w:val="005F4266"/>
    <w:rsid w:val="005F44E5"/>
    <w:rsid w:val="005F47D2"/>
    <w:rsid w:val="005F5480"/>
    <w:rsid w:val="005F636C"/>
    <w:rsid w:val="005F797B"/>
    <w:rsid w:val="0060013F"/>
    <w:rsid w:val="006001B5"/>
    <w:rsid w:val="006003B7"/>
    <w:rsid w:val="006003F4"/>
    <w:rsid w:val="0060049B"/>
    <w:rsid w:val="00600946"/>
    <w:rsid w:val="00600C5C"/>
    <w:rsid w:val="00600CAC"/>
    <w:rsid w:val="00601198"/>
    <w:rsid w:val="00601DCF"/>
    <w:rsid w:val="00602857"/>
    <w:rsid w:val="00603099"/>
    <w:rsid w:val="006059DC"/>
    <w:rsid w:val="0060690C"/>
    <w:rsid w:val="006069BE"/>
    <w:rsid w:val="00607362"/>
    <w:rsid w:val="0061009E"/>
    <w:rsid w:val="0061018A"/>
    <w:rsid w:val="00610205"/>
    <w:rsid w:val="00610439"/>
    <w:rsid w:val="00610C3A"/>
    <w:rsid w:val="00610FF8"/>
    <w:rsid w:val="0061103F"/>
    <w:rsid w:val="00612707"/>
    <w:rsid w:val="00612824"/>
    <w:rsid w:val="00613209"/>
    <w:rsid w:val="00614380"/>
    <w:rsid w:val="006143F1"/>
    <w:rsid w:val="00616DBF"/>
    <w:rsid w:val="006178F3"/>
    <w:rsid w:val="00617CB8"/>
    <w:rsid w:val="00617F7D"/>
    <w:rsid w:val="00620607"/>
    <w:rsid w:val="00621B6B"/>
    <w:rsid w:val="0062211F"/>
    <w:rsid w:val="006225AE"/>
    <w:rsid w:val="00622906"/>
    <w:rsid w:val="00622A4E"/>
    <w:rsid w:val="006235EA"/>
    <w:rsid w:val="0062445D"/>
    <w:rsid w:val="006248BB"/>
    <w:rsid w:val="006249A0"/>
    <w:rsid w:val="006249C5"/>
    <w:rsid w:val="006264B5"/>
    <w:rsid w:val="00626F3C"/>
    <w:rsid w:val="006300E1"/>
    <w:rsid w:val="00630503"/>
    <w:rsid w:val="00630FF0"/>
    <w:rsid w:val="00631973"/>
    <w:rsid w:val="00631D2A"/>
    <w:rsid w:val="00632120"/>
    <w:rsid w:val="00633A6F"/>
    <w:rsid w:val="00634C04"/>
    <w:rsid w:val="006351C1"/>
    <w:rsid w:val="0063540C"/>
    <w:rsid w:val="006359C4"/>
    <w:rsid w:val="006362A3"/>
    <w:rsid w:val="00636BD5"/>
    <w:rsid w:val="00636FB7"/>
    <w:rsid w:val="006405BC"/>
    <w:rsid w:val="00640BBE"/>
    <w:rsid w:val="006413EA"/>
    <w:rsid w:val="00642A21"/>
    <w:rsid w:val="006430CA"/>
    <w:rsid w:val="006437D4"/>
    <w:rsid w:val="006439F1"/>
    <w:rsid w:val="006440E9"/>
    <w:rsid w:val="006443C5"/>
    <w:rsid w:val="006446C3"/>
    <w:rsid w:val="006448C9"/>
    <w:rsid w:val="006453B8"/>
    <w:rsid w:val="00645E52"/>
    <w:rsid w:val="006464CF"/>
    <w:rsid w:val="00646E23"/>
    <w:rsid w:val="0064701A"/>
    <w:rsid w:val="00647245"/>
    <w:rsid w:val="00647B58"/>
    <w:rsid w:val="00647C45"/>
    <w:rsid w:val="00650E20"/>
    <w:rsid w:val="00651036"/>
    <w:rsid w:val="00651BBB"/>
    <w:rsid w:val="00652EFE"/>
    <w:rsid w:val="006538E3"/>
    <w:rsid w:val="00653F73"/>
    <w:rsid w:val="00654269"/>
    <w:rsid w:val="00654297"/>
    <w:rsid w:val="006544E4"/>
    <w:rsid w:val="006544EB"/>
    <w:rsid w:val="00654F81"/>
    <w:rsid w:val="006550A3"/>
    <w:rsid w:val="0065563B"/>
    <w:rsid w:val="006559F4"/>
    <w:rsid w:val="006573DD"/>
    <w:rsid w:val="00661536"/>
    <w:rsid w:val="00662173"/>
    <w:rsid w:val="00663153"/>
    <w:rsid w:val="00663A1D"/>
    <w:rsid w:val="00663E24"/>
    <w:rsid w:val="006641D8"/>
    <w:rsid w:val="00665380"/>
    <w:rsid w:val="00665585"/>
    <w:rsid w:val="00665B77"/>
    <w:rsid w:val="00665DCF"/>
    <w:rsid w:val="0066643B"/>
    <w:rsid w:val="00666C32"/>
    <w:rsid w:val="0066743C"/>
    <w:rsid w:val="00670352"/>
    <w:rsid w:val="006707B2"/>
    <w:rsid w:val="006709A1"/>
    <w:rsid w:val="006723E5"/>
    <w:rsid w:val="00672A7B"/>
    <w:rsid w:val="006746AE"/>
    <w:rsid w:val="00674F17"/>
    <w:rsid w:val="006751A7"/>
    <w:rsid w:val="00675215"/>
    <w:rsid w:val="0067538E"/>
    <w:rsid w:val="00676176"/>
    <w:rsid w:val="0068132C"/>
    <w:rsid w:val="00681403"/>
    <w:rsid w:val="006818CB"/>
    <w:rsid w:val="00682CDE"/>
    <w:rsid w:val="006834A8"/>
    <w:rsid w:val="00683A8C"/>
    <w:rsid w:val="006845C5"/>
    <w:rsid w:val="0068471E"/>
    <w:rsid w:val="0068504E"/>
    <w:rsid w:val="0068544F"/>
    <w:rsid w:val="006879A1"/>
    <w:rsid w:val="00687B16"/>
    <w:rsid w:val="00687C6E"/>
    <w:rsid w:val="006909FF"/>
    <w:rsid w:val="00690F17"/>
    <w:rsid w:val="0069135E"/>
    <w:rsid w:val="006919F6"/>
    <w:rsid w:val="0069260C"/>
    <w:rsid w:val="006929E9"/>
    <w:rsid w:val="00692EB0"/>
    <w:rsid w:val="00693381"/>
    <w:rsid w:val="00693682"/>
    <w:rsid w:val="00693798"/>
    <w:rsid w:val="00693806"/>
    <w:rsid w:val="00693A75"/>
    <w:rsid w:val="00693B3C"/>
    <w:rsid w:val="006940F8"/>
    <w:rsid w:val="00694B29"/>
    <w:rsid w:val="00695008"/>
    <w:rsid w:val="0069587A"/>
    <w:rsid w:val="006967ED"/>
    <w:rsid w:val="00696AB4"/>
    <w:rsid w:val="00697675"/>
    <w:rsid w:val="00697853"/>
    <w:rsid w:val="00697B19"/>
    <w:rsid w:val="006A017A"/>
    <w:rsid w:val="006A0772"/>
    <w:rsid w:val="006A110D"/>
    <w:rsid w:val="006A1634"/>
    <w:rsid w:val="006A194C"/>
    <w:rsid w:val="006A19D6"/>
    <w:rsid w:val="006A1DB3"/>
    <w:rsid w:val="006A232C"/>
    <w:rsid w:val="006A3441"/>
    <w:rsid w:val="006A35DC"/>
    <w:rsid w:val="006A4267"/>
    <w:rsid w:val="006A449B"/>
    <w:rsid w:val="006A4998"/>
    <w:rsid w:val="006A4A27"/>
    <w:rsid w:val="006A4DC5"/>
    <w:rsid w:val="006A5CBE"/>
    <w:rsid w:val="006A66D0"/>
    <w:rsid w:val="006B101E"/>
    <w:rsid w:val="006B10E0"/>
    <w:rsid w:val="006B12AA"/>
    <w:rsid w:val="006B241D"/>
    <w:rsid w:val="006B24C3"/>
    <w:rsid w:val="006B256F"/>
    <w:rsid w:val="006B2D3E"/>
    <w:rsid w:val="006B447B"/>
    <w:rsid w:val="006B4C0A"/>
    <w:rsid w:val="006B5D64"/>
    <w:rsid w:val="006B6A1F"/>
    <w:rsid w:val="006B720B"/>
    <w:rsid w:val="006B796E"/>
    <w:rsid w:val="006B7C21"/>
    <w:rsid w:val="006C09A4"/>
    <w:rsid w:val="006C09EA"/>
    <w:rsid w:val="006C2146"/>
    <w:rsid w:val="006C2874"/>
    <w:rsid w:val="006C314F"/>
    <w:rsid w:val="006C353F"/>
    <w:rsid w:val="006C35AD"/>
    <w:rsid w:val="006C3B6A"/>
    <w:rsid w:val="006C3D01"/>
    <w:rsid w:val="006C4A7C"/>
    <w:rsid w:val="006C5521"/>
    <w:rsid w:val="006C58E0"/>
    <w:rsid w:val="006C5BF4"/>
    <w:rsid w:val="006C615F"/>
    <w:rsid w:val="006C71A5"/>
    <w:rsid w:val="006C7537"/>
    <w:rsid w:val="006C7CF3"/>
    <w:rsid w:val="006D0038"/>
    <w:rsid w:val="006D0717"/>
    <w:rsid w:val="006D147F"/>
    <w:rsid w:val="006D1B53"/>
    <w:rsid w:val="006D22F9"/>
    <w:rsid w:val="006D27E8"/>
    <w:rsid w:val="006D32C1"/>
    <w:rsid w:val="006D38FC"/>
    <w:rsid w:val="006D3A78"/>
    <w:rsid w:val="006D3D4B"/>
    <w:rsid w:val="006D47E6"/>
    <w:rsid w:val="006D4BC3"/>
    <w:rsid w:val="006D4C94"/>
    <w:rsid w:val="006D55F1"/>
    <w:rsid w:val="006D5627"/>
    <w:rsid w:val="006D571F"/>
    <w:rsid w:val="006D5D1D"/>
    <w:rsid w:val="006D62E2"/>
    <w:rsid w:val="006D639B"/>
    <w:rsid w:val="006D7637"/>
    <w:rsid w:val="006D7CEA"/>
    <w:rsid w:val="006E090B"/>
    <w:rsid w:val="006E1049"/>
    <w:rsid w:val="006E27B3"/>
    <w:rsid w:val="006E2ECB"/>
    <w:rsid w:val="006E3084"/>
    <w:rsid w:val="006E39F5"/>
    <w:rsid w:val="006E3DD0"/>
    <w:rsid w:val="006E42C2"/>
    <w:rsid w:val="006E7363"/>
    <w:rsid w:val="006E7D82"/>
    <w:rsid w:val="006F043C"/>
    <w:rsid w:val="006F12EF"/>
    <w:rsid w:val="006F1348"/>
    <w:rsid w:val="006F1906"/>
    <w:rsid w:val="006F21F2"/>
    <w:rsid w:val="006F2C98"/>
    <w:rsid w:val="006F3034"/>
    <w:rsid w:val="006F34AE"/>
    <w:rsid w:val="006F45A4"/>
    <w:rsid w:val="006F4629"/>
    <w:rsid w:val="006F500E"/>
    <w:rsid w:val="006F5172"/>
    <w:rsid w:val="006F5612"/>
    <w:rsid w:val="006F634D"/>
    <w:rsid w:val="006F672A"/>
    <w:rsid w:val="006F79E8"/>
    <w:rsid w:val="007002EE"/>
    <w:rsid w:val="00700370"/>
    <w:rsid w:val="007012DC"/>
    <w:rsid w:val="00701BC9"/>
    <w:rsid w:val="0070241B"/>
    <w:rsid w:val="007024C8"/>
    <w:rsid w:val="0070374C"/>
    <w:rsid w:val="00703898"/>
    <w:rsid w:val="00704868"/>
    <w:rsid w:val="007048A8"/>
    <w:rsid w:val="0070490C"/>
    <w:rsid w:val="00706685"/>
    <w:rsid w:val="007077A1"/>
    <w:rsid w:val="00707DFB"/>
    <w:rsid w:val="0071006D"/>
    <w:rsid w:val="00710575"/>
    <w:rsid w:val="007105CE"/>
    <w:rsid w:val="00710C95"/>
    <w:rsid w:val="00711711"/>
    <w:rsid w:val="0071197F"/>
    <w:rsid w:val="007119BF"/>
    <w:rsid w:val="007126FA"/>
    <w:rsid w:val="00712D26"/>
    <w:rsid w:val="00713001"/>
    <w:rsid w:val="007137C5"/>
    <w:rsid w:val="00713B42"/>
    <w:rsid w:val="00714542"/>
    <w:rsid w:val="00715524"/>
    <w:rsid w:val="0071609D"/>
    <w:rsid w:val="00717A09"/>
    <w:rsid w:val="00717A54"/>
    <w:rsid w:val="00717E72"/>
    <w:rsid w:val="007210E6"/>
    <w:rsid w:val="007214A3"/>
    <w:rsid w:val="0072182E"/>
    <w:rsid w:val="00721EE3"/>
    <w:rsid w:val="007223BD"/>
    <w:rsid w:val="00722CD0"/>
    <w:rsid w:val="00723A67"/>
    <w:rsid w:val="00723AF4"/>
    <w:rsid w:val="0072406C"/>
    <w:rsid w:val="00724395"/>
    <w:rsid w:val="0072501F"/>
    <w:rsid w:val="00725C53"/>
    <w:rsid w:val="00725DD3"/>
    <w:rsid w:val="00726070"/>
    <w:rsid w:val="0072639D"/>
    <w:rsid w:val="00727E5B"/>
    <w:rsid w:val="00730B56"/>
    <w:rsid w:val="00730BE1"/>
    <w:rsid w:val="00734584"/>
    <w:rsid w:val="00734DDB"/>
    <w:rsid w:val="007363A7"/>
    <w:rsid w:val="00736837"/>
    <w:rsid w:val="00736BA0"/>
    <w:rsid w:val="00740104"/>
    <w:rsid w:val="007401BB"/>
    <w:rsid w:val="007403E6"/>
    <w:rsid w:val="007404F6"/>
    <w:rsid w:val="00740F5C"/>
    <w:rsid w:val="00741513"/>
    <w:rsid w:val="00741A35"/>
    <w:rsid w:val="00742187"/>
    <w:rsid w:val="0074223D"/>
    <w:rsid w:val="0074258D"/>
    <w:rsid w:val="00742896"/>
    <w:rsid w:val="00742ADC"/>
    <w:rsid w:val="00742E48"/>
    <w:rsid w:val="0074368D"/>
    <w:rsid w:val="00743861"/>
    <w:rsid w:val="00744809"/>
    <w:rsid w:val="00744A13"/>
    <w:rsid w:val="00744BF5"/>
    <w:rsid w:val="007450BF"/>
    <w:rsid w:val="00745900"/>
    <w:rsid w:val="00745D70"/>
    <w:rsid w:val="00747101"/>
    <w:rsid w:val="0074718D"/>
    <w:rsid w:val="00747E17"/>
    <w:rsid w:val="00747FF1"/>
    <w:rsid w:val="00750A88"/>
    <w:rsid w:val="00750D64"/>
    <w:rsid w:val="00752DF6"/>
    <w:rsid w:val="007536DF"/>
    <w:rsid w:val="00754A51"/>
    <w:rsid w:val="00755944"/>
    <w:rsid w:val="007568F9"/>
    <w:rsid w:val="00757DAF"/>
    <w:rsid w:val="0076086E"/>
    <w:rsid w:val="00760D57"/>
    <w:rsid w:val="00760E5F"/>
    <w:rsid w:val="00760FAF"/>
    <w:rsid w:val="007613FE"/>
    <w:rsid w:val="00763267"/>
    <w:rsid w:val="00764F93"/>
    <w:rsid w:val="00765759"/>
    <w:rsid w:val="00765D65"/>
    <w:rsid w:val="00767308"/>
    <w:rsid w:val="00767BB6"/>
    <w:rsid w:val="007706B6"/>
    <w:rsid w:val="007707B6"/>
    <w:rsid w:val="007714B7"/>
    <w:rsid w:val="0077206E"/>
    <w:rsid w:val="007723D7"/>
    <w:rsid w:val="00773EC1"/>
    <w:rsid w:val="00773F55"/>
    <w:rsid w:val="00774A8C"/>
    <w:rsid w:val="00775657"/>
    <w:rsid w:val="00775AA8"/>
    <w:rsid w:val="00775C6F"/>
    <w:rsid w:val="00775D28"/>
    <w:rsid w:val="007768FE"/>
    <w:rsid w:val="007773BD"/>
    <w:rsid w:val="007802D8"/>
    <w:rsid w:val="00780572"/>
    <w:rsid w:val="00781AE3"/>
    <w:rsid w:val="00781B2F"/>
    <w:rsid w:val="007826F7"/>
    <w:rsid w:val="00782EB2"/>
    <w:rsid w:val="00783898"/>
    <w:rsid w:val="007840FF"/>
    <w:rsid w:val="007843C5"/>
    <w:rsid w:val="0078600F"/>
    <w:rsid w:val="00786879"/>
    <w:rsid w:val="007871B8"/>
    <w:rsid w:val="00787558"/>
    <w:rsid w:val="0078766E"/>
    <w:rsid w:val="0079117D"/>
    <w:rsid w:val="00791733"/>
    <w:rsid w:val="007917AD"/>
    <w:rsid w:val="0079199C"/>
    <w:rsid w:val="00791B01"/>
    <w:rsid w:val="00792B34"/>
    <w:rsid w:val="00793DB3"/>
    <w:rsid w:val="00794E23"/>
    <w:rsid w:val="007954F5"/>
    <w:rsid w:val="00795DC2"/>
    <w:rsid w:val="00796109"/>
    <w:rsid w:val="007963F0"/>
    <w:rsid w:val="00796A6C"/>
    <w:rsid w:val="00796C91"/>
    <w:rsid w:val="00797A13"/>
    <w:rsid w:val="007A011A"/>
    <w:rsid w:val="007A06DD"/>
    <w:rsid w:val="007A16CE"/>
    <w:rsid w:val="007A26BC"/>
    <w:rsid w:val="007A3312"/>
    <w:rsid w:val="007A3368"/>
    <w:rsid w:val="007A354A"/>
    <w:rsid w:val="007A3943"/>
    <w:rsid w:val="007A39F3"/>
    <w:rsid w:val="007A411D"/>
    <w:rsid w:val="007A46C0"/>
    <w:rsid w:val="007A5D96"/>
    <w:rsid w:val="007A6267"/>
    <w:rsid w:val="007A6CF6"/>
    <w:rsid w:val="007A7BE9"/>
    <w:rsid w:val="007B0229"/>
    <w:rsid w:val="007B0D77"/>
    <w:rsid w:val="007B0E12"/>
    <w:rsid w:val="007B1363"/>
    <w:rsid w:val="007B1BD0"/>
    <w:rsid w:val="007B213B"/>
    <w:rsid w:val="007B25A6"/>
    <w:rsid w:val="007B29B8"/>
    <w:rsid w:val="007B3DC0"/>
    <w:rsid w:val="007B4608"/>
    <w:rsid w:val="007B5768"/>
    <w:rsid w:val="007B696B"/>
    <w:rsid w:val="007B77F5"/>
    <w:rsid w:val="007B7F51"/>
    <w:rsid w:val="007C00D8"/>
    <w:rsid w:val="007C0649"/>
    <w:rsid w:val="007C06FE"/>
    <w:rsid w:val="007C0793"/>
    <w:rsid w:val="007C07A7"/>
    <w:rsid w:val="007C1F41"/>
    <w:rsid w:val="007C2263"/>
    <w:rsid w:val="007C24C6"/>
    <w:rsid w:val="007C33A1"/>
    <w:rsid w:val="007C3EFD"/>
    <w:rsid w:val="007C4259"/>
    <w:rsid w:val="007C4561"/>
    <w:rsid w:val="007C4612"/>
    <w:rsid w:val="007C5771"/>
    <w:rsid w:val="007C5FCE"/>
    <w:rsid w:val="007C68FE"/>
    <w:rsid w:val="007C7A48"/>
    <w:rsid w:val="007C7BB1"/>
    <w:rsid w:val="007D16C5"/>
    <w:rsid w:val="007D1D0D"/>
    <w:rsid w:val="007D2285"/>
    <w:rsid w:val="007D28A0"/>
    <w:rsid w:val="007D30CC"/>
    <w:rsid w:val="007D333E"/>
    <w:rsid w:val="007D35F1"/>
    <w:rsid w:val="007D3858"/>
    <w:rsid w:val="007D4129"/>
    <w:rsid w:val="007D55B6"/>
    <w:rsid w:val="007D5A15"/>
    <w:rsid w:val="007D5AED"/>
    <w:rsid w:val="007D60E4"/>
    <w:rsid w:val="007D65A8"/>
    <w:rsid w:val="007D6A28"/>
    <w:rsid w:val="007D72B8"/>
    <w:rsid w:val="007E00CD"/>
    <w:rsid w:val="007E0775"/>
    <w:rsid w:val="007E10F3"/>
    <w:rsid w:val="007E11D5"/>
    <w:rsid w:val="007E18C6"/>
    <w:rsid w:val="007E3018"/>
    <w:rsid w:val="007E3604"/>
    <w:rsid w:val="007E3EFC"/>
    <w:rsid w:val="007E3F78"/>
    <w:rsid w:val="007E47F4"/>
    <w:rsid w:val="007E4EB7"/>
    <w:rsid w:val="007E558D"/>
    <w:rsid w:val="007E594F"/>
    <w:rsid w:val="007E6072"/>
    <w:rsid w:val="007E6168"/>
    <w:rsid w:val="007E633A"/>
    <w:rsid w:val="007E6366"/>
    <w:rsid w:val="007E76F8"/>
    <w:rsid w:val="007E77A3"/>
    <w:rsid w:val="007E7A69"/>
    <w:rsid w:val="007F0507"/>
    <w:rsid w:val="007F07F8"/>
    <w:rsid w:val="007F083B"/>
    <w:rsid w:val="007F17DB"/>
    <w:rsid w:val="007F1AF6"/>
    <w:rsid w:val="007F2B71"/>
    <w:rsid w:val="007F37E3"/>
    <w:rsid w:val="007F38E5"/>
    <w:rsid w:val="007F42E1"/>
    <w:rsid w:val="007F44DA"/>
    <w:rsid w:val="007F49EF"/>
    <w:rsid w:val="007F5A4F"/>
    <w:rsid w:val="007F5F42"/>
    <w:rsid w:val="007F5FDC"/>
    <w:rsid w:val="007F6DB3"/>
    <w:rsid w:val="007F6F5B"/>
    <w:rsid w:val="007F7ACE"/>
    <w:rsid w:val="007F7FB6"/>
    <w:rsid w:val="0080003A"/>
    <w:rsid w:val="00800CE6"/>
    <w:rsid w:val="00801064"/>
    <w:rsid w:val="00802027"/>
    <w:rsid w:val="008021E4"/>
    <w:rsid w:val="0080260F"/>
    <w:rsid w:val="00802EBD"/>
    <w:rsid w:val="00803056"/>
    <w:rsid w:val="0080308B"/>
    <w:rsid w:val="00803117"/>
    <w:rsid w:val="0080357C"/>
    <w:rsid w:val="00803785"/>
    <w:rsid w:val="00803D32"/>
    <w:rsid w:val="00803EB8"/>
    <w:rsid w:val="008045AB"/>
    <w:rsid w:val="00804935"/>
    <w:rsid w:val="008054A7"/>
    <w:rsid w:val="0080571E"/>
    <w:rsid w:val="0080595A"/>
    <w:rsid w:val="00806111"/>
    <w:rsid w:val="008074DA"/>
    <w:rsid w:val="008104FB"/>
    <w:rsid w:val="0081056D"/>
    <w:rsid w:val="00810909"/>
    <w:rsid w:val="00810AC0"/>
    <w:rsid w:val="00812410"/>
    <w:rsid w:val="00812BD6"/>
    <w:rsid w:val="008133CC"/>
    <w:rsid w:val="00813595"/>
    <w:rsid w:val="00814B8A"/>
    <w:rsid w:val="00816B16"/>
    <w:rsid w:val="008177A2"/>
    <w:rsid w:val="008177D0"/>
    <w:rsid w:val="00820402"/>
    <w:rsid w:val="0082046E"/>
    <w:rsid w:val="00820E4A"/>
    <w:rsid w:val="008212E8"/>
    <w:rsid w:val="00821817"/>
    <w:rsid w:val="00821CEE"/>
    <w:rsid w:val="008223B0"/>
    <w:rsid w:val="00822D9F"/>
    <w:rsid w:val="00822E83"/>
    <w:rsid w:val="00823F5B"/>
    <w:rsid w:val="0082476A"/>
    <w:rsid w:val="008247F7"/>
    <w:rsid w:val="00824FD2"/>
    <w:rsid w:val="0082505F"/>
    <w:rsid w:val="00825845"/>
    <w:rsid w:val="00826B94"/>
    <w:rsid w:val="0082708B"/>
    <w:rsid w:val="00827A85"/>
    <w:rsid w:val="00830924"/>
    <w:rsid w:val="008313BE"/>
    <w:rsid w:val="008313C6"/>
    <w:rsid w:val="00832215"/>
    <w:rsid w:val="00832359"/>
    <w:rsid w:val="0083387D"/>
    <w:rsid w:val="00834E40"/>
    <w:rsid w:val="008353FA"/>
    <w:rsid w:val="0083562F"/>
    <w:rsid w:val="0083583E"/>
    <w:rsid w:val="00835B0F"/>
    <w:rsid w:val="00835C8E"/>
    <w:rsid w:val="008361C3"/>
    <w:rsid w:val="0083637C"/>
    <w:rsid w:val="008370DA"/>
    <w:rsid w:val="0083752C"/>
    <w:rsid w:val="00840320"/>
    <w:rsid w:val="00840562"/>
    <w:rsid w:val="00840BD4"/>
    <w:rsid w:val="0084196E"/>
    <w:rsid w:val="00841B76"/>
    <w:rsid w:val="008421C9"/>
    <w:rsid w:val="00842217"/>
    <w:rsid w:val="00842F79"/>
    <w:rsid w:val="00843382"/>
    <w:rsid w:val="0084394E"/>
    <w:rsid w:val="00843954"/>
    <w:rsid w:val="00843B1A"/>
    <w:rsid w:val="00843D4E"/>
    <w:rsid w:val="00843F8B"/>
    <w:rsid w:val="0084403E"/>
    <w:rsid w:val="008443C5"/>
    <w:rsid w:val="00845517"/>
    <w:rsid w:val="00845A0D"/>
    <w:rsid w:val="00845A6E"/>
    <w:rsid w:val="008463C6"/>
    <w:rsid w:val="00846704"/>
    <w:rsid w:val="0084776A"/>
    <w:rsid w:val="00847DA2"/>
    <w:rsid w:val="00851058"/>
    <w:rsid w:val="00851FFE"/>
    <w:rsid w:val="0085276D"/>
    <w:rsid w:val="00852A1D"/>
    <w:rsid w:val="00852C6F"/>
    <w:rsid w:val="00852E36"/>
    <w:rsid w:val="00852F3C"/>
    <w:rsid w:val="008543C3"/>
    <w:rsid w:val="00854702"/>
    <w:rsid w:val="008551AD"/>
    <w:rsid w:val="008562DC"/>
    <w:rsid w:val="00856ED5"/>
    <w:rsid w:val="008579DE"/>
    <w:rsid w:val="00857B69"/>
    <w:rsid w:val="00857DF8"/>
    <w:rsid w:val="008601A3"/>
    <w:rsid w:val="008602DB"/>
    <w:rsid w:val="00861A61"/>
    <w:rsid w:val="00861C39"/>
    <w:rsid w:val="00861F19"/>
    <w:rsid w:val="0086282A"/>
    <w:rsid w:val="00863A21"/>
    <w:rsid w:val="00863D76"/>
    <w:rsid w:val="00863DCE"/>
    <w:rsid w:val="00863E06"/>
    <w:rsid w:val="0086403D"/>
    <w:rsid w:val="00864446"/>
    <w:rsid w:val="008646A4"/>
    <w:rsid w:val="00865A56"/>
    <w:rsid w:val="00866039"/>
    <w:rsid w:val="00866DFC"/>
    <w:rsid w:val="00867E4B"/>
    <w:rsid w:val="008707AC"/>
    <w:rsid w:val="00870A63"/>
    <w:rsid w:val="00870E2C"/>
    <w:rsid w:val="008713D1"/>
    <w:rsid w:val="00871B06"/>
    <w:rsid w:val="0087200B"/>
    <w:rsid w:val="00872153"/>
    <w:rsid w:val="0087227A"/>
    <w:rsid w:val="0087231D"/>
    <w:rsid w:val="008725CE"/>
    <w:rsid w:val="00872AAD"/>
    <w:rsid w:val="00872CC7"/>
    <w:rsid w:val="00872F20"/>
    <w:rsid w:val="00873373"/>
    <w:rsid w:val="008736F2"/>
    <w:rsid w:val="00873783"/>
    <w:rsid w:val="008737D3"/>
    <w:rsid w:val="00873C29"/>
    <w:rsid w:val="00874771"/>
    <w:rsid w:val="00874B0C"/>
    <w:rsid w:val="00874B27"/>
    <w:rsid w:val="008753F3"/>
    <w:rsid w:val="00875637"/>
    <w:rsid w:val="0087598D"/>
    <w:rsid w:val="00875DD8"/>
    <w:rsid w:val="00877627"/>
    <w:rsid w:val="00880CE7"/>
    <w:rsid w:val="0088117A"/>
    <w:rsid w:val="0088298C"/>
    <w:rsid w:val="008829B9"/>
    <w:rsid w:val="0088358F"/>
    <w:rsid w:val="0088428F"/>
    <w:rsid w:val="008850EF"/>
    <w:rsid w:val="00885782"/>
    <w:rsid w:val="00886FFC"/>
    <w:rsid w:val="00887127"/>
    <w:rsid w:val="00887DDE"/>
    <w:rsid w:val="00890EB4"/>
    <w:rsid w:val="00891309"/>
    <w:rsid w:val="008924B8"/>
    <w:rsid w:val="008929BC"/>
    <w:rsid w:val="00892A2E"/>
    <w:rsid w:val="00892BEB"/>
    <w:rsid w:val="00893A4E"/>
    <w:rsid w:val="00894129"/>
    <w:rsid w:val="008949F4"/>
    <w:rsid w:val="00895BC1"/>
    <w:rsid w:val="00895EA7"/>
    <w:rsid w:val="0089736B"/>
    <w:rsid w:val="00897C90"/>
    <w:rsid w:val="00897E5C"/>
    <w:rsid w:val="008A07AA"/>
    <w:rsid w:val="008A257D"/>
    <w:rsid w:val="008A30A6"/>
    <w:rsid w:val="008A53EC"/>
    <w:rsid w:val="008A57C8"/>
    <w:rsid w:val="008A5FE4"/>
    <w:rsid w:val="008A7279"/>
    <w:rsid w:val="008A743C"/>
    <w:rsid w:val="008B07EE"/>
    <w:rsid w:val="008B0AA8"/>
    <w:rsid w:val="008B0B77"/>
    <w:rsid w:val="008B0CE4"/>
    <w:rsid w:val="008B15B1"/>
    <w:rsid w:val="008B1A89"/>
    <w:rsid w:val="008B21CC"/>
    <w:rsid w:val="008B2BE1"/>
    <w:rsid w:val="008B2F9E"/>
    <w:rsid w:val="008B387B"/>
    <w:rsid w:val="008B38F9"/>
    <w:rsid w:val="008B676E"/>
    <w:rsid w:val="008B6B2D"/>
    <w:rsid w:val="008C0659"/>
    <w:rsid w:val="008C12DD"/>
    <w:rsid w:val="008C1BD9"/>
    <w:rsid w:val="008C2FE7"/>
    <w:rsid w:val="008C320F"/>
    <w:rsid w:val="008C37B7"/>
    <w:rsid w:val="008C4572"/>
    <w:rsid w:val="008C45F1"/>
    <w:rsid w:val="008C4D3F"/>
    <w:rsid w:val="008C6F8F"/>
    <w:rsid w:val="008D01AE"/>
    <w:rsid w:val="008D0318"/>
    <w:rsid w:val="008D113E"/>
    <w:rsid w:val="008D1CE3"/>
    <w:rsid w:val="008D2003"/>
    <w:rsid w:val="008D26C2"/>
    <w:rsid w:val="008D3155"/>
    <w:rsid w:val="008D4658"/>
    <w:rsid w:val="008D5451"/>
    <w:rsid w:val="008D6053"/>
    <w:rsid w:val="008D77BB"/>
    <w:rsid w:val="008E0331"/>
    <w:rsid w:val="008E0786"/>
    <w:rsid w:val="008E0DCF"/>
    <w:rsid w:val="008E126A"/>
    <w:rsid w:val="008E163B"/>
    <w:rsid w:val="008E2925"/>
    <w:rsid w:val="008E3676"/>
    <w:rsid w:val="008E3B9B"/>
    <w:rsid w:val="008E4177"/>
    <w:rsid w:val="008E43F6"/>
    <w:rsid w:val="008E4705"/>
    <w:rsid w:val="008E5577"/>
    <w:rsid w:val="008E5AAC"/>
    <w:rsid w:val="008E67BA"/>
    <w:rsid w:val="008E6B72"/>
    <w:rsid w:val="008F1C30"/>
    <w:rsid w:val="008F2412"/>
    <w:rsid w:val="008F2485"/>
    <w:rsid w:val="008F368B"/>
    <w:rsid w:val="008F3DED"/>
    <w:rsid w:val="008F49F7"/>
    <w:rsid w:val="008F4A0B"/>
    <w:rsid w:val="008F4DCC"/>
    <w:rsid w:val="008F4F7D"/>
    <w:rsid w:val="008F52BF"/>
    <w:rsid w:val="008F5D5A"/>
    <w:rsid w:val="008F60C3"/>
    <w:rsid w:val="008F60D0"/>
    <w:rsid w:val="008F690A"/>
    <w:rsid w:val="008F6CAA"/>
    <w:rsid w:val="008F74EA"/>
    <w:rsid w:val="008F7D16"/>
    <w:rsid w:val="00900779"/>
    <w:rsid w:val="009018B7"/>
    <w:rsid w:val="00901925"/>
    <w:rsid w:val="0090252B"/>
    <w:rsid w:val="00903135"/>
    <w:rsid w:val="009034E5"/>
    <w:rsid w:val="00904239"/>
    <w:rsid w:val="00904BE6"/>
    <w:rsid w:val="00904D7A"/>
    <w:rsid w:val="00905930"/>
    <w:rsid w:val="00905975"/>
    <w:rsid w:val="00905DA9"/>
    <w:rsid w:val="00907854"/>
    <w:rsid w:val="009111ED"/>
    <w:rsid w:val="009112B8"/>
    <w:rsid w:val="00911FA1"/>
    <w:rsid w:val="009122E9"/>
    <w:rsid w:val="00912574"/>
    <w:rsid w:val="00912987"/>
    <w:rsid w:val="00912B4D"/>
    <w:rsid w:val="00912E72"/>
    <w:rsid w:val="009143B5"/>
    <w:rsid w:val="009146C0"/>
    <w:rsid w:val="00914796"/>
    <w:rsid w:val="009148D4"/>
    <w:rsid w:val="00914C57"/>
    <w:rsid w:val="00914E40"/>
    <w:rsid w:val="00915366"/>
    <w:rsid w:val="009156AB"/>
    <w:rsid w:val="00915B06"/>
    <w:rsid w:val="00917743"/>
    <w:rsid w:val="00917FDD"/>
    <w:rsid w:val="0092041E"/>
    <w:rsid w:val="0092157B"/>
    <w:rsid w:val="00922149"/>
    <w:rsid w:val="009245B9"/>
    <w:rsid w:val="009246B4"/>
    <w:rsid w:val="00924CEB"/>
    <w:rsid w:val="00924F26"/>
    <w:rsid w:val="00925249"/>
    <w:rsid w:val="0092558B"/>
    <w:rsid w:val="00925AB7"/>
    <w:rsid w:val="00925AEF"/>
    <w:rsid w:val="00926245"/>
    <w:rsid w:val="00927092"/>
    <w:rsid w:val="00927314"/>
    <w:rsid w:val="00927B67"/>
    <w:rsid w:val="009309DA"/>
    <w:rsid w:val="009315CD"/>
    <w:rsid w:val="009319EB"/>
    <w:rsid w:val="00931DC7"/>
    <w:rsid w:val="009335ED"/>
    <w:rsid w:val="00933710"/>
    <w:rsid w:val="009337DF"/>
    <w:rsid w:val="00934256"/>
    <w:rsid w:val="00935EB8"/>
    <w:rsid w:val="0093643A"/>
    <w:rsid w:val="00936960"/>
    <w:rsid w:val="00936A41"/>
    <w:rsid w:val="0094131C"/>
    <w:rsid w:val="0094206E"/>
    <w:rsid w:val="00942D92"/>
    <w:rsid w:val="00942E33"/>
    <w:rsid w:val="00943BB4"/>
    <w:rsid w:val="009442E0"/>
    <w:rsid w:val="009453C1"/>
    <w:rsid w:val="0094585A"/>
    <w:rsid w:val="00946080"/>
    <w:rsid w:val="0094613E"/>
    <w:rsid w:val="00946602"/>
    <w:rsid w:val="009469AC"/>
    <w:rsid w:val="00946BFF"/>
    <w:rsid w:val="00947086"/>
    <w:rsid w:val="009476DF"/>
    <w:rsid w:val="00947BE4"/>
    <w:rsid w:val="00950D12"/>
    <w:rsid w:val="00951338"/>
    <w:rsid w:val="0095187A"/>
    <w:rsid w:val="00951FFA"/>
    <w:rsid w:val="00953035"/>
    <w:rsid w:val="009532A3"/>
    <w:rsid w:val="00953BD3"/>
    <w:rsid w:val="009549F0"/>
    <w:rsid w:val="00954B88"/>
    <w:rsid w:val="00955484"/>
    <w:rsid w:val="00955CD4"/>
    <w:rsid w:val="00956BCA"/>
    <w:rsid w:val="00956CEC"/>
    <w:rsid w:val="0095715A"/>
    <w:rsid w:val="00960269"/>
    <w:rsid w:val="0096054E"/>
    <w:rsid w:val="00960555"/>
    <w:rsid w:val="00960D9F"/>
    <w:rsid w:val="009624ED"/>
    <w:rsid w:val="00962905"/>
    <w:rsid w:val="00963C4C"/>
    <w:rsid w:val="00963D9F"/>
    <w:rsid w:val="0096416A"/>
    <w:rsid w:val="0096442B"/>
    <w:rsid w:val="009646D5"/>
    <w:rsid w:val="00964E0B"/>
    <w:rsid w:val="00965506"/>
    <w:rsid w:val="00965728"/>
    <w:rsid w:val="00965AF4"/>
    <w:rsid w:val="009668CA"/>
    <w:rsid w:val="0096692F"/>
    <w:rsid w:val="00967996"/>
    <w:rsid w:val="00967C2E"/>
    <w:rsid w:val="00967FC2"/>
    <w:rsid w:val="00970036"/>
    <w:rsid w:val="0097005F"/>
    <w:rsid w:val="00970AE5"/>
    <w:rsid w:val="00970CE1"/>
    <w:rsid w:val="00971504"/>
    <w:rsid w:val="009718C5"/>
    <w:rsid w:val="00971B5C"/>
    <w:rsid w:val="0097232B"/>
    <w:rsid w:val="00972669"/>
    <w:rsid w:val="00972709"/>
    <w:rsid w:val="009740AB"/>
    <w:rsid w:val="0097509C"/>
    <w:rsid w:val="009755A8"/>
    <w:rsid w:val="00975AE3"/>
    <w:rsid w:val="00975B25"/>
    <w:rsid w:val="00975BEC"/>
    <w:rsid w:val="00976F11"/>
    <w:rsid w:val="00977DAD"/>
    <w:rsid w:val="0098046D"/>
    <w:rsid w:val="00981C6F"/>
    <w:rsid w:val="00981D38"/>
    <w:rsid w:val="009829BD"/>
    <w:rsid w:val="00982A7E"/>
    <w:rsid w:val="009838FA"/>
    <w:rsid w:val="00985052"/>
    <w:rsid w:val="0098580F"/>
    <w:rsid w:val="00986668"/>
    <w:rsid w:val="00986CC4"/>
    <w:rsid w:val="00986EEA"/>
    <w:rsid w:val="0098796A"/>
    <w:rsid w:val="00991946"/>
    <w:rsid w:val="00991C43"/>
    <w:rsid w:val="0099244F"/>
    <w:rsid w:val="00992713"/>
    <w:rsid w:val="0099283C"/>
    <w:rsid w:val="00992A0B"/>
    <w:rsid w:val="0099537B"/>
    <w:rsid w:val="00995554"/>
    <w:rsid w:val="009957BD"/>
    <w:rsid w:val="00995994"/>
    <w:rsid w:val="009965D9"/>
    <w:rsid w:val="009973FB"/>
    <w:rsid w:val="009A0365"/>
    <w:rsid w:val="009A1A7D"/>
    <w:rsid w:val="009A311B"/>
    <w:rsid w:val="009A387F"/>
    <w:rsid w:val="009A38DC"/>
    <w:rsid w:val="009A40A6"/>
    <w:rsid w:val="009A4505"/>
    <w:rsid w:val="009A578A"/>
    <w:rsid w:val="009A6946"/>
    <w:rsid w:val="009A78AA"/>
    <w:rsid w:val="009A7CF8"/>
    <w:rsid w:val="009B01FA"/>
    <w:rsid w:val="009B0660"/>
    <w:rsid w:val="009B1EC0"/>
    <w:rsid w:val="009B283D"/>
    <w:rsid w:val="009B2CDB"/>
    <w:rsid w:val="009B2D23"/>
    <w:rsid w:val="009B331F"/>
    <w:rsid w:val="009B3747"/>
    <w:rsid w:val="009B3B6D"/>
    <w:rsid w:val="009B4FB0"/>
    <w:rsid w:val="009B67B5"/>
    <w:rsid w:val="009B6C49"/>
    <w:rsid w:val="009B7770"/>
    <w:rsid w:val="009C015E"/>
    <w:rsid w:val="009C035C"/>
    <w:rsid w:val="009C0709"/>
    <w:rsid w:val="009C194F"/>
    <w:rsid w:val="009C1DF4"/>
    <w:rsid w:val="009C2357"/>
    <w:rsid w:val="009C23AD"/>
    <w:rsid w:val="009C2680"/>
    <w:rsid w:val="009C2866"/>
    <w:rsid w:val="009C31C1"/>
    <w:rsid w:val="009C36E7"/>
    <w:rsid w:val="009C3AC2"/>
    <w:rsid w:val="009C3C2F"/>
    <w:rsid w:val="009C405E"/>
    <w:rsid w:val="009C4775"/>
    <w:rsid w:val="009C5559"/>
    <w:rsid w:val="009C5C82"/>
    <w:rsid w:val="009C620F"/>
    <w:rsid w:val="009C66AF"/>
    <w:rsid w:val="009C67B3"/>
    <w:rsid w:val="009C6E99"/>
    <w:rsid w:val="009C6F3B"/>
    <w:rsid w:val="009C715F"/>
    <w:rsid w:val="009C7AE0"/>
    <w:rsid w:val="009C7E2C"/>
    <w:rsid w:val="009D09DA"/>
    <w:rsid w:val="009D2278"/>
    <w:rsid w:val="009D39F7"/>
    <w:rsid w:val="009D3D27"/>
    <w:rsid w:val="009D4B6D"/>
    <w:rsid w:val="009D5407"/>
    <w:rsid w:val="009D5E5B"/>
    <w:rsid w:val="009D6195"/>
    <w:rsid w:val="009D6622"/>
    <w:rsid w:val="009D6886"/>
    <w:rsid w:val="009D6E3A"/>
    <w:rsid w:val="009D6EC9"/>
    <w:rsid w:val="009E09B8"/>
    <w:rsid w:val="009E0C1A"/>
    <w:rsid w:val="009E107C"/>
    <w:rsid w:val="009E1E89"/>
    <w:rsid w:val="009E4573"/>
    <w:rsid w:val="009E462F"/>
    <w:rsid w:val="009E49DF"/>
    <w:rsid w:val="009E4AF7"/>
    <w:rsid w:val="009E52D9"/>
    <w:rsid w:val="009E5CB5"/>
    <w:rsid w:val="009E620D"/>
    <w:rsid w:val="009E6214"/>
    <w:rsid w:val="009E7449"/>
    <w:rsid w:val="009E7E6E"/>
    <w:rsid w:val="009F0937"/>
    <w:rsid w:val="009F0E14"/>
    <w:rsid w:val="009F1472"/>
    <w:rsid w:val="009F1700"/>
    <w:rsid w:val="009F2591"/>
    <w:rsid w:val="009F2B3B"/>
    <w:rsid w:val="009F2C57"/>
    <w:rsid w:val="009F3567"/>
    <w:rsid w:val="009F3D6A"/>
    <w:rsid w:val="009F3F6A"/>
    <w:rsid w:val="009F4DF4"/>
    <w:rsid w:val="009F55C8"/>
    <w:rsid w:val="009F5DF6"/>
    <w:rsid w:val="009F60D0"/>
    <w:rsid w:val="009F78F3"/>
    <w:rsid w:val="00A00925"/>
    <w:rsid w:val="00A01579"/>
    <w:rsid w:val="00A0172E"/>
    <w:rsid w:val="00A017FF"/>
    <w:rsid w:val="00A029F1"/>
    <w:rsid w:val="00A03435"/>
    <w:rsid w:val="00A03FEF"/>
    <w:rsid w:val="00A04560"/>
    <w:rsid w:val="00A04AEC"/>
    <w:rsid w:val="00A04C6B"/>
    <w:rsid w:val="00A05A6B"/>
    <w:rsid w:val="00A05B41"/>
    <w:rsid w:val="00A06BE6"/>
    <w:rsid w:val="00A07A69"/>
    <w:rsid w:val="00A103DC"/>
    <w:rsid w:val="00A10BB8"/>
    <w:rsid w:val="00A1115E"/>
    <w:rsid w:val="00A11175"/>
    <w:rsid w:val="00A12038"/>
    <w:rsid w:val="00A1215B"/>
    <w:rsid w:val="00A1286B"/>
    <w:rsid w:val="00A1343E"/>
    <w:rsid w:val="00A14F8F"/>
    <w:rsid w:val="00A15A53"/>
    <w:rsid w:val="00A1748B"/>
    <w:rsid w:val="00A177B6"/>
    <w:rsid w:val="00A177CC"/>
    <w:rsid w:val="00A20072"/>
    <w:rsid w:val="00A20334"/>
    <w:rsid w:val="00A20370"/>
    <w:rsid w:val="00A204E1"/>
    <w:rsid w:val="00A2088D"/>
    <w:rsid w:val="00A20A54"/>
    <w:rsid w:val="00A21682"/>
    <w:rsid w:val="00A21964"/>
    <w:rsid w:val="00A22A5E"/>
    <w:rsid w:val="00A240BE"/>
    <w:rsid w:val="00A24CD3"/>
    <w:rsid w:val="00A24DF8"/>
    <w:rsid w:val="00A256CE"/>
    <w:rsid w:val="00A25D93"/>
    <w:rsid w:val="00A261CC"/>
    <w:rsid w:val="00A264ED"/>
    <w:rsid w:val="00A27141"/>
    <w:rsid w:val="00A271B4"/>
    <w:rsid w:val="00A3058B"/>
    <w:rsid w:val="00A31625"/>
    <w:rsid w:val="00A318EC"/>
    <w:rsid w:val="00A320B9"/>
    <w:rsid w:val="00A3233A"/>
    <w:rsid w:val="00A32E75"/>
    <w:rsid w:val="00A333B8"/>
    <w:rsid w:val="00A33892"/>
    <w:rsid w:val="00A33C70"/>
    <w:rsid w:val="00A3429F"/>
    <w:rsid w:val="00A34306"/>
    <w:rsid w:val="00A3555C"/>
    <w:rsid w:val="00A35C75"/>
    <w:rsid w:val="00A364AD"/>
    <w:rsid w:val="00A36DE8"/>
    <w:rsid w:val="00A36EFE"/>
    <w:rsid w:val="00A37E13"/>
    <w:rsid w:val="00A4046F"/>
    <w:rsid w:val="00A404FA"/>
    <w:rsid w:val="00A405E3"/>
    <w:rsid w:val="00A40EBE"/>
    <w:rsid w:val="00A42884"/>
    <w:rsid w:val="00A428D9"/>
    <w:rsid w:val="00A430F5"/>
    <w:rsid w:val="00A432AE"/>
    <w:rsid w:val="00A43757"/>
    <w:rsid w:val="00A437EE"/>
    <w:rsid w:val="00A437FF"/>
    <w:rsid w:val="00A43DB1"/>
    <w:rsid w:val="00A44162"/>
    <w:rsid w:val="00A4424B"/>
    <w:rsid w:val="00A44601"/>
    <w:rsid w:val="00A448D2"/>
    <w:rsid w:val="00A44ECA"/>
    <w:rsid w:val="00A44F0E"/>
    <w:rsid w:val="00A45E93"/>
    <w:rsid w:val="00A45F69"/>
    <w:rsid w:val="00A46032"/>
    <w:rsid w:val="00A466BB"/>
    <w:rsid w:val="00A471B5"/>
    <w:rsid w:val="00A47672"/>
    <w:rsid w:val="00A47768"/>
    <w:rsid w:val="00A504A0"/>
    <w:rsid w:val="00A5078C"/>
    <w:rsid w:val="00A50BDC"/>
    <w:rsid w:val="00A51E51"/>
    <w:rsid w:val="00A52BBF"/>
    <w:rsid w:val="00A5325B"/>
    <w:rsid w:val="00A538B6"/>
    <w:rsid w:val="00A5430C"/>
    <w:rsid w:val="00A54521"/>
    <w:rsid w:val="00A5480F"/>
    <w:rsid w:val="00A54E03"/>
    <w:rsid w:val="00A54EE3"/>
    <w:rsid w:val="00A5667D"/>
    <w:rsid w:val="00A56A08"/>
    <w:rsid w:val="00A56CEC"/>
    <w:rsid w:val="00A57003"/>
    <w:rsid w:val="00A5703D"/>
    <w:rsid w:val="00A571FA"/>
    <w:rsid w:val="00A60A8A"/>
    <w:rsid w:val="00A61881"/>
    <w:rsid w:val="00A6210C"/>
    <w:rsid w:val="00A623E5"/>
    <w:rsid w:val="00A6327D"/>
    <w:rsid w:val="00A635F7"/>
    <w:rsid w:val="00A6409D"/>
    <w:rsid w:val="00A640C9"/>
    <w:rsid w:val="00A64700"/>
    <w:rsid w:val="00A65659"/>
    <w:rsid w:val="00A6586B"/>
    <w:rsid w:val="00A65EC4"/>
    <w:rsid w:val="00A66735"/>
    <w:rsid w:val="00A66B3A"/>
    <w:rsid w:val="00A6739E"/>
    <w:rsid w:val="00A67857"/>
    <w:rsid w:val="00A700E1"/>
    <w:rsid w:val="00A70299"/>
    <w:rsid w:val="00A709AF"/>
    <w:rsid w:val="00A70A3E"/>
    <w:rsid w:val="00A71459"/>
    <w:rsid w:val="00A7192B"/>
    <w:rsid w:val="00A71D39"/>
    <w:rsid w:val="00A725FB"/>
    <w:rsid w:val="00A72F80"/>
    <w:rsid w:val="00A743DF"/>
    <w:rsid w:val="00A756DB"/>
    <w:rsid w:val="00A757F9"/>
    <w:rsid w:val="00A7616C"/>
    <w:rsid w:val="00A76AB5"/>
    <w:rsid w:val="00A76E41"/>
    <w:rsid w:val="00A772B3"/>
    <w:rsid w:val="00A7730B"/>
    <w:rsid w:val="00A77505"/>
    <w:rsid w:val="00A7770B"/>
    <w:rsid w:val="00A77840"/>
    <w:rsid w:val="00A77A58"/>
    <w:rsid w:val="00A810F8"/>
    <w:rsid w:val="00A818F0"/>
    <w:rsid w:val="00A8212A"/>
    <w:rsid w:val="00A8388A"/>
    <w:rsid w:val="00A83F95"/>
    <w:rsid w:val="00A84414"/>
    <w:rsid w:val="00A84D0B"/>
    <w:rsid w:val="00A84ED1"/>
    <w:rsid w:val="00A85540"/>
    <w:rsid w:val="00A873AB"/>
    <w:rsid w:val="00A874E8"/>
    <w:rsid w:val="00A87628"/>
    <w:rsid w:val="00A91FFD"/>
    <w:rsid w:val="00A92AB4"/>
    <w:rsid w:val="00A93904"/>
    <w:rsid w:val="00A942BD"/>
    <w:rsid w:val="00A94ED4"/>
    <w:rsid w:val="00A958A1"/>
    <w:rsid w:val="00A964F8"/>
    <w:rsid w:val="00A973A4"/>
    <w:rsid w:val="00A973F9"/>
    <w:rsid w:val="00A97B73"/>
    <w:rsid w:val="00AA0229"/>
    <w:rsid w:val="00AA04CB"/>
    <w:rsid w:val="00AA064A"/>
    <w:rsid w:val="00AA0C96"/>
    <w:rsid w:val="00AA0DAA"/>
    <w:rsid w:val="00AA1BDF"/>
    <w:rsid w:val="00AA28A5"/>
    <w:rsid w:val="00AA3715"/>
    <w:rsid w:val="00AA3BDD"/>
    <w:rsid w:val="00AA471F"/>
    <w:rsid w:val="00AA5DED"/>
    <w:rsid w:val="00AA60A0"/>
    <w:rsid w:val="00AA6D13"/>
    <w:rsid w:val="00AA75F2"/>
    <w:rsid w:val="00AA76BD"/>
    <w:rsid w:val="00AA7C4B"/>
    <w:rsid w:val="00AB031A"/>
    <w:rsid w:val="00AB083E"/>
    <w:rsid w:val="00AB0E7A"/>
    <w:rsid w:val="00AB1ABD"/>
    <w:rsid w:val="00AB1B8F"/>
    <w:rsid w:val="00AB2730"/>
    <w:rsid w:val="00AB3981"/>
    <w:rsid w:val="00AB3ABB"/>
    <w:rsid w:val="00AB3D80"/>
    <w:rsid w:val="00AB3E50"/>
    <w:rsid w:val="00AB52C6"/>
    <w:rsid w:val="00AB58A5"/>
    <w:rsid w:val="00AB5F54"/>
    <w:rsid w:val="00AB620E"/>
    <w:rsid w:val="00AB663D"/>
    <w:rsid w:val="00AC0234"/>
    <w:rsid w:val="00AC0C12"/>
    <w:rsid w:val="00AC1240"/>
    <w:rsid w:val="00AC224C"/>
    <w:rsid w:val="00AC2926"/>
    <w:rsid w:val="00AC2A99"/>
    <w:rsid w:val="00AC3847"/>
    <w:rsid w:val="00AC47DD"/>
    <w:rsid w:val="00AC4824"/>
    <w:rsid w:val="00AC4DD4"/>
    <w:rsid w:val="00AC53FB"/>
    <w:rsid w:val="00AC5499"/>
    <w:rsid w:val="00AC566B"/>
    <w:rsid w:val="00AC648D"/>
    <w:rsid w:val="00AC6801"/>
    <w:rsid w:val="00AC7231"/>
    <w:rsid w:val="00AC75DB"/>
    <w:rsid w:val="00AC7A0F"/>
    <w:rsid w:val="00AD0631"/>
    <w:rsid w:val="00AD165C"/>
    <w:rsid w:val="00AD1F74"/>
    <w:rsid w:val="00AD2016"/>
    <w:rsid w:val="00AD2103"/>
    <w:rsid w:val="00AD26D1"/>
    <w:rsid w:val="00AD27D3"/>
    <w:rsid w:val="00AD27DD"/>
    <w:rsid w:val="00AD2B97"/>
    <w:rsid w:val="00AD2C8B"/>
    <w:rsid w:val="00AD2FBC"/>
    <w:rsid w:val="00AD3418"/>
    <w:rsid w:val="00AD3A7F"/>
    <w:rsid w:val="00AD3AF8"/>
    <w:rsid w:val="00AD4B4D"/>
    <w:rsid w:val="00AD5369"/>
    <w:rsid w:val="00AD583E"/>
    <w:rsid w:val="00AD606E"/>
    <w:rsid w:val="00AD61BB"/>
    <w:rsid w:val="00AD6CDA"/>
    <w:rsid w:val="00AD75A6"/>
    <w:rsid w:val="00AE005B"/>
    <w:rsid w:val="00AE036F"/>
    <w:rsid w:val="00AE0C86"/>
    <w:rsid w:val="00AE1227"/>
    <w:rsid w:val="00AE1F83"/>
    <w:rsid w:val="00AE2550"/>
    <w:rsid w:val="00AE3CA2"/>
    <w:rsid w:val="00AE49E0"/>
    <w:rsid w:val="00AE4DFA"/>
    <w:rsid w:val="00AE5359"/>
    <w:rsid w:val="00AF0EE9"/>
    <w:rsid w:val="00AF1325"/>
    <w:rsid w:val="00AF14F6"/>
    <w:rsid w:val="00AF1ACA"/>
    <w:rsid w:val="00AF274C"/>
    <w:rsid w:val="00AF3297"/>
    <w:rsid w:val="00AF3482"/>
    <w:rsid w:val="00AF4287"/>
    <w:rsid w:val="00AF45BB"/>
    <w:rsid w:val="00AF4FE6"/>
    <w:rsid w:val="00AF590F"/>
    <w:rsid w:val="00AF5F07"/>
    <w:rsid w:val="00AF640B"/>
    <w:rsid w:val="00AF6870"/>
    <w:rsid w:val="00AF7301"/>
    <w:rsid w:val="00AF7492"/>
    <w:rsid w:val="00AF77F3"/>
    <w:rsid w:val="00AF7B05"/>
    <w:rsid w:val="00B00B62"/>
    <w:rsid w:val="00B0148B"/>
    <w:rsid w:val="00B01AED"/>
    <w:rsid w:val="00B021E0"/>
    <w:rsid w:val="00B03438"/>
    <w:rsid w:val="00B0343E"/>
    <w:rsid w:val="00B049C0"/>
    <w:rsid w:val="00B0549B"/>
    <w:rsid w:val="00B0559E"/>
    <w:rsid w:val="00B05D84"/>
    <w:rsid w:val="00B05F46"/>
    <w:rsid w:val="00B0604A"/>
    <w:rsid w:val="00B0625A"/>
    <w:rsid w:val="00B067D5"/>
    <w:rsid w:val="00B06BC8"/>
    <w:rsid w:val="00B07BCB"/>
    <w:rsid w:val="00B13172"/>
    <w:rsid w:val="00B13286"/>
    <w:rsid w:val="00B13E46"/>
    <w:rsid w:val="00B13FB6"/>
    <w:rsid w:val="00B1460F"/>
    <w:rsid w:val="00B146DD"/>
    <w:rsid w:val="00B14E2D"/>
    <w:rsid w:val="00B15628"/>
    <w:rsid w:val="00B16F73"/>
    <w:rsid w:val="00B16FB4"/>
    <w:rsid w:val="00B17005"/>
    <w:rsid w:val="00B2017B"/>
    <w:rsid w:val="00B20442"/>
    <w:rsid w:val="00B2104E"/>
    <w:rsid w:val="00B217BA"/>
    <w:rsid w:val="00B225D9"/>
    <w:rsid w:val="00B22C70"/>
    <w:rsid w:val="00B22CE2"/>
    <w:rsid w:val="00B23392"/>
    <w:rsid w:val="00B2364A"/>
    <w:rsid w:val="00B257FB"/>
    <w:rsid w:val="00B25BB2"/>
    <w:rsid w:val="00B25BE7"/>
    <w:rsid w:val="00B26601"/>
    <w:rsid w:val="00B26990"/>
    <w:rsid w:val="00B26C3A"/>
    <w:rsid w:val="00B26C87"/>
    <w:rsid w:val="00B26D3E"/>
    <w:rsid w:val="00B26E78"/>
    <w:rsid w:val="00B277B9"/>
    <w:rsid w:val="00B3019D"/>
    <w:rsid w:val="00B30BE3"/>
    <w:rsid w:val="00B3164C"/>
    <w:rsid w:val="00B3174B"/>
    <w:rsid w:val="00B31F6D"/>
    <w:rsid w:val="00B32576"/>
    <w:rsid w:val="00B32987"/>
    <w:rsid w:val="00B32C16"/>
    <w:rsid w:val="00B32FF4"/>
    <w:rsid w:val="00B330D6"/>
    <w:rsid w:val="00B33F2F"/>
    <w:rsid w:val="00B35AF8"/>
    <w:rsid w:val="00B40280"/>
    <w:rsid w:val="00B402DC"/>
    <w:rsid w:val="00B410DF"/>
    <w:rsid w:val="00B41170"/>
    <w:rsid w:val="00B4117D"/>
    <w:rsid w:val="00B42C27"/>
    <w:rsid w:val="00B433B2"/>
    <w:rsid w:val="00B4367D"/>
    <w:rsid w:val="00B43750"/>
    <w:rsid w:val="00B43784"/>
    <w:rsid w:val="00B47B09"/>
    <w:rsid w:val="00B5082B"/>
    <w:rsid w:val="00B5096F"/>
    <w:rsid w:val="00B50D84"/>
    <w:rsid w:val="00B51933"/>
    <w:rsid w:val="00B5205D"/>
    <w:rsid w:val="00B523D9"/>
    <w:rsid w:val="00B525AB"/>
    <w:rsid w:val="00B52A50"/>
    <w:rsid w:val="00B5301A"/>
    <w:rsid w:val="00B54BE5"/>
    <w:rsid w:val="00B54CEC"/>
    <w:rsid w:val="00B558B1"/>
    <w:rsid w:val="00B5662A"/>
    <w:rsid w:val="00B56C8D"/>
    <w:rsid w:val="00B57AC6"/>
    <w:rsid w:val="00B57C85"/>
    <w:rsid w:val="00B6239E"/>
    <w:rsid w:val="00B638A7"/>
    <w:rsid w:val="00B63CC2"/>
    <w:rsid w:val="00B644EB"/>
    <w:rsid w:val="00B64CA8"/>
    <w:rsid w:val="00B65A1F"/>
    <w:rsid w:val="00B708FF"/>
    <w:rsid w:val="00B70A81"/>
    <w:rsid w:val="00B72493"/>
    <w:rsid w:val="00B72CAC"/>
    <w:rsid w:val="00B72D2D"/>
    <w:rsid w:val="00B73069"/>
    <w:rsid w:val="00B73498"/>
    <w:rsid w:val="00B735E0"/>
    <w:rsid w:val="00B73723"/>
    <w:rsid w:val="00B737D7"/>
    <w:rsid w:val="00B745A1"/>
    <w:rsid w:val="00B74E68"/>
    <w:rsid w:val="00B75279"/>
    <w:rsid w:val="00B75320"/>
    <w:rsid w:val="00B76890"/>
    <w:rsid w:val="00B76A63"/>
    <w:rsid w:val="00B76D3E"/>
    <w:rsid w:val="00B770AD"/>
    <w:rsid w:val="00B77504"/>
    <w:rsid w:val="00B77756"/>
    <w:rsid w:val="00B77CBF"/>
    <w:rsid w:val="00B77CF1"/>
    <w:rsid w:val="00B77DC3"/>
    <w:rsid w:val="00B8031B"/>
    <w:rsid w:val="00B80479"/>
    <w:rsid w:val="00B8078B"/>
    <w:rsid w:val="00B80876"/>
    <w:rsid w:val="00B80C86"/>
    <w:rsid w:val="00B80F61"/>
    <w:rsid w:val="00B810D0"/>
    <w:rsid w:val="00B81807"/>
    <w:rsid w:val="00B81F7F"/>
    <w:rsid w:val="00B823C9"/>
    <w:rsid w:val="00B828F4"/>
    <w:rsid w:val="00B8330C"/>
    <w:rsid w:val="00B833DD"/>
    <w:rsid w:val="00B83FF5"/>
    <w:rsid w:val="00B84029"/>
    <w:rsid w:val="00B856AA"/>
    <w:rsid w:val="00B866C7"/>
    <w:rsid w:val="00B868B8"/>
    <w:rsid w:val="00B86AA2"/>
    <w:rsid w:val="00B86BB5"/>
    <w:rsid w:val="00B86D93"/>
    <w:rsid w:val="00B87144"/>
    <w:rsid w:val="00B8722E"/>
    <w:rsid w:val="00B8727E"/>
    <w:rsid w:val="00B87347"/>
    <w:rsid w:val="00B87389"/>
    <w:rsid w:val="00B90461"/>
    <w:rsid w:val="00B90741"/>
    <w:rsid w:val="00B916D9"/>
    <w:rsid w:val="00B91979"/>
    <w:rsid w:val="00B92191"/>
    <w:rsid w:val="00B92617"/>
    <w:rsid w:val="00B92D73"/>
    <w:rsid w:val="00B93826"/>
    <w:rsid w:val="00B93C0A"/>
    <w:rsid w:val="00B93C5E"/>
    <w:rsid w:val="00B94880"/>
    <w:rsid w:val="00B94EA4"/>
    <w:rsid w:val="00B95EA6"/>
    <w:rsid w:val="00B96A8C"/>
    <w:rsid w:val="00B9724E"/>
    <w:rsid w:val="00B97309"/>
    <w:rsid w:val="00BA0563"/>
    <w:rsid w:val="00BA2814"/>
    <w:rsid w:val="00BA2D4F"/>
    <w:rsid w:val="00BA36D0"/>
    <w:rsid w:val="00BA469C"/>
    <w:rsid w:val="00BA6521"/>
    <w:rsid w:val="00BA6DF4"/>
    <w:rsid w:val="00BA6EFF"/>
    <w:rsid w:val="00BA71BC"/>
    <w:rsid w:val="00BB0062"/>
    <w:rsid w:val="00BB1CA4"/>
    <w:rsid w:val="00BB39BC"/>
    <w:rsid w:val="00BB3A5C"/>
    <w:rsid w:val="00BB4027"/>
    <w:rsid w:val="00BB4066"/>
    <w:rsid w:val="00BB4596"/>
    <w:rsid w:val="00BB69B7"/>
    <w:rsid w:val="00BB6F12"/>
    <w:rsid w:val="00BC0325"/>
    <w:rsid w:val="00BC0ED0"/>
    <w:rsid w:val="00BC1669"/>
    <w:rsid w:val="00BC1BA1"/>
    <w:rsid w:val="00BC2193"/>
    <w:rsid w:val="00BC2647"/>
    <w:rsid w:val="00BC2748"/>
    <w:rsid w:val="00BC2ED2"/>
    <w:rsid w:val="00BC4001"/>
    <w:rsid w:val="00BC4DC1"/>
    <w:rsid w:val="00BC5200"/>
    <w:rsid w:val="00BC569B"/>
    <w:rsid w:val="00BC609E"/>
    <w:rsid w:val="00BC65A4"/>
    <w:rsid w:val="00BC67EF"/>
    <w:rsid w:val="00BC766B"/>
    <w:rsid w:val="00BC7CF2"/>
    <w:rsid w:val="00BC7F01"/>
    <w:rsid w:val="00BD06D7"/>
    <w:rsid w:val="00BD09B5"/>
    <w:rsid w:val="00BD101E"/>
    <w:rsid w:val="00BD12D0"/>
    <w:rsid w:val="00BD1913"/>
    <w:rsid w:val="00BD24B8"/>
    <w:rsid w:val="00BD6393"/>
    <w:rsid w:val="00BD671D"/>
    <w:rsid w:val="00BD711C"/>
    <w:rsid w:val="00BD7742"/>
    <w:rsid w:val="00BE007E"/>
    <w:rsid w:val="00BE04C1"/>
    <w:rsid w:val="00BE0887"/>
    <w:rsid w:val="00BE1775"/>
    <w:rsid w:val="00BE1A53"/>
    <w:rsid w:val="00BE2693"/>
    <w:rsid w:val="00BE30C5"/>
    <w:rsid w:val="00BE31B9"/>
    <w:rsid w:val="00BE36FC"/>
    <w:rsid w:val="00BE40CF"/>
    <w:rsid w:val="00BE41E5"/>
    <w:rsid w:val="00BE44CA"/>
    <w:rsid w:val="00BE4628"/>
    <w:rsid w:val="00BE5A8C"/>
    <w:rsid w:val="00BE730B"/>
    <w:rsid w:val="00BE7929"/>
    <w:rsid w:val="00BE7ACF"/>
    <w:rsid w:val="00BE7B69"/>
    <w:rsid w:val="00BF013B"/>
    <w:rsid w:val="00BF19BD"/>
    <w:rsid w:val="00BF1AAC"/>
    <w:rsid w:val="00BF1DF5"/>
    <w:rsid w:val="00BF1F3E"/>
    <w:rsid w:val="00BF27D0"/>
    <w:rsid w:val="00BF28E9"/>
    <w:rsid w:val="00BF2D4F"/>
    <w:rsid w:val="00BF3692"/>
    <w:rsid w:val="00BF3857"/>
    <w:rsid w:val="00BF4D7F"/>
    <w:rsid w:val="00BF58C2"/>
    <w:rsid w:val="00BF5A01"/>
    <w:rsid w:val="00BF616E"/>
    <w:rsid w:val="00BF63E3"/>
    <w:rsid w:val="00BF66A8"/>
    <w:rsid w:val="00BF690F"/>
    <w:rsid w:val="00BF6F31"/>
    <w:rsid w:val="00BF73DF"/>
    <w:rsid w:val="00BF7D82"/>
    <w:rsid w:val="00BF7E2E"/>
    <w:rsid w:val="00C0021A"/>
    <w:rsid w:val="00C00231"/>
    <w:rsid w:val="00C034D4"/>
    <w:rsid w:val="00C04A97"/>
    <w:rsid w:val="00C04CEC"/>
    <w:rsid w:val="00C051D7"/>
    <w:rsid w:val="00C06085"/>
    <w:rsid w:val="00C061A1"/>
    <w:rsid w:val="00C06B99"/>
    <w:rsid w:val="00C074C7"/>
    <w:rsid w:val="00C0787D"/>
    <w:rsid w:val="00C07AAF"/>
    <w:rsid w:val="00C07CB0"/>
    <w:rsid w:val="00C10BA0"/>
    <w:rsid w:val="00C113D3"/>
    <w:rsid w:val="00C117C8"/>
    <w:rsid w:val="00C11DC5"/>
    <w:rsid w:val="00C122AF"/>
    <w:rsid w:val="00C12B2E"/>
    <w:rsid w:val="00C12C6F"/>
    <w:rsid w:val="00C144AD"/>
    <w:rsid w:val="00C1696E"/>
    <w:rsid w:val="00C17DF4"/>
    <w:rsid w:val="00C20395"/>
    <w:rsid w:val="00C218C9"/>
    <w:rsid w:val="00C21BC3"/>
    <w:rsid w:val="00C2201B"/>
    <w:rsid w:val="00C23535"/>
    <w:rsid w:val="00C23861"/>
    <w:rsid w:val="00C23A53"/>
    <w:rsid w:val="00C23AC1"/>
    <w:rsid w:val="00C24052"/>
    <w:rsid w:val="00C24421"/>
    <w:rsid w:val="00C2466A"/>
    <w:rsid w:val="00C25531"/>
    <w:rsid w:val="00C25C91"/>
    <w:rsid w:val="00C2606F"/>
    <w:rsid w:val="00C267B5"/>
    <w:rsid w:val="00C2711C"/>
    <w:rsid w:val="00C27875"/>
    <w:rsid w:val="00C32927"/>
    <w:rsid w:val="00C32A61"/>
    <w:rsid w:val="00C3310A"/>
    <w:rsid w:val="00C3516C"/>
    <w:rsid w:val="00C35B6D"/>
    <w:rsid w:val="00C36138"/>
    <w:rsid w:val="00C36861"/>
    <w:rsid w:val="00C36F77"/>
    <w:rsid w:val="00C37442"/>
    <w:rsid w:val="00C37C3E"/>
    <w:rsid w:val="00C37E12"/>
    <w:rsid w:val="00C37F05"/>
    <w:rsid w:val="00C40C5F"/>
    <w:rsid w:val="00C41049"/>
    <w:rsid w:val="00C41780"/>
    <w:rsid w:val="00C41988"/>
    <w:rsid w:val="00C41D65"/>
    <w:rsid w:val="00C41F38"/>
    <w:rsid w:val="00C427CD"/>
    <w:rsid w:val="00C42CAE"/>
    <w:rsid w:val="00C43607"/>
    <w:rsid w:val="00C438DF"/>
    <w:rsid w:val="00C43ACA"/>
    <w:rsid w:val="00C448BA"/>
    <w:rsid w:val="00C449D5"/>
    <w:rsid w:val="00C47DD4"/>
    <w:rsid w:val="00C47E65"/>
    <w:rsid w:val="00C502F9"/>
    <w:rsid w:val="00C50FF7"/>
    <w:rsid w:val="00C514A5"/>
    <w:rsid w:val="00C51DBD"/>
    <w:rsid w:val="00C51FB8"/>
    <w:rsid w:val="00C524EC"/>
    <w:rsid w:val="00C529F5"/>
    <w:rsid w:val="00C52DAA"/>
    <w:rsid w:val="00C53A1E"/>
    <w:rsid w:val="00C54278"/>
    <w:rsid w:val="00C550DA"/>
    <w:rsid w:val="00C558F5"/>
    <w:rsid w:val="00C55E97"/>
    <w:rsid w:val="00C56635"/>
    <w:rsid w:val="00C566B2"/>
    <w:rsid w:val="00C5697C"/>
    <w:rsid w:val="00C56ECE"/>
    <w:rsid w:val="00C56EE3"/>
    <w:rsid w:val="00C60572"/>
    <w:rsid w:val="00C606A4"/>
    <w:rsid w:val="00C60A33"/>
    <w:rsid w:val="00C60C70"/>
    <w:rsid w:val="00C61AD1"/>
    <w:rsid w:val="00C61EAE"/>
    <w:rsid w:val="00C61FCB"/>
    <w:rsid w:val="00C629B9"/>
    <w:rsid w:val="00C63266"/>
    <w:rsid w:val="00C6429B"/>
    <w:rsid w:val="00C65E1D"/>
    <w:rsid w:val="00C65E69"/>
    <w:rsid w:val="00C66515"/>
    <w:rsid w:val="00C6708E"/>
    <w:rsid w:val="00C67671"/>
    <w:rsid w:val="00C67BB4"/>
    <w:rsid w:val="00C70356"/>
    <w:rsid w:val="00C71376"/>
    <w:rsid w:val="00C71F99"/>
    <w:rsid w:val="00C72A11"/>
    <w:rsid w:val="00C72F97"/>
    <w:rsid w:val="00C746DF"/>
    <w:rsid w:val="00C74866"/>
    <w:rsid w:val="00C74911"/>
    <w:rsid w:val="00C74BC8"/>
    <w:rsid w:val="00C74D41"/>
    <w:rsid w:val="00C74D82"/>
    <w:rsid w:val="00C761A7"/>
    <w:rsid w:val="00C7691B"/>
    <w:rsid w:val="00C76A56"/>
    <w:rsid w:val="00C80370"/>
    <w:rsid w:val="00C80F07"/>
    <w:rsid w:val="00C81524"/>
    <w:rsid w:val="00C83F8E"/>
    <w:rsid w:val="00C8403D"/>
    <w:rsid w:val="00C8415E"/>
    <w:rsid w:val="00C846F8"/>
    <w:rsid w:val="00C84CD6"/>
    <w:rsid w:val="00C85BE5"/>
    <w:rsid w:val="00C86703"/>
    <w:rsid w:val="00C912A0"/>
    <w:rsid w:val="00C914DC"/>
    <w:rsid w:val="00C918F5"/>
    <w:rsid w:val="00C9234B"/>
    <w:rsid w:val="00C92429"/>
    <w:rsid w:val="00C92705"/>
    <w:rsid w:val="00C928F9"/>
    <w:rsid w:val="00C92A3B"/>
    <w:rsid w:val="00C935E3"/>
    <w:rsid w:val="00C940C7"/>
    <w:rsid w:val="00C941B6"/>
    <w:rsid w:val="00C95F8C"/>
    <w:rsid w:val="00C97B32"/>
    <w:rsid w:val="00CA0DEB"/>
    <w:rsid w:val="00CA0E25"/>
    <w:rsid w:val="00CA12F2"/>
    <w:rsid w:val="00CA17BF"/>
    <w:rsid w:val="00CA1F64"/>
    <w:rsid w:val="00CA22A4"/>
    <w:rsid w:val="00CA25B1"/>
    <w:rsid w:val="00CA35A9"/>
    <w:rsid w:val="00CA4ED8"/>
    <w:rsid w:val="00CA507C"/>
    <w:rsid w:val="00CA5696"/>
    <w:rsid w:val="00CA5A77"/>
    <w:rsid w:val="00CA5AFC"/>
    <w:rsid w:val="00CA5B9C"/>
    <w:rsid w:val="00CA76EC"/>
    <w:rsid w:val="00CA7B0B"/>
    <w:rsid w:val="00CB0043"/>
    <w:rsid w:val="00CB0ADC"/>
    <w:rsid w:val="00CB125D"/>
    <w:rsid w:val="00CB13BE"/>
    <w:rsid w:val="00CB1505"/>
    <w:rsid w:val="00CB209E"/>
    <w:rsid w:val="00CB2730"/>
    <w:rsid w:val="00CB2CBA"/>
    <w:rsid w:val="00CB3074"/>
    <w:rsid w:val="00CB315D"/>
    <w:rsid w:val="00CB3234"/>
    <w:rsid w:val="00CB329C"/>
    <w:rsid w:val="00CB337D"/>
    <w:rsid w:val="00CB3416"/>
    <w:rsid w:val="00CB37FA"/>
    <w:rsid w:val="00CB4B29"/>
    <w:rsid w:val="00CB61D7"/>
    <w:rsid w:val="00CB61DB"/>
    <w:rsid w:val="00CB6ACB"/>
    <w:rsid w:val="00CB7276"/>
    <w:rsid w:val="00CB7BCC"/>
    <w:rsid w:val="00CB7E49"/>
    <w:rsid w:val="00CC033F"/>
    <w:rsid w:val="00CC082F"/>
    <w:rsid w:val="00CC0886"/>
    <w:rsid w:val="00CC1637"/>
    <w:rsid w:val="00CC18A4"/>
    <w:rsid w:val="00CC1AD4"/>
    <w:rsid w:val="00CC1D1C"/>
    <w:rsid w:val="00CC1E17"/>
    <w:rsid w:val="00CC238B"/>
    <w:rsid w:val="00CC2FFE"/>
    <w:rsid w:val="00CC3BDD"/>
    <w:rsid w:val="00CC3F99"/>
    <w:rsid w:val="00CC4284"/>
    <w:rsid w:val="00CC47EF"/>
    <w:rsid w:val="00CC5F20"/>
    <w:rsid w:val="00CC70D4"/>
    <w:rsid w:val="00CC740A"/>
    <w:rsid w:val="00CC7A23"/>
    <w:rsid w:val="00CD02E0"/>
    <w:rsid w:val="00CD07F8"/>
    <w:rsid w:val="00CD0826"/>
    <w:rsid w:val="00CD24F8"/>
    <w:rsid w:val="00CD291D"/>
    <w:rsid w:val="00CD29F5"/>
    <w:rsid w:val="00CD2ECD"/>
    <w:rsid w:val="00CD3B4D"/>
    <w:rsid w:val="00CD3B7B"/>
    <w:rsid w:val="00CD3C2A"/>
    <w:rsid w:val="00CD4119"/>
    <w:rsid w:val="00CD57F5"/>
    <w:rsid w:val="00CD582C"/>
    <w:rsid w:val="00CD63B1"/>
    <w:rsid w:val="00CD7C8F"/>
    <w:rsid w:val="00CE17EB"/>
    <w:rsid w:val="00CE2147"/>
    <w:rsid w:val="00CE2A88"/>
    <w:rsid w:val="00CE2BB5"/>
    <w:rsid w:val="00CE3A53"/>
    <w:rsid w:val="00CE540D"/>
    <w:rsid w:val="00CE5561"/>
    <w:rsid w:val="00CE55C9"/>
    <w:rsid w:val="00CE6643"/>
    <w:rsid w:val="00CE719B"/>
    <w:rsid w:val="00CE7515"/>
    <w:rsid w:val="00CE7573"/>
    <w:rsid w:val="00CE7918"/>
    <w:rsid w:val="00CF06FD"/>
    <w:rsid w:val="00CF0DEE"/>
    <w:rsid w:val="00CF103B"/>
    <w:rsid w:val="00CF1618"/>
    <w:rsid w:val="00CF22DF"/>
    <w:rsid w:val="00CF3225"/>
    <w:rsid w:val="00CF34BA"/>
    <w:rsid w:val="00CF3F3C"/>
    <w:rsid w:val="00CF4C6B"/>
    <w:rsid w:val="00CF4F44"/>
    <w:rsid w:val="00CF58AA"/>
    <w:rsid w:val="00CF62AA"/>
    <w:rsid w:val="00CF6F36"/>
    <w:rsid w:val="00CF7848"/>
    <w:rsid w:val="00CF78FC"/>
    <w:rsid w:val="00CF792B"/>
    <w:rsid w:val="00CF7C01"/>
    <w:rsid w:val="00D004F7"/>
    <w:rsid w:val="00D00C2D"/>
    <w:rsid w:val="00D01902"/>
    <w:rsid w:val="00D0330D"/>
    <w:rsid w:val="00D03B7A"/>
    <w:rsid w:val="00D040FD"/>
    <w:rsid w:val="00D046ED"/>
    <w:rsid w:val="00D04F00"/>
    <w:rsid w:val="00D05716"/>
    <w:rsid w:val="00D05881"/>
    <w:rsid w:val="00D0754A"/>
    <w:rsid w:val="00D07B63"/>
    <w:rsid w:val="00D07D22"/>
    <w:rsid w:val="00D07D40"/>
    <w:rsid w:val="00D100D6"/>
    <w:rsid w:val="00D10A93"/>
    <w:rsid w:val="00D10B15"/>
    <w:rsid w:val="00D11FBA"/>
    <w:rsid w:val="00D12A3D"/>
    <w:rsid w:val="00D13376"/>
    <w:rsid w:val="00D1350A"/>
    <w:rsid w:val="00D13A1B"/>
    <w:rsid w:val="00D13B84"/>
    <w:rsid w:val="00D13ED1"/>
    <w:rsid w:val="00D141F6"/>
    <w:rsid w:val="00D14FA2"/>
    <w:rsid w:val="00D16D9B"/>
    <w:rsid w:val="00D1729D"/>
    <w:rsid w:val="00D1787B"/>
    <w:rsid w:val="00D17C22"/>
    <w:rsid w:val="00D17C34"/>
    <w:rsid w:val="00D20008"/>
    <w:rsid w:val="00D21005"/>
    <w:rsid w:val="00D21C17"/>
    <w:rsid w:val="00D22DB1"/>
    <w:rsid w:val="00D23631"/>
    <w:rsid w:val="00D24364"/>
    <w:rsid w:val="00D24596"/>
    <w:rsid w:val="00D24BE7"/>
    <w:rsid w:val="00D2563A"/>
    <w:rsid w:val="00D25E8B"/>
    <w:rsid w:val="00D25F36"/>
    <w:rsid w:val="00D26BC5"/>
    <w:rsid w:val="00D274BE"/>
    <w:rsid w:val="00D276DA"/>
    <w:rsid w:val="00D27C51"/>
    <w:rsid w:val="00D30448"/>
    <w:rsid w:val="00D31620"/>
    <w:rsid w:val="00D31BF8"/>
    <w:rsid w:val="00D31E15"/>
    <w:rsid w:val="00D3300B"/>
    <w:rsid w:val="00D34168"/>
    <w:rsid w:val="00D3597D"/>
    <w:rsid w:val="00D374C8"/>
    <w:rsid w:val="00D40D0B"/>
    <w:rsid w:val="00D4103A"/>
    <w:rsid w:val="00D41E5A"/>
    <w:rsid w:val="00D42088"/>
    <w:rsid w:val="00D44CB1"/>
    <w:rsid w:val="00D455EE"/>
    <w:rsid w:val="00D45E2D"/>
    <w:rsid w:val="00D4652D"/>
    <w:rsid w:val="00D46A83"/>
    <w:rsid w:val="00D47955"/>
    <w:rsid w:val="00D47E10"/>
    <w:rsid w:val="00D50071"/>
    <w:rsid w:val="00D50AD5"/>
    <w:rsid w:val="00D515D3"/>
    <w:rsid w:val="00D52EC6"/>
    <w:rsid w:val="00D53725"/>
    <w:rsid w:val="00D5476A"/>
    <w:rsid w:val="00D573B3"/>
    <w:rsid w:val="00D57868"/>
    <w:rsid w:val="00D57A19"/>
    <w:rsid w:val="00D60B53"/>
    <w:rsid w:val="00D6104E"/>
    <w:rsid w:val="00D620EE"/>
    <w:rsid w:val="00D620FC"/>
    <w:rsid w:val="00D6220E"/>
    <w:rsid w:val="00D624E0"/>
    <w:rsid w:val="00D63A99"/>
    <w:rsid w:val="00D64605"/>
    <w:rsid w:val="00D6479F"/>
    <w:rsid w:val="00D64811"/>
    <w:rsid w:val="00D65D98"/>
    <w:rsid w:val="00D6649F"/>
    <w:rsid w:val="00D66A02"/>
    <w:rsid w:val="00D66DD9"/>
    <w:rsid w:val="00D66E50"/>
    <w:rsid w:val="00D67875"/>
    <w:rsid w:val="00D67B65"/>
    <w:rsid w:val="00D705A1"/>
    <w:rsid w:val="00D71131"/>
    <w:rsid w:val="00D715C1"/>
    <w:rsid w:val="00D71ED3"/>
    <w:rsid w:val="00D73045"/>
    <w:rsid w:val="00D741BD"/>
    <w:rsid w:val="00D7497E"/>
    <w:rsid w:val="00D74C01"/>
    <w:rsid w:val="00D74C5B"/>
    <w:rsid w:val="00D7597A"/>
    <w:rsid w:val="00D75F61"/>
    <w:rsid w:val="00D7640C"/>
    <w:rsid w:val="00D769C6"/>
    <w:rsid w:val="00D771B5"/>
    <w:rsid w:val="00D778E3"/>
    <w:rsid w:val="00D80708"/>
    <w:rsid w:val="00D80B89"/>
    <w:rsid w:val="00D80BEF"/>
    <w:rsid w:val="00D80E9A"/>
    <w:rsid w:val="00D813B3"/>
    <w:rsid w:val="00D815DD"/>
    <w:rsid w:val="00D821AB"/>
    <w:rsid w:val="00D8338F"/>
    <w:rsid w:val="00D848BE"/>
    <w:rsid w:val="00D84C66"/>
    <w:rsid w:val="00D84E34"/>
    <w:rsid w:val="00D854C9"/>
    <w:rsid w:val="00D85E22"/>
    <w:rsid w:val="00D866B6"/>
    <w:rsid w:val="00D90CC8"/>
    <w:rsid w:val="00D90E03"/>
    <w:rsid w:val="00D910CE"/>
    <w:rsid w:val="00D91B4F"/>
    <w:rsid w:val="00D91D65"/>
    <w:rsid w:val="00D93378"/>
    <w:rsid w:val="00D93A8F"/>
    <w:rsid w:val="00D9425B"/>
    <w:rsid w:val="00D944A6"/>
    <w:rsid w:val="00D9478B"/>
    <w:rsid w:val="00D948DF"/>
    <w:rsid w:val="00D94B2D"/>
    <w:rsid w:val="00D95786"/>
    <w:rsid w:val="00D958BC"/>
    <w:rsid w:val="00D9595A"/>
    <w:rsid w:val="00D95BB2"/>
    <w:rsid w:val="00D967FE"/>
    <w:rsid w:val="00D968BE"/>
    <w:rsid w:val="00D96EF1"/>
    <w:rsid w:val="00D9747A"/>
    <w:rsid w:val="00DA0786"/>
    <w:rsid w:val="00DA09D7"/>
    <w:rsid w:val="00DA0A21"/>
    <w:rsid w:val="00DA0AF9"/>
    <w:rsid w:val="00DA2739"/>
    <w:rsid w:val="00DA2BBA"/>
    <w:rsid w:val="00DA2C5A"/>
    <w:rsid w:val="00DA3182"/>
    <w:rsid w:val="00DA332B"/>
    <w:rsid w:val="00DA3E7E"/>
    <w:rsid w:val="00DA4531"/>
    <w:rsid w:val="00DA46C0"/>
    <w:rsid w:val="00DA5035"/>
    <w:rsid w:val="00DA52BE"/>
    <w:rsid w:val="00DA5306"/>
    <w:rsid w:val="00DA57C9"/>
    <w:rsid w:val="00DA6E7A"/>
    <w:rsid w:val="00DA767D"/>
    <w:rsid w:val="00DA7A1F"/>
    <w:rsid w:val="00DA7C50"/>
    <w:rsid w:val="00DB1084"/>
    <w:rsid w:val="00DB1574"/>
    <w:rsid w:val="00DB1577"/>
    <w:rsid w:val="00DB1A76"/>
    <w:rsid w:val="00DB209B"/>
    <w:rsid w:val="00DB2143"/>
    <w:rsid w:val="00DB2384"/>
    <w:rsid w:val="00DB25B4"/>
    <w:rsid w:val="00DB2FA7"/>
    <w:rsid w:val="00DB2FEB"/>
    <w:rsid w:val="00DB3B7E"/>
    <w:rsid w:val="00DB4E15"/>
    <w:rsid w:val="00DB5DBA"/>
    <w:rsid w:val="00DB5E3A"/>
    <w:rsid w:val="00DB5E54"/>
    <w:rsid w:val="00DB743C"/>
    <w:rsid w:val="00DC00FA"/>
    <w:rsid w:val="00DC0942"/>
    <w:rsid w:val="00DC0BD7"/>
    <w:rsid w:val="00DC2499"/>
    <w:rsid w:val="00DC2567"/>
    <w:rsid w:val="00DC25C1"/>
    <w:rsid w:val="00DC2984"/>
    <w:rsid w:val="00DC2DD0"/>
    <w:rsid w:val="00DC2F36"/>
    <w:rsid w:val="00DC31C7"/>
    <w:rsid w:val="00DC31E3"/>
    <w:rsid w:val="00DC34AF"/>
    <w:rsid w:val="00DC3E06"/>
    <w:rsid w:val="00DC4621"/>
    <w:rsid w:val="00DC4C25"/>
    <w:rsid w:val="00DC5B40"/>
    <w:rsid w:val="00DC6064"/>
    <w:rsid w:val="00DC620D"/>
    <w:rsid w:val="00DC6953"/>
    <w:rsid w:val="00DC7379"/>
    <w:rsid w:val="00DC7425"/>
    <w:rsid w:val="00DD07E4"/>
    <w:rsid w:val="00DD0944"/>
    <w:rsid w:val="00DD12A0"/>
    <w:rsid w:val="00DD135F"/>
    <w:rsid w:val="00DD161D"/>
    <w:rsid w:val="00DD1BDE"/>
    <w:rsid w:val="00DD289E"/>
    <w:rsid w:val="00DD2C6F"/>
    <w:rsid w:val="00DD5672"/>
    <w:rsid w:val="00DD5A55"/>
    <w:rsid w:val="00DD616B"/>
    <w:rsid w:val="00DD643F"/>
    <w:rsid w:val="00DD6DC0"/>
    <w:rsid w:val="00DE0344"/>
    <w:rsid w:val="00DE101A"/>
    <w:rsid w:val="00DE120B"/>
    <w:rsid w:val="00DE17FB"/>
    <w:rsid w:val="00DE23D1"/>
    <w:rsid w:val="00DE26F3"/>
    <w:rsid w:val="00DE329F"/>
    <w:rsid w:val="00DE3957"/>
    <w:rsid w:val="00DE3D88"/>
    <w:rsid w:val="00DE4786"/>
    <w:rsid w:val="00DE4E53"/>
    <w:rsid w:val="00DE6C4D"/>
    <w:rsid w:val="00DE6E61"/>
    <w:rsid w:val="00DF0024"/>
    <w:rsid w:val="00DF18E5"/>
    <w:rsid w:val="00DF1A58"/>
    <w:rsid w:val="00DF1F6B"/>
    <w:rsid w:val="00DF204A"/>
    <w:rsid w:val="00DF2B13"/>
    <w:rsid w:val="00DF2BA7"/>
    <w:rsid w:val="00DF2BC5"/>
    <w:rsid w:val="00DF2F71"/>
    <w:rsid w:val="00DF3566"/>
    <w:rsid w:val="00DF4970"/>
    <w:rsid w:val="00DF4D39"/>
    <w:rsid w:val="00DF5578"/>
    <w:rsid w:val="00DF5D5E"/>
    <w:rsid w:val="00DF6758"/>
    <w:rsid w:val="00DF788D"/>
    <w:rsid w:val="00E00A73"/>
    <w:rsid w:val="00E00FE0"/>
    <w:rsid w:val="00E0108D"/>
    <w:rsid w:val="00E01889"/>
    <w:rsid w:val="00E01E26"/>
    <w:rsid w:val="00E02359"/>
    <w:rsid w:val="00E0280F"/>
    <w:rsid w:val="00E02A1D"/>
    <w:rsid w:val="00E02B06"/>
    <w:rsid w:val="00E036B1"/>
    <w:rsid w:val="00E0391B"/>
    <w:rsid w:val="00E04A19"/>
    <w:rsid w:val="00E05543"/>
    <w:rsid w:val="00E0626C"/>
    <w:rsid w:val="00E066CC"/>
    <w:rsid w:val="00E06941"/>
    <w:rsid w:val="00E06E5B"/>
    <w:rsid w:val="00E07320"/>
    <w:rsid w:val="00E07A6C"/>
    <w:rsid w:val="00E07F26"/>
    <w:rsid w:val="00E10C43"/>
    <w:rsid w:val="00E13144"/>
    <w:rsid w:val="00E13B04"/>
    <w:rsid w:val="00E14585"/>
    <w:rsid w:val="00E14814"/>
    <w:rsid w:val="00E14D62"/>
    <w:rsid w:val="00E1535D"/>
    <w:rsid w:val="00E155C1"/>
    <w:rsid w:val="00E158DF"/>
    <w:rsid w:val="00E15E9C"/>
    <w:rsid w:val="00E164F9"/>
    <w:rsid w:val="00E1660A"/>
    <w:rsid w:val="00E166E2"/>
    <w:rsid w:val="00E17D80"/>
    <w:rsid w:val="00E222C0"/>
    <w:rsid w:val="00E223C6"/>
    <w:rsid w:val="00E2277E"/>
    <w:rsid w:val="00E22A60"/>
    <w:rsid w:val="00E23168"/>
    <w:rsid w:val="00E24084"/>
    <w:rsid w:val="00E24942"/>
    <w:rsid w:val="00E250CA"/>
    <w:rsid w:val="00E25396"/>
    <w:rsid w:val="00E260AA"/>
    <w:rsid w:val="00E260F8"/>
    <w:rsid w:val="00E26500"/>
    <w:rsid w:val="00E271CB"/>
    <w:rsid w:val="00E276A9"/>
    <w:rsid w:val="00E2790C"/>
    <w:rsid w:val="00E27B96"/>
    <w:rsid w:val="00E3018F"/>
    <w:rsid w:val="00E301C1"/>
    <w:rsid w:val="00E3029C"/>
    <w:rsid w:val="00E30CAF"/>
    <w:rsid w:val="00E31702"/>
    <w:rsid w:val="00E343D7"/>
    <w:rsid w:val="00E34E36"/>
    <w:rsid w:val="00E34EAB"/>
    <w:rsid w:val="00E34F3A"/>
    <w:rsid w:val="00E353A4"/>
    <w:rsid w:val="00E36217"/>
    <w:rsid w:val="00E40C58"/>
    <w:rsid w:val="00E4101C"/>
    <w:rsid w:val="00E414CB"/>
    <w:rsid w:val="00E41605"/>
    <w:rsid w:val="00E42478"/>
    <w:rsid w:val="00E4254A"/>
    <w:rsid w:val="00E42967"/>
    <w:rsid w:val="00E42B73"/>
    <w:rsid w:val="00E431EA"/>
    <w:rsid w:val="00E433DC"/>
    <w:rsid w:val="00E43FFB"/>
    <w:rsid w:val="00E440A2"/>
    <w:rsid w:val="00E441E5"/>
    <w:rsid w:val="00E44667"/>
    <w:rsid w:val="00E45E3C"/>
    <w:rsid w:val="00E45EA5"/>
    <w:rsid w:val="00E46686"/>
    <w:rsid w:val="00E46935"/>
    <w:rsid w:val="00E473FC"/>
    <w:rsid w:val="00E509D9"/>
    <w:rsid w:val="00E50B61"/>
    <w:rsid w:val="00E51039"/>
    <w:rsid w:val="00E5133A"/>
    <w:rsid w:val="00E51E86"/>
    <w:rsid w:val="00E520A7"/>
    <w:rsid w:val="00E520D3"/>
    <w:rsid w:val="00E52380"/>
    <w:rsid w:val="00E52A36"/>
    <w:rsid w:val="00E53281"/>
    <w:rsid w:val="00E534E0"/>
    <w:rsid w:val="00E53644"/>
    <w:rsid w:val="00E53EB6"/>
    <w:rsid w:val="00E549B1"/>
    <w:rsid w:val="00E55E9C"/>
    <w:rsid w:val="00E57830"/>
    <w:rsid w:val="00E61055"/>
    <w:rsid w:val="00E6111C"/>
    <w:rsid w:val="00E61415"/>
    <w:rsid w:val="00E623BC"/>
    <w:rsid w:val="00E636E4"/>
    <w:rsid w:val="00E63BCD"/>
    <w:rsid w:val="00E63D2F"/>
    <w:rsid w:val="00E63E77"/>
    <w:rsid w:val="00E643C4"/>
    <w:rsid w:val="00E649B2"/>
    <w:rsid w:val="00E64A26"/>
    <w:rsid w:val="00E65731"/>
    <w:rsid w:val="00E6745E"/>
    <w:rsid w:val="00E67622"/>
    <w:rsid w:val="00E7026E"/>
    <w:rsid w:val="00E70D8C"/>
    <w:rsid w:val="00E7149E"/>
    <w:rsid w:val="00E71613"/>
    <w:rsid w:val="00E72031"/>
    <w:rsid w:val="00E7214B"/>
    <w:rsid w:val="00E7393F"/>
    <w:rsid w:val="00E75EC4"/>
    <w:rsid w:val="00E7612F"/>
    <w:rsid w:val="00E764C9"/>
    <w:rsid w:val="00E76F2B"/>
    <w:rsid w:val="00E77618"/>
    <w:rsid w:val="00E77924"/>
    <w:rsid w:val="00E81DC5"/>
    <w:rsid w:val="00E8200E"/>
    <w:rsid w:val="00E823DF"/>
    <w:rsid w:val="00E8356E"/>
    <w:rsid w:val="00E840FA"/>
    <w:rsid w:val="00E84102"/>
    <w:rsid w:val="00E86ECB"/>
    <w:rsid w:val="00E87F19"/>
    <w:rsid w:val="00E9020A"/>
    <w:rsid w:val="00E9023E"/>
    <w:rsid w:val="00E90517"/>
    <w:rsid w:val="00E90FA3"/>
    <w:rsid w:val="00E9118B"/>
    <w:rsid w:val="00E92211"/>
    <w:rsid w:val="00E9338D"/>
    <w:rsid w:val="00E93AB8"/>
    <w:rsid w:val="00E93E43"/>
    <w:rsid w:val="00E94325"/>
    <w:rsid w:val="00E94DBE"/>
    <w:rsid w:val="00E94E05"/>
    <w:rsid w:val="00E95A99"/>
    <w:rsid w:val="00E95B10"/>
    <w:rsid w:val="00E95C16"/>
    <w:rsid w:val="00E972D4"/>
    <w:rsid w:val="00E974CE"/>
    <w:rsid w:val="00E97577"/>
    <w:rsid w:val="00E978D7"/>
    <w:rsid w:val="00E97CB0"/>
    <w:rsid w:val="00EA0451"/>
    <w:rsid w:val="00EA1522"/>
    <w:rsid w:val="00EA187B"/>
    <w:rsid w:val="00EA1952"/>
    <w:rsid w:val="00EA28C7"/>
    <w:rsid w:val="00EA2DDF"/>
    <w:rsid w:val="00EA385C"/>
    <w:rsid w:val="00EA3C20"/>
    <w:rsid w:val="00EA3ECA"/>
    <w:rsid w:val="00EA3ED2"/>
    <w:rsid w:val="00EA4B05"/>
    <w:rsid w:val="00EA6B39"/>
    <w:rsid w:val="00EA6BED"/>
    <w:rsid w:val="00EA72C0"/>
    <w:rsid w:val="00EA791E"/>
    <w:rsid w:val="00EB06AF"/>
    <w:rsid w:val="00EB0E10"/>
    <w:rsid w:val="00EB1198"/>
    <w:rsid w:val="00EB17CF"/>
    <w:rsid w:val="00EB19E4"/>
    <w:rsid w:val="00EB1AE3"/>
    <w:rsid w:val="00EB1EE2"/>
    <w:rsid w:val="00EB1F3F"/>
    <w:rsid w:val="00EB2DAE"/>
    <w:rsid w:val="00EB35E4"/>
    <w:rsid w:val="00EB3B48"/>
    <w:rsid w:val="00EB3CD6"/>
    <w:rsid w:val="00EB3F9E"/>
    <w:rsid w:val="00EB4649"/>
    <w:rsid w:val="00EB4F39"/>
    <w:rsid w:val="00EB5167"/>
    <w:rsid w:val="00EB536B"/>
    <w:rsid w:val="00EB5B3D"/>
    <w:rsid w:val="00EB6CC3"/>
    <w:rsid w:val="00EB707D"/>
    <w:rsid w:val="00EB7726"/>
    <w:rsid w:val="00EB7AFE"/>
    <w:rsid w:val="00EC0C06"/>
    <w:rsid w:val="00EC0CBA"/>
    <w:rsid w:val="00EC143B"/>
    <w:rsid w:val="00EC1D1C"/>
    <w:rsid w:val="00EC1DA6"/>
    <w:rsid w:val="00EC211D"/>
    <w:rsid w:val="00EC2DD0"/>
    <w:rsid w:val="00EC3588"/>
    <w:rsid w:val="00EC3610"/>
    <w:rsid w:val="00EC507A"/>
    <w:rsid w:val="00EC5ACA"/>
    <w:rsid w:val="00EC747C"/>
    <w:rsid w:val="00ED0545"/>
    <w:rsid w:val="00ED0943"/>
    <w:rsid w:val="00ED0AAA"/>
    <w:rsid w:val="00ED20EC"/>
    <w:rsid w:val="00ED2458"/>
    <w:rsid w:val="00ED32FF"/>
    <w:rsid w:val="00ED35F3"/>
    <w:rsid w:val="00ED438F"/>
    <w:rsid w:val="00ED5448"/>
    <w:rsid w:val="00ED6514"/>
    <w:rsid w:val="00ED68BC"/>
    <w:rsid w:val="00ED6A04"/>
    <w:rsid w:val="00ED6DE8"/>
    <w:rsid w:val="00ED7B8A"/>
    <w:rsid w:val="00EE09EF"/>
    <w:rsid w:val="00EE0C4A"/>
    <w:rsid w:val="00EE14B2"/>
    <w:rsid w:val="00EE16FD"/>
    <w:rsid w:val="00EE1816"/>
    <w:rsid w:val="00EE1AAF"/>
    <w:rsid w:val="00EE1BDE"/>
    <w:rsid w:val="00EE2D99"/>
    <w:rsid w:val="00EE3362"/>
    <w:rsid w:val="00EE3643"/>
    <w:rsid w:val="00EE374E"/>
    <w:rsid w:val="00EE3F72"/>
    <w:rsid w:val="00EE40DB"/>
    <w:rsid w:val="00EE66D8"/>
    <w:rsid w:val="00EE6D23"/>
    <w:rsid w:val="00EE7243"/>
    <w:rsid w:val="00EE7FDF"/>
    <w:rsid w:val="00EF02F8"/>
    <w:rsid w:val="00EF051F"/>
    <w:rsid w:val="00EF0900"/>
    <w:rsid w:val="00EF1032"/>
    <w:rsid w:val="00EF1BAA"/>
    <w:rsid w:val="00EF1C53"/>
    <w:rsid w:val="00EF289C"/>
    <w:rsid w:val="00EF2C5B"/>
    <w:rsid w:val="00EF2C88"/>
    <w:rsid w:val="00EF31A0"/>
    <w:rsid w:val="00EF415E"/>
    <w:rsid w:val="00EF495E"/>
    <w:rsid w:val="00EF4C14"/>
    <w:rsid w:val="00EF53D0"/>
    <w:rsid w:val="00EF54A6"/>
    <w:rsid w:val="00EF5502"/>
    <w:rsid w:val="00EF6876"/>
    <w:rsid w:val="00EF6918"/>
    <w:rsid w:val="00EF6931"/>
    <w:rsid w:val="00EF7799"/>
    <w:rsid w:val="00EF7B75"/>
    <w:rsid w:val="00EF7CC2"/>
    <w:rsid w:val="00F00ACF"/>
    <w:rsid w:val="00F00FA0"/>
    <w:rsid w:val="00F01F4B"/>
    <w:rsid w:val="00F02CB4"/>
    <w:rsid w:val="00F02F1E"/>
    <w:rsid w:val="00F03ED1"/>
    <w:rsid w:val="00F042FC"/>
    <w:rsid w:val="00F05ECE"/>
    <w:rsid w:val="00F0603A"/>
    <w:rsid w:val="00F063A1"/>
    <w:rsid w:val="00F067EF"/>
    <w:rsid w:val="00F07489"/>
    <w:rsid w:val="00F100F3"/>
    <w:rsid w:val="00F1033A"/>
    <w:rsid w:val="00F115B5"/>
    <w:rsid w:val="00F11BE4"/>
    <w:rsid w:val="00F11C57"/>
    <w:rsid w:val="00F11CD5"/>
    <w:rsid w:val="00F11FB0"/>
    <w:rsid w:val="00F123C3"/>
    <w:rsid w:val="00F12C40"/>
    <w:rsid w:val="00F12C8C"/>
    <w:rsid w:val="00F13157"/>
    <w:rsid w:val="00F13193"/>
    <w:rsid w:val="00F136B2"/>
    <w:rsid w:val="00F13942"/>
    <w:rsid w:val="00F13DFE"/>
    <w:rsid w:val="00F14623"/>
    <w:rsid w:val="00F16002"/>
    <w:rsid w:val="00F16BF3"/>
    <w:rsid w:val="00F16C65"/>
    <w:rsid w:val="00F202C7"/>
    <w:rsid w:val="00F20823"/>
    <w:rsid w:val="00F2090F"/>
    <w:rsid w:val="00F23299"/>
    <w:rsid w:val="00F23638"/>
    <w:rsid w:val="00F238AB"/>
    <w:rsid w:val="00F2397D"/>
    <w:rsid w:val="00F24491"/>
    <w:rsid w:val="00F25435"/>
    <w:rsid w:val="00F25955"/>
    <w:rsid w:val="00F25A63"/>
    <w:rsid w:val="00F2703D"/>
    <w:rsid w:val="00F2746C"/>
    <w:rsid w:val="00F27A01"/>
    <w:rsid w:val="00F306C2"/>
    <w:rsid w:val="00F30E46"/>
    <w:rsid w:val="00F31323"/>
    <w:rsid w:val="00F31440"/>
    <w:rsid w:val="00F318FE"/>
    <w:rsid w:val="00F31A60"/>
    <w:rsid w:val="00F3225E"/>
    <w:rsid w:val="00F3232D"/>
    <w:rsid w:val="00F32618"/>
    <w:rsid w:val="00F32A32"/>
    <w:rsid w:val="00F32ECC"/>
    <w:rsid w:val="00F32FEC"/>
    <w:rsid w:val="00F341CA"/>
    <w:rsid w:val="00F3427A"/>
    <w:rsid w:val="00F3474D"/>
    <w:rsid w:val="00F3505A"/>
    <w:rsid w:val="00F4028E"/>
    <w:rsid w:val="00F4065B"/>
    <w:rsid w:val="00F40745"/>
    <w:rsid w:val="00F4137B"/>
    <w:rsid w:val="00F41A1D"/>
    <w:rsid w:val="00F41C6E"/>
    <w:rsid w:val="00F42F19"/>
    <w:rsid w:val="00F431B6"/>
    <w:rsid w:val="00F436FF"/>
    <w:rsid w:val="00F43A4B"/>
    <w:rsid w:val="00F445F3"/>
    <w:rsid w:val="00F44D98"/>
    <w:rsid w:val="00F44F83"/>
    <w:rsid w:val="00F468A8"/>
    <w:rsid w:val="00F468EA"/>
    <w:rsid w:val="00F47190"/>
    <w:rsid w:val="00F473C5"/>
    <w:rsid w:val="00F501D1"/>
    <w:rsid w:val="00F50302"/>
    <w:rsid w:val="00F50363"/>
    <w:rsid w:val="00F50682"/>
    <w:rsid w:val="00F509AF"/>
    <w:rsid w:val="00F51EFF"/>
    <w:rsid w:val="00F526B6"/>
    <w:rsid w:val="00F527CA"/>
    <w:rsid w:val="00F52851"/>
    <w:rsid w:val="00F52BF3"/>
    <w:rsid w:val="00F52E0E"/>
    <w:rsid w:val="00F54164"/>
    <w:rsid w:val="00F54A4A"/>
    <w:rsid w:val="00F550B6"/>
    <w:rsid w:val="00F551AE"/>
    <w:rsid w:val="00F56566"/>
    <w:rsid w:val="00F5728D"/>
    <w:rsid w:val="00F57713"/>
    <w:rsid w:val="00F601ED"/>
    <w:rsid w:val="00F61892"/>
    <w:rsid w:val="00F63361"/>
    <w:rsid w:val="00F63CFB"/>
    <w:rsid w:val="00F63DE0"/>
    <w:rsid w:val="00F65C56"/>
    <w:rsid w:val="00F66C90"/>
    <w:rsid w:val="00F670A8"/>
    <w:rsid w:val="00F6748E"/>
    <w:rsid w:val="00F679A2"/>
    <w:rsid w:val="00F67BEA"/>
    <w:rsid w:val="00F67DAC"/>
    <w:rsid w:val="00F70482"/>
    <w:rsid w:val="00F70D73"/>
    <w:rsid w:val="00F70ED4"/>
    <w:rsid w:val="00F7188A"/>
    <w:rsid w:val="00F72049"/>
    <w:rsid w:val="00F72EC7"/>
    <w:rsid w:val="00F73399"/>
    <w:rsid w:val="00F74E75"/>
    <w:rsid w:val="00F75FCC"/>
    <w:rsid w:val="00F766F6"/>
    <w:rsid w:val="00F76D5C"/>
    <w:rsid w:val="00F76F2D"/>
    <w:rsid w:val="00F77FD2"/>
    <w:rsid w:val="00F80ADB"/>
    <w:rsid w:val="00F80D6C"/>
    <w:rsid w:val="00F80E27"/>
    <w:rsid w:val="00F8274D"/>
    <w:rsid w:val="00F832E6"/>
    <w:rsid w:val="00F839C7"/>
    <w:rsid w:val="00F8567B"/>
    <w:rsid w:val="00F86F62"/>
    <w:rsid w:val="00F86FF2"/>
    <w:rsid w:val="00F87036"/>
    <w:rsid w:val="00F8732D"/>
    <w:rsid w:val="00F87610"/>
    <w:rsid w:val="00F90D7F"/>
    <w:rsid w:val="00F91B44"/>
    <w:rsid w:val="00F91E37"/>
    <w:rsid w:val="00F91E5A"/>
    <w:rsid w:val="00F92358"/>
    <w:rsid w:val="00F93266"/>
    <w:rsid w:val="00F936DF"/>
    <w:rsid w:val="00F93A0D"/>
    <w:rsid w:val="00F9405D"/>
    <w:rsid w:val="00F95538"/>
    <w:rsid w:val="00F96240"/>
    <w:rsid w:val="00F96D08"/>
    <w:rsid w:val="00F96E29"/>
    <w:rsid w:val="00F96ECA"/>
    <w:rsid w:val="00F977EF"/>
    <w:rsid w:val="00FA0AA9"/>
    <w:rsid w:val="00FA0B0F"/>
    <w:rsid w:val="00FA103D"/>
    <w:rsid w:val="00FA1701"/>
    <w:rsid w:val="00FA1850"/>
    <w:rsid w:val="00FA1F9C"/>
    <w:rsid w:val="00FA3DF6"/>
    <w:rsid w:val="00FA3FBA"/>
    <w:rsid w:val="00FA40B6"/>
    <w:rsid w:val="00FA46FA"/>
    <w:rsid w:val="00FA54B4"/>
    <w:rsid w:val="00FA56BF"/>
    <w:rsid w:val="00FA6E55"/>
    <w:rsid w:val="00FA6F4E"/>
    <w:rsid w:val="00FB09F7"/>
    <w:rsid w:val="00FB0D33"/>
    <w:rsid w:val="00FB1179"/>
    <w:rsid w:val="00FB1223"/>
    <w:rsid w:val="00FB153C"/>
    <w:rsid w:val="00FB1DE8"/>
    <w:rsid w:val="00FB256F"/>
    <w:rsid w:val="00FB3757"/>
    <w:rsid w:val="00FB37B8"/>
    <w:rsid w:val="00FB37E9"/>
    <w:rsid w:val="00FB4D15"/>
    <w:rsid w:val="00FB5251"/>
    <w:rsid w:val="00FB614A"/>
    <w:rsid w:val="00FB6BEC"/>
    <w:rsid w:val="00FB75E4"/>
    <w:rsid w:val="00FB77A5"/>
    <w:rsid w:val="00FB7BDD"/>
    <w:rsid w:val="00FC00A9"/>
    <w:rsid w:val="00FC05AF"/>
    <w:rsid w:val="00FC16DF"/>
    <w:rsid w:val="00FC1E86"/>
    <w:rsid w:val="00FC20B0"/>
    <w:rsid w:val="00FC20D7"/>
    <w:rsid w:val="00FC2833"/>
    <w:rsid w:val="00FC30D1"/>
    <w:rsid w:val="00FC3323"/>
    <w:rsid w:val="00FC380A"/>
    <w:rsid w:val="00FC4DC2"/>
    <w:rsid w:val="00FC56EE"/>
    <w:rsid w:val="00FC5CDD"/>
    <w:rsid w:val="00FC68E2"/>
    <w:rsid w:val="00FC732C"/>
    <w:rsid w:val="00FC7B0F"/>
    <w:rsid w:val="00FC7D0E"/>
    <w:rsid w:val="00FC7D61"/>
    <w:rsid w:val="00FC7FF8"/>
    <w:rsid w:val="00FD035A"/>
    <w:rsid w:val="00FD0755"/>
    <w:rsid w:val="00FD0BF3"/>
    <w:rsid w:val="00FD1BAE"/>
    <w:rsid w:val="00FD20D9"/>
    <w:rsid w:val="00FD2278"/>
    <w:rsid w:val="00FD2389"/>
    <w:rsid w:val="00FD28C2"/>
    <w:rsid w:val="00FD363A"/>
    <w:rsid w:val="00FD46A3"/>
    <w:rsid w:val="00FD4980"/>
    <w:rsid w:val="00FD55CE"/>
    <w:rsid w:val="00FD7406"/>
    <w:rsid w:val="00FD7D3B"/>
    <w:rsid w:val="00FE0081"/>
    <w:rsid w:val="00FE0B51"/>
    <w:rsid w:val="00FE1190"/>
    <w:rsid w:val="00FE12D4"/>
    <w:rsid w:val="00FE3433"/>
    <w:rsid w:val="00FE3970"/>
    <w:rsid w:val="00FE4E37"/>
    <w:rsid w:val="00FE5F7C"/>
    <w:rsid w:val="00FE637F"/>
    <w:rsid w:val="00FF0689"/>
    <w:rsid w:val="00FF1357"/>
    <w:rsid w:val="00FF1926"/>
    <w:rsid w:val="00FF1E39"/>
    <w:rsid w:val="00FF2E24"/>
    <w:rsid w:val="00FF310C"/>
    <w:rsid w:val="00FF3C10"/>
    <w:rsid w:val="00FF444A"/>
    <w:rsid w:val="00FF4C62"/>
    <w:rsid w:val="00FF4D80"/>
    <w:rsid w:val="00FF563A"/>
    <w:rsid w:val="00FF5EBF"/>
    <w:rsid w:val="00FF6220"/>
    <w:rsid w:val="00FF62F8"/>
    <w:rsid w:val="00FF65FB"/>
    <w:rsid w:val="00FF6AE4"/>
    <w:rsid w:val="00FF6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775F"/>
  <w15:docId w15:val="{DCFB1A56-6E73-49A9-98BD-EFD7D4AE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2259AE"/>
    <w:pPr>
      <w:spacing w:before="120" w:after="0" w:line="264" w:lineRule="auto"/>
      <w:jc w:val="both"/>
    </w:pPr>
    <w:rPr>
      <w:rFonts w:ascii="Arial" w:eastAsia="Times New Roman" w:hAnsi="Arial" w:cs="Arial"/>
      <w:szCs w:val="24"/>
      <w:lang w:eastAsia="en-GB"/>
    </w:rPr>
  </w:style>
  <w:style w:type="paragraph" w:styleId="Naslov1">
    <w:name w:val="heading 1"/>
    <w:basedOn w:val="Navaden"/>
    <w:next w:val="Navaden"/>
    <w:link w:val="Naslov1Znak"/>
    <w:uiPriority w:val="9"/>
    <w:qFormat/>
    <w:rsid w:val="00803EB8"/>
    <w:pPr>
      <w:keepNext/>
      <w:numPr>
        <w:numId w:val="149"/>
      </w:numPr>
      <w:tabs>
        <w:tab w:val="left" w:pos="0"/>
      </w:tabs>
      <w:spacing w:before="360" w:line="240" w:lineRule="auto"/>
      <w:outlineLvl w:val="0"/>
    </w:pPr>
    <w:rPr>
      <w:rFonts w:eastAsia="Calibri"/>
      <w:b/>
      <w:sz w:val="24"/>
      <w:szCs w:val="20"/>
      <w:lang w:eastAsia="en-US"/>
    </w:rPr>
  </w:style>
  <w:style w:type="paragraph" w:styleId="Naslov2">
    <w:name w:val="heading 2"/>
    <w:basedOn w:val="Naslov1"/>
    <w:next w:val="Navaden"/>
    <w:link w:val="Naslov2Znak"/>
    <w:uiPriority w:val="9"/>
    <w:qFormat/>
    <w:rsid w:val="00210031"/>
    <w:pPr>
      <w:numPr>
        <w:ilvl w:val="1"/>
      </w:numPr>
      <w:tabs>
        <w:tab w:val="left" w:pos="567"/>
        <w:tab w:val="left" w:pos="1276"/>
      </w:tabs>
      <w:spacing w:before="0"/>
      <w:outlineLvl w:val="1"/>
    </w:pPr>
  </w:style>
  <w:style w:type="paragraph" w:styleId="Naslov3">
    <w:name w:val="heading 3"/>
    <w:basedOn w:val="ZPtekst"/>
    <w:link w:val="Naslov3Znak"/>
    <w:uiPriority w:val="9"/>
    <w:qFormat/>
    <w:rsid w:val="00781AE3"/>
    <w:pPr>
      <w:numPr>
        <w:ilvl w:val="2"/>
        <w:numId w:val="149"/>
      </w:numPr>
      <w:outlineLvl w:val="2"/>
    </w:pPr>
    <w:rPr>
      <w:i/>
      <w:szCs w:val="22"/>
    </w:rPr>
  </w:style>
  <w:style w:type="paragraph" w:styleId="Naslov4">
    <w:name w:val="heading 4"/>
    <w:basedOn w:val="Navaden"/>
    <w:link w:val="Naslov4Znak"/>
    <w:uiPriority w:val="10"/>
    <w:qFormat/>
    <w:rsid w:val="004F7F56"/>
    <w:pPr>
      <w:keepNext/>
      <w:numPr>
        <w:ilvl w:val="3"/>
        <w:numId w:val="149"/>
      </w:numPr>
      <w:tabs>
        <w:tab w:val="left" w:pos="0"/>
        <w:tab w:val="left" w:pos="480"/>
        <w:tab w:val="left" w:pos="906"/>
      </w:tabs>
      <w:outlineLvl w:val="3"/>
    </w:pPr>
    <w:rPr>
      <w:rFonts w:ascii="Times New Roman" w:hAnsi="Times New Roman"/>
      <w:sz w:val="24"/>
    </w:rPr>
  </w:style>
  <w:style w:type="paragraph" w:styleId="Naslov5">
    <w:name w:val="heading 5"/>
    <w:basedOn w:val="Navaden"/>
    <w:next w:val="Navaden"/>
    <w:link w:val="Naslov5Znak"/>
    <w:uiPriority w:val="11"/>
    <w:unhideWhenUsed/>
    <w:qFormat/>
    <w:rsid w:val="00B22C70"/>
    <w:pPr>
      <w:keepNext/>
      <w:keepLines/>
      <w:numPr>
        <w:ilvl w:val="4"/>
        <w:numId w:val="149"/>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210031"/>
    <w:pPr>
      <w:keepNext/>
      <w:keepLines/>
      <w:numPr>
        <w:ilvl w:val="5"/>
        <w:numId w:val="149"/>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rsid w:val="00210031"/>
    <w:pPr>
      <w:keepNext/>
      <w:keepLines/>
      <w:numPr>
        <w:ilvl w:val="6"/>
        <w:numId w:val="149"/>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nhideWhenUsed/>
    <w:qFormat/>
    <w:rsid w:val="00210031"/>
    <w:pPr>
      <w:keepNext/>
      <w:keepLines/>
      <w:numPr>
        <w:ilvl w:val="7"/>
        <w:numId w:val="14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210031"/>
    <w:pPr>
      <w:keepNext/>
      <w:keepLines/>
      <w:numPr>
        <w:ilvl w:val="8"/>
        <w:numId w:val="1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03EB8"/>
    <w:rPr>
      <w:rFonts w:ascii="Arial" w:eastAsia="Calibri" w:hAnsi="Arial" w:cs="Arial"/>
      <w:b/>
      <w:sz w:val="24"/>
      <w:szCs w:val="20"/>
    </w:rPr>
  </w:style>
  <w:style w:type="character" w:customStyle="1" w:styleId="Naslov2Znak">
    <w:name w:val="Naslov 2 Znak"/>
    <w:basedOn w:val="Privzetapisavaodstavka"/>
    <w:link w:val="Naslov2"/>
    <w:uiPriority w:val="9"/>
    <w:rsid w:val="00210031"/>
    <w:rPr>
      <w:rFonts w:ascii="Arial" w:eastAsia="Calibri" w:hAnsi="Arial" w:cs="Arial"/>
      <w:b/>
      <w:sz w:val="24"/>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
    <w:uiPriority w:val="9"/>
    <w:rsid w:val="00781AE3"/>
    <w:rPr>
      <w:rFonts w:ascii="Arial" w:eastAsia="Times New Roman" w:hAnsi="Arial" w:cs="Arial"/>
      <w:i/>
      <w:lang w:eastAsia="en-GB"/>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qFormat/>
    <w:rsid w:val="00BF3692"/>
    <w:pPr>
      <w:spacing w:before="80" w:after="80"/>
    </w:pPr>
    <w:rPr>
      <w:noProof/>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uiPriority w:val="35"/>
    <w:qFormat/>
    <w:rsid w:val="00747E17"/>
    <w:pPr>
      <w:jc w:val="center"/>
    </w:pPr>
    <w:rPr>
      <w:sz w:val="20"/>
      <w:szCs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Char "/>
    <w:basedOn w:val="Navaden"/>
    <w:link w:val="Sprotnaopomba-besediloZnak"/>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Char  Znak"/>
    <w:basedOn w:val="Privzetapisavaodstavka"/>
    <w:link w:val="Sprotnaopomba-besedilo"/>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aliases w:val="naslov velik JOŽI"/>
    <w:basedOn w:val="Navaden"/>
    <w:link w:val="NaslovZnak"/>
    <w:uiPriority w:val="10"/>
    <w:qFormat/>
    <w:rsid w:val="00342449"/>
    <w:pPr>
      <w:jc w:val="center"/>
    </w:pPr>
    <w:rPr>
      <w:rFonts w:eastAsia="Arial"/>
      <w:b/>
      <w:sz w:val="32"/>
      <w:szCs w:val="32"/>
    </w:rPr>
  </w:style>
  <w:style w:type="character" w:customStyle="1" w:styleId="NaslovZnak">
    <w:name w:val="Naslov Znak"/>
    <w:aliases w:val="naslov velik JOŽI Znak"/>
    <w:basedOn w:val="Privzetapisavaodstavka"/>
    <w:link w:val="Naslov"/>
    <w:uiPriority w:val="10"/>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tabs>
        <w:tab w:val="clear" w:pos="0"/>
      </w:tabs>
      <w:spacing w:before="480" w:line="276" w:lineRule="auto"/>
      <w:jc w:val="left"/>
      <w:outlineLvl w:val="9"/>
    </w:pPr>
    <w:rPr>
      <w:rFonts w:asciiTheme="majorHAnsi" w:eastAsiaTheme="majorEastAsia" w:hAnsiTheme="majorHAnsi" w:cstheme="majorBidi"/>
      <w:bCs/>
      <w:smallCaps/>
      <w:color w:val="365F91" w:themeColor="accent1" w:themeShade="BF"/>
      <w:sz w:val="28"/>
      <w:szCs w:val="28"/>
      <w:lang w:eastAsia="sl-SI"/>
    </w:rPr>
  </w:style>
  <w:style w:type="paragraph" w:styleId="Kazalovsebine1">
    <w:name w:val="toc 1"/>
    <w:basedOn w:val="Navaden"/>
    <w:next w:val="Navaden"/>
    <w:autoRedefine/>
    <w:uiPriority w:val="39"/>
    <w:unhideWhenUsed/>
    <w:rsid w:val="00C92429"/>
    <w:pPr>
      <w:tabs>
        <w:tab w:val="left" w:pos="440"/>
        <w:tab w:val="right" w:leader="dot" w:pos="9062"/>
      </w:tabs>
      <w:spacing w:after="100"/>
    </w:pPr>
    <w:rPr>
      <w:rFonts w:eastAsia="Calibri"/>
      <w:noProof/>
      <w:lang w:eastAsia="en-US"/>
    </w:rPr>
  </w:style>
  <w:style w:type="paragraph" w:styleId="Kazalovsebine2">
    <w:name w:val="toc 2"/>
    <w:basedOn w:val="Navaden"/>
    <w:next w:val="Navaden"/>
    <w:autoRedefine/>
    <w:uiPriority w:val="39"/>
    <w:unhideWhenUsed/>
    <w:rsid w:val="00081CD6"/>
    <w:pPr>
      <w:tabs>
        <w:tab w:val="left" w:pos="880"/>
        <w:tab w:val="right" w:leader="dot" w:pos="9072"/>
      </w:tabs>
      <w:spacing w:after="100"/>
      <w:ind w:left="851" w:right="283" w:hanging="611"/>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0">
    <w:name w:val="TAbela"/>
    <w:basedOn w:val="Navaden"/>
    <w:uiPriority w:val="1"/>
    <w:qFormat/>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vaden"/>
    <w:next w:val="Navaden"/>
    <w:link w:val="SCSlikaZnak"/>
    <w:uiPriority w:val="1"/>
    <w:qFormat/>
    <w:rsid w:val="00871B06"/>
    <w:pPr>
      <w:keepNext/>
      <w:spacing w:before="80" w:after="80"/>
    </w:pPr>
  </w:style>
  <w:style w:type="paragraph" w:customStyle="1" w:styleId="SCPreglednica">
    <w:name w:val="SC_Preglednica"/>
    <w:basedOn w:val="Navaden"/>
    <w:next w:val="Navaden"/>
    <w:link w:val="SCPreglednicaZnak"/>
    <w:uiPriority w:val="1"/>
    <w:qFormat/>
    <w:rsid w:val="00304C05"/>
    <w:pPr>
      <w:keepNext/>
    </w:pPr>
  </w:style>
  <w:style w:type="character" w:customStyle="1" w:styleId="NapisZnak">
    <w:name w:val="Napis Znak"/>
    <w:basedOn w:val="Privzetapisavaodstavka"/>
    <w:link w:val="Napis"/>
    <w:rsid w:val="00747E17"/>
    <w:rPr>
      <w:rFonts w:ascii="Arial" w:eastAsia="Times New Roman" w:hAnsi="Arial" w:cs="Arial"/>
      <w:sz w:val="20"/>
      <w:szCs w:val="20"/>
      <w:lang w:eastAsia="en-GB"/>
    </w:rPr>
  </w:style>
  <w:style w:type="character" w:customStyle="1" w:styleId="SCSlikaZnak">
    <w:name w:val="SC_Slika Znak"/>
    <w:basedOn w:val="NapisZnak"/>
    <w:link w:val="SCSlika0"/>
    <w:uiPriority w:val="1"/>
    <w:rsid w:val="00871B06"/>
    <w:rPr>
      <w:rFonts w:ascii="Arial" w:eastAsia="Times New Roman" w:hAnsi="Arial" w:cs="Arial"/>
      <w:sz w:val="20"/>
      <w:szCs w:val="24"/>
      <w:lang w:eastAsia="en-GB"/>
    </w:rPr>
  </w:style>
  <w:style w:type="character" w:customStyle="1" w:styleId="SCPreglednicaZnak">
    <w:name w:val="SC_Preglednica Znak"/>
    <w:basedOn w:val="NapisZnak"/>
    <w:link w:val="SCPreglednica"/>
    <w:uiPriority w:val="1"/>
    <w:rsid w:val="00304C05"/>
    <w:rPr>
      <w:rFonts w:ascii="Arial" w:eastAsia="Times New Roman" w:hAnsi="Arial" w:cs="Arial"/>
      <w:sz w:val="20"/>
      <w:szCs w:val="24"/>
      <w:lang w:eastAsia="en-GB"/>
    </w:rPr>
  </w:style>
  <w:style w:type="paragraph" w:customStyle="1" w:styleId="ZPslika">
    <w:name w:val="ZP_slika"/>
    <w:basedOn w:val="Navaden"/>
    <w:qFormat/>
    <w:rsid w:val="00F91E5A"/>
    <w:pPr>
      <w:spacing w:before="80" w:after="80" w:line="240" w:lineRule="auto"/>
      <w:jc w:val="center"/>
    </w:pPr>
    <w:rPr>
      <w:noProof/>
      <w:sz w:val="16"/>
      <w:szCs w:val="22"/>
      <w:lang w:eastAsia="sl-SI"/>
    </w:rPr>
  </w:style>
  <w:style w:type="paragraph" w:customStyle="1" w:styleId="Preglednica">
    <w:name w:val="Preglednica"/>
    <w:basedOn w:val="Navaden"/>
    <w:link w:val="PreglednicaZnak"/>
    <w:qFormat/>
    <w:rsid w:val="00F91E5A"/>
    <w:pPr>
      <w:keepNext/>
      <w:keepLines/>
      <w:tabs>
        <w:tab w:val="left" w:pos="180"/>
      </w:tabs>
      <w:spacing w:before="0" w:after="120" w:line="240" w:lineRule="auto"/>
    </w:pPr>
    <w:rPr>
      <w:bCs/>
      <w:i/>
      <w:color w:val="000000"/>
      <w:sz w:val="20"/>
      <w:szCs w:val="20"/>
      <w:lang w:eastAsia="en-US"/>
    </w:rPr>
  </w:style>
  <w:style w:type="character" w:customStyle="1" w:styleId="PreglednicaZnak">
    <w:name w:val="Preglednica Znak"/>
    <w:basedOn w:val="Privzetapisavaodstavka"/>
    <w:link w:val="Preglednica"/>
    <w:rsid w:val="00F91E5A"/>
    <w:rPr>
      <w:rFonts w:ascii="Arial" w:eastAsia="Times New Roman" w:hAnsi="Arial" w:cs="Arial"/>
      <w:bCs/>
      <w:i/>
      <w:color w:val="000000"/>
      <w:sz w:val="20"/>
      <w:szCs w:val="20"/>
    </w:rPr>
  </w:style>
  <w:style w:type="paragraph" w:customStyle="1" w:styleId="sporocilo1">
    <w:name w:val="sporocilo1"/>
    <w:basedOn w:val="Navaden"/>
    <w:rsid w:val="007F5A4F"/>
    <w:pPr>
      <w:spacing w:before="100" w:beforeAutospacing="1" w:after="100" w:afterAutospacing="1" w:line="240" w:lineRule="auto"/>
      <w:jc w:val="left"/>
    </w:pPr>
    <w:rPr>
      <w:rFonts w:ascii="Times New Roman" w:hAnsi="Times New Roman" w:cs="Times New Roman"/>
      <w:b/>
      <w:bCs/>
      <w:sz w:val="24"/>
      <w:lang w:val="en-GB"/>
    </w:rPr>
  </w:style>
  <w:style w:type="paragraph" w:customStyle="1" w:styleId="opis1">
    <w:name w:val="opis1"/>
    <w:basedOn w:val="Navaden"/>
    <w:rsid w:val="007F5A4F"/>
    <w:pPr>
      <w:spacing w:before="100" w:beforeAutospacing="1" w:after="100" w:afterAutospacing="1" w:line="240" w:lineRule="auto"/>
      <w:jc w:val="left"/>
    </w:pPr>
    <w:rPr>
      <w:rFonts w:ascii="Times New Roman" w:hAnsi="Times New Roman" w:cs="Times New Roman"/>
      <w:i/>
      <w:iCs/>
      <w:sz w:val="24"/>
      <w:lang w:val="en-GB"/>
    </w:rPr>
  </w:style>
  <w:style w:type="character" w:styleId="SledenaHiperpovezava">
    <w:name w:val="FollowedHyperlink"/>
    <w:basedOn w:val="Privzetapisavaodstavka"/>
    <w:uiPriority w:val="99"/>
    <w:unhideWhenUsed/>
    <w:rsid w:val="00037B95"/>
    <w:rPr>
      <w:color w:val="800080" w:themeColor="followedHyperlink"/>
      <w:u w:val="single"/>
    </w:rPr>
  </w:style>
  <w:style w:type="paragraph" w:styleId="Kazaloslik">
    <w:name w:val="table of figures"/>
    <w:basedOn w:val="Navaden"/>
    <w:next w:val="Navaden"/>
    <w:uiPriority w:val="99"/>
    <w:unhideWhenUsed/>
    <w:rsid w:val="00A45F69"/>
  </w:style>
  <w:style w:type="character" w:customStyle="1" w:styleId="Naslov5Znak">
    <w:name w:val="Naslov 5 Znak"/>
    <w:basedOn w:val="Privzetapisavaodstavka"/>
    <w:link w:val="Naslov5"/>
    <w:uiPriority w:val="11"/>
    <w:rsid w:val="00B22C70"/>
    <w:rPr>
      <w:rFonts w:asciiTheme="majorHAnsi" w:eastAsiaTheme="majorEastAsia" w:hAnsiTheme="majorHAnsi" w:cstheme="majorBidi"/>
      <w:color w:val="243F60" w:themeColor="accent1" w:themeShade="7F"/>
      <w:szCs w:val="24"/>
      <w:lang w:eastAsia="en-GB"/>
    </w:rPr>
  </w:style>
  <w:style w:type="character" w:customStyle="1" w:styleId="largetext">
    <w:name w:val="largetext"/>
    <w:rsid w:val="00261153"/>
  </w:style>
  <w:style w:type="character" w:styleId="Intenzivenpoudarek">
    <w:name w:val="Intense Emphasis"/>
    <w:basedOn w:val="Privzetapisavaodstavka"/>
    <w:uiPriority w:val="21"/>
    <w:qFormat/>
    <w:rsid w:val="00261153"/>
    <w:rPr>
      <w:rFonts w:cs="Times New Roman"/>
      <w:b/>
      <w:bCs/>
      <w:i/>
      <w:iCs/>
      <w:color w:val="4F81BD"/>
    </w:rPr>
  </w:style>
  <w:style w:type="paragraph" w:customStyle="1" w:styleId="odstavek">
    <w:name w:val="odstavek"/>
    <w:basedOn w:val="Navaden"/>
    <w:rsid w:val="00261153"/>
    <w:pPr>
      <w:spacing w:before="100" w:beforeAutospacing="1" w:after="100" w:afterAutospacing="1" w:line="240" w:lineRule="auto"/>
      <w:jc w:val="left"/>
    </w:pPr>
    <w:rPr>
      <w:rFonts w:ascii="Times New Roman" w:hAnsi="Times New Roman" w:cs="Times New Roman"/>
      <w:sz w:val="24"/>
      <w:lang w:eastAsia="sl-SI"/>
    </w:rPr>
  </w:style>
  <w:style w:type="table" w:customStyle="1" w:styleId="TableGrid1">
    <w:name w:val="Table Grid1"/>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D1B4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A16">
    <w:name w:val="A16"/>
    <w:uiPriority w:val="99"/>
    <w:rsid w:val="00CD0826"/>
    <w:rPr>
      <w:rFonts w:cs="HelveticaNeueLT Pro 55 Roman"/>
      <w:color w:val="000000"/>
      <w:sz w:val="22"/>
      <w:szCs w:val="22"/>
    </w:rPr>
  </w:style>
  <w:style w:type="character" w:customStyle="1" w:styleId="leaf">
    <w:name w:val="leaf"/>
    <w:basedOn w:val="Privzetapisavaodstavka"/>
    <w:rsid w:val="00CF792B"/>
  </w:style>
  <w:style w:type="character" w:customStyle="1" w:styleId="a">
    <w:name w:val="_"/>
    <w:basedOn w:val="Privzetapisavaodstavka"/>
    <w:rsid w:val="0015568F"/>
  </w:style>
  <w:style w:type="character" w:customStyle="1" w:styleId="ff6">
    <w:name w:val="ff6"/>
    <w:basedOn w:val="Privzetapisavaodstavka"/>
    <w:rsid w:val="0015568F"/>
  </w:style>
  <w:style w:type="numbering" w:customStyle="1" w:styleId="Slog1">
    <w:name w:val="Slog1"/>
    <w:uiPriority w:val="99"/>
    <w:rsid w:val="00141712"/>
    <w:pPr>
      <w:numPr>
        <w:numId w:val="121"/>
      </w:numPr>
    </w:pPr>
  </w:style>
  <w:style w:type="numbering" w:customStyle="1" w:styleId="Slog2">
    <w:name w:val="Slog2"/>
    <w:uiPriority w:val="99"/>
    <w:rsid w:val="00141712"/>
    <w:pPr>
      <w:numPr>
        <w:numId w:val="123"/>
      </w:numPr>
    </w:pPr>
  </w:style>
  <w:style w:type="numbering" w:customStyle="1" w:styleId="CILJ2">
    <w:name w:val="CILJ 2"/>
    <w:uiPriority w:val="99"/>
    <w:rsid w:val="00141712"/>
    <w:pPr>
      <w:numPr>
        <w:numId w:val="126"/>
      </w:numPr>
    </w:pPr>
  </w:style>
  <w:style w:type="numbering" w:customStyle="1" w:styleId="CILJ2NOV">
    <w:name w:val="CILJ 2_NOV"/>
    <w:uiPriority w:val="99"/>
    <w:rsid w:val="00141712"/>
    <w:pPr>
      <w:numPr>
        <w:numId w:val="127"/>
      </w:numPr>
    </w:pPr>
  </w:style>
  <w:style w:type="paragraph" w:styleId="Telobesedila">
    <w:name w:val="Body Text"/>
    <w:basedOn w:val="Navaden"/>
    <w:link w:val="TelobesedilaZnak"/>
    <w:rsid w:val="004732CD"/>
    <w:pPr>
      <w:spacing w:before="0" w:line="240" w:lineRule="auto"/>
    </w:pPr>
    <w:rPr>
      <w:rFonts w:ascii="Times New Roman" w:hAnsi="Times New Roman" w:cs="Times New Roman"/>
      <w:sz w:val="24"/>
      <w:szCs w:val="20"/>
      <w:lang w:eastAsia="sl-SI"/>
    </w:rPr>
  </w:style>
  <w:style w:type="character" w:customStyle="1" w:styleId="TelobesedilaZnak">
    <w:name w:val="Telo besedila Znak"/>
    <w:basedOn w:val="Privzetapisavaodstavka"/>
    <w:link w:val="Telobesedila"/>
    <w:rsid w:val="004732CD"/>
    <w:rPr>
      <w:rFonts w:ascii="Times New Roman" w:eastAsia="Times New Roman" w:hAnsi="Times New Roman" w:cs="Times New Roman"/>
      <w:sz w:val="24"/>
      <w:szCs w:val="20"/>
      <w:lang w:eastAsia="sl-SI"/>
    </w:rPr>
  </w:style>
  <w:style w:type="table" w:styleId="Svetelseznampoudarek3">
    <w:name w:val="Light List Accent 3"/>
    <w:basedOn w:val="Navadnatabela"/>
    <w:uiPriority w:val="61"/>
    <w:rsid w:val="001A485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ulet1">
    <w:name w:val="Bulet 1"/>
    <w:link w:val="Bulet1Znak"/>
    <w:uiPriority w:val="99"/>
    <w:rsid w:val="0051019D"/>
    <w:pPr>
      <w:tabs>
        <w:tab w:val="left" w:pos="284"/>
      </w:tabs>
      <w:spacing w:before="120" w:after="0" w:line="240" w:lineRule="exact"/>
      <w:ind w:left="284" w:hanging="284"/>
      <w:jc w:val="both"/>
    </w:pPr>
    <w:rPr>
      <w:rFonts w:ascii="Calibri" w:eastAsia="Times New Roman" w:hAnsi="Calibri" w:cs="Calibri"/>
      <w:noProof/>
      <w:color w:val="000000"/>
      <w:lang w:eastAsia="sl-SI"/>
    </w:rPr>
  </w:style>
  <w:style w:type="character" w:customStyle="1" w:styleId="Bulet1Znak">
    <w:name w:val="Bulet 1 Znak"/>
    <w:link w:val="Bulet1"/>
    <w:uiPriority w:val="99"/>
    <w:rsid w:val="0051019D"/>
    <w:rPr>
      <w:rFonts w:ascii="Calibri" w:eastAsia="Times New Roman" w:hAnsi="Calibri" w:cs="Calibri"/>
      <w:noProof/>
      <w:color w:val="000000"/>
      <w:lang w:eastAsia="sl-SI"/>
    </w:rPr>
  </w:style>
  <w:style w:type="paragraph" w:customStyle="1" w:styleId="Bulet2">
    <w:name w:val="Bulet 2"/>
    <w:basedOn w:val="Bulet1"/>
    <w:uiPriority w:val="99"/>
    <w:rsid w:val="0051019D"/>
    <w:pPr>
      <w:tabs>
        <w:tab w:val="clear" w:pos="284"/>
        <w:tab w:val="left" w:pos="426"/>
      </w:tabs>
      <w:spacing w:before="60"/>
      <w:ind w:left="426" w:hanging="142"/>
    </w:pPr>
  </w:style>
  <w:style w:type="table" w:customStyle="1" w:styleId="Tabelamrea2">
    <w:name w:val="Tabela – mreža2"/>
    <w:basedOn w:val="Navadnatabela"/>
    <w:next w:val="Tabelamrea"/>
    <w:uiPriority w:val="39"/>
    <w:rsid w:val="0052315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
    <w:name w:val="Vir"/>
    <w:basedOn w:val="Navaden"/>
    <w:autoRedefine/>
    <w:qFormat/>
    <w:rsid w:val="00FC7B0F"/>
    <w:pPr>
      <w:spacing w:before="80" w:after="80" w:line="240" w:lineRule="auto"/>
    </w:pPr>
    <w:rPr>
      <w:rFonts w:eastAsiaTheme="minorHAnsi" w:cstheme="minorBidi"/>
      <w:color w:val="000000" w:themeColor="text1"/>
      <w:sz w:val="16"/>
      <w:szCs w:val="16"/>
      <w:lang w:eastAsia="en-US"/>
    </w:rPr>
  </w:style>
  <w:style w:type="paragraph" w:customStyle="1" w:styleId="Slike">
    <w:name w:val="Slike"/>
    <w:basedOn w:val="Navaden"/>
    <w:next w:val="Navaden"/>
    <w:qFormat/>
    <w:rsid w:val="00FC7B0F"/>
    <w:pPr>
      <w:pBdr>
        <w:top w:val="single" w:sz="4" w:space="1" w:color="auto"/>
        <w:left w:val="single" w:sz="4" w:space="4" w:color="auto"/>
        <w:bottom w:val="single" w:sz="4" w:space="1" w:color="auto"/>
        <w:right w:val="single" w:sz="4" w:space="4" w:color="auto"/>
      </w:pBdr>
      <w:spacing w:before="0" w:line="240" w:lineRule="auto"/>
      <w:jc w:val="center"/>
    </w:pPr>
    <w:rPr>
      <w:rFonts w:eastAsiaTheme="minorHAnsi" w:cstheme="minorBidi"/>
      <w:noProof/>
      <w:color w:val="000000" w:themeColor="text1"/>
      <w:sz w:val="20"/>
      <w:szCs w:val="22"/>
      <w:lang w:eastAsia="sl-SI"/>
    </w:rPr>
  </w:style>
  <w:style w:type="character" w:customStyle="1" w:styleId="A7">
    <w:name w:val="A7"/>
    <w:uiPriority w:val="99"/>
    <w:rsid w:val="005B0214"/>
    <w:rPr>
      <w:rFonts w:cs="Minion Pro"/>
      <w:color w:val="000000"/>
      <w:sz w:val="23"/>
      <w:szCs w:val="23"/>
    </w:rPr>
  </w:style>
  <w:style w:type="character" w:customStyle="1" w:styleId="rightside">
    <w:name w:val="right_side"/>
    <w:basedOn w:val="Privzetapisavaodstavka"/>
    <w:rsid w:val="000B0122"/>
  </w:style>
  <w:style w:type="numbering" w:customStyle="1" w:styleId="CILJ2NOV1">
    <w:name w:val="CILJ 2_NOV1"/>
    <w:uiPriority w:val="99"/>
    <w:rsid w:val="003C45CB"/>
  </w:style>
  <w:style w:type="character" w:customStyle="1" w:styleId="highlight">
    <w:name w:val="highlight"/>
    <w:basedOn w:val="Privzetapisavaodstavka"/>
    <w:rsid w:val="0036007A"/>
  </w:style>
  <w:style w:type="paragraph" w:customStyle="1" w:styleId="Odstavek1">
    <w:name w:val="Odstavek1"/>
    <w:basedOn w:val="Navaden"/>
    <w:link w:val="Odstavek1Znak"/>
    <w:uiPriority w:val="1"/>
    <w:qFormat/>
    <w:rsid w:val="00DD5672"/>
    <w:pPr>
      <w:spacing w:before="0" w:line="276" w:lineRule="auto"/>
    </w:pPr>
    <w:rPr>
      <w:szCs w:val="20"/>
    </w:rPr>
  </w:style>
  <w:style w:type="character" w:customStyle="1" w:styleId="Odstavek1Znak">
    <w:name w:val="Odstavek1 Znak"/>
    <w:basedOn w:val="Privzetapisavaodstavka"/>
    <w:link w:val="Odstavek1"/>
    <w:uiPriority w:val="1"/>
    <w:rsid w:val="00DD5672"/>
    <w:rPr>
      <w:rFonts w:ascii="Arial" w:eastAsia="Times New Roman" w:hAnsi="Arial" w:cs="Arial"/>
      <w:szCs w:val="20"/>
      <w:lang w:eastAsia="en-GB"/>
    </w:rPr>
  </w:style>
  <w:style w:type="character" w:customStyle="1" w:styleId="Naslov6Znak">
    <w:name w:val="Naslov 6 Znak"/>
    <w:basedOn w:val="Privzetapisavaodstavka"/>
    <w:link w:val="Naslov6"/>
    <w:rsid w:val="00210031"/>
    <w:rPr>
      <w:rFonts w:asciiTheme="majorHAnsi" w:eastAsiaTheme="majorEastAsia" w:hAnsiTheme="majorHAnsi" w:cstheme="majorBidi"/>
      <w:color w:val="243F60" w:themeColor="accent1" w:themeShade="7F"/>
      <w:szCs w:val="24"/>
      <w:lang w:eastAsia="en-GB"/>
    </w:rPr>
  </w:style>
  <w:style w:type="character" w:customStyle="1" w:styleId="Naslov7Znak">
    <w:name w:val="Naslov 7 Znak"/>
    <w:basedOn w:val="Privzetapisavaodstavka"/>
    <w:link w:val="Naslov7"/>
    <w:rsid w:val="00210031"/>
    <w:rPr>
      <w:rFonts w:asciiTheme="majorHAnsi" w:eastAsiaTheme="majorEastAsia" w:hAnsiTheme="majorHAnsi" w:cstheme="majorBidi"/>
      <w:i/>
      <w:iCs/>
      <w:color w:val="243F60" w:themeColor="accent1" w:themeShade="7F"/>
      <w:szCs w:val="24"/>
      <w:lang w:eastAsia="en-GB"/>
    </w:rPr>
  </w:style>
  <w:style w:type="character" w:customStyle="1" w:styleId="Naslov8Znak">
    <w:name w:val="Naslov 8 Znak"/>
    <w:basedOn w:val="Privzetapisavaodstavka"/>
    <w:link w:val="Naslov8"/>
    <w:rsid w:val="00210031"/>
    <w:rPr>
      <w:rFonts w:asciiTheme="majorHAnsi" w:eastAsiaTheme="majorEastAsia" w:hAnsiTheme="majorHAnsi" w:cstheme="majorBidi"/>
      <w:color w:val="272727" w:themeColor="text1" w:themeTint="D8"/>
      <w:sz w:val="21"/>
      <w:szCs w:val="21"/>
      <w:lang w:eastAsia="en-GB"/>
    </w:rPr>
  </w:style>
  <w:style w:type="character" w:customStyle="1" w:styleId="Naslov9Znak">
    <w:name w:val="Naslov 9 Znak"/>
    <w:basedOn w:val="Privzetapisavaodstavka"/>
    <w:link w:val="Naslov9"/>
    <w:rsid w:val="00210031"/>
    <w:rPr>
      <w:rFonts w:asciiTheme="majorHAnsi" w:eastAsiaTheme="majorEastAsia" w:hAnsiTheme="majorHAnsi" w:cstheme="majorBidi"/>
      <w:i/>
      <w:iCs/>
      <w:color w:val="272727" w:themeColor="text1" w:themeTint="D8"/>
      <w:sz w:val="21"/>
      <w:szCs w:val="21"/>
      <w:lang w:eastAsia="en-GB"/>
    </w:rPr>
  </w:style>
  <w:style w:type="paragraph" w:customStyle="1" w:styleId="SCPreglednica0">
    <w:name w:val="SC Preglednica"/>
    <w:basedOn w:val="Navaden"/>
    <w:next w:val="Navaden"/>
    <w:link w:val="SCPreglednicaZnak0"/>
    <w:qFormat/>
    <w:rsid w:val="00871B06"/>
    <w:pPr>
      <w:keepNext/>
      <w:spacing w:before="240" w:after="120" w:line="276" w:lineRule="auto"/>
    </w:pPr>
    <w:rPr>
      <w:rFonts w:eastAsiaTheme="minorHAnsi" w:cstheme="minorBidi"/>
      <w:szCs w:val="22"/>
      <w:lang w:eastAsia="en-US"/>
    </w:rPr>
  </w:style>
  <w:style w:type="character" w:customStyle="1" w:styleId="SCPreglednicaZnak0">
    <w:name w:val="SC Preglednica Znak"/>
    <w:basedOn w:val="Privzetapisavaodstavka"/>
    <w:link w:val="SCPreglednica0"/>
    <w:rsid w:val="00871B06"/>
    <w:rPr>
      <w:rFonts w:ascii="Arial" w:hAnsi="Arial"/>
    </w:rPr>
  </w:style>
  <w:style w:type="character" w:customStyle="1" w:styleId="st">
    <w:name w:val="st"/>
    <w:rsid w:val="00CB7BCC"/>
  </w:style>
  <w:style w:type="numbering" w:customStyle="1" w:styleId="Brezseznama1">
    <w:name w:val="Brez seznama1"/>
    <w:next w:val="Brezseznama"/>
    <w:uiPriority w:val="99"/>
    <w:semiHidden/>
    <w:unhideWhenUsed/>
    <w:rsid w:val="00CB7BCC"/>
  </w:style>
  <w:style w:type="paragraph" w:customStyle="1" w:styleId="SCSLIKA1">
    <w:name w:val="SC_SLIKA"/>
    <w:basedOn w:val="Napis"/>
    <w:link w:val="SCSLIKAZnak0"/>
    <w:uiPriority w:val="1"/>
    <w:qFormat/>
    <w:rsid w:val="00CB7BCC"/>
    <w:pPr>
      <w:keepNext/>
      <w:jc w:val="left"/>
    </w:pPr>
    <w:rPr>
      <w:b/>
      <w:sz w:val="16"/>
      <w:szCs w:val="16"/>
    </w:rPr>
  </w:style>
  <w:style w:type="paragraph" w:customStyle="1" w:styleId="SCPREGLEDNICA1">
    <w:name w:val="SC_PREGLEDNICA"/>
    <w:basedOn w:val="Napis"/>
    <w:link w:val="SCPREGLEDNICAZnak1"/>
    <w:uiPriority w:val="1"/>
    <w:qFormat/>
    <w:rsid w:val="00CB7BCC"/>
    <w:pPr>
      <w:keepNext/>
      <w:jc w:val="left"/>
    </w:pPr>
    <w:rPr>
      <w:b/>
      <w:sz w:val="16"/>
      <w:szCs w:val="16"/>
    </w:rPr>
  </w:style>
  <w:style w:type="character" w:customStyle="1" w:styleId="SCSLIKAZnak0">
    <w:name w:val="SC_SLIKA Znak"/>
    <w:basedOn w:val="NapisZnak"/>
    <w:link w:val="SCSLIKA1"/>
    <w:uiPriority w:val="1"/>
    <w:rsid w:val="00CB7BCC"/>
    <w:rPr>
      <w:rFonts w:ascii="Arial" w:eastAsia="Times New Roman" w:hAnsi="Arial" w:cs="Arial"/>
      <w:b/>
      <w:sz w:val="16"/>
      <w:szCs w:val="16"/>
      <w:lang w:eastAsia="en-GB"/>
    </w:rPr>
  </w:style>
  <w:style w:type="character" w:customStyle="1" w:styleId="SCPREGLEDNICAZnak1">
    <w:name w:val="SC_PREGLEDNICA Znak"/>
    <w:basedOn w:val="NapisZnak"/>
    <w:link w:val="SCPREGLEDNICA1"/>
    <w:uiPriority w:val="1"/>
    <w:rsid w:val="00CB7BCC"/>
    <w:rPr>
      <w:rFonts w:ascii="Arial" w:eastAsia="Times New Roman" w:hAnsi="Arial" w:cs="Arial"/>
      <w:b/>
      <w:sz w:val="16"/>
      <w:szCs w:val="16"/>
      <w:lang w:eastAsia="en-GB"/>
    </w:rPr>
  </w:style>
  <w:style w:type="paragraph" w:customStyle="1" w:styleId="TableContents">
    <w:name w:val="Table Contents"/>
    <w:basedOn w:val="Navaden"/>
    <w:rsid w:val="00CB7BC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character" w:styleId="HTML-citat">
    <w:name w:val="HTML Cite"/>
    <w:basedOn w:val="Privzetapisavaodstavka"/>
    <w:uiPriority w:val="99"/>
    <w:semiHidden/>
    <w:unhideWhenUsed/>
    <w:rsid w:val="00CB7BCC"/>
    <w:rPr>
      <w:i w:val="0"/>
      <w:iCs w:val="0"/>
      <w:color w:val="006D21"/>
    </w:rPr>
  </w:style>
  <w:style w:type="paragraph" w:styleId="HTML-oblikovano">
    <w:name w:val="HTML Preformatted"/>
    <w:basedOn w:val="Navaden"/>
    <w:link w:val="HTML-oblikovanoZnak"/>
    <w:uiPriority w:val="99"/>
    <w:unhideWhenUsed/>
    <w:rsid w:val="00CB7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rsid w:val="00CB7BCC"/>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CB7BCC"/>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CB7BCC"/>
    <w:rPr>
      <w:rFonts w:ascii="Arial" w:hAnsi="Arial" w:cs="Arial"/>
      <w:color w:val="000000"/>
      <w:sz w:val="16"/>
      <w:szCs w:val="16"/>
    </w:rPr>
  </w:style>
  <w:style w:type="paragraph" w:customStyle="1" w:styleId="Style6">
    <w:name w:val="Style6"/>
    <w:basedOn w:val="Navaden"/>
    <w:uiPriority w:val="99"/>
    <w:rsid w:val="00CB7BCC"/>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CB7BCC"/>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CB7BCC"/>
    <w:rPr>
      <w:rFonts w:ascii="Arial" w:hAnsi="Arial" w:cs="Arial"/>
      <w:b/>
      <w:bCs/>
      <w:color w:val="000000"/>
      <w:sz w:val="16"/>
      <w:szCs w:val="16"/>
    </w:rPr>
  </w:style>
  <w:style w:type="paragraph" w:styleId="Blokbesedila">
    <w:name w:val="Block Text"/>
    <w:basedOn w:val="Navaden"/>
    <w:rsid w:val="00CB7BCC"/>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CB7BCC"/>
    <w:pPr>
      <w:autoSpaceDE w:val="0"/>
      <w:autoSpaceDN w:val="0"/>
      <w:adjustRightInd w:val="0"/>
      <w:spacing w:after="60" w:line="240" w:lineRule="auto"/>
      <w:ind w:left="454" w:hanging="454"/>
      <w:jc w:val="left"/>
    </w:pPr>
    <w:rPr>
      <w:rFonts w:cs="Times New Roman"/>
      <w:i/>
      <w:iCs/>
      <w:sz w:val="20"/>
      <w:szCs w:val="20"/>
      <w:lang w:eastAsia="sl-SI"/>
    </w:rPr>
  </w:style>
  <w:style w:type="paragraph" w:customStyle="1" w:styleId="Naslov31">
    <w:name w:val="Naslov 3."/>
    <w:basedOn w:val="Naslov4"/>
    <w:link w:val="Naslov3Znak0"/>
    <w:uiPriority w:val="1"/>
    <w:qFormat/>
    <w:rsid w:val="00CB7BCC"/>
    <w:pPr>
      <w:numPr>
        <w:ilvl w:val="0"/>
        <w:numId w:val="0"/>
      </w:numPr>
      <w:tabs>
        <w:tab w:val="clear" w:pos="906"/>
        <w:tab w:val="left" w:pos="360"/>
        <w:tab w:val="left" w:pos="851"/>
      </w:tabs>
      <w:ind w:left="1200" w:hanging="840"/>
    </w:pPr>
    <w:rPr>
      <w:rFonts w:ascii="Arial" w:hAnsi="Arial"/>
      <w:i/>
      <w:color w:val="92D050"/>
      <w:sz w:val="20"/>
      <w:szCs w:val="20"/>
    </w:rPr>
  </w:style>
  <w:style w:type="paragraph" w:customStyle="1" w:styleId="Naslov310">
    <w:name w:val="Naslov3.1"/>
    <w:basedOn w:val="Naslov31"/>
    <w:link w:val="Naslov31Znak"/>
    <w:uiPriority w:val="1"/>
    <w:qFormat/>
    <w:rsid w:val="00CB7BCC"/>
    <w:pPr>
      <w:ind w:left="851" w:hanging="851"/>
    </w:pPr>
    <w:rPr>
      <w:rFonts w:eastAsia="Calibri"/>
    </w:rPr>
  </w:style>
  <w:style w:type="character" w:customStyle="1" w:styleId="Naslov3Znak0">
    <w:name w:val="Naslov 3. Znak"/>
    <w:basedOn w:val="Naslov4Znak"/>
    <w:link w:val="Naslov31"/>
    <w:uiPriority w:val="1"/>
    <w:rsid w:val="00CB7BCC"/>
    <w:rPr>
      <w:rFonts w:ascii="Arial" w:eastAsia="Times New Roman" w:hAnsi="Arial" w:cs="Arial"/>
      <w:i/>
      <w:color w:val="92D050"/>
      <w:sz w:val="20"/>
      <w:szCs w:val="20"/>
      <w:lang w:eastAsia="en-GB"/>
    </w:rPr>
  </w:style>
  <w:style w:type="paragraph" w:customStyle="1" w:styleId="Naslov32">
    <w:name w:val="Naslov 3.2"/>
    <w:basedOn w:val="Naslov31"/>
    <w:link w:val="Naslov32Znak"/>
    <w:uiPriority w:val="1"/>
    <w:qFormat/>
    <w:rsid w:val="00CB7BCC"/>
    <w:pPr>
      <w:ind w:left="851" w:hanging="851"/>
    </w:pPr>
  </w:style>
  <w:style w:type="character" w:customStyle="1" w:styleId="Naslov31Znak">
    <w:name w:val="Naslov3.1 Znak"/>
    <w:basedOn w:val="Naslov3Znak0"/>
    <w:link w:val="Naslov310"/>
    <w:uiPriority w:val="1"/>
    <w:rsid w:val="00CB7BCC"/>
    <w:rPr>
      <w:rFonts w:ascii="Arial" w:eastAsia="Calibri" w:hAnsi="Arial" w:cs="Arial"/>
      <w:i/>
      <w:color w:val="92D050"/>
      <w:sz w:val="20"/>
      <w:szCs w:val="20"/>
      <w:lang w:eastAsia="en-GB"/>
    </w:rPr>
  </w:style>
  <w:style w:type="character" w:customStyle="1" w:styleId="Naslov32Znak">
    <w:name w:val="Naslov 3.2 Znak"/>
    <w:basedOn w:val="Naslov3Znak0"/>
    <w:link w:val="Naslov32"/>
    <w:uiPriority w:val="1"/>
    <w:rsid w:val="00CB7BCC"/>
    <w:rPr>
      <w:rFonts w:ascii="Arial" w:eastAsia="Times New Roman" w:hAnsi="Arial" w:cs="Arial"/>
      <w:i/>
      <w:color w:val="92D050"/>
      <w:sz w:val="20"/>
      <w:szCs w:val="20"/>
      <w:lang w:eastAsia="en-GB"/>
    </w:rPr>
  </w:style>
  <w:style w:type="paragraph" w:customStyle="1" w:styleId="NASLOV30">
    <w:name w:val="NASLOV3"/>
    <w:basedOn w:val="Odstavekseznama"/>
    <w:link w:val="NASLOV3Znak1"/>
    <w:uiPriority w:val="1"/>
    <w:qFormat/>
    <w:rsid w:val="00CB7BCC"/>
    <w:pPr>
      <w:keepNext/>
      <w:keepLines/>
      <w:numPr>
        <w:numId w:val="154"/>
      </w:numPr>
      <w:spacing w:before="0" w:line="240" w:lineRule="auto"/>
      <w:ind w:left="709" w:hanging="709"/>
    </w:pPr>
    <w:rPr>
      <w:rFonts w:ascii="Arial" w:hAnsi="Arial"/>
      <w:lang w:val="en-GB"/>
    </w:rPr>
  </w:style>
  <w:style w:type="paragraph" w:customStyle="1" w:styleId="Naslov33">
    <w:name w:val="Naslov3.3"/>
    <w:basedOn w:val="Naslov2"/>
    <w:link w:val="Naslov33Znak"/>
    <w:uiPriority w:val="1"/>
    <w:qFormat/>
    <w:rsid w:val="00CB7BCC"/>
    <w:pPr>
      <w:keepLines/>
      <w:numPr>
        <w:numId w:val="155"/>
      </w:numPr>
      <w:spacing w:after="120"/>
      <w:ind w:left="709" w:hanging="709"/>
    </w:pPr>
    <w:rPr>
      <w:rFonts w:eastAsia="Times New Roman"/>
      <w:b w:val="0"/>
      <w:color w:val="92D050"/>
    </w:rPr>
  </w:style>
  <w:style w:type="character" w:customStyle="1" w:styleId="NASLOV3Znak1">
    <w:name w:val="NASLOV3 Znak"/>
    <w:basedOn w:val="OdstavekseznamaZnak"/>
    <w:link w:val="NASLOV30"/>
    <w:uiPriority w:val="1"/>
    <w:rsid w:val="00CB7BCC"/>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CB7BCC"/>
  </w:style>
  <w:style w:type="character" w:customStyle="1" w:styleId="Naslov33Znak">
    <w:name w:val="Naslov3.3 Znak"/>
    <w:basedOn w:val="Naslov2Znak"/>
    <w:link w:val="Naslov33"/>
    <w:uiPriority w:val="1"/>
    <w:rsid w:val="00CB7BCC"/>
    <w:rPr>
      <w:rFonts w:ascii="Arial" w:eastAsia="Times New Roman" w:hAnsi="Arial" w:cs="Arial"/>
      <w:b w:val="0"/>
      <w:color w:val="92D050"/>
      <w:sz w:val="24"/>
      <w:szCs w:val="20"/>
    </w:rPr>
  </w:style>
  <w:style w:type="character" w:customStyle="1" w:styleId="Naslov33Znak0">
    <w:name w:val="Naslov 3.3 Znak"/>
    <w:basedOn w:val="Naslov33Znak"/>
    <w:link w:val="Naslov330"/>
    <w:uiPriority w:val="1"/>
    <w:rsid w:val="00CB7BCC"/>
    <w:rPr>
      <w:rFonts w:ascii="Arial" w:eastAsia="Times New Roman" w:hAnsi="Arial" w:cs="Arial"/>
      <w:b w:val="0"/>
      <w:color w:val="92D050"/>
      <w:sz w:val="24"/>
      <w:szCs w:val="20"/>
    </w:rPr>
  </w:style>
  <w:style w:type="paragraph" w:customStyle="1" w:styleId="SLIKA">
    <w:name w:val="SLIKA"/>
    <w:basedOn w:val="Navaden"/>
    <w:link w:val="SLIKAZnak"/>
    <w:rsid w:val="00CB7BCC"/>
    <w:pPr>
      <w:numPr>
        <w:numId w:val="153"/>
      </w:numPr>
      <w:spacing w:line="240" w:lineRule="auto"/>
      <w:ind w:left="426" w:hanging="284"/>
    </w:pPr>
    <w:rPr>
      <w:b/>
      <w:sz w:val="20"/>
      <w:szCs w:val="20"/>
    </w:rPr>
  </w:style>
  <w:style w:type="character" w:customStyle="1" w:styleId="SLIKAZnak">
    <w:name w:val="SLIKA Znak"/>
    <w:basedOn w:val="Privzetapisavaodstavka"/>
    <w:link w:val="SLIKA"/>
    <w:rsid w:val="00CB7BCC"/>
    <w:rPr>
      <w:rFonts w:ascii="Arial" w:eastAsia="Times New Roman" w:hAnsi="Arial" w:cs="Arial"/>
      <w:b/>
      <w:sz w:val="20"/>
      <w:szCs w:val="20"/>
      <w:lang w:eastAsia="en-GB"/>
    </w:rPr>
  </w:style>
  <w:style w:type="paragraph" w:styleId="Brezrazmikov">
    <w:name w:val="No Spacing"/>
    <w:aliases w:val="navaden bold JOŽI"/>
    <w:link w:val="BrezrazmikovZnak"/>
    <w:uiPriority w:val="1"/>
    <w:qFormat/>
    <w:rsid w:val="00CB7BCC"/>
    <w:pPr>
      <w:spacing w:after="0" w:line="240" w:lineRule="auto"/>
    </w:pPr>
    <w:rPr>
      <w:rFonts w:ascii="Calibri" w:eastAsia="Calibri" w:hAnsi="Calibri" w:cs="Times New Roman"/>
      <w:sz w:val="20"/>
      <w:lang w:val="en-GB" w:eastAsia="en-GB"/>
    </w:rPr>
  </w:style>
  <w:style w:type="paragraph" w:styleId="Podnaslov">
    <w:name w:val="Subtitle"/>
    <w:aliases w:val="podnaslov JOŽI"/>
    <w:basedOn w:val="Navaden"/>
    <w:link w:val="PodnaslovZnak"/>
    <w:uiPriority w:val="11"/>
    <w:qFormat/>
    <w:rsid w:val="00CB7BCC"/>
    <w:pPr>
      <w:spacing w:before="0" w:line="240" w:lineRule="auto"/>
      <w:jc w:val="center"/>
    </w:pPr>
    <w:rPr>
      <w:rFonts w:eastAsia="Arial" w:cs="Times New Roman"/>
      <w:sz w:val="20"/>
      <w:szCs w:val="20"/>
    </w:rPr>
  </w:style>
  <w:style w:type="character" w:customStyle="1" w:styleId="PodnaslovZnak">
    <w:name w:val="Podnaslov Znak"/>
    <w:aliases w:val="podnaslov JOŽI Znak"/>
    <w:basedOn w:val="Privzetapisavaodstavka"/>
    <w:link w:val="Podnaslov"/>
    <w:uiPriority w:val="11"/>
    <w:rsid w:val="00CB7BCC"/>
    <w:rPr>
      <w:rFonts w:ascii="Arial" w:eastAsia="Arial" w:hAnsi="Arial" w:cs="Times New Roman"/>
      <w:sz w:val="20"/>
      <w:szCs w:val="20"/>
      <w:lang w:eastAsia="en-GB"/>
    </w:rPr>
  </w:style>
  <w:style w:type="character" w:styleId="Neenpoudarek">
    <w:name w:val="Subtle Emphasis"/>
    <w:basedOn w:val="Privzetapisavaodstavka"/>
    <w:uiPriority w:val="17"/>
    <w:qFormat/>
    <w:rsid w:val="00CB7BCC"/>
    <w:rPr>
      <w:i/>
      <w:color w:val="808080" w:themeColor="text1" w:themeTint="7F"/>
      <w:w w:val="100"/>
      <w:sz w:val="20"/>
      <w:szCs w:val="20"/>
      <w:shd w:val="clear" w:color="auto" w:fill="auto"/>
    </w:rPr>
  </w:style>
  <w:style w:type="paragraph" w:customStyle="1" w:styleId="Text2">
    <w:name w:val="Text 2"/>
    <w:basedOn w:val="Navaden"/>
    <w:link w:val="Text2Char"/>
    <w:rsid w:val="00CB7BCC"/>
    <w:pPr>
      <w:tabs>
        <w:tab w:val="left" w:pos="2160"/>
      </w:tabs>
      <w:spacing w:before="0" w:line="240" w:lineRule="auto"/>
      <w:ind w:left="1077"/>
    </w:pPr>
    <w:rPr>
      <w:rFonts w:ascii="Times New Roman" w:hAnsi="Times New Roman" w:cs="Times New Roman"/>
      <w:sz w:val="24"/>
    </w:rPr>
  </w:style>
  <w:style w:type="paragraph" w:customStyle="1" w:styleId="Text3">
    <w:name w:val="Text 3"/>
    <w:basedOn w:val="Navaden"/>
    <w:qFormat/>
    <w:rsid w:val="00CB7BCC"/>
    <w:pPr>
      <w:tabs>
        <w:tab w:val="left" w:pos="2302"/>
      </w:tabs>
      <w:spacing w:before="0" w:line="240" w:lineRule="auto"/>
      <w:ind w:left="1916"/>
    </w:pPr>
    <w:rPr>
      <w:rFonts w:ascii="Times New Roman" w:hAnsi="Times New Roman" w:cs="Times New Roman"/>
      <w:sz w:val="24"/>
    </w:rPr>
  </w:style>
  <w:style w:type="paragraph" w:customStyle="1" w:styleId="Text4">
    <w:name w:val="Text 4"/>
    <w:basedOn w:val="Navaden"/>
    <w:rsid w:val="00CB7BCC"/>
    <w:pPr>
      <w:spacing w:before="0" w:line="240" w:lineRule="auto"/>
      <w:ind w:left="2880"/>
    </w:pPr>
    <w:rPr>
      <w:rFonts w:ascii="Times New Roman" w:hAnsi="Times New Roman" w:cs="Times New Roman"/>
      <w:sz w:val="24"/>
    </w:rPr>
  </w:style>
  <w:style w:type="paragraph" w:customStyle="1" w:styleId="Address">
    <w:name w:val="Address"/>
    <w:basedOn w:val="Navaden"/>
    <w:rsid w:val="00CB7BCC"/>
    <w:pPr>
      <w:spacing w:before="0" w:line="240" w:lineRule="auto"/>
    </w:pPr>
    <w:rPr>
      <w:rFonts w:ascii="Times New Roman" w:hAnsi="Times New Roman" w:cs="Times New Roman"/>
      <w:sz w:val="24"/>
    </w:rPr>
  </w:style>
  <w:style w:type="paragraph" w:customStyle="1" w:styleId="AddressTL">
    <w:name w:val="AddressTL"/>
    <w:basedOn w:val="Navaden"/>
    <w:next w:val="Navaden"/>
    <w:rsid w:val="00CB7BCC"/>
    <w:pPr>
      <w:spacing w:before="0" w:line="240" w:lineRule="auto"/>
    </w:pPr>
    <w:rPr>
      <w:rFonts w:ascii="Times New Roman" w:hAnsi="Times New Roman" w:cs="Times New Roman"/>
      <w:sz w:val="24"/>
    </w:rPr>
  </w:style>
  <w:style w:type="paragraph" w:customStyle="1" w:styleId="AddressTR">
    <w:name w:val="AddressTR"/>
    <w:basedOn w:val="Navaden"/>
    <w:next w:val="Navaden"/>
    <w:rsid w:val="00CB7BCC"/>
    <w:pPr>
      <w:spacing w:before="0" w:line="240" w:lineRule="auto"/>
      <w:ind w:left="5103"/>
    </w:pPr>
    <w:rPr>
      <w:rFonts w:ascii="Times New Roman" w:hAnsi="Times New Roman" w:cs="Times New Roman"/>
      <w:sz w:val="24"/>
    </w:rPr>
  </w:style>
  <w:style w:type="paragraph" w:styleId="Telobesedila2">
    <w:name w:val="Body Text 2"/>
    <w:basedOn w:val="Navaden"/>
    <w:link w:val="Telobesedila2Znak"/>
    <w:rsid w:val="00CB7BCC"/>
    <w:pPr>
      <w:spacing w:before="0" w:line="240" w:lineRule="auto"/>
    </w:pPr>
    <w:rPr>
      <w:rFonts w:ascii="Times New Roman" w:hAnsi="Times New Roman" w:cs="Times New Roman"/>
      <w:sz w:val="24"/>
    </w:rPr>
  </w:style>
  <w:style w:type="character" w:customStyle="1" w:styleId="Telobesedila2Znak">
    <w:name w:val="Telo besedila 2 Znak"/>
    <w:basedOn w:val="Privzetapisavaodstavka"/>
    <w:link w:val="Telobesedila2"/>
    <w:rsid w:val="00CB7BCC"/>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CB7BCC"/>
    <w:pPr>
      <w:spacing w:before="0" w:line="240" w:lineRule="auto"/>
    </w:pPr>
    <w:rPr>
      <w:rFonts w:ascii="Times New Roman" w:hAnsi="Times New Roman" w:cs="Times New Roman"/>
      <w:sz w:val="16"/>
      <w:szCs w:val="16"/>
    </w:rPr>
  </w:style>
  <w:style w:type="character" w:customStyle="1" w:styleId="Telobesedila3Znak">
    <w:name w:val="Telo besedila 3 Znak"/>
    <w:basedOn w:val="Privzetapisavaodstavka"/>
    <w:link w:val="Telobesedila3"/>
    <w:rsid w:val="00CB7BCC"/>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CB7BCC"/>
    <w:pPr>
      <w:ind w:firstLine="210"/>
    </w:pPr>
    <w:rPr>
      <w:szCs w:val="24"/>
      <w:lang w:eastAsia="en-GB"/>
    </w:rPr>
  </w:style>
  <w:style w:type="character" w:customStyle="1" w:styleId="Telobesedila-prvizamikZnak">
    <w:name w:val="Telo besedila - prvi zamik Znak"/>
    <w:basedOn w:val="TelobesedilaZnak"/>
    <w:link w:val="Telobesedila-prvizamik"/>
    <w:rsid w:val="00CB7BCC"/>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CB7BCC"/>
    <w:pPr>
      <w:spacing w:before="0" w:line="240" w:lineRule="auto"/>
      <w:ind w:left="283"/>
    </w:pPr>
    <w:rPr>
      <w:rFonts w:ascii="Times New Roman" w:hAnsi="Times New Roman" w:cs="Times New Roman"/>
      <w:sz w:val="24"/>
    </w:rPr>
  </w:style>
  <w:style w:type="character" w:customStyle="1" w:styleId="Telobesedila-zamikZnak">
    <w:name w:val="Telo besedila - zamik Znak"/>
    <w:basedOn w:val="Privzetapisavaodstavka"/>
    <w:link w:val="Telobesedila-zamik"/>
    <w:rsid w:val="00CB7BCC"/>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CB7BCC"/>
    <w:pPr>
      <w:ind w:firstLine="210"/>
    </w:pPr>
  </w:style>
  <w:style w:type="character" w:customStyle="1" w:styleId="Telobesedila-prvizamik2Znak">
    <w:name w:val="Telo besedila - prvi zamik 2 Znak"/>
    <w:basedOn w:val="Telobesedila-zamikZnak"/>
    <w:link w:val="Telobesedila-prvizamik2"/>
    <w:rsid w:val="00CB7BCC"/>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CB7BCC"/>
    <w:pPr>
      <w:spacing w:before="0" w:line="240" w:lineRule="auto"/>
      <w:ind w:left="283"/>
    </w:pPr>
    <w:rPr>
      <w:rFonts w:ascii="Times New Roman" w:hAnsi="Times New Roman" w:cs="Times New Roman"/>
      <w:sz w:val="24"/>
    </w:rPr>
  </w:style>
  <w:style w:type="character" w:customStyle="1" w:styleId="Telobesedila-zamik2Znak">
    <w:name w:val="Telo besedila - zamik 2 Znak"/>
    <w:basedOn w:val="Privzetapisavaodstavka"/>
    <w:link w:val="Telobesedila-zamik2"/>
    <w:rsid w:val="00CB7BCC"/>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CB7BCC"/>
    <w:pPr>
      <w:spacing w:before="0" w:line="240" w:lineRule="auto"/>
      <w:ind w:left="283"/>
    </w:pPr>
    <w:rPr>
      <w:rFonts w:ascii="Times New Roman" w:hAnsi="Times New Roman" w:cs="Times New Roman"/>
      <w:sz w:val="16"/>
      <w:szCs w:val="16"/>
    </w:rPr>
  </w:style>
  <w:style w:type="character" w:customStyle="1" w:styleId="Telobesedila-zamik3Znak">
    <w:name w:val="Telo besedila - zamik 3 Znak"/>
    <w:basedOn w:val="Privzetapisavaodstavka"/>
    <w:link w:val="Telobesedila-zamik3"/>
    <w:rsid w:val="00CB7BCC"/>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CB7BCC"/>
    <w:pPr>
      <w:tabs>
        <w:tab w:val="left" w:pos="5103"/>
      </w:tabs>
      <w:spacing w:before="0" w:line="240" w:lineRule="auto"/>
      <w:ind w:left="5103"/>
    </w:pPr>
    <w:rPr>
      <w:rFonts w:ascii="Times New Roman" w:hAnsi="Times New Roman" w:cs="Times New Roman"/>
      <w:sz w:val="24"/>
    </w:rPr>
  </w:style>
  <w:style w:type="character" w:customStyle="1" w:styleId="ZakljunipozdravZnak">
    <w:name w:val="Zaključni pozdrav Znak"/>
    <w:basedOn w:val="Privzetapisavaodstavka"/>
    <w:link w:val="Zakljunipozdrav"/>
    <w:rsid w:val="00CB7BCC"/>
    <w:rPr>
      <w:rFonts w:ascii="Times New Roman" w:eastAsia="Times New Roman" w:hAnsi="Times New Roman" w:cs="Times New Roman"/>
      <w:sz w:val="24"/>
      <w:szCs w:val="24"/>
      <w:lang w:eastAsia="en-GB"/>
    </w:rPr>
  </w:style>
  <w:style w:type="paragraph" w:styleId="Podpis">
    <w:name w:val="Signature"/>
    <w:basedOn w:val="Navaden"/>
    <w:link w:val="PodpisZnak"/>
    <w:rsid w:val="00CB7BCC"/>
    <w:pPr>
      <w:tabs>
        <w:tab w:val="left" w:pos="5103"/>
      </w:tabs>
      <w:spacing w:before="0" w:line="240" w:lineRule="auto"/>
      <w:ind w:left="5103"/>
      <w:jc w:val="center"/>
    </w:pPr>
    <w:rPr>
      <w:rFonts w:ascii="Times New Roman" w:hAnsi="Times New Roman" w:cs="Times New Roman"/>
      <w:sz w:val="24"/>
    </w:rPr>
  </w:style>
  <w:style w:type="character" w:customStyle="1" w:styleId="PodpisZnak">
    <w:name w:val="Podpis Znak"/>
    <w:basedOn w:val="Privzetapisavaodstavka"/>
    <w:link w:val="Podpis"/>
    <w:rsid w:val="00CB7BCC"/>
    <w:rPr>
      <w:rFonts w:ascii="Times New Roman" w:eastAsia="Times New Roman" w:hAnsi="Times New Roman" w:cs="Times New Roman"/>
      <w:sz w:val="24"/>
      <w:szCs w:val="24"/>
      <w:lang w:eastAsia="en-GB"/>
    </w:rPr>
  </w:style>
  <w:style w:type="paragraph" w:customStyle="1" w:styleId="Enclosures">
    <w:name w:val="Enclosures"/>
    <w:basedOn w:val="Navaden"/>
    <w:rsid w:val="00CB7BCC"/>
    <w:pPr>
      <w:keepNext/>
      <w:keepLines/>
      <w:tabs>
        <w:tab w:val="left" w:pos="5670"/>
      </w:tabs>
      <w:spacing w:before="0" w:line="240" w:lineRule="auto"/>
      <w:ind w:left="3970" w:hanging="1985"/>
    </w:pPr>
    <w:rPr>
      <w:rFonts w:ascii="Times New Roman" w:hAnsi="Times New Roman" w:cs="Times New Roman"/>
      <w:sz w:val="24"/>
    </w:rPr>
  </w:style>
  <w:style w:type="paragraph" w:customStyle="1" w:styleId="Participants">
    <w:name w:val="Participants"/>
    <w:basedOn w:val="Navaden"/>
    <w:rsid w:val="00CB7BCC"/>
    <w:pPr>
      <w:tabs>
        <w:tab w:val="left" w:pos="2552"/>
        <w:tab w:val="left" w:pos="2835"/>
        <w:tab w:val="left" w:pos="5670"/>
        <w:tab w:val="left" w:pos="6379"/>
        <w:tab w:val="left" w:pos="6804"/>
      </w:tabs>
      <w:spacing w:before="0" w:line="240" w:lineRule="auto"/>
      <w:ind w:left="3970" w:hanging="1985"/>
    </w:pPr>
    <w:rPr>
      <w:rFonts w:ascii="Times New Roman" w:hAnsi="Times New Roman" w:cs="Times New Roman"/>
      <w:sz w:val="24"/>
    </w:rPr>
  </w:style>
  <w:style w:type="paragraph" w:customStyle="1" w:styleId="Copies">
    <w:name w:val="Copies"/>
    <w:basedOn w:val="Navaden"/>
    <w:next w:val="Navaden"/>
    <w:rsid w:val="00CB7BCC"/>
    <w:pPr>
      <w:tabs>
        <w:tab w:val="left" w:pos="2552"/>
        <w:tab w:val="left" w:pos="2835"/>
        <w:tab w:val="left" w:pos="5670"/>
        <w:tab w:val="left" w:pos="6379"/>
        <w:tab w:val="left" w:pos="6804"/>
      </w:tabs>
      <w:spacing w:before="0" w:line="240" w:lineRule="auto"/>
      <w:ind w:left="3970" w:hanging="1985"/>
    </w:pPr>
    <w:rPr>
      <w:rFonts w:ascii="Times New Roman" w:hAnsi="Times New Roman" w:cs="Times New Roman"/>
      <w:sz w:val="24"/>
    </w:rPr>
  </w:style>
  <w:style w:type="paragraph" w:styleId="Datum">
    <w:name w:val="Date"/>
    <w:basedOn w:val="Navaden"/>
    <w:link w:val="DatumZnak"/>
    <w:rsid w:val="00CB7BCC"/>
    <w:pPr>
      <w:spacing w:before="0" w:line="240" w:lineRule="auto"/>
      <w:ind w:left="5103" w:right="-567"/>
    </w:pPr>
    <w:rPr>
      <w:rFonts w:ascii="Times New Roman" w:hAnsi="Times New Roman" w:cs="Times New Roman"/>
      <w:sz w:val="24"/>
    </w:rPr>
  </w:style>
  <w:style w:type="character" w:customStyle="1" w:styleId="DatumZnak">
    <w:name w:val="Datum Znak"/>
    <w:basedOn w:val="Privzetapisavaodstavka"/>
    <w:link w:val="Datum"/>
    <w:rsid w:val="00CB7BCC"/>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CB7BCC"/>
    <w:pPr>
      <w:spacing w:before="0" w:line="240" w:lineRule="auto"/>
      <w:ind w:left="5103"/>
    </w:pPr>
    <w:rPr>
      <w:rFonts w:ascii="Times New Roman" w:hAnsi="Times New Roman" w:cs="Times New Roman"/>
      <w:sz w:val="20"/>
      <w:szCs w:val="20"/>
    </w:rPr>
  </w:style>
  <w:style w:type="paragraph" w:styleId="Zgradbadokumenta">
    <w:name w:val="Document Map"/>
    <w:basedOn w:val="Navaden"/>
    <w:link w:val="ZgradbadokumentaZnak"/>
    <w:semiHidden/>
    <w:rsid w:val="00CB7BCC"/>
    <w:pPr>
      <w:shd w:val="clear" w:color="000000" w:fill="000080"/>
      <w:spacing w:before="0" w:line="240" w:lineRule="auto"/>
    </w:pPr>
    <w:rPr>
      <w:rFonts w:ascii="Tahoma" w:eastAsia="Tahoma" w:hAnsi="Tahoma" w:cs="Times New Roman"/>
      <w:sz w:val="20"/>
      <w:szCs w:val="20"/>
    </w:rPr>
  </w:style>
  <w:style w:type="character" w:customStyle="1" w:styleId="ZgradbadokumentaZnak">
    <w:name w:val="Zgradba dokumenta Znak"/>
    <w:basedOn w:val="Privzetapisavaodstavka"/>
    <w:link w:val="Zgradbadokumenta"/>
    <w:semiHidden/>
    <w:rsid w:val="00CB7BCC"/>
    <w:rPr>
      <w:rFonts w:ascii="Tahoma" w:eastAsia="Tahoma" w:hAnsi="Tahoma" w:cs="Times New Roman"/>
      <w:sz w:val="20"/>
      <w:szCs w:val="20"/>
      <w:shd w:val="clear" w:color="000000" w:fill="000080"/>
      <w:lang w:eastAsia="en-GB"/>
    </w:rPr>
  </w:style>
  <w:style w:type="paragraph" w:customStyle="1" w:styleId="DoubSign">
    <w:name w:val="DoubSign"/>
    <w:basedOn w:val="Navaden"/>
    <w:rsid w:val="00CB7BCC"/>
    <w:pPr>
      <w:tabs>
        <w:tab w:val="left" w:pos="5103"/>
      </w:tabs>
      <w:spacing w:before="0" w:line="240" w:lineRule="auto"/>
    </w:pPr>
    <w:rPr>
      <w:rFonts w:ascii="Times New Roman" w:hAnsi="Times New Roman" w:cs="Times New Roman"/>
      <w:sz w:val="24"/>
    </w:rPr>
  </w:style>
  <w:style w:type="paragraph" w:styleId="Naslovnaslovnika">
    <w:name w:val="envelope address"/>
    <w:basedOn w:val="Navaden"/>
    <w:rsid w:val="00CB7BCC"/>
    <w:pPr>
      <w:spacing w:before="0" w:line="240" w:lineRule="auto"/>
    </w:pPr>
    <w:rPr>
      <w:rFonts w:ascii="Times New Roman" w:hAnsi="Times New Roman" w:cs="Times New Roman"/>
      <w:sz w:val="24"/>
    </w:rPr>
  </w:style>
  <w:style w:type="paragraph" w:styleId="Naslovpoiljatelja">
    <w:name w:val="envelope return"/>
    <w:basedOn w:val="Navaden"/>
    <w:rsid w:val="00CB7BCC"/>
    <w:pPr>
      <w:spacing w:before="0" w:line="240" w:lineRule="auto"/>
    </w:pPr>
    <w:rPr>
      <w:rFonts w:ascii="Times New Roman" w:hAnsi="Times New Roman" w:cs="Times New Roman"/>
      <w:sz w:val="20"/>
      <w:szCs w:val="20"/>
    </w:rPr>
  </w:style>
  <w:style w:type="paragraph" w:styleId="Stvarnokazalo1">
    <w:name w:val="index 1"/>
    <w:basedOn w:val="Navaden"/>
    <w:next w:val="Navaden"/>
    <w:semiHidden/>
    <w:rsid w:val="00CB7BCC"/>
    <w:pPr>
      <w:spacing w:before="0" w:line="240" w:lineRule="auto"/>
      <w:ind w:left="480" w:hanging="240"/>
    </w:pPr>
    <w:rPr>
      <w:rFonts w:ascii="Times New Roman" w:hAnsi="Times New Roman" w:cs="Times New Roman"/>
      <w:sz w:val="24"/>
    </w:rPr>
  </w:style>
  <w:style w:type="paragraph" w:styleId="Stvarnokazalo2">
    <w:name w:val="index 2"/>
    <w:basedOn w:val="Navaden"/>
    <w:next w:val="Navaden"/>
    <w:semiHidden/>
    <w:rsid w:val="00CB7BCC"/>
    <w:pPr>
      <w:spacing w:before="0" w:line="240" w:lineRule="auto"/>
      <w:ind w:left="720" w:hanging="240"/>
    </w:pPr>
    <w:rPr>
      <w:rFonts w:ascii="Times New Roman" w:hAnsi="Times New Roman" w:cs="Times New Roman"/>
      <w:sz w:val="24"/>
    </w:rPr>
  </w:style>
  <w:style w:type="paragraph" w:styleId="Stvarnokazalo3">
    <w:name w:val="index 3"/>
    <w:basedOn w:val="Navaden"/>
    <w:next w:val="Navaden"/>
    <w:semiHidden/>
    <w:rsid w:val="00CB7BCC"/>
    <w:pPr>
      <w:spacing w:before="0" w:line="240" w:lineRule="auto"/>
      <w:ind w:left="960" w:hanging="240"/>
    </w:pPr>
    <w:rPr>
      <w:rFonts w:ascii="Times New Roman" w:hAnsi="Times New Roman" w:cs="Times New Roman"/>
      <w:sz w:val="24"/>
    </w:rPr>
  </w:style>
  <w:style w:type="paragraph" w:styleId="Stvarnokazalo4">
    <w:name w:val="index 4"/>
    <w:basedOn w:val="Navaden"/>
    <w:next w:val="Navaden"/>
    <w:semiHidden/>
    <w:rsid w:val="00CB7BCC"/>
    <w:pPr>
      <w:spacing w:before="0" w:line="240" w:lineRule="auto"/>
      <w:ind w:left="1200" w:hanging="240"/>
    </w:pPr>
    <w:rPr>
      <w:rFonts w:ascii="Times New Roman" w:hAnsi="Times New Roman" w:cs="Times New Roman"/>
      <w:sz w:val="24"/>
    </w:rPr>
  </w:style>
  <w:style w:type="paragraph" w:styleId="Stvarnokazalo5">
    <w:name w:val="index 5"/>
    <w:basedOn w:val="Navaden"/>
    <w:next w:val="Navaden"/>
    <w:semiHidden/>
    <w:rsid w:val="00CB7BCC"/>
    <w:pPr>
      <w:spacing w:before="0" w:line="240" w:lineRule="auto"/>
      <w:ind w:left="1440" w:hanging="240"/>
    </w:pPr>
    <w:rPr>
      <w:rFonts w:ascii="Times New Roman" w:hAnsi="Times New Roman" w:cs="Times New Roman"/>
      <w:sz w:val="24"/>
    </w:rPr>
  </w:style>
  <w:style w:type="paragraph" w:styleId="Stvarnokazalo6">
    <w:name w:val="index 6"/>
    <w:basedOn w:val="Navaden"/>
    <w:next w:val="Navaden"/>
    <w:semiHidden/>
    <w:rsid w:val="00CB7BCC"/>
    <w:pPr>
      <w:spacing w:before="0" w:line="240" w:lineRule="auto"/>
      <w:ind w:left="1680" w:hanging="240"/>
    </w:pPr>
    <w:rPr>
      <w:rFonts w:ascii="Times New Roman" w:hAnsi="Times New Roman" w:cs="Times New Roman"/>
      <w:sz w:val="24"/>
    </w:rPr>
  </w:style>
  <w:style w:type="paragraph" w:styleId="Stvarnokazalo7">
    <w:name w:val="index 7"/>
    <w:basedOn w:val="Navaden"/>
    <w:next w:val="Navaden"/>
    <w:semiHidden/>
    <w:rsid w:val="00CB7BCC"/>
    <w:pPr>
      <w:spacing w:before="0" w:line="240" w:lineRule="auto"/>
      <w:ind w:left="1920" w:hanging="240"/>
    </w:pPr>
    <w:rPr>
      <w:rFonts w:ascii="Times New Roman" w:hAnsi="Times New Roman" w:cs="Times New Roman"/>
      <w:sz w:val="24"/>
    </w:rPr>
  </w:style>
  <w:style w:type="paragraph" w:styleId="Stvarnokazalo8">
    <w:name w:val="index 8"/>
    <w:basedOn w:val="Navaden"/>
    <w:next w:val="Navaden"/>
    <w:semiHidden/>
    <w:rsid w:val="00CB7BCC"/>
    <w:pPr>
      <w:spacing w:before="0" w:line="240" w:lineRule="auto"/>
      <w:ind w:left="2160" w:hanging="240"/>
    </w:pPr>
    <w:rPr>
      <w:rFonts w:ascii="Times New Roman" w:hAnsi="Times New Roman" w:cs="Times New Roman"/>
      <w:sz w:val="24"/>
    </w:rPr>
  </w:style>
  <w:style w:type="paragraph" w:styleId="Stvarnokazalo9">
    <w:name w:val="index 9"/>
    <w:basedOn w:val="Navaden"/>
    <w:next w:val="Navaden"/>
    <w:semiHidden/>
    <w:rsid w:val="00CB7BCC"/>
    <w:pPr>
      <w:spacing w:before="0" w:line="240" w:lineRule="auto"/>
      <w:ind w:left="2400" w:hanging="240"/>
    </w:pPr>
    <w:rPr>
      <w:rFonts w:ascii="Times New Roman" w:hAnsi="Times New Roman" w:cs="Times New Roman"/>
      <w:sz w:val="24"/>
    </w:rPr>
  </w:style>
  <w:style w:type="paragraph" w:styleId="Stvarnokazalo-naslov">
    <w:name w:val="index heading"/>
    <w:basedOn w:val="Navaden"/>
    <w:next w:val="Stvarnokazalo1"/>
    <w:semiHidden/>
    <w:rsid w:val="00CB7BCC"/>
    <w:pPr>
      <w:spacing w:before="0" w:line="240" w:lineRule="auto"/>
    </w:pPr>
    <w:rPr>
      <w:rFonts w:eastAsia="Arial" w:cs="Times New Roman"/>
      <w:b/>
      <w:sz w:val="20"/>
      <w:szCs w:val="20"/>
    </w:rPr>
  </w:style>
  <w:style w:type="paragraph" w:styleId="Seznam">
    <w:name w:val="List"/>
    <w:basedOn w:val="Navaden"/>
    <w:rsid w:val="00CB7BCC"/>
    <w:pPr>
      <w:spacing w:before="0" w:line="240" w:lineRule="auto"/>
      <w:ind w:left="566" w:hanging="283"/>
    </w:pPr>
    <w:rPr>
      <w:rFonts w:ascii="Times New Roman" w:hAnsi="Times New Roman" w:cs="Times New Roman"/>
      <w:sz w:val="24"/>
    </w:rPr>
  </w:style>
  <w:style w:type="paragraph" w:styleId="Seznam2">
    <w:name w:val="List 2"/>
    <w:basedOn w:val="Navaden"/>
    <w:rsid w:val="00CB7BCC"/>
    <w:pPr>
      <w:spacing w:before="0" w:line="240" w:lineRule="auto"/>
      <w:ind w:left="849" w:hanging="283"/>
    </w:pPr>
    <w:rPr>
      <w:rFonts w:ascii="Times New Roman" w:hAnsi="Times New Roman" w:cs="Times New Roman"/>
      <w:sz w:val="24"/>
    </w:rPr>
  </w:style>
  <w:style w:type="paragraph" w:styleId="Seznam3">
    <w:name w:val="List 3"/>
    <w:basedOn w:val="Navaden"/>
    <w:rsid w:val="00CB7BCC"/>
    <w:pPr>
      <w:spacing w:before="0" w:line="240" w:lineRule="auto"/>
      <w:ind w:left="1132" w:hanging="283"/>
    </w:pPr>
    <w:rPr>
      <w:rFonts w:ascii="Times New Roman" w:hAnsi="Times New Roman" w:cs="Times New Roman"/>
      <w:sz w:val="24"/>
    </w:rPr>
  </w:style>
  <w:style w:type="paragraph" w:styleId="Seznam4">
    <w:name w:val="List 4"/>
    <w:basedOn w:val="Navaden"/>
    <w:rsid w:val="00CB7BCC"/>
    <w:pPr>
      <w:spacing w:before="0" w:line="240" w:lineRule="auto"/>
      <w:ind w:left="1415" w:hanging="283"/>
    </w:pPr>
    <w:rPr>
      <w:rFonts w:ascii="Times New Roman" w:hAnsi="Times New Roman" w:cs="Times New Roman"/>
      <w:sz w:val="24"/>
    </w:rPr>
  </w:style>
  <w:style w:type="paragraph" w:styleId="Seznam5">
    <w:name w:val="List 5"/>
    <w:basedOn w:val="Navaden"/>
    <w:rsid w:val="00CB7BCC"/>
    <w:pPr>
      <w:spacing w:before="0" w:line="240" w:lineRule="auto"/>
      <w:ind w:left="1698" w:hanging="283"/>
    </w:pPr>
    <w:rPr>
      <w:rFonts w:ascii="Times New Roman" w:hAnsi="Times New Roman" w:cs="Times New Roman"/>
      <w:sz w:val="24"/>
    </w:rPr>
  </w:style>
  <w:style w:type="paragraph" w:styleId="Oznaenseznam">
    <w:name w:val="List Bullet"/>
    <w:basedOn w:val="Navaden"/>
    <w:rsid w:val="00CB7BCC"/>
    <w:pPr>
      <w:numPr>
        <w:numId w:val="158"/>
      </w:numPr>
      <w:spacing w:before="0" w:line="240" w:lineRule="auto"/>
      <w:ind w:left="0" w:firstLine="0"/>
    </w:pPr>
    <w:rPr>
      <w:rFonts w:ascii="Times New Roman" w:hAnsi="Times New Roman" w:cs="Times New Roman"/>
      <w:sz w:val="24"/>
    </w:rPr>
  </w:style>
  <w:style w:type="paragraph" w:styleId="Oznaenseznam2">
    <w:name w:val="List Bullet 2"/>
    <w:basedOn w:val="Text2"/>
    <w:rsid w:val="00CB7BCC"/>
    <w:pPr>
      <w:numPr>
        <w:numId w:val="159"/>
      </w:numPr>
      <w:tabs>
        <w:tab w:val="clear" w:pos="1360"/>
      </w:tabs>
      <w:ind w:left="0" w:firstLine="0"/>
    </w:pPr>
  </w:style>
  <w:style w:type="paragraph" w:styleId="Oznaenseznam3">
    <w:name w:val="List Bullet 3"/>
    <w:basedOn w:val="Text3"/>
    <w:rsid w:val="00CB7BCC"/>
    <w:pPr>
      <w:numPr>
        <w:numId w:val="160"/>
      </w:numPr>
      <w:ind w:left="0" w:firstLine="0"/>
    </w:pPr>
  </w:style>
  <w:style w:type="paragraph" w:styleId="Oznaenseznam4">
    <w:name w:val="List Bullet 4"/>
    <w:basedOn w:val="Text4"/>
    <w:rsid w:val="00CB7BCC"/>
    <w:pPr>
      <w:numPr>
        <w:numId w:val="161"/>
      </w:numPr>
      <w:ind w:left="0" w:firstLine="0"/>
    </w:pPr>
  </w:style>
  <w:style w:type="paragraph" w:styleId="Oznaenseznam5">
    <w:name w:val="List Bullet 5"/>
    <w:basedOn w:val="Navaden"/>
    <w:rsid w:val="00CB7BCC"/>
    <w:pPr>
      <w:numPr>
        <w:numId w:val="156"/>
      </w:numPr>
      <w:spacing w:before="0" w:line="240" w:lineRule="auto"/>
      <w:ind w:left="0" w:firstLine="0"/>
    </w:pPr>
    <w:rPr>
      <w:rFonts w:ascii="Times New Roman" w:hAnsi="Times New Roman" w:cs="Times New Roman"/>
      <w:sz w:val="24"/>
    </w:rPr>
  </w:style>
  <w:style w:type="paragraph" w:styleId="Seznam-nadaljevanje">
    <w:name w:val="List Continue"/>
    <w:basedOn w:val="Navaden"/>
    <w:rsid w:val="00CB7BCC"/>
    <w:pPr>
      <w:spacing w:before="0" w:line="240" w:lineRule="auto"/>
      <w:ind w:left="283"/>
    </w:pPr>
    <w:rPr>
      <w:rFonts w:ascii="Times New Roman" w:hAnsi="Times New Roman" w:cs="Times New Roman"/>
      <w:sz w:val="24"/>
    </w:rPr>
  </w:style>
  <w:style w:type="paragraph" w:styleId="Seznam-nadaljevanje2">
    <w:name w:val="List Continue 2"/>
    <w:basedOn w:val="Navaden"/>
    <w:rsid w:val="00CB7BCC"/>
    <w:pPr>
      <w:spacing w:before="0" w:line="240" w:lineRule="auto"/>
      <w:ind w:left="566"/>
    </w:pPr>
    <w:rPr>
      <w:rFonts w:ascii="Times New Roman" w:hAnsi="Times New Roman" w:cs="Times New Roman"/>
      <w:sz w:val="24"/>
    </w:rPr>
  </w:style>
  <w:style w:type="paragraph" w:styleId="Seznam-nadaljevanje3">
    <w:name w:val="List Continue 3"/>
    <w:basedOn w:val="Navaden"/>
    <w:rsid w:val="00CB7BCC"/>
    <w:pPr>
      <w:spacing w:before="0" w:line="240" w:lineRule="auto"/>
      <w:ind w:left="849"/>
    </w:pPr>
    <w:rPr>
      <w:rFonts w:ascii="Times New Roman" w:hAnsi="Times New Roman" w:cs="Times New Roman"/>
      <w:sz w:val="24"/>
    </w:rPr>
  </w:style>
  <w:style w:type="paragraph" w:styleId="Seznam-nadaljevanje4">
    <w:name w:val="List Continue 4"/>
    <w:basedOn w:val="Navaden"/>
    <w:rsid w:val="00CB7BCC"/>
    <w:pPr>
      <w:spacing w:before="0" w:line="240" w:lineRule="auto"/>
      <w:ind w:left="1132"/>
    </w:pPr>
    <w:rPr>
      <w:rFonts w:ascii="Times New Roman" w:hAnsi="Times New Roman" w:cs="Times New Roman"/>
      <w:sz w:val="24"/>
    </w:rPr>
  </w:style>
  <w:style w:type="paragraph" w:styleId="Seznam-nadaljevanje5">
    <w:name w:val="List Continue 5"/>
    <w:basedOn w:val="Navaden"/>
    <w:rsid w:val="00CB7BCC"/>
    <w:pPr>
      <w:spacing w:before="0" w:line="240" w:lineRule="auto"/>
      <w:ind w:left="1415"/>
    </w:pPr>
    <w:rPr>
      <w:rFonts w:ascii="Times New Roman" w:hAnsi="Times New Roman" w:cs="Times New Roman"/>
      <w:sz w:val="24"/>
    </w:rPr>
  </w:style>
  <w:style w:type="paragraph" w:styleId="Otevilenseznam">
    <w:name w:val="List Number"/>
    <w:basedOn w:val="Navaden"/>
    <w:rsid w:val="00CB7BCC"/>
    <w:pPr>
      <w:numPr>
        <w:numId w:val="166"/>
      </w:numPr>
      <w:spacing w:before="0" w:line="240" w:lineRule="auto"/>
      <w:ind w:left="0" w:firstLine="0"/>
    </w:pPr>
    <w:rPr>
      <w:rFonts w:ascii="Times New Roman" w:hAnsi="Times New Roman" w:cs="Times New Roman"/>
      <w:sz w:val="24"/>
    </w:rPr>
  </w:style>
  <w:style w:type="paragraph" w:styleId="Otevilenseznam2">
    <w:name w:val="List Number 2"/>
    <w:basedOn w:val="Text2"/>
    <w:rsid w:val="00CB7BCC"/>
    <w:pPr>
      <w:numPr>
        <w:numId w:val="168"/>
      </w:numPr>
      <w:tabs>
        <w:tab w:val="clear" w:pos="1786"/>
        <w:tab w:val="left" w:pos="0"/>
        <w:tab w:val="num" w:pos="720"/>
      </w:tabs>
      <w:ind w:left="0" w:firstLine="0"/>
    </w:pPr>
  </w:style>
  <w:style w:type="paragraph" w:styleId="Otevilenseznam3">
    <w:name w:val="List Number 3"/>
    <w:basedOn w:val="Text3"/>
    <w:rsid w:val="00CB7BCC"/>
    <w:pPr>
      <w:numPr>
        <w:numId w:val="169"/>
      </w:numPr>
      <w:ind w:left="0" w:firstLine="0"/>
    </w:pPr>
  </w:style>
  <w:style w:type="paragraph" w:styleId="Otevilenseznam4">
    <w:name w:val="List Number 4"/>
    <w:basedOn w:val="Text4"/>
    <w:rsid w:val="00CB7BCC"/>
    <w:pPr>
      <w:numPr>
        <w:numId w:val="170"/>
      </w:numPr>
      <w:ind w:left="0" w:firstLine="0"/>
    </w:pPr>
  </w:style>
  <w:style w:type="paragraph" w:styleId="Otevilenseznam5">
    <w:name w:val="List Number 5"/>
    <w:basedOn w:val="Navaden"/>
    <w:rsid w:val="00CB7BCC"/>
    <w:pPr>
      <w:numPr>
        <w:numId w:val="157"/>
      </w:numPr>
      <w:spacing w:before="0" w:line="240" w:lineRule="auto"/>
      <w:ind w:left="0" w:firstLine="0"/>
    </w:pPr>
    <w:rPr>
      <w:rFonts w:ascii="Times New Roman" w:hAnsi="Times New Roman" w:cs="Times New Roman"/>
      <w:sz w:val="24"/>
    </w:rPr>
  </w:style>
  <w:style w:type="paragraph" w:styleId="Makrobesedilo">
    <w:name w:val="macro"/>
    <w:link w:val="MakrobesediloZnak"/>
    <w:semiHidden/>
    <w:rsid w:val="00CB7BC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CB7BCC"/>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CB7BCC"/>
    <w:pPr>
      <w:shd w:val="pct20" w:color="000000" w:fill="auto"/>
      <w:spacing w:before="0" w:line="240" w:lineRule="auto"/>
      <w:ind w:left="2268" w:hanging="1134"/>
    </w:pPr>
    <w:rPr>
      <w:rFonts w:eastAsia="Arial" w:cs="Times New Roman"/>
      <w:sz w:val="20"/>
      <w:szCs w:val="20"/>
    </w:rPr>
  </w:style>
  <w:style w:type="character" w:customStyle="1" w:styleId="GlavasporoilaZnak">
    <w:name w:val="Glava sporočila Znak"/>
    <w:basedOn w:val="Privzetapisavaodstavka"/>
    <w:link w:val="Glavasporoila"/>
    <w:rsid w:val="00CB7BCC"/>
    <w:rPr>
      <w:rFonts w:ascii="Arial" w:eastAsia="Arial" w:hAnsi="Arial" w:cs="Times New Roman"/>
      <w:sz w:val="20"/>
      <w:szCs w:val="20"/>
      <w:shd w:val="pct20" w:color="000000" w:fill="auto"/>
      <w:lang w:eastAsia="en-GB"/>
    </w:rPr>
  </w:style>
  <w:style w:type="paragraph" w:styleId="Navaden-zamik">
    <w:name w:val="Normal Indent"/>
    <w:basedOn w:val="Navaden"/>
    <w:rsid w:val="00CB7BCC"/>
    <w:pPr>
      <w:spacing w:before="0" w:line="240" w:lineRule="auto"/>
      <w:ind w:left="720"/>
    </w:pPr>
    <w:rPr>
      <w:rFonts w:ascii="Times New Roman" w:hAnsi="Times New Roman" w:cs="Times New Roman"/>
      <w:sz w:val="24"/>
    </w:rPr>
  </w:style>
  <w:style w:type="paragraph" w:styleId="Opomba-naslov">
    <w:name w:val="Note Heading"/>
    <w:basedOn w:val="Navaden"/>
    <w:next w:val="Navaden"/>
    <w:link w:val="Opomba-naslovZnak"/>
    <w:rsid w:val="00CB7BCC"/>
    <w:pPr>
      <w:spacing w:before="0" w:line="240" w:lineRule="auto"/>
    </w:pPr>
    <w:rPr>
      <w:rFonts w:ascii="Times New Roman" w:hAnsi="Times New Roman" w:cs="Times New Roman"/>
      <w:sz w:val="24"/>
    </w:rPr>
  </w:style>
  <w:style w:type="character" w:customStyle="1" w:styleId="Opomba-naslovZnak">
    <w:name w:val="Opomba - naslov Znak"/>
    <w:basedOn w:val="Privzetapisavaodstavka"/>
    <w:link w:val="Opomba-naslov"/>
    <w:rsid w:val="00CB7BCC"/>
    <w:rPr>
      <w:rFonts w:ascii="Times New Roman" w:eastAsia="Times New Roman" w:hAnsi="Times New Roman" w:cs="Times New Roman"/>
      <w:sz w:val="24"/>
      <w:szCs w:val="24"/>
      <w:lang w:eastAsia="en-GB"/>
    </w:rPr>
  </w:style>
  <w:style w:type="paragraph" w:customStyle="1" w:styleId="NoteHead">
    <w:name w:val="NoteHead"/>
    <w:basedOn w:val="Navaden"/>
    <w:rsid w:val="00CB7BCC"/>
    <w:pPr>
      <w:spacing w:before="0" w:line="240" w:lineRule="auto"/>
      <w:jc w:val="center"/>
    </w:pPr>
    <w:rPr>
      <w:rFonts w:ascii="Times New Roman" w:hAnsi="Times New Roman" w:cs="Times New Roman"/>
      <w:b/>
      <w:smallCaps/>
      <w:sz w:val="20"/>
      <w:szCs w:val="20"/>
    </w:rPr>
  </w:style>
  <w:style w:type="paragraph" w:customStyle="1" w:styleId="Subject">
    <w:name w:val="Subject"/>
    <w:basedOn w:val="Navaden"/>
    <w:next w:val="Navaden"/>
    <w:rsid w:val="00CB7BCC"/>
    <w:pPr>
      <w:spacing w:before="0" w:line="240" w:lineRule="auto"/>
      <w:ind w:left="3062" w:hanging="1531"/>
    </w:pPr>
    <w:rPr>
      <w:rFonts w:ascii="Times New Roman" w:hAnsi="Times New Roman" w:cs="Times New Roman"/>
      <w:b/>
      <w:sz w:val="20"/>
      <w:szCs w:val="20"/>
    </w:rPr>
  </w:style>
  <w:style w:type="paragraph" w:customStyle="1" w:styleId="NoteList">
    <w:name w:val="NoteList"/>
    <w:basedOn w:val="Navaden"/>
    <w:next w:val="Subject"/>
    <w:rsid w:val="00CB7BCC"/>
    <w:pPr>
      <w:tabs>
        <w:tab w:val="left" w:pos="5823"/>
      </w:tabs>
      <w:spacing w:before="0" w:line="240" w:lineRule="auto"/>
      <w:ind w:left="8223" w:hanging="3119"/>
    </w:pPr>
    <w:rPr>
      <w:rFonts w:ascii="Times New Roman" w:hAnsi="Times New Roman" w:cs="Times New Roman"/>
      <w:b/>
      <w:smallCaps/>
      <w:sz w:val="20"/>
      <w:szCs w:val="20"/>
    </w:rPr>
  </w:style>
  <w:style w:type="paragraph" w:customStyle="1" w:styleId="NumPar1">
    <w:name w:val="NumPar 1"/>
    <w:basedOn w:val="Naslov1"/>
    <w:next w:val="Text1"/>
    <w:rsid w:val="00CB7BCC"/>
    <w:pPr>
      <w:tabs>
        <w:tab w:val="clear" w:pos="0"/>
        <w:tab w:val="left" w:pos="4537"/>
      </w:tabs>
      <w:spacing w:before="0" w:line="260" w:lineRule="atLeast"/>
      <w:ind w:left="720" w:hanging="360"/>
    </w:pPr>
    <w:rPr>
      <w:rFonts w:cs="Times New Roman"/>
      <w:b w:val="0"/>
      <w:color w:val="339933"/>
      <w:sz w:val="20"/>
      <w:lang w:eastAsia="en-GB"/>
    </w:rPr>
  </w:style>
  <w:style w:type="paragraph" w:customStyle="1" w:styleId="NumPar2">
    <w:name w:val="NumPar 2"/>
    <w:basedOn w:val="Naslov2"/>
    <w:next w:val="Text2"/>
    <w:rsid w:val="00CB7BCC"/>
    <w:pPr>
      <w:tabs>
        <w:tab w:val="clear" w:pos="567"/>
        <w:tab w:val="left" w:pos="480"/>
        <w:tab w:val="left" w:pos="4537"/>
      </w:tabs>
      <w:spacing w:line="260" w:lineRule="atLeast"/>
      <w:ind w:left="600" w:hanging="600"/>
    </w:pPr>
    <w:rPr>
      <w:rFonts w:eastAsia="Arial" w:cs="Times New Roman"/>
      <w:b w:val="0"/>
      <w:caps/>
      <w:color w:val="00B050"/>
      <w:sz w:val="20"/>
      <w:lang w:eastAsia="en-GB"/>
    </w:rPr>
  </w:style>
  <w:style w:type="paragraph" w:customStyle="1" w:styleId="NumPar3">
    <w:name w:val="NumPar 3"/>
    <w:basedOn w:val="Naslov3"/>
    <w:next w:val="Text3"/>
    <w:rsid w:val="00CB7BCC"/>
    <w:pPr>
      <w:keepNext/>
      <w:tabs>
        <w:tab w:val="left" w:pos="360"/>
        <w:tab w:val="left" w:pos="4537"/>
      </w:tabs>
      <w:spacing w:before="0" w:line="260" w:lineRule="atLeast"/>
      <w:ind w:left="1200" w:hanging="840"/>
    </w:pPr>
    <w:rPr>
      <w:rFonts w:cs="Times New Roman"/>
      <w:b/>
      <w:i w:val="0"/>
      <w:color w:val="00B050"/>
      <w:szCs w:val="20"/>
    </w:rPr>
  </w:style>
  <w:style w:type="paragraph" w:customStyle="1" w:styleId="NumPar4">
    <w:name w:val="NumPar 4"/>
    <w:basedOn w:val="Naslov4"/>
    <w:next w:val="Text4"/>
    <w:rsid w:val="00CB7BCC"/>
    <w:pPr>
      <w:tabs>
        <w:tab w:val="left" w:pos="4537"/>
      </w:tabs>
      <w:spacing w:before="0" w:line="240" w:lineRule="auto"/>
      <w:ind w:left="1866" w:hanging="960"/>
    </w:pPr>
    <w:rPr>
      <w:rFonts w:ascii="Arial" w:hAnsi="Arial" w:cs="Times New Roman"/>
      <w:b/>
      <w:color w:val="00B050"/>
      <w:sz w:val="20"/>
    </w:rPr>
  </w:style>
  <w:style w:type="paragraph" w:styleId="Golobesedilo">
    <w:name w:val="Plain Text"/>
    <w:basedOn w:val="Navaden"/>
    <w:link w:val="GolobesediloZnak"/>
    <w:rsid w:val="00CB7BCC"/>
    <w:pPr>
      <w:spacing w:before="0" w:line="240" w:lineRule="auto"/>
    </w:pPr>
    <w:rPr>
      <w:rFonts w:ascii="Courier New" w:eastAsia="Courier New" w:hAnsi="Courier New" w:cs="Times New Roman"/>
      <w:sz w:val="20"/>
      <w:szCs w:val="20"/>
    </w:rPr>
  </w:style>
  <w:style w:type="character" w:customStyle="1" w:styleId="GolobesediloZnak">
    <w:name w:val="Golo besedilo Znak"/>
    <w:basedOn w:val="Privzetapisavaodstavka"/>
    <w:link w:val="Golobesedilo"/>
    <w:rsid w:val="00CB7BCC"/>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CB7BCC"/>
    <w:pPr>
      <w:spacing w:before="0" w:line="240" w:lineRule="auto"/>
    </w:pPr>
    <w:rPr>
      <w:rFonts w:ascii="Times New Roman" w:hAnsi="Times New Roman" w:cs="Times New Roman"/>
      <w:sz w:val="24"/>
    </w:rPr>
  </w:style>
  <w:style w:type="character" w:customStyle="1" w:styleId="UvodnipozdravZnak">
    <w:name w:val="Uvodni pozdrav Znak"/>
    <w:basedOn w:val="Privzetapisavaodstavka"/>
    <w:link w:val="Uvodnipozdrav"/>
    <w:rsid w:val="00CB7BCC"/>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CB7BCC"/>
    <w:pPr>
      <w:spacing w:before="0" w:line="240" w:lineRule="auto"/>
      <w:ind w:left="480" w:hanging="240"/>
    </w:pPr>
    <w:rPr>
      <w:rFonts w:ascii="Times New Roman" w:hAnsi="Times New Roman" w:cs="Times New Roman"/>
      <w:sz w:val="24"/>
    </w:rPr>
  </w:style>
  <w:style w:type="paragraph" w:styleId="Kazalovirov-naslov">
    <w:name w:val="toa heading"/>
    <w:basedOn w:val="Navaden"/>
    <w:next w:val="Navaden"/>
    <w:semiHidden/>
    <w:rsid w:val="00CB7BCC"/>
    <w:pPr>
      <w:spacing w:before="0" w:line="240" w:lineRule="auto"/>
    </w:pPr>
    <w:rPr>
      <w:rFonts w:eastAsia="Arial" w:cs="Times New Roman"/>
      <w:b/>
      <w:sz w:val="20"/>
      <w:szCs w:val="20"/>
    </w:rPr>
  </w:style>
  <w:style w:type="paragraph" w:customStyle="1" w:styleId="YReferences">
    <w:name w:val="YReferences"/>
    <w:basedOn w:val="Navaden"/>
    <w:next w:val="Navaden"/>
    <w:rsid w:val="00CB7BCC"/>
    <w:pPr>
      <w:spacing w:before="0" w:line="240" w:lineRule="auto"/>
      <w:ind w:left="3062" w:hanging="1531"/>
    </w:pPr>
    <w:rPr>
      <w:rFonts w:ascii="Times New Roman" w:hAnsi="Times New Roman" w:cs="Times New Roman"/>
      <w:sz w:val="24"/>
    </w:rPr>
  </w:style>
  <w:style w:type="paragraph" w:customStyle="1" w:styleId="ListDash">
    <w:name w:val="List Dash"/>
    <w:basedOn w:val="Navaden"/>
    <w:rsid w:val="00CB7BCC"/>
    <w:pPr>
      <w:tabs>
        <w:tab w:val="left" w:pos="283"/>
      </w:tabs>
      <w:spacing w:before="0" w:line="240" w:lineRule="auto"/>
    </w:pPr>
    <w:rPr>
      <w:rFonts w:ascii="Times New Roman" w:hAnsi="Times New Roman" w:cs="Times New Roman"/>
      <w:sz w:val="24"/>
    </w:rPr>
  </w:style>
  <w:style w:type="paragraph" w:customStyle="1" w:styleId="ListDash1">
    <w:name w:val="List Dash 1"/>
    <w:basedOn w:val="Text1"/>
    <w:rsid w:val="00CB7BCC"/>
    <w:pPr>
      <w:numPr>
        <w:numId w:val="162"/>
      </w:numPr>
      <w:ind w:left="0" w:firstLine="0"/>
    </w:pPr>
    <w:rPr>
      <w:lang w:val="sl-SI"/>
    </w:rPr>
  </w:style>
  <w:style w:type="paragraph" w:customStyle="1" w:styleId="ListDash2">
    <w:name w:val="List Dash 2"/>
    <w:basedOn w:val="Text2"/>
    <w:rsid w:val="00CB7BCC"/>
    <w:pPr>
      <w:numPr>
        <w:numId w:val="163"/>
      </w:numPr>
      <w:tabs>
        <w:tab w:val="clear" w:pos="1360"/>
      </w:tabs>
      <w:ind w:left="0" w:firstLine="0"/>
    </w:pPr>
  </w:style>
  <w:style w:type="paragraph" w:customStyle="1" w:styleId="ListDash3">
    <w:name w:val="List Dash 3"/>
    <w:basedOn w:val="Text3"/>
    <w:rsid w:val="00CB7BCC"/>
    <w:pPr>
      <w:numPr>
        <w:numId w:val="164"/>
      </w:numPr>
      <w:ind w:left="0" w:firstLine="0"/>
    </w:pPr>
  </w:style>
  <w:style w:type="paragraph" w:customStyle="1" w:styleId="ListDash4">
    <w:name w:val="List Dash 4"/>
    <w:basedOn w:val="Text4"/>
    <w:rsid w:val="00CB7BCC"/>
    <w:pPr>
      <w:numPr>
        <w:numId w:val="165"/>
      </w:numPr>
      <w:ind w:left="0" w:firstLine="0"/>
    </w:pPr>
  </w:style>
  <w:style w:type="paragraph" w:customStyle="1" w:styleId="ListNumberLevel2">
    <w:name w:val="List Number (Level 2)"/>
    <w:basedOn w:val="Navaden"/>
    <w:rsid w:val="00CB7BCC"/>
    <w:pPr>
      <w:numPr>
        <w:ilvl w:val="1"/>
        <w:numId w:val="166"/>
      </w:numPr>
      <w:spacing w:before="0" w:line="240" w:lineRule="auto"/>
      <w:ind w:left="0" w:firstLine="0"/>
    </w:pPr>
    <w:rPr>
      <w:rFonts w:ascii="Times New Roman" w:hAnsi="Times New Roman" w:cs="Times New Roman"/>
      <w:sz w:val="24"/>
    </w:rPr>
  </w:style>
  <w:style w:type="paragraph" w:customStyle="1" w:styleId="ListNumberLevel3">
    <w:name w:val="List Number (Level 3)"/>
    <w:basedOn w:val="Navaden"/>
    <w:rsid w:val="00CB7BCC"/>
    <w:pPr>
      <w:numPr>
        <w:ilvl w:val="2"/>
        <w:numId w:val="166"/>
      </w:numPr>
      <w:spacing w:before="0" w:line="240" w:lineRule="auto"/>
      <w:ind w:left="0" w:firstLine="0"/>
    </w:pPr>
    <w:rPr>
      <w:rFonts w:ascii="Times New Roman" w:hAnsi="Times New Roman" w:cs="Times New Roman"/>
      <w:sz w:val="24"/>
    </w:rPr>
  </w:style>
  <w:style w:type="paragraph" w:customStyle="1" w:styleId="ListNumberLevel4">
    <w:name w:val="List Number (Level 4)"/>
    <w:basedOn w:val="Navaden"/>
    <w:rsid w:val="00CB7BCC"/>
    <w:pPr>
      <w:numPr>
        <w:ilvl w:val="3"/>
        <w:numId w:val="166"/>
      </w:numPr>
      <w:spacing w:before="0" w:line="240" w:lineRule="auto"/>
      <w:ind w:left="0" w:firstLine="0"/>
    </w:pPr>
    <w:rPr>
      <w:rFonts w:ascii="Times New Roman" w:hAnsi="Times New Roman" w:cs="Times New Roman"/>
      <w:sz w:val="24"/>
    </w:rPr>
  </w:style>
  <w:style w:type="paragraph" w:customStyle="1" w:styleId="ListNumber1">
    <w:name w:val="List Number 1"/>
    <w:basedOn w:val="Text1"/>
    <w:rsid w:val="00CB7BCC"/>
    <w:pPr>
      <w:numPr>
        <w:numId w:val="167"/>
      </w:numPr>
      <w:ind w:left="0" w:firstLine="0"/>
    </w:pPr>
    <w:rPr>
      <w:lang w:val="sl-SI"/>
    </w:rPr>
  </w:style>
  <w:style w:type="paragraph" w:customStyle="1" w:styleId="ListNumber1Level2">
    <w:name w:val="List Number 1 (Level 2)"/>
    <w:basedOn w:val="Text1"/>
    <w:rsid w:val="00CB7BCC"/>
    <w:pPr>
      <w:numPr>
        <w:ilvl w:val="1"/>
        <w:numId w:val="167"/>
      </w:numPr>
      <w:ind w:left="0" w:firstLine="0"/>
    </w:pPr>
    <w:rPr>
      <w:lang w:val="sl-SI"/>
    </w:rPr>
  </w:style>
  <w:style w:type="paragraph" w:customStyle="1" w:styleId="ListNumber1Level3">
    <w:name w:val="List Number 1 (Level 3)"/>
    <w:basedOn w:val="Text1"/>
    <w:rsid w:val="00CB7BCC"/>
    <w:pPr>
      <w:numPr>
        <w:ilvl w:val="2"/>
        <w:numId w:val="167"/>
      </w:numPr>
      <w:ind w:left="0" w:firstLine="0"/>
    </w:pPr>
    <w:rPr>
      <w:lang w:val="sl-SI"/>
    </w:rPr>
  </w:style>
  <w:style w:type="paragraph" w:customStyle="1" w:styleId="ListNumber1Level4">
    <w:name w:val="List Number 1 (Level 4)"/>
    <w:basedOn w:val="Text1"/>
    <w:rsid w:val="00CB7BCC"/>
    <w:pPr>
      <w:numPr>
        <w:ilvl w:val="3"/>
        <w:numId w:val="167"/>
      </w:numPr>
      <w:ind w:left="0" w:firstLine="0"/>
    </w:pPr>
    <w:rPr>
      <w:lang w:val="sl-SI"/>
    </w:rPr>
  </w:style>
  <w:style w:type="paragraph" w:customStyle="1" w:styleId="ListNumber2Level2">
    <w:name w:val="List Number 2 (Level 2)"/>
    <w:basedOn w:val="Text2"/>
    <w:rsid w:val="00CB7BCC"/>
    <w:pPr>
      <w:numPr>
        <w:ilvl w:val="1"/>
        <w:numId w:val="168"/>
      </w:numPr>
      <w:tabs>
        <w:tab w:val="clear" w:pos="2494"/>
        <w:tab w:val="left" w:pos="0"/>
        <w:tab w:val="num" w:pos="1440"/>
      </w:tabs>
      <w:ind w:left="0" w:firstLine="0"/>
    </w:pPr>
  </w:style>
  <w:style w:type="paragraph" w:customStyle="1" w:styleId="ListNumber2Level3">
    <w:name w:val="List Number 2 (Level 3)"/>
    <w:basedOn w:val="Text2"/>
    <w:rsid w:val="00CB7BCC"/>
    <w:pPr>
      <w:numPr>
        <w:ilvl w:val="2"/>
        <w:numId w:val="168"/>
      </w:numPr>
      <w:tabs>
        <w:tab w:val="clear" w:pos="3203"/>
        <w:tab w:val="left" w:pos="360"/>
        <w:tab w:val="num" w:pos="2160"/>
      </w:tabs>
      <w:ind w:left="0" w:firstLine="0"/>
    </w:pPr>
  </w:style>
  <w:style w:type="paragraph" w:customStyle="1" w:styleId="ListNumber2Level4">
    <w:name w:val="List Number 2 (Level 4)"/>
    <w:basedOn w:val="Text2"/>
    <w:rsid w:val="00CB7BCC"/>
    <w:pPr>
      <w:numPr>
        <w:ilvl w:val="3"/>
        <w:numId w:val="168"/>
      </w:numPr>
      <w:tabs>
        <w:tab w:val="clear" w:pos="3912"/>
        <w:tab w:val="left" w:pos="906"/>
        <w:tab w:val="num" w:pos="2880"/>
      </w:tabs>
      <w:ind w:left="4604" w:hanging="703"/>
    </w:pPr>
  </w:style>
  <w:style w:type="paragraph" w:customStyle="1" w:styleId="ListNumber3Level2">
    <w:name w:val="List Number 3 (Level 2)"/>
    <w:basedOn w:val="Text3"/>
    <w:rsid w:val="00CB7BCC"/>
    <w:pPr>
      <w:numPr>
        <w:ilvl w:val="1"/>
        <w:numId w:val="169"/>
      </w:numPr>
      <w:ind w:left="0" w:firstLine="0"/>
    </w:pPr>
  </w:style>
  <w:style w:type="paragraph" w:customStyle="1" w:styleId="ListNumber3Level3">
    <w:name w:val="List Number 3 (Level 3)"/>
    <w:basedOn w:val="Text3"/>
    <w:rsid w:val="00CB7BCC"/>
    <w:pPr>
      <w:numPr>
        <w:ilvl w:val="2"/>
        <w:numId w:val="169"/>
      </w:numPr>
      <w:ind w:left="0" w:firstLine="0"/>
    </w:pPr>
  </w:style>
  <w:style w:type="paragraph" w:customStyle="1" w:styleId="ListNumber3Level4">
    <w:name w:val="List Number 3 (Level 4)"/>
    <w:basedOn w:val="Text3"/>
    <w:rsid w:val="00CB7BCC"/>
    <w:pPr>
      <w:numPr>
        <w:ilvl w:val="3"/>
        <w:numId w:val="169"/>
      </w:numPr>
      <w:ind w:left="0" w:firstLine="0"/>
    </w:pPr>
  </w:style>
  <w:style w:type="paragraph" w:customStyle="1" w:styleId="ListNumber4Level2">
    <w:name w:val="List Number 4 (Level 2)"/>
    <w:basedOn w:val="Text4"/>
    <w:rsid w:val="00CB7BCC"/>
    <w:pPr>
      <w:numPr>
        <w:ilvl w:val="1"/>
        <w:numId w:val="170"/>
      </w:numPr>
      <w:ind w:left="0" w:firstLine="0"/>
    </w:pPr>
  </w:style>
  <w:style w:type="paragraph" w:customStyle="1" w:styleId="ListNumber4Level3">
    <w:name w:val="List Number 4 (Level 3)"/>
    <w:basedOn w:val="Text4"/>
    <w:rsid w:val="00CB7BCC"/>
    <w:pPr>
      <w:numPr>
        <w:ilvl w:val="2"/>
        <w:numId w:val="170"/>
      </w:numPr>
      <w:ind w:left="0" w:firstLine="0"/>
    </w:pPr>
  </w:style>
  <w:style w:type="paragraph" w:customStyle="1" w:styleId="ListNumber4Level4">
    <w:name w:val="List Number 4 (Level 4)"/>
    <w:basedOn w:val="Text4"/>
    <w:rsid w:val="00CB7BCC"/>
    <w:pPr>
      <w:numPr>
        <w:ilvl w:val="3"/>
        <w:numId w:val="170"/>
      </w:numPr>
      <w:ind w:left="0" w:firstLine="0"/>
    </w:pPr>
  </w:style>
  <w:style w:type="paragraph" w:customStyle="1" w:styleId="Contact">
    <w:name w:val="Contact"/>
    <w:basedOn w:val="Navaden"/>
    <w:next w:val="Navaden"/>
    <w:rsid w:val="00CB7BCC"/>
    <w:pPr>
      <w:spacing w:before="0" w:line="240" w:lineRule="auto"/>
      <w:ind w:left="1134" w:hanging="567"/>
    </w:pPr>
    <w:rPr>
      <w:rFonts w:ascii="Times New Roman" w:hAnsi="Times New Roman" w:cs="Times New Roman"/>
      <w:sz w:val="24"/>
    </w:rPr>
  </w:style>
  <w:style w:type="paragraph" w:customStyle="1" w:styleId="DisclaimerNotice">
    <w:name w:val="Disclaimer Notice"/>
    <w:basedOn w:val="Navaden"/>
    <w:next w:val="AddressTR"/>
    <w:rsid w:val="00CB7BCC"/>
    <w:pPr>
      <w:spacing w:before="0" w:line="240" w:lineRule="auto"/>
      <w:ind w:left="5103"/>
    </w:pPr>
    <w:rPr>
      <w:rFonts w:ascii="Times New Roman" w:hAnsi="Times New Roman" w:cs="Times New Roman"/>
      <w:i/>
      <w:sz w:val="20"/>
      <w:szCs w:val="20"/>
    </w:rPr>
  </w:style>
  <w:style w:type="paragraph" w:customStyle="1" w:styleId="Disclaimer">
    <w:name w:val="Disclaimer"/>
    <w:basedOn w:val="Navaden"/>
    <w:rsid w:val="00CB7BCC"/>
    <w:pPr>
      <w:keepLines/>
      <w:spacing w:before="0" w:line="240" w:lineRule="auto"/>
    </w:pPr>
    <w:rPr>
      <w:rFonts w:ascii="Times New Roman" w:hAnsi="Times New Roman" w:cs="Times New Roman"/>
      <w:i/>
      <w:sz w:val="20"/>
      <w:szCs w:val="20"/>
    </w:rPr>
  </w:style>
  <w:style w:type="paragraph" w:customStyle="1" w:styleId="DisclaimerSJ">
    <w:name w:val="Disclaimer_SJ"/>
    <w:basedOn w:val="Navaden"/>
    <w:next w:val="Navaden"/>
    <w:rsid w:val="00CB7BCC"/>
    <w:pPr>
      <w:spacing w:before="0" w:line="240" w:lineRule="auto"/>
    </w:pPr>
    <w:rPr>
      <w:rFonts w:eastAsia="Arial" w:cs="Times New Roman"/>
      <w:b/>
      <w:sz w:val="16"/>
      <w:szCs w:val="16"/>
    </w:rPr>
  </w:style>
  <w:style w:type="paragraph" w:customStyle="1" w:styleId="Designator">
    <w:name w:val="Designator"/>
    <w:basedOn w:val="Navaden"/>
    <w:rsid w:val="00CB7BCC"/>
    <w:pPr>
      <w:spacing w:before="0" w:line="240" w:lineRule="auto"/>
      <w:jc w:val="center"/>
    </w:pPr>
    <w:rPr>
      <w:rFonts w:ascii="Times New Roman" w:hAnsi="Times New Roman" w:cs="Times New Roman"/>
      <w:b/>
      <w:caps/>
      <w:sz w:val="32"/>
      <w:szCs w:val="32"/>
    </w:rPr>
  </w:style>
  <w:style w:type="paragraph" w:customStyle="1" w:styleId="Releasable">
    <w:name w:val="Releasable"/>
    <w:basedOn w:val="Navaden"/>
    <w:qFormat/>
    <w:rsid w:val="00CB7BCC"/>
    <w:pPr>
      <w:spacing w:before="0" w:line="240" w:lineRule="auto"/>
      <w:jc w:val="center"/>
    </w:pPr>
    <w:rPr>
      <w:rFonts w:ascii="Times New Roman" w:hAnsi="Times New Roman" w:cs="Times New Roman"/>
      <w:b/>
      <w:caps/>
      <w:sz w:val="32"/>
      <w:szCs w:val="32"/>
    </w:rPr>
  </w:style>
  <w:style w:type="paragraph" w:customStyle="1" w:styleId="RUE">
    <w:name w:val="RUE"/>
    <w:basedOn w:val="Navaden"/>
    <w:rsid w:val="00CB7BCC"/>
    <w:pPr>
      <w:spacing w:before="0" w:line="240" w:lineRule="auto"/>
      <w:jc w:val="center"/>
    </w:pPr>
    <w:rPr>
      <w:rFonts w:ascii="Times New Roman" w:hAnsi="Times New Roman" w:cs="Times New Roman"/>
      <w:b/>
      <w:caps/>
      <w:sz w:val="32"/>
      <w:szCs w:val="32"/>
      <w:bdr w:val="single" w:sz="18" w:space="0" w:color="000000"/>
    </w:rPr>
  </w:style>
  <w:style w:type="paragraph" w:customStyle="1" w:styleId="ConfidentialUE">
    <w:name w:val="Confidential UE"/>
    <w:basedOn w:val="Navaden"/>
    <w:rsid w:val="00CB7BCC"/>
    <w:pPr>
      <w:spacing w:before="0" w:line="240" w:lineRule="auto"/>
      <w:jc w:val="center"/>
    </w:pPr>
    <w:rPr>
      <w:rFonts w:ascii="Times New Roman" w:hAnsi="Times New Roman" w:cs="Times New Roman"/>
      <w:b/>
      <w:caps/>
      <w:sz w:val="32"/>
      <w:szCs w:val="32"/>
      <w:bdr w:val="single" w:sz="18" w:space="0" w:color="000000"/>
    </w:rPr>
  </w:style>
  <w:style w:type="paragraph" w:customStyle="1" w:styleId="TrsSecretUE">
    <w:name w:val="Très Secret UE"/>
    <w:basedOn w:val="Navaden"/>
    <w:rsid w:val="00CB7BCC"/>
    <w:pPr>
      <w:spacing w:before="0" w:line="240" w:lineRule="auto"/>
      <w:jc w:val="center"/>
    </w:pPr>
    <w:rPr>
      <w:rFonts w:ascii="Times New Roman" w:hAnsi="Times New Roman" w:cs="Times New Roman"/>
      <w:b/>
      <w:caps/>
      <w:color w:val="FF0000"/>
      <w:sz w:val="32"/>
      <w:szCs w:val="32"/>
      <w:bdr w:val="single" w:sz="18" w:space="0" w:color="FF0000"/>
    </w:rPr>
  </w:style>
  <w:style w:type="paragraph" w:customStyle="1" w:styleId="SecretUE">
    <w:name w:val="Secret UE"/>
    <w:basedOn w:val="Navaden"/>
    <w:rsid w:val="00CB7BCC"/>
    <w:pPr>
      <w:spacing w:before="0" w:line="240" w:lineRule="auto"/>
      <w:jc w:val="center"/>
    </w:pPr>
    <w:rPr>
      <w:rFonts w:ascii="Times New Roman" w:hAnsi="Times New Roman" w:cs="Times New Roman"/>
      <w:b/>
      <w:caps/>
      <w:color w:val="FF0000"/>
      <w:sz w:val="32"/>
      <w:szCs w:val="32"/>
      <w:bdr w:val="single" w:sz="18" w:space="0" w:color="FF0000"/>
    </w:rPr>
  </w:style>
  <w:style w:type="paragraph" w:customStyle="1" w:styleId="LegalNumPar">
    <w:name w:val="LegalNumPar"/>
    <w:basedOn w:val="Navaden"/>
    <w:rsid w:val="00CB7BCC"/>
    <w:pPr>
      <w:numPr>
        <w:numId w:val="171"/>
      </w:numPr>
      <w:spacing w:before="0" w:line="240" w:lineRule="auto"/>
      <w:ind w:left="0" w:firstLine="0"/>
    </w:pPr>
    <w:rPr>
      <w:rFonts w:eastAsia="Calibri" w:cs="Times New Roman"/>
      <w:sz w:val="20"/>
      <w:szCs w:val="20"/>
    </w:rPr>
  </w:style>
  <w:style w:type="paragraph" w:customStyle="1" w:styleId="LegalNumPar2">
    <w:name w:val="LegalNumPar2"/>
    <w:basedOn w:val="Navaden"/>
    <w:rsid w:val="00CB7BCC"/>
    <w:pPr>
      <w:numPr>
        <w:ilvl w:val="1"/>
        <w:numId w:val="171"/>
      </w:numPr>
      <w:spacing w:before="0" w:line="240" w:lineRule="auto"/>
      <w:ind w:left="0" w:firstLine="0"/>
    </w:pPr>
    <w:rPr>
      <w:rFonts w:eastAsia="Calibri" w:cs="Times New Roman"/>
      <w:sz w:val="20"/>
      <w:szCs w:val="20"/>
    </w:rPr>
  </w:style>
  <w:style w:type="paragraph" w:customStyle="1" w:styleId="LegalNumPar3">
    <w:name w:val="LegalNumPar3"/>
    <w:basedOn w:val="Navaden"/>
    <w:rsid w:val="00CB7BCC"/>
    <w:pPr>
      <w:numPr>
        <w:ilvl w:val="2"/>
        <w:numId w:val="171"/>
      </w:numPr>
      <w:spacing w:before="0" w:line="240" w:lineRule="auto"/>
      <w:ind w:left="0" w:firstLine="0"/>
    </w:pPr>
    <w:rPr>
      <w:rFonts w:eastAsia="Calibri" w:cs="Times New Roman"/>
      <w:sz w:val="20"/>
      <w:szCs w:val="20"/>
    </w:rPr>
  </w:style>
  <w:style w:type="paragraph" w:customStyle="1" w:styleId="ZCom">
    <w:name w:val="Z_Com"/>
    <w:basedOn w:val="Navaden"/>
    <w:rsid w:val="00CB7BCC"/>
    <w:pPr>
      <w:autoSpaceDE w:val="0"/>
      <w:autoSpaceDN w:val="0"/>
      <w:spacing w:before="0" w:line="240" w:lineRule="auto"/>
      <w:ind w:right="85"/>
    </w:pPr>
    <w:rPr>
      <w:rFonts w:eastAsia="Arial" w:cs="Times New Roman"/>
      <w:sz w:val="20"/>
      <w:szCs w:val="20"/>
    </w:rPr>
  </w:style>
  <w:style w:type="paragraph" w:customStyle="1" w:styleId="ZDGName">
    <w:name w:val="Z_DGName"/>
    <w:basedOn w:val="Navaden"/>
    <w:rsid w:val="00CB7BCC"/>
    <w:pPr>
      <w:autoSpaceDE w:val="0"/>
      <w:autoSpaceDN w:val="0"/>
      <w:spacing w:before="0" w:line="240" w:lineRule="auto"/>
      <w:ind w:right="85"/>
    </w:pPr>
    <w:rPr>
      <w:rFonts w:eastAsia="Arial" w:cs="Times New Roman"/>
      <w:sz w:val="16"/>
      <w:szCs w:val="16"/>
    </w:rPr>
  </w:style>
  <w:style w:type="character" w:customStyle="1" w:styleId="BrezrazmikovZnak">
    <w:name w:val="Brez razmikov Znak"/>
    <w:aliases w:val="navaden bold JOŽI Znak"/>
    <w:basedOn w:val="Privzetapisavaodstavka"/>
    <w:link w:val="Brezrazmikov"/>
    <w:uiPriority w:val="1"/>
    <w:rsid w:val="00CB7BCC"/>
    <w:rPr>
      <w:rFonts w:ascii="Calibri" w:eastAsia="Calibri" w:hAnsi="Calibri" w:cs="Times New Roman"/>
      <w:sz w:val="20"/>
      <w:lang w:val="en-GB" w:eastAsia="en-GB"/>
    </w:rPr>
  </w:style>
  <w:style w:type="character" w:customStyle="1" w:styleId="Text2Char">
    <w:name w:val="Text 2 Char"/>
    <w:link w:val="Text2"/>
    <w:rsid w:val="00CB7BCC"/>
    <w:rPr>
      <w:rFonts w:ascii="Times New Roman" w:eastAsia="Times New Roman" w:hAnsi="Times New Roman" w:cs="Times New Roman"/>
      <w:sz w:val="24"/>
      <w:szCs w:val="24"/>
      <w:lang w:eastAsia="en-GB"/>
    </w:rPr>
  </w:style>
  <w:style w:type="paragraph" w:customStyle="1" w:styleId="Point1">
    <w:name w:val="Point 1"/>
    <w:basedOn w:val="Navaden"/>
    <w:rsid w:val="00CB7BCC"/>
    <w:pPr>
      <w:spacing w:before="0" w:line="240" w:lineRule="auto"/>
      <w:ind w:left="1984" w:hanging="567"/>
    </w:pPr>
    <w:rPr>
      <w:rFonts w:eastAsia="Calibri" w:cs="Times New Roman"/>
      <w:sz w:val="20"/>
      <w:szCs w:val="20"/>
    </w:rPr>
  </w:style>
  <w:style w:type="paragraph" w:customStyle="1" w:styleId="Tiret2">
    <w:name w:val="Tiret 2"/>
    <w:basedOn w:val="Navaden"/>
    <w:rsid w:val="00CB7BCC"/>
    <w:pPr>
      <w:numPr>
        <w:numId w:val="173"/>
      </w:numPr>
      <w:spacing w:before="0" w:line="240" w:lineRule="auto"/>
      <w:ind w:left="0" w:firstLine="0"/>
    </w:pPr>
    <w:rPr>
      <w:rFonts w:eastAsia="Calibri" w:cs="Times New Roman"/>
      <w:sz w:val="20"/>
      <w:szCs w:val="20"/>
    </w:rPr>
  </w:style>
  <w:style w:type="paragraph" w:customStyle="1" w:styleId="Point0number">
    <w:name w:val="Point 0 (number)"/>
    <w:basedOn w:val="Navaden"/>
    <w:rsid w:val="00CB7BCC"/>
    <w:pPr>
      <w:numPr>
        <w:numId w:val="172"/>
      </w:numPr>
      <w:spacing w:before="0" w:line="240" w:lineRule="auto"/>
      <w:ind w:left="0" w:firstLine="0"/>
    </w:pPr>
    <w:rPr>
      <w:rFonts w:eastAsia="Calibri" w:cs="Times New Roman"/>
      <w:sz w:val="20"/>
      <w:szCs w:val="20"/>
    </w:rPr>
  </w:style>
  <w:style w:type="paragraph" w:customStyle="1" w:styleId="Point1number">
    <w:name w:val="Point 1 (number)"/>
    <w:basedOn w:val="Navaden"/>
    <w:rsid w:val="00CB7BCC"/>
    <w:pPr>
      <w:numPr>
        <w:ilvl w:val="2"/>
        <w:numId w:val="172"/>
      </w:numPr>
      <w:spacing w:before="0" w:line="240" w:lineRule="auto"/>
      <w:ind w:left="0" w:firstLine="0"/>
    </w:pPr>
    <w:rPr>
      <w:rFonts w:eastAsia="Calibri" w:cs="Times New Roman"/>
      <w:sz w:val="20"/>
      <w:szCs w:val="20"/>
    </w:rPr>
  </w:style>
  <w:style w:type="paragraph" w:customStyle="1" w:styleId="Point2number">
    <w:name w:val="Point 2 (number)"/>
    <w:basedOn w:val="Navaden"/>
    <w:rsid w:val="00CB7BCC"/>
    <w:pPr>
      <w:numPr>
        <w:ilvl w:val="4"/>
        <w:numId w:val="172"/>
      </w:numPr>
      <w:spacing w:before="0" w:line="240" w:lineRule="auto"/>
      <w:ind w:left="0" w:firstLine="0"/>
    </w:pPr>
    <w:rPr>
      <w:rFonts w:eastAsia="Calibri" w:cs="Times New Roman"/>
      <w:sz w:val="20"/>
      <w:szCs w:val="20"/>
    </w:rPr>
  </w:style>
  <w:style w:type="paragraph" w:customStyle="1" w:styleId="Point3number">
    <w:name w:val="Point 3 (number)"/>
    <w:basedOn w:val="Navaden"/>
    <w:rsid w:val="00CB7BCC"/>
    <w:pPr>
      <w:numPr>
        <w:ilvl w:val="6"/>
        <w:numId w:val="172"/>
      </w:numPr>
      <w:spacing w:before="0" w:line="240" w:lineRule="auto"/>
      <w:ind w:left="0" w:firstLine="0"/>
    </w:pPr>
    <w:rPr>
      <w:rFonts w:eastAsia="Calibri" w:cs="Times New Roman"/>
      <w:sz w:val="20"/>
      <w:szCs w:val="20"/>
    </w:rPr>
  </w:style>
  <w:style w:type="paragraph" w:customStyle="1" w:styleId="Point0letter">
    <w:name w:val="Point 0 (letter)"/>
    <w:basedOn w:val="Navaden"/>
    <w:rsid w:val="00CB7BCC"/>
    <w:pPr>
      <w:numPr>
        <w:ilvl w:val="1"/>
        <w:numId w:val="172"/>
      </w:numPr>
      <w:spacing w:before="0" w:line="240" w:lineRule="auto"/>
      <w:ind w:left="0" w:firstLine="0"/>
    </w:pPr>
    <w:rPr>
      <w:rFonts w:eastAsia="Calibri" w:cs="Times New Roman"/>
      <w:sz w:val="20"/>
      <w:szCs w:val="20"/>
    </w:rPr>
  </w:style>
  <w:style w:type="paragraph" w:customStyle="1" w:styleId="Point1letter">
    <w:name w:val="Point 1 (letter)"/>
    <w:basedOn w:val="Navaden"/>
    <w:rsid w:val="00CB7BCC"/>
    <w:pPr>
      <w:numPr>
        <w:ilvl w:val="3"/>
        <w:numId w:val="172"/>
      </w:numPr>
      <w:spacing w:before="0" w:line="240" w:lineRule="auto"/>
      <w:ind w:left="0" w:firstLine="0"/>
    </w:pPr>
    <w:rPr>
      <w:rFonts w:eastAsia="Calibri" w:cs="Times New Roman"/>
      <w:sz w:val="20"/>
      <w:szCs w:val="20"/>
    </w:rPr>
  </w:style>
  <w:style w:type="paragraph" w:customStyle="1" w:styleId="Point2letter">
    <w:name w:val="Point 2 (letter)"/>
    <w:basedOn w:val="Navaden"/>
    <w:rsid w:val="00CB7BCC"/>
    <w:pPr>
      <w:numPr>
        <w:ilvl w:val="5"/>
        <w:numId w:val="172"/>
      </w:numPr>
      <w:spacing w:before="0" w:line="240" w:lineRule="auto"/>
      <w:ind w:left="0" w:firstLine="0"/>
    </w:pPr>
    <w:rPr>
      <w:rFonts w:eastAsia="Calibri" w:cs="Times New Roman"/>
      <w:sz w:val="20"/>
      <w:szCs w:val="20"/>
    </w:rPr>
  </w:style>
  <w:style w:type="paragraph" w:customStyle="1" w:styleId="Point3letter">
    <w:name w:val="Point 3 (letter)"/>
    <w:basedOn w:val="Navaden"/>
    <w:rsid w:val="00CB7BCC"/>
    <w:pPr>
      <w:numPr>
        <w:ilvl w:val="7"/>
        <w:numId w:val="172"/>
      </w:numPr>
      <w:spacing w:before="0" w:line="240" w:lineRule="auto"/>
      <w:ind w:left="0" w:firstLine="0"/>
    </w:pPr>
    <w:rPr>
      <w:rFonts w:eastAsia="Calibri" w:cs="Times New Roman"/>
      <w:sz w:val="20"/>
      <w:szCs w:val="20"/>
    </w:rPr>
  </w:style>
  <w:style w:type="paragraph" w:customStyle="1" w:styleId="Point4letter">
    <w:name w:val="Point 4 (letter)"/>
    <w:basedOn w:val="Navaden"/>
    <w:rsid w:val="00CB7BCC"/>
    <w:pPr>
      <w:numPr>
        <w:ilvl w:val="8"/>
        <w:numId w:val="172"/>
      </w:numPr>
      <w:spacing w:before="0" w:line="240" w:lineRule="auto"/>
      <w:ind w:left="0" w:firstLine="0"/>
    </w:pPr>
    <w:rPr>
      <w:rFonts w:eastAsia="Calibri" w:cs="Times New Roman"/>
      <w:sz w:val="20"/>
      <w:szCs w:val="20"/>
    </w:rPr>
  </w:style>
  <w:style w:type="paragraph" w:customStyle="1" w:styleId="StyleHeading3BoldNotItalic">
    <w:name w:val="Style Heading 3 + Bold Not Italic"/>
    <w:basedOn w:val="Naslov3"/>
    <w:rsid w:val="00CB7BCC"/>
    <w:pPr>
      <w:keepNext/>
      <w:numPr>
        <w:ilvl w:val="0"/>
        <w:numId w:val="174"/>
      </w:numPr>
      <w:tabs>
        <w:tab w:val="left" w:pos="360"/>
        <w:tab w:val="left" w:pos="850"/>
        <w:tab w:val="left" w:pos="4537"/>
      </w:tabs>
      <w:spacing w:before="0" w:line="260" w:lineRule="atLeast"/>
      <w:ind w:left="1440" w:hanging="720"/>
    </w:pPr>
    <w:rPr>
      <w:rFonts w:ascii="Times New Roman Bold" w:eastAsia="Times New Roman Bold" w:hAnsi="Times New Roman Bold" w:cs="Times New Roman"/>
      <w:b/>
      <w:i w:val="0"/>
      <w:color w:val="00B050"/>
      <w:szCs w:val="20"/>
    </w:rPr>
  </w:style>
  <w:style w:type="paragraph" w:customStyle="1" w:styleId="Tim">
    <w:name w:val="Tim"/>
    <w:basedOn w:val="Navaden"/>
    <w:rsid w:val="00CB7BCC"/>
    <w:pPr>
      <w:numPr>
        <w:numId w:val="175"/>
      </w:numPr>
      <w:spacing w:before="0" w:line="240" w:lineRule="auto"/>
      <w:ind w:left="0" w:firstLine="0"/>
    </w:pPr>
    <w:rPr>
      <w:rFonts w:ascii="Calibri" w:eastAsia="Calibri" w:hAnsi="Calibri" w:cs="Times New Roman"/>
      <w:sz w:val="20"/>
      <w:szCs w:val="22"/>
    </w:rPr>
  </w:style>
  <w:style w:type="table" w:customStyle="1" w:styleId="TableGridLight1">
    <w:name w:val="Table Grid Light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CB7BCC"/>
    <w:pPr>
      <w:spacing w:before="0" w:line="240" w:lineRule="auto"/>
    </w:pPr>
    <w:rPr>
      <w:rFonts w:ascii="Times New Roman" w:eastAsia="Arial Unicode MS" w:hAnsi="Times New Roman" w:cs="Times New Roman"/>
      <w:color w:val="000000"/>
      <w:sz w:val="20"/>
      <w:szCs w:val="20"/>
      <w:lang w:eastAsia="sl-SI" w:bidi="sl-SI"/>
    </w:rPr>
  </w:style>
  <w:style w:type="paragraph" w:customStyle="1" w:styleId="BodyText31">
    <w:name w:val="Body Text 31"/>
    <w:basedOn w:val="Navaden"/>
    <w:rsid w:val="00CB7BCC"/>
    <w:pPr>
      <w:widowControl w:val="0"/>
      <w:overflowPunct w:val="0"/>
      <w:autoSpaceDE w:val="0"/>
      <w:autoSpaceDN w:val="0"/>
      <w:adjustRightInd w:val="0"/>
      <w:spacing w:before="0" w:line="240" w:lineRule="auto"/>
      <w:textAlignment w:val="baseline"/>
    </w:pPr>
    <w:rPr>
      <w:rFonts w:ascii="Times New Roman" w:hAnsi="Times New Roman" w:cs="Times New Roman"/>
      <w:sz w:val="24"/>
      <w:szCs w:val="20"/>
      <w:lang w:eastAsia="sl-SI"/>
    </w:rPr>
  </w:style>
  <w:style w:type="paragraph" w:customStyle="1" w:styleId="ZnakZnakZnakZnakZnak1">
    <w:name w:val="Znak Znak Znak Znak Znak1"/>
    <w:basedOn w:val="Navaden"/>
    <w:rsid w:val="00CB7BCC"/>
    <w:pPr>
      <w:spacing w:before="0" w:after="160" w:line="240" w:lineRule="exact"/>
      <w:jc w:val="left"/>
    </w:pPr>
    <w:rPr>
      <w:rFonts w:ascii="Tahoma" w:hAnsi="Tahoma" w:cs="Times New Roman"/>
      <w:sz w:val="20"/>
      <w:szCs w:val="20"/>
      <w:lang w:val="en-US" w:eastAsia="en-US"/>
    </w:rPr>
  </w:style>
  <w:style w:type="paragraph" w:customStyle="1" w:styleId="ZPtekstpoevni">
    <w:name w:val="ZP_tekst_poševni"/>
    <w:basedOn w:val="Navaden"/>
    <w:next w:val="Navaden"/>
    <w:qFormat/>
    <w:rsid w:val="00CB7BCC"/>
    <w:pPr>
      <w:spacing w:after="120"/>
    </w:pPr>
    <w:rPr>
      <w:i/>
      <w:sz w:val="20"/>
      <w:szCs w:val="22"/>
      <w:lang w:eastAsia="en-US"/>
    </w:rPr>
  </w:style>
  <w:style w:type="character" w:customStyle="1" w:styleId="Bodytext2Bold">
    <w:name w:val="Body text (2) + Bold"/>
    <w:basedOn w:val="Privzetapisavaodstavka"/>
    <w:rsid w:val="00CB7BCC"/>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CB7BCC"/>
    <w:rPr>
      <w:rFonts w:eastAsia="Arial" w:cs="Arial"/>
      <w:sz w:val="13"/>
      <w:szCs w:val="13"/>
      <w:shd w:val="clear" w:color="auto" w:fill="FFFFFF"/>
    </w:rPr>
  </w:style>
  <w:style w:type="character" w:customStyle="1" w:styleId="Bodytext27ptScale66">
    <w:name w:val="Body text (2) + 7 pt;Scale 66%"/>
    <w:basedOn w:val="Bodytext2"/>
    <w:rsid w:val="00CB7BCC"/>
    <w:rPr>
      <w:rFonts w:eastAsia="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CB7BCC"/>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CB7BCC"/>
    <w:pPr>
      <w:widowControl w:val="0"/>
      <w:shd w:val="clear" w:color="auto" w:fill="FFFFFF"/>
      <w:spacing w:after="300" w:line="197" w:lineRule="exact"/>
      <w:ind w:hanging="180"/>
      <w:jc w:val="left"/>
    </w:pPr>
    <w:rPr>
      <w:rFonts w:asciiTheme="minorHAnsi" w:eastAsia="Arial" w:hAnsiTheme="minorHAnsi"/>
      <w:sz w:val="13"/>
      <w:szCs w:val="13"/>
      <w:lang w:eastAsia="en-US"/>
    </w:rPr>
  </w:style>
  <w:style w:type="character" w:customStyle="1" w:styleId="Bodytext2Georgia4ptBold">
    <w:name w:val="Body text (2) + Georgia;4 pt;Bold"/>
    <w:basedOn w:val="Bodytext2"/>
    <w:rsid w:val="00CB7BCC"/>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CB7BCC"/>
    <w:rPr>
      <w:rFonts w:eastAsia="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CB7BCC"/>
    <w:rPr>
      <w:rFonts w:eastAsia="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CB7B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alineja">
    <w:name w:val="alineja"/>
    <w:basedOn w:val="Navaden"/>
    <w:rsid w:val="00CB7BCC"/>
    <w:pPr>
      <w:numPr>
        <w:numId w:val="176"/>
      </w:numPr>
      <w:autoSpaceDE w:val="0"/>
      <w:autoSpaceDN w:val="0"/>
      <w:adjustRightInd w:val="0"/>
      <w:spacing w:before="0" w:line="240" w:lineRule="auto"/>
      <w:ind w:left="714" w:hanging="357"/>
    </w:pPr>
    <w:rPr>
      <w:rFonts w:ascii="Tahoma" w:hAnsi="Tahoma" w:cs="Times New Roman"/>
      <w:sz w:val="20"/>
      <w:szCs w:val="22"/>
      <w:lang w:eastAsia="sl-SI"/>
    </w:rPr>
  </w:style>
  <w:style w:type="character" w:customStyle="1" w:styleId="ccccccc">
    <w:name w:val="ccccccc"/>
    <w:rsid w:val="00CB7BCC"/>
    <w:rPr>
      <w:rFonts w:ascii="Arial" w:hAnsi="Arial"/>
      <w:b/>
      <w:bCs/>
      <w:sz w:val="22"/>
      <w:lang w:eastAsia="en-US"/>
    </w:rPr>
  </w:style>
  <w:style w:type="paragraph" w:customStyle="1" w:styleId="ZPokvirnaslov">
    <w:name w:val="ZP_okvir_naslov"/>
    <w:basedOn w:val="ZPtekst"/>
    <w:qFormat/>
    <w:rsid w:val="00CB7BCC"/>
    <w:pPr>
      <w:keepNext/>
      <w:spacing w:before="80" w:after="80"/>
      <w:ind w:firstLine="454"/>
      <w:jc w:val="left"/>
    </w:pPr>
    <w:rPr>
      <w:b/>
      <w:sz w:val="20"/>
      <w:szCs w:val="22"/>
      <w:lang w:eastAsia="en-US"/>
    </w:rPr>
  </w:style>
  <w:style w:type="paragraph" w:customStyle="1" w:styleId="ZPokvirtekst">
    <w:name w:val="ZP_okvir_tekst"/>
    <w:basedOn w:val="ZPtekst"/>
    <w:qFormat/>
    <w:rsid w:val="00CB7BCC"/>
    <w:pPr>
      <w:keepNext/>
      <w:spacing w:before="80" w:after="80" w:line="245" w:lineRule="auto"/>
      <w:ind w:firstLine="454"/>
    </w:pPr>
    <w:rPr>
      <w:sz w:val="18"/>
      <w:szCs w:val="22"/>
      <w:lang w:eastAsia="en-US"/>
    </w:rPr>
  </w:style>
  <w:style w:type="table" w:customStyle="1" w:styleId="Tabelamrea6">
    <w:name w:val="Tabela – mreža6"/>
    <w:basedOn w:val="Navadnatabela"/>
    <w:next w:val="Tabelamrea"/>
    <w:uiPriority w:val="5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CB7BCC"/>
    <w:rPr>
      <w:rFonts w:cs="FTERJY+MyriadPro-Regular"/>
      <w:color w:val="000000"/>
      <w:sz w:val="17"/>
      <w:szCs w:val="17"/>
    </w:rPr>
  </w:style>
  <w:style w:type="table" w:customStyle="1" w:styleId="Tabelamrea11">
    <w:name w:val="Tabela – mreža11"/>
    <w:basedOn w:val="Navadnatabela"/>
    <w:next w:val="Tabelamrea"/>
    <w:uiPriority w:val="5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vilnatoka111">
    <w:name w:val="Številčna točka 1.1.1"/>
    <w:basedOn w:val="Navaden"/>
    <w:qFormat/>
    <w:rsid w:val="00CB7BCC"/>
    <w:pPr>
      <w:widowControl w:val="0"/>
      <w:numPr>
        <w:ilvl w:val="2"/>
        <w:numId w:val="177"/>
      </w:numPr>
      <w:overflowPunct w:val="0"/>
      <w:autoSpaceDE w:val="0"/>
      <w:autoSpaceDN w:val="0"/>
      <w:adjustRightInd w:val="0"/>
      <w:spacing w:before="0" w:line="240" w:lineRule="auto"/>
    </w:pPr>
    <w:rPr>
      <w:rFonts w:cs="Times New Roman"/>
      <w:sz w:val="20"/>
      <w:szCs w:val="16"/>
      <w:lang w:eastAsia="sl-SI"/>
    </w:rPr>
  </w:style>
  <w:style w:type="paragraph" w:customStyle="1" w:styleId="tevilnatoka">
    <w:name w:val="Številčna točka"/>
    <w:basedOn w:val="Navaden"/>
    <w:link w:val="tevilnatokaZnak"/>
    <w:qFormat/>
    <w:rsid w:val="00CB7BCC"/>
    <w:pPr>
      <w:numPr>
        <w:numId w:val="177"/>
      </w:numPr>
      <w:spacing w:before="0" w:line="240" w:lineRule="auto"/>
    </w:pPr>
    <w:rPr>
      <w:sz w:val="20"/>
      <w:szCs w:val="22"/>
      <w:lang w:eastAsia="sl-SI"/>
    </w:rPr>
  </w:style>
  <w:style w:type="paragraph" w:customStyle="1" w:styleId="tevilnatoka11Nova">
    <w:name w:val="Številčna točka 1.1 Nova"/>
    <w:basedOn w:val="tevilnatoka"/>
    <w:qFormat/>
    <w:rsid w:val="00CB7BCC"/>
    <w:pPr>
      <w:numPr>
        <w:ilvl w:val="1"/>
      </w:numPr>
      <w:tabs>
        <w:tab w:val="clear" w:pos="425"/>
        <w:tab w:val="left" w:pos="0"/>
        <w:tab w:val="num" w:pos="360"/>
      </w:tabs>
      <w:ind w:left="1440" w:hanging="360"/>
    </w:pPr>
  </w:style>
  <w:style w:type="paragraph" w:customStyle="1" w:styleId="tevilnatoka0">
    <w:name w:val="tevilnatoka"/>
    <w:basedOn w:val="Navaden"/>
    <w:rsid w:val="00CB7BCC"/>
    <w:pPr>
      <w:spacing w:before="100" w:beforeAutospacing="1" w:after="100" w:afterAutospacing="1" w:line="240" w:lineRule="auto"/>
      <w:jc w:val="left"/>
    </w:pPr>
    <w:rPr>
      <w:rFonts w:ascii="Times New Roman" w:hAnsi="Times New Roman" w:cs="Times New Roman"/>
      <w:sz w:val="24"/>
      <w:lang w:eastAsia="sl-SI"/>
    </w:rPr>
  </w:style>
  <w:style w:type="paragraph" w:customStyle="1" w:styleId="Odstavek0">
    <w:name w:val="Odstavek"/>
    <w:basedOn w:val="Navaden"/>
    <w:link w:val="OdstavekZnak"/>
    <w:qFormat/>
    <w:rsid w:val="00CB7BCC"/>
    <w:pPr>
      <w:overflowPunct w:val="0"/>
      <w:autoSpaceDE w:val="0"/>
      <w:autoSpaceDN w:val="0"/>
      <w:adjustRightInd w:val="0"/>
      <w:spacing w:before="240" w:line="240" w:lineRule="auto"/>
      <w:ind w:firstLine="1021"/>
      <w:textAlignment w:val="baseline"/>
    </w:pPr>
    <w:rPr>
      <w:sz w:val="20"/>
      <w:szCs w:val="22"/>
      <w:lang w:eastAsia="sl-SI"/>
    </w:rPr>
  </w:style>
  <w:style w:type="character" w:customStyle="1" w:styleId="OdstavekZnak">
    <w:name w:val="Odstavek Znak"/>
    <w:link w:val="Odstavek0"/>
    <w:rsid w:val="00CB7BCC"/>
    <w:rPr>
      <w:rFonts w:ascii="Arial" w:eastAsia="Times New Roman" w:hAnsi="Arial" w:cs="Arial"/>
      <w:sz w:val="20"/>
      <w:lang w:eastAsia="sl-SI"/>
    </w:rPr>
  </w:style>
  <w:style w:type="paragraph" w:customStyle="1" w:styleId="Navaden1">
    <w:name w:val="Navaden1"/>
    <w:rsid w:val="00CB7BCC"/>
    <w:pPr>
      <w:spacing w:after="0" w:line="240" w:lineRule="auto"/>
    </w:pPr>
    <w:rPr>
      <w:rFonts w:ascii="Arial" w:eastAsia="Arial" w:hAnsi="Arial" w:cs="Arial"/>
      <w:sz w:val="20"/>
      <w:szCs w:val="20"/>
    </w:rPr>
  </w:style>
  <w:style w:type="paragraph" w:customStyle="1" w:styleId="ZPnoga">
    <w:name w:val="ZP_noga"/>
    <w:basedOn w:val="ZPtekst"/>
    <w:qFormat/>
    <w:rsid w:val="00CB7BCC"/>
    <w:pPr>
      <w:keepLines/>
      <w:spacing w:before="60" w:after="60" w:line="245" w:lineRule="auto"/>
      <w:ind w:left="170" w:hanging="170"/>
    </w:pPr>
    <w:rPr>
      <w:sz w:val="18"/>
      <w:szCs w:val="22"/>
      <w:lang w:eastAsia="en-US"/>
    </w:rPr>
  </w:style>
  <w:style w:type="character" w:customStyle="1" w:styleId="tevilnatokaZnak">
    <w:name w:val="Številčna točka Znak"/>
    <w:basedOn w:val="Privzetapisavaodstavka"/>
    <w:link w:val="tevilnatoka"/>
    <w:rsid w:val="00CB7BCC"/>
    <w:rPr>
      <w:rFonts w:ascii="Arial" w:eastAsia="Times New Roman" w:hAnsi="Arial" w:cs="Arial"/>
      <w:sz w:val="20"/>
      <w:lang w:eastAsia="sl-SI"/>
    </w:rPr>
  </w:style>
  <w:style w:type="paragraph" w:customStyle="1" w:styleId="Pa1">
    <w:name w:val="Pa1"/>
    <w:basedOn w:val="Default"/>
    <w:next w:val="Default"/>
    <w:uiPriority w:val="99"/>
    <w:rsid w:val="00CB7BCC"/>
    <w:pPr>
      <w:spacing w:line="201" w:lineRule="atLeast"/>
    </w:pPr>
    <w:rPr>
      <w:rFonts w:ascii="Arial" w:eastAsia="Arial" w:hAnsi="Arial" w:cs="Arial"/>
      <w:color w:val="auto"/>
    </w:rPr>
  </w:style>
  <w:style w:type="paragraph" w:customStyle="1" w:styleId="align-justify">
    <w:name w:val="align-justify"/>
    <w:basedOn w:val="Navaden"/>
    <w:rsid w:val="00CB7BCC"/>
    <w:pPr>
      <w:spacing w:before="100" w:beforeAutospacing="1" w:after="100" w:afterAutospacing="1" w:line="260" w:lineRule="atLeast"/>
      <w:jc w:val="left"/>
    </w:pPr>
    <w:rPr>
      <w:rFonts w:cs="Times New Roman"/>
      <w:sz w:val="20"/>
      <w:lang w:eastAsia="sl-SI"/>
    </w:rPr>
  </w:style>
  <w:style w:type="paragraph" w:customStyle="1" w:styleId="Pa34">
    <w:name w:val="Pa34"/>
    <w:basedOn w:val="Default"/>
    <w:next w:val="Default"/>
    <w:uiPriority w:val="99"/>
    <w:rsid w:val="00CB7BCC"/>
    <w:pPr>
      <w:spacing w:line="201" w:lineRule="atLeast"/>
    </w:pPr>
    <w:rPr>
      <w:rFonts w:ascii="Source Sans Pro Light" w:hAnsi="Source Sans Pro Light" w:cstheme="minorBidi"/>
      <w:color w:val="auto"/>
    </w:rPr>
  </w:style>
  <w:style w:type="paragraph" w:customStyle="1" w:styleId="Pa27">
    <w:name w:val="Pa27"/>
    <w:basedOn w:val="Default"/>
    <w:next w:val="Default"/>
    <w:uiPriority w:val="99"/>
    <w:rsid w:val="00CB7BCC"/>
    <w:pPr>
      <w:spacing w:line="181" w:lineRule="atLeast"/>
    </w:pPr>
    <w:rPr>
      <w:rFonts w:ascii="Myriad Pro Light" w:hAnsi="Myriad Pro Light" w:cstheme="minorBidi"/>
      <w:color w:val="auto"/>
    </w:rPr>
  </w:style>
  <w:style w:type="paragraph" w:customStyle="1" w:styleId="Pa29">
    <w:name w:val="Pa29"/>
    <w:basedOn w:val="Default"/>
    <w:next w:val="Default"/>
    <w:uiPriority w:val="99"/>
    <w:rsid w:val="00CB7BCC"/>
    <w:pPr>
      <w:spacing w:line="151" w:lineRule="atLeast"/>
    </w:pPr>
    <w:rPr>
      <w:rFonts w:ascii="Myriad Pro Light" w:hAnsi="Myriad Pro Light" w:cstheme="minorBidi"/>
      <w:color w:val="auto"/>
    </w:rPr>
  </w:style>
  <w:style w:type="paragraph" w:customStyle="1" w:styleId="Pa31">
    <w:name w:val="Pa31"/>
    <w:basedOn w:val="Default"/>
    <w:next w:val="Default"/>
    <w:uiPriority w:val="99"/>
    <w:rsid w:val="00CB7BCC"/>
    <w:pPr>
      <w:spacing w:line="151" w:lineRule="atLeast"/>
    </w:pPr>
    <w:rPr>
      <w:rFonts w:ascii="Myriad Pro Light" w:hAnsi="Myriad Pro Light" w:cstheme="minorBidi"/>
      <w:color w:val="auto"/>
    </w:rPr>
  </w:style>
  <w:style w:type="character" w:customStyle="1" w:styleId="Bodytext27pt">
    <w:name w:val="Body text (2) + 7 pt"/>
    <w:basedOn w:val="Bodytext2"/>
    <w:rsid w:val="00CB7BCC"/>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CB7BCC"/>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CB7BCC"/>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CB7BCC"/>
    <w:rPr>
      <w:rFonts w:ascii="Calibri" w:eastAsia="Calibri" w:hAnsi="Calibri" w:cs="Calibri"/>
      <w:sz w:val="24"/>
      <w:szCs w:val="24"/>
      <w:shd w:val="clear" w:color="auto" w:fill="FFFFFF"/>
    </w:rPr>
  </w:style>
  <w:style w:type="character" w:customStyle="1" w:styleId="Bodytext9Exact">
    <w:name w:val="Body text (9) Exact"/>
    <w:basedOn w:val="Privzetapisavaodstavka"/>
    <w:rsid w:val="00CB7BCC"/>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CB7BCC"/>
    <w:pPr>
      <w:widowControl w:val="0"/>
      <w:shd w:val="clear" w:color="auto" w:fill="FFFFFF"/>
      <w:spacing w:before="0" w:after="360" w:line="0" w:lineRule="atLeast"/>
    </w:pPr>
    <w:rPr>
      <w:rFonts w:ascii="Calibri" w:eastAsia="Calibri" w:hAnsi="Calibri" w:cs="Calibri"/>
      <w:sz w:val="24"/>
      <w:lang w:eastAsia="en-US"/>
    </w:rPr>
  </w:style>
  <w:style w:type="character" w:customStyle="1" w:styleId="Heading3">
    <w:name w:val="Heading #3_"/>
    <w:basedOn w:val="Privzetapisavaodstavka"/>
    <w:link w:val="Heading30"/>
    <w:rsid w:val="00CB7BCC"/>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CB7BCC"/>
    <w:rPr>
      <w:rFonts w:ascii="Calibri" w:eastAsia="Calibri" w:hAnsi="Calibri" w:cs="Calibri"/>
      <w:b/>
      <w:bCs/>
      <w:sz w:val="24"/>
      <w:szCs w:val="24"/>
      <w:shd w:val="clear" w:color="auto" w:fill="FFFFFF"/>
    </w:rPr>
  </w:style>
  <w:style w:type="character" w:customStyle="1" w:styleId="Bodytext9Bold">
    <w:name w:val="Body text (9) + Bold"/>
    <w:basedOn w:val="Bodytext9"/>
    <w:rsid w:val="00CB7BCC"/>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CB7BCC"/>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CB7BCC"/>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CB7BCC"/>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CB7BCC"/>
    <w:pPr>
      <w:widowControl w:val="0"/>
      <w:shd w:val="clear" w:color="auto" w:fill="FFFFFF"/>
      <w:spacing w:before="480" w:line="293" w:lineRule="exact"/>
      <w:jc w:val="left"/>
      <w:outlineLvl w:val="2"/>
    </w:pPr>
    <w:rPr>
      <w:rFonts w:ascii="Calibri" w:eastAsia="Calibri" w:hAnsi="Calibri" w:cs="Calibri"/>
      <w:b/>
      <w:bCs/>
      <w:sz w:val="24"/>
      <w:lang w:eastAsia="en-US"/>
    </w:rPr>
  </w:style>
  <w:style w:type="paragraph" w:customStyle="1" w:styleId="Bodytext60">
    <w:name w:val="Body text (6)"/>
    <w:basedOn w:val="Navaden"/>
    <w:link w:val="Bodytext6"/>
    <w:rsid w:val="00CB7BCC"/>
    <w:pPr>
      <w:widowControl w:val="0"/>
      <w:shd w:val="clear" w:color="auto" w:fill="FFFFFF"/>
      <w:spacing w:before="0" w:after="240" w:line="293" w:lineRule="exact"/>
      <w:jc w:val="left"/>
    </w:pPr>
    <w:rPr>
      <w:rFonts w:ascii="Calibri" w:eastAsia="Calibri" w:hAnsi="Calibri" w:cs="Calibri"/>
      <w:b/>
      <w:bCs/>
      <w:sz w:val="24"/>
      <w:lang w:eastAsia="en-US"/>
    </w:rPr>
  </w:style>
  <w:style w:type="character" w:customStyle="1" w:styleId="Bodytext675ptNotBold">
    <w:name w:val="Body text (6) + 7;5 pt;Not Bold"/>
    <w:basedOn w:val="Bodytext6"/>
    <w:rsid w:val="00CB7BCC"/>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CB7BCC"/>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CB7BCC"/>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paragraph" w:customStyle="1" w:styleId="RSnatevanje">
    <w:name w:val="RS naštevanje"/>
    <w:basedOn w:val="Navaden"/>
    <w:rsid w:val="00CB7BCC"/>
    <w:pPr>
      <w:numPr>
        <w:numId w:val="178"/>
      </w:numPr>
      <w:spacing w:before="0" w:line="240" w:lineRule="auto"/>
    </w:pPr>
    <w:rPr>
      <w:rFonts w:ascii="Times New Roman" w:hAnsi="Times New Roman" w:cs="Times New Roman"/>
      <w:sz w:val="24"/>
    </w:rPr>
  </w:style>
  <w:style w:type="paragraph" w:customStyle="1" w:styleId="Footnotebesedilo">
    <w:name w:val="Footnote besedilo"/>
    <w:basedOn w:val="Navaden"/>
    <w:qFormat/>
    <w:rsid w:val="00CB7BCC"/>
    <w:pPr>
      <w:spacing w:before="60" w:line="240" w:lineRule="auto"/>
      <w:ind w:left="284" w:hanging="284"/>
    </w:pPr>
    <w:rPr>
      <w:rFonts w:ascii="Tahoma" w:eastAsiaTheme="minorHAnsi" w:hAnsi="Tahoma" w:cstheme="minorBidi"/>
      <w:sz w:val="16"/>
      <w:szCs w:val="14"/>
      <w:lang w:eastAsia="en-US"/>
    </w:rPr>
  </w:style>
  <w:style w:type="numbering" w:customStyle="1" w:styleId="Brezseznama2">
    <w:name w:val="Brez seznama2"/>
    <w:next w:val="Brezseznama"/>
    <w:uiPriority w:val="99"/>
    <w:semiHidden/>
    <w:unhideWhenUsed/>
    <w:rsid w:val="00CB7BCC"/>
  </w:style>
  <w:style w:type="table" w:customStyle="1" w:styleId="Tabelamrea3">
    <w:name w:val="Tabela – mreža3"/>
    <w:basedOn w:val="Navadnatabela"/>
    <w:next w:val="Tabelamrea"/>
    <w:uiPriority w:val="59"/>
    <w:rsid w:val="00CB7BC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CB7BCC"/>
  </w:style>
  <w:style w:type="table" w:customStyle="1" w:styleId="Tabelamrea4">
    <w:name w:val="Tabela – mreža4"/>
    <w:basedOn w:val="Navadnatabela"/>
    <w:next w:val="Tabelamrea"/>
    <w:uiPriority w:val="59"/>
    <w:rsid w:val="00CB7BC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Odstavekseznama"/>
    <w:link w:val="TABELAZnak"/>
    <w:qFormat/>
    <w:rsid w:val="00CB7BCC"/>
    <w:pPr>
      <w:numPr>
        <w:numId w:val="180"/>
      </w:numPr>
      <w:spacing w:before="0" w:line="288" w:lineRule="auto"/>
      <w:contextualSpacing/>
      <w:jc w:val="center"/>
    </w:pPr>
    <w:rPr>
      <w:rFonts w:eastAsia="Calibri" w:cs="Times New Roman"/>
      <w:i/>
      <w:sz w:val="24"/>
      <w:szCs w:val="24"/>
      <w:lang w:eastAsia="en-US"/>
    </w:rPr>
  </w:style>
  <w:style w:type="character" w:customStyle="1" w:styleId="TABELAZnak">
    <w:name w:val="TABELA Znak"/>
    <w:link w:val="TABELA"/>
    <w:rsid w:val="00CB7BCC"/>
    <w:rPr>
      <w:rFonts w:ascii="Times New Roman" w:eastAsia="Calibri" w:hAnsi="Times New Roman" w:cs="Times New Roman"/>
      <w:i/>
      <w:sz w:val="24"/>
      <w:szCs w:val="24"/>
    </w:rPr>
  </w:style>
  <w:style w:type="paragraph" w:customStyle="1" w:styleId="alineazaodstavkom">
    <w:name w:val="alineazaodstavkom"/>
    <w:basedOn w:val="Navaden"/>
    <w:rsid w:val="00CB7BCC"/>
    <w:pPr>
      <w:spacing w:before="100" w:beforeAutospacing="1" w:after="100" w:afterAutospacing="1" w:line="240" w:lineRule="auto"/>
      <w:jc w:val="left"/>
    </w:pPr>
    <w:rPr>
      <w:rFonts w:ascii="Times New Roman" w:hAnsi="Times New Roman" w:cs="Times New Roman"/>
      <w:sz w:val="24"/>
      <w:lang w:eastAsia="sl-SI"/>
    </w:rPr>
  </w:style>
  <w:style w:type="paragraph" w:customStyle="1" w:styleId="opomba">
    <w:name w:val="opomba"/>
    <w:basedOn w:val="Navaden"/>
    <w:link w:val="opombaZnak1"/>
    <w:rsid w:val="00CB7BCC"/>
    <w:pPr>
      <w:spacing w:before="60" w:line="240" w:lineRule="auto"/>
      <w:contextualSpacing/>
      <w:jc w:val="left"/>
    </w:pPr>
    <w:rPr>
      <w:sz w:val="18"/>
      <w:szCs w:val="20"/>
      <w:lang w:eastAsia="sl-SI"/>
    </w:rPr>
  </w:style>
  <w:style w:type="character" w:customStyle="1" w:styleId="opombaZnak1">
    <w:name w:val="opomba Znak1"/>
    <w:link w:val="opomba"/>
    <w:rsid w:val="00CB7BCC"/>
    <w:rPr>
      <w:rFonts w:ascii="Arial" w:eastAsia="Times New Roman" w:hAnsi="Arial" w:cs="Arial"/>
      <w:sz w:val="18"/>
      <w:szCs w:val="20"/>
      <w:lang w:eastAsia="sl-SI"/>
    </w:rPr>
  </w:style>
  <w:style w:type="character" w:customStyle="1" w:styleId="UnresolvedMention">
    <w:name w:val="Unresolved Mention"/>
    <w:basedOn w:val="Privzetapisavaodstavka"/>
    <w:uiPriority w:val="99"/>
    <w:semiHidden/>
    <w:unhideWhenUsed/>
    <w:rsid w:val="00CB7BCC"/>
    <w:rPr>
      <w:color w:val="605E5C"/>
      <w:shd w:val="clear" w:color="auto" w:fill="E1DFDD"/>
    </w:rPr>
  </w:style>
  <w:style w:type="paragraph" w:customStyle="1" w:styleId="Guidelines">
    <w:name w:val="Guidelines"/>
    <w:basedOn w:val="Navaden"/>
    <w:link w:val="GuidelinesChar"/>
    <w:rsid w:val="00134998"/>
    <w:pPr>
      <w:pBdr>
        <w:top w:val="single" w:sz="4" w:space="1" w:color="auto"/>
        <w:left w:val="single" w:sz="4" w:space="4" w:color="auto"/>
        <w:bottom w:val="single" w:sz="4" w:space="1" w:color="auto"/>
        <w:right w:val="single" w:sz="4" w:space="4" w:color="auto"/>
      </w:pBdr>
      <w:tabs>
        <w:tab w:val="left" w:pos="2302"/>
      </w:tabs>
      <w:spacing w:before="0" w:after="240" w:line="240" w:lineRule="auto"/>
    </w:pPr>
    <w:rPr>
      <w:rFonts w:cs="Times New Roman"/>
      <w:color w:val="4F81BD"/>
      <w:sz w:val="20"/>
      <w:lang w:eastAsia="en-US"/>
    </w:rPr>
  </w:style>
  <w:style w:type="character" w:customStyle="1" w:styleId="GuidelinesChar">
    <w:name w:val="Guidelines Char"/>
    <w:link w:val="Guidelines"/>
    <w:rsid w:val="00134998"/>
    <w:rPr>
      <w:rFonts w:ascii="Arial" w:eastAsia="Times New Roman" w:hAnsi="Arial" w:cs="Times New Roman"/>
      <w:color w:val="4F81BD"/>
      <w:sz w:val="20"/>
      <w:szCs w:val="24"/>
    </w:rPr>
  </w:style>
  <w:style w:type="paragraph" w:customStyle="1" w:styleId="Besedilo">
    <w:name w:val="Besedilo"/>
    <w:basedOn w:val="Navaden"/>
    <w:link w:val="BesediloZnak"/>
    <w:qFormat/>
    <w:rsid w:val="00C52DAA"/>
    <w:pPr>
      <w:overflowPunct w:val="0"/>
      <w:autoSpaceDE w:val="0"/>
      <w:autoSpaceDN w:val="0"/>
      <w:adjustRightInd w:val="0"/>
      <w:spacing w:before="0" w:line="240" w:lineRule="auto"/>
      <w:textAlignment w:val="baseline"/>
    </w:pPr>
    <w:rPr>
      <w:iCs/>
      <w:sz w:val="20"/>
      <w:szCs w:val="22"/>
      <w:lang w:eastAsia="sl-SI"/>
    </w:rPr>
  </w:style>
  <w:style w:type="character" w:customStyle="1" w:styleId="BesediloZnak">
    <w:name w:val="Besedilo Znak"/>
    <w:basedOn w:val="Privzetapisavaodstavka"/>
    <w:link w:val="Besedilo"/>
    <w:rsid w:val="00C52DAA"/>
    <w:rPr>
      <w:rFonts w:ascii="Arial" w:eastAsia="Times New Roman" w:hAnsi="Arial" w:cs="Arial"/>
      <w:iCs/>
      <w:sz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49">
      <w:bodyDiv w:val="1"/>
      <w:marLeft w:val="0"/>
      <w:marRight w:val="0"/>
      <w:marTop w:val="0"/>
      <w:marBottom w:val="0"/>
      <w:divBdr>
        <w:top w:val="none" w:sz="0" w:space="0" w:color="auto"/>
        <w:left w:val="none" w:sz="0" w:space="0" w:color="auto"/>
        <w:bottom w:val="none" w:sz="0" w:space="0" w:color="auto"/>
        <w:right w:val="none" w:sz="0" w:space="0" w:color="auto"/>
      </w:divBdr>
      <w:divsChild>
        <w:div w:id="255750585">
          <w:marLeft w:val="0"/>
          <w:marRight w:val="0"/>
          <w:marTop w:val="0"/>
          <w:marBottom w:val="0"/>
          <w:divBdr>
            <w:top w:val="none" w:sz="0" w:space="0" w:color="auto"/>
            <w:left w:val="none" w:sz="0" w:space="0" w:color="auto"/>
            <w:bottom w:val="none" w:sz="0" w:space="0" w:color="auto"/>
            <w:right w:val="none" w:sz="0" w:space="0" w:color="auto"/>
          </w:divBdr>
          <w:divsChild>
            <w:div w:id="992291603">
              <w:marLeft w:val="0"/>
              <w:marRight w:val="0"/>
              <w:marTop w:val="0"/>
              <w:marBottom w:val="0"/>
              <w:divBdr>
                <w:top w:val="none" w:sz="0" w:space="0" w:color="auto"/>
                <w:left w:val="none" w:sz="0" w:space="0" w:color="auto"/>
                <w:bottom w:val="none" w:sz="0" w:space="0" w:color="auto"/>
                <w:right w:val="none" w:sz="0" w:space="0" w:color="auto"/>
              </w:divBdr>
              <w:divsChild>
                <w:div w:id="1590044920">
                  <w:marLeft w:val="0"/>
                  <w:marRight w:val="0"/>
                  <w:marTop w:val="0"/>
                  <w:marBottom w:val="0"/>
                  <w:divBdr>
                    <w:top w:val="none" w:sz="0" w:space="0" w:color="auto"/>
                    <w:left w:val="none" w:sz="0" w:space="0" w:color="auto"/>
                    <w:bottom w:val="none" w:sz="0" w:space="0" w:color="auto"/>
                    <w:right w:val="none" w:sz="0" w:space="0" w:color="auto"/>
                  </w:divBdr>
                  <w:divsChild>
                    <w:div w:id="1182473157">
                      <w:marLeft w:val="0"/>
                      <w:marRight w:val="0"/>
                      <w:marTop w:val="300"/>
                      <w:marBottom w:val="0"/>
                      <w:divBdr>
                        <w:top w:val="single" w:sz="6" w:space="0" w:color="DDDDDD"/>
                        <w:left w:val="single" w:sz="6" w:space="0" w:color="DDDDDD"/>
                        <w:bottom w:val="single" w:sz="6" w:space="0" w:color="DDDDDD"/>
                        <w:right w:val="single" w:sz="6" w:space="0" w:color="DDDDDD"/>
                      </w:divBdr>
                      <w:divsChild>
                        <w:div w:id="1989899904">
                          <w:marLeft w:val="0"/>
                          <w:marRight w:val="0"/>
                          <w:marTop w:val="0"/>
                          <w:marBottom w:val="0"/>
                          <w:divBdr>
                            <w:top w:val="none" w:sz="0" w:space="0" w:color="auto"/>
                            <w:left w:val="none" w:sz="0" w:space="0" w:color="auto"/>
                            <w:bottom w:val="none" w:sz="0" w:space="0" w:color="auto"/>
                            <w:right w:val="none" w:sz="0" w:space="0" w:color="auto"/>
                          </w:divBdr>
                          <w:divsChild>
                            <w:div w:id="1031301063">
                              <w:marLeft w:val="0"/>
                              <w:marRight w:val="0"/>
                              <w:marTop w:val="0"/>
                              <w:marBottom w:val="0"/>
                              <w:divBdr>
                                <w:top w:val="none" w:sz="0" w:space="0" w:color="auto"/>
                                <w:left w:val="none" w:sz="0" w:space="0" w:color="auto"/>
                                <w:bottom w:val="none" w:sz="0" w:space="0" w:color="auto"/>
                                <w:right w:val="none" w:sz="0" w:space="0" w:color="auto"/>
                              </w:divBdr>
                              <w:divsChild>
                                <w:div w:id="333655915">
                                  <w:marLeft w:val="0"/>
                                  <w:marRight w:val="0"/>
                                  <w:marTop w:val="0"/>
                                  <w:marBottom w:val="0"/>
                                  <w:divBdr>
                                    <w:top w:val="none" w:sz="0" w:space="0" w:color="auto"/>
                                    <w:left w:val="none" w:sz="0" w:space="0" w:color="auto"/>
                                    <w:bottom w:val="none" w:sz="0" w:space="0" w:color="auto"/>
                                    <w:right w:val="none" w:sz="0" w:space="0" w:color="auto"/>
                                  </w:divBdr>
                                  <w:divsChild>
                                    <w:div w:id="1973367198">
                                      <w:marLeft w:val="0"/>
                                      <w:marRight w:val="0"/>
                                      <w:marTop w:val="0"/>
                                      <w:marBottom w:val="0"/>
                                      <w:divBdr>
                                        <w:top w:val="none" w:sz="0" w:space="0" w:color="auto"/>
                                        <w:left w:val="none" w:sz="0" w:space="0" w:color="auto"/>
                                        <w:bottom w:val="none" w:sz="0" w:space="0" w:color="auto"/>
                                        <w:right w:val="none" w:sz="0" w:space="0" w:color="auto"/>
                                      </w:divBdr>
                                      <w:divsChild>
                                        <w:div w:id="248079577">
                                          <w:marLeft w:val="0"/>
                                          <w:marRight w:val="0"/>
                                          <w:marTop w:val="0"/>
                                          <w:marBottom w:val="0"/>
                                          <w:divBdr>
                                            <w:top w:val="none" w:sz="0" w:space="0" w:color="auto"/>
                                            <w:left w:val="none" w:sz="0" w:space="0" w:color="auto"/>
                                            <w:bottom w:val="none" w:sz="0" w:space="0" w:color="auto"/>
                                            <w:right w:val="none" w:sz="0" w:space="0" w:color="auto"/>
                                          </w:divBdr>
                                          <w:divsChild>
                                            <w:div w:id="548223457">
                                              <w:marLeft w:val="0"/>
                                              <w:marRight w:val="0"/>
                                              <w:marTop w:val="0"/>
                                              <w:marBottom w:val="0"/>
                                              <w:divBdr>
                                                <w:top w:val="none" w:sz="0" w:space="0" w:color="auto"/>
                                                <w:left w:val="none" w:sz="0" w:space="0" w:color="auto"/>
                                                <w:bottom w:val="none" w:sz="0" w:space="0" w:color="auto"/>
                                                <w:right w:val="none" w:sz="0" w:space="0" w:color="auto"/>
                                              </w:divBdr>
                                              <w:divsChild>
                                                <w:div w:id="1368946694">
                                                  <w:marLeft w:val="0"/>
                                                  <w:marRight w:val="0"/>
                                                  <w:marTop w:val="0"/>
                                                  <w:marBottom w:val="0"/>
                                                  <w:divBdr>
                                                    <w:top w:val="none" w:sz="0" w:space="0" w:color="auto"/>
                                                    <w:left w:val="none" w:sz="0" w:space="0" w:color="auto"/>
                                                    <w:bottom w:val="none" w:sz="0" w:space="0" w:color="auto"/>
                                                    <w:right w:val="none" w:sz="0" w:space="0" w:color="auto"/>
                                                  </w:divBdr>
                                                  <w:divsChild>
                                                    <w:div w:id="273559868">
                                                      <w:marLeft w:val="0"/>
                                                      <w:marRight w:val="0"/>
                                                      <w:marTop w:val="0"/>
                                                      <w:marBottom w:val="0"/>
                                                      <w:divBdr>
                                                        <w:top w:val="none" w:sz="0" w:space="0" w:color="auto"/>
                                                        <w:left w:val="none" w:sz="0" w:space="0" w:color="auto"/>
                                                        <w:bottom w:val="none" w:sz="0" w:space="0" w:color="auto"/>
                                                        <w:right w:val="none" w:sz="0" w:space="0" w:color="auto"/>
                                                      </w:divBdr>
                                                    </w:div>
                                                    <w:div w:id="1731229734">
                                                      <w:marLeft w:val="0"/>
                                                      <w:marRight w:val="0"/>
                                                      <w:marTop w:val="0"/>
                                                      <w:marBottom w:val="0"/>
                                                      <w:divBdr>
                                                        <w:top w:val="none" w:sz="0" w:space="0" w:color="auto"/>
                                                        <w:left w:val="none" w:sz="0" w:space="0" w:color="auto"/>
                                                        <w:bottom w:val="none" w:sz="0" w:space="0" w:color="auto"/>
                                                        <w:right w:val="none" w:sz="0" w:space="0" w:color="auto"/>
                                                      </w:divBdr>
                                                    </w:div>
                                                    <w:div w:id="1973443707">
                                                      <w:marLeft w:val="0"/>
                                                      <w:marRight w:val="0"/>
                                                      <w:marTop w:val="0"/>
                                                      <w:marBottom w:val="0"/>
                                                      <w:divBdr>
                                                        <w:top w:val="none" w:sz="0" w:space="0" w:color="auto"/>
                                                        <w:left w:val="none" w:sz="0" w:space="0" w:color="auto"/>
                                                        <w:bottom w:val="none" w:sz="0" w:space="0" w:color="auto"/>
                                                        <w:right w:val="none" w:sz="0" w:space="0" w:color="auto"/>
                                                      </w:divBdr>
                                                    </w:div>
                                                    <w:div w:id="21374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31346949">
      <w:bodyDiv w:val="1"/>
      <w:marLeft w:val="0"/>
      <w:marRight w:val="0"/>
      <w:marTop w:val="0"/>
      <w:marBottom w:val="0"/>
      <w:divBdr>
        <w:top w:val="none" w:sz="0" w:space="0" w:color="auto"/>
        <w:left w:val="none" w:sz="0" w:space="0" w:color="auto"/>
        <w:bottom w:val="none" w:sz="0" w:space="0" w:color="auto"/>
        <w:right w:val="none" w:sz="0" w:space="0" w:color="auto"/>
      </w:divBdr>
    </w:div>
    <w:div w:id="58867519">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82803618">
      <w:bodyDiv w:val="1"/>
      <w:marLeft w:val="0"/>
      <w:marRight w:val="0"/>
      <w:marTop w:val="0"/>
      <w:marBottom w:val="0"/>
      <w:divBdr>
        <w:top w:val="none" w:sz="0" w:space="0" w:color="auto"/>
        <w:left w:val="none" w:sz="0" w:space="0" w:color="auto"/>
        <w:bottom w:val="none" w:sz="0" w:space="0" w:color="auto"/>
        <w:right w:val="none" w:sz="0" w:space="0" w:color="auto"/>
      </w:divBdr>
    </w:div>
    <w:div w:id="85421108">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6941">
      <w:bodyDiv w:val="1"/>
      <w:marLeft w:val="0"/>
      <w:marRight w:val="0"/>
      <w:marTop w:val="0"/>
      <w:marBottom w:val="0"/>
      <w:divBdr>
        <w:top w:val="none" w:sz="0" w:space="0" w:color="auto"/>
        <w:left w:val="none" w:sz="0" w:space="0" w:color="auto"/>
        <w:bottom w:val="none" w:sz="0" w:space="0" w:color="auto"/>
        <w:right w:val="none" w:sz="0" w:space="0" w:color="auto"/>
      </w:divBdr>
    </w:div>
    <w:div w:id="130634559">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706">
      <w:bodyDiv w:val="1"/>
      <w:marLeft w:val="0"/>
      <w:marRight w:val="0"/>
      <w:marTop w:val="0"/>
      <w:marBottom w:val="0"/>
      <w:divBdr>
        <w:top w:val="none" w:sz="0" w:space="0" w:color="auto"/>
        <w:left w:val="none" w:sz="0" w:space="0" w:color="auto"/>
        <w:bottom w:val="none" w:sz="0" w:space="0" w:color="auto"/>
        <w:right w:val="none" w:sz="0" w:space="0" w:color="auto"/>
      </w:divBdr>
      <w:divsChild>
        <w:div w:id="680163563">
          <w:marLeft w:val="0"/>
          <w:marRight w:val="0"/>
          <w:marTop w:val="0"/>
          <w:marBottom w:val="0"/>
          <w:divBdr>
            <w:top w:val="none" w:sz="0" w:space="0" w:color="auto"/>
            <w:left w:val="none" w:sz="0" w:space="0" w:color="auto"/>
            <w:bottom w:val="none" w:sz="0" w:space="0" w:color="auto"/>
            <w:right w:val="none" w:sz="0" w:space="0" w:color="auto"/>
          </w:divBdr>
          <w:divsChild>
            <w:div w:id="490144315">
              <w:marLeft w:val="0"/>
              <w:marRight w:val="0"/>
              <w:marTop w:val="0"/>
              <w:marBottom w:val="0"/>
              <w:divBdr>
                <w:top w:val="none" w:sz="0" w:space="0" w:color="auto"/>
                <w:left w:val="none" w:sz="0" w:space="0" w:color="auto"/>
                <w:bottom w:val="none" w:sz="0" w:space="0" w:color="auto"/>
                <w:right w:val="none" w:sz="0" w:space="0" w:color="auto"/>
              </w:divBdr>
              <w:divsChild>
                <w:div w:id="940258749">
                  <w:marLeft w:val="0"/>
                  <w:marRight w:val="0"/>
                  <w:marTop w:val="0"/>
                  <w:marBottom w:val="0"/>
                  <w:divBdr>
                    <w:top w:val="none" w:sz="0" w:space="0" w:color="auto"/>
                    <w:left w:val="none" w:sz="0" w:space="0" w:color="auto"/>
                    <w:bottom w:val="none" w:sz="0" w:space="0" w:color="auto"/>
                    <w:right w:val="none" w:sz="0" w:space="0" w:color="auto"/>
                  </w:divBdr>
                  <w:divsChild>
                    <w:div w:id="868178668">
                      <w:marLeft w:val="0"/>
                      <w:marRight w:val="0"/>
                      <w:marTop w:val="0"/>
                      <w:marBottom w:val="0"/>
                      <w:divBdr>
                        <w:top w:val="none" w:sz="0" w:space="0" w:color="auto"/>
                        <w:left w:val="none" w:sz="0" w:space="0" w:color="auto"/>
                        <w:bottom w:val="none" w:sz="0" w:space="0" w:color="auto"/>
                        <w:right w:val="none" w:sz="0" w:space="0" w:color="auto"/>
                      </w:divBdr>
                      <w:divsChild>
                        <w:div w:id="417606073">
                          <w:marLeft w:val="0"/>
                          <w:marRight w:val="0"/>
                          <w:marTop w:val="0"/>
                          <w:marBottom w:val="0"/>
                          <w:divBdr>
                            <w:top w:val="none" w:sz="0" w:space="0" w:color="auto"/>
                            <w:left w:val="none" w:sz="0" w:space="0" w:color="auto"/>
                            <w:bottom w:val="none" w:sz="0" w:space="0" w:color="auto"/>
                            <w:right w:val="none" w:sz="0" w:space="0" w:color="auto"/>
                          </w:divBdr>
                          <w:divsChild>
                            <w:div w:id="10939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1190">
      <w:bodyDiv w:val="1"/>
      <w:marLeft w:val="0"/>
      <w:marRight w:val="0"/>
      <w:marTop w:val="0"/>
      <w:marBottom w:val="0"/>
      <w:divBdr>
        <w:top w:val="none" w:sz="0" w:space="0" w:color="auto"/>
        <w:left w:val="none" w:sz="0" w:space="0" w:color="auto"/>
        <w:bottom w:val="none" w:sz="0" w:space="0" w:color="auto"/>
        <w:right w:val="none" w:sz="0" w:space="0" w:color="auto"/>
      </w:divBdr>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1917935">
      <w:bodyDiv w:val="1"/>
      <w:marLeft w:val="0"/>
      <w:marRight w:val="0"/>
      <w:marTop w:val="0"/>
      <w:marBottom w:val="0"/>
      <w:divBdr>
        <w:top w:val="none" w:sz="0" w:space="0" w:color="auto"/>
        <w:left w:val="none" w:sz="0" w:space="0" w:color="auto"/>
        <w:bottom w:val="none" w:sz="0" w:space="0" w:color="auto"/>
        <w:right w:val="none" w:sz="0" w:space="0" w:color="auto"/>
      </w:divBdr>
    </w:div>
    <w:div w:id="223496044">
      <w:bodyDiv w:val="1"/>
      <w:marLeft w:val="0"/>
      <w:marRight w:val="0"/>
      <w:marTop w:val="0"/>
      <w:marBottom w:val="0"/>
      <w:divBdr>
        <w:top w:val="none" w:sz="0" w:space="0" w:color="auto"/>
        <w:left w:val="none" w:sz="0" w:space="0" w:color="auto"/>
        <w:bottom w:val="none" w:sz="0" w:space="0" w:color="auto"/>
        <w:right w:val="none" w:sz="0" w:space="0" w:color="auto"/>
      </w:divBdr>
    </w:div>
    <w:div w:id="230434303">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9307">
      <w:bodyDiv w:val="1"/>
      <w:marLeft w:val="0"/>
      <w:marRight w:val="0"/>
      <w:marTop w:val="0"/>
      <w:marBottom w:val="0"/>
      <w:divBdr>
        <w:top w:val="none" w:sz="0" w:space="0" w:color="auto"/>
        <w:left w:val="none" w:sz="0" w:space="0" w:color="auto"/>
        <w:bottom w:val="none" w:sz="0" w:space="0" w:color="auto"/>
        <w:right w:val="none" w:sz="0" w:space="0" w:color="auto"/>
      </w:divBdr>
      <w:divsChild>
        <w:div w:id="886721355">
          <w:marLeft w:val="0"/>
          <w:marRight w:val="0"/>
          <w:marTop w:val="0"/>
          <w:marBottom w:val="0"/>
          <w:divBdr>
            <w:top w:val="none" w:sz="0" w:space="0" w:color="auto"/>
            <w:left w:val="none" w:sz="0" w:space="0" w:color="auto"/>
            <w:bottom w:val="none" w:sz="0" w:space="0" w:color="auto"/>
            <w:right w:val="none" w:sz="0" w:space="0" w:color="auto"/>
          </w:divBdr>
          <w:divsChild>
            <w:div w:id="1421216667">
              <w:marLeft w:val="0"/>
              <w:marRight w:val="0"/>
              <w:marTop w:val="0"/>
              <w:marBottom w:val="0"/>
              <w:divBdr>
                <w:top w:val="none" w:sz="0" w:space="0" w:color="auto"/>
                <w:left w:val="none" w:sz="0" w:space="0" w:color="auto"/>
                <w:bottom w:val="none" w:sz="0" w:space="0" w:color="auto"/>
                <w:right w:val="none" w:sz="0" w:space="0" w:color="auto"/>
              </w:divBdr>
              <w:divsChild>
                <w:div w:id="1903633589">
                  <w:marLeft w:val="0"/>
                  <w:marRight w:val="0"/>
                  <w:marTop w:val="0"/>
                  <w:marBottom w:val="0"/>
                  <w:divBdr>
                    <w:top w:val="none" w:sz="0" w:space="0" w:color="auto"/>
                    <w:left w:val="none" w:sz="0" w:space="0" w:color="auto"/>
                    <w:bottom w:val="none" w:sz="0" w:space="0" w:color="auto"/>
                    <w:right w:val="none" w:sz="0" w:space="0" w:color="auto"/>
                  </w:divBdr>
                  <w:divsChild>
                    <w:div w:id="1978946869">
                      <w:marLeft w:val="-150"/>
                      <w:marRight w:val="-150"/>
                      <w:marTop w:val="0"/>
                      <w:marBottom w:val="0"/>
                      <w:divBdr>
                        <w:top w:val="none" w:sz="0" w:space="0" w:color="auto"/>
                        <w:left w:val="none" w:sz="0" w:space="0" w:color="auto"/>
                        <w:bottom w:val="none" w:sz="0" w:space="0" w:color="auto"/>
                        <w:right w:val="none" w:sz="0" w:space="0" w:color="auto"/>
                      </w:divBdr>
                      <w:divsChild>
                        <w:div w:id="1022973634">
                          <w:marLeft w:val="0"/>
                          <w:marRight w:val="0"/>
                          <w:marTop w:val="0"/>
                          <w:marBottom w:val="0"/>
                          <w:divBdr>
                            <w:top w:val="none" w:sz="0" w:space="0" w:color="auto"/>
                            <w:left w:val="none" w:sz="0" w:space="0" w:color="auto"/>
                            <w:bottom w:val="none" w:sz="0" w:space="0" w:color="auto"/>
                            <w:right w:val="none" w:sz="0" w:space="0" w:color="auto"/>
                          </w:divBdr>
                          <w:divsChild>
                            <w:div w:id="1767572662">
                              <w:marLeft w:val="0"/>
                              <w:marRight w:val="0"/>
                              <w:marTop w:val="0"/>
                              <w:marBottom w:val="0"/>
                              <w:divBdr>
                                <w:top w:val="none" w:sz="0" w:space="0" w:color="auto"/>
                                <w:left w:val="none" w:sz="0" w:space="0" w:color="auto"/>
                                <w:bottom w:val="none" w:sz="0" w:space="0" w:color="auto"/>
                                <w:right w:val="none" w:sz="0" w:space="0" w:color="auto"/>
                              </w:divBdr>
                              <w:divsChild>
                                <w:div w:id="1988432680">
                                  <w:marLeft w:val="0"/>
                                  <w:marRight w:val="0"/>
                                  <w:marTop w:val="0"/>
                                  <w:marBottom w:val="300"/>
                                  <w:divBdr>
                                    <w:top w:val="none" w:sz="0" w:space="0" w:color="auto"/>
                                    <w:left w:val="none" w:sz="0" w:space="0" w:color="auto"/>
                                    <w:bottom w:val="none" w:sz="0" w:space="0" w:color="auto"/>
                                    <w:right w:val="none" w:sz="0" w:space="0" w:color="auto"/>
                                  </w:divBdr>
                                  <w:divsChild>
                                    <w:div w:id="803229151">
                                      <w:marLeft w:val="0"/>
                                      <w:marRight w:val="0"/>
                                      <w:marTop w:val="0"/>
                                      <w:marBottom w:val="0"/>
                                      <w:divBdr>
                                        <w:top w:val="none" w:sz="0" w:space="0" w:color="auto"/>
                                        <w:left w:val="none" w:sz="0" w:space="0" w:color="auto"/>
                                        <w:bottom w:val="none" w:sz="0" w:space="0" w:color="auto"/>
                                        <w:right w:val="none" w:sz="0" w:space="0" w:color="auto"/>
                                      </w:divBdr>
                                      <w:divsChild>
                                        <w:div w:id="39794673">
                                          <w:marLeft w:val="0"/>
                                          <w:marRight w:val="0"/>
                                          <w:marTop w:val="0"/>
                                          <w:marBottom w:val="0"/>
                                          <w:divBdr>
                                            <w:top w:val="none" w:sz="0" w:space="0" w:color="auto"/>
                                            <w:left w:val="none" w:sz="0" w:space="0" w:color="auto"/>
                                            <w:bottom w:val="none" w:sz="0" w:space="0" w:color="auto"/>
                                            <w:right w:val="none" w:sz="0" w:space="0" w:color="auto"/>
                                          </w:divBdr>
                                          <w:divsChild>
                                            <w:div w:id="1496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119972">
      <w:bodyDiv w:val="1"/>
      <w:marLeft w:val="0"/>
      <w:marRight w:val="0"/>
      <w:marTop w:val="0"/>
      <w:marBottom w:val="0"/>
      <w:divBdr>
        <w:top w:val="none" w:sz="0" w:space="0" w:color="auto"/>
        <w:left w:val="none" w:sz="0" w:space="0" w:color="auto"/>
        <w:bottom w:val="none" w:sz="0" w:space="0" w:color="auto"/>
        <w:right w:val="none" w:sz="0" w:space="0" w:color="auto"/>
      </w:divBdr>
    </w:div>
    <w:div w:id="262612627">
      <w:bodyDiv w:val="1"/>
      <w:marLeft w:val="0"/>
      <w:marRight w:val="0"/>
      <w:marTop w:val="0"/>
      <w:marBottom w:val="0"/>
      <w:divBdr>
        <w:top w:val="none" w:sz="0" w:space="0" w:color="auto"/>
        <w:left w:val="none" w:sz="0" w:space="0" w:color="auto"/>
        <w:bottom w:val="none" w:sz="0" w:space="0" w:color="auto"/>
        <w:right w:val="none" w:sz="0" w:space="0" w:color="auto"/>
      </w:divBdr>
    </w:div>
    <w:div w:id="274874457">
      <w:bodyDiv w:val="1"/>
      <w:marLeft w:val="0"/>
      <w:marRight w:val="0"/>
      <w:marTop w:val="0"/>
      <w:marBottom w:val="0"/>
      <w:divBdr>
        <w:top w:val="none" w:sz="0" w:space="0" w:color="auto"/>
        <w:left w:val="none" w:sz="0" w:space="0" w:color="auto"/>
        <w:bottom w:val="none" w:sz="0" w:space="0" w:color="auto"/>
        <w:right w:val="none" w:sz="0" w:space="0" w:color="auto"/>
      </w:divBdr>
      <w:divsChild>
        <w:div w:id="1032996225">
          <w:marLeft w:val="0"/>
          <w:marRight w:val="0"/>
          <w:marTop w:val="0"/>
          <w:marBottom w:val="0"/>
          <w:divBdr>
            <w:top w:val="none" w:sz="0" w:space="0" w:color="auto"/>
            <w:left w:val="none" w:sz="0" w:space="0" w:color="auto"/>
            <w:bottom w:val="none" w:sz="0" w:space="0" w:color="auto"/>
            <w:right w:val="none" w:sz="0" w:space="0" w:color="auto"/>
          </w:divBdr>
          <w:divsChild>
            <w:div w:id="1787115359">
              <w:marLeft w:val="0"/>
              <w:marRight w:val="0"/>
              <w:marTop w:val="0"/>
              <w:marBottom w:val="0"/>
              <w:divBdr>
                <w:top w:val="none" w:sz="0" w:space="0" w:color="auto"/>
                <w:left w:val="none" w:sz="0" w:space="0" w:color="auto"/>
                <w:bottom w:val="none" w:sz="0" w:space="0" w:color="auto"/>
                <w:right w:val="none" w:sz="0" w:space="0" w:color="auto"/>
              </w:divBdr>
              <w:divsChild>
                <w:div w:id="1977951424">
                  <w:marLeft w:val="0"/>
                  <w:marRight w:val="0"/>
                  <w:marTop w:val="0"/>
                  <w:marBottom w:val="0"/>
                  <w:divBdr>
                    <w:top w:val="none" w:sz="0" w:space="0" w:color="auto"/>
                    <w:left w:val="none" w:sz="0" w:space="0" w:color="auto"/>
                    <w:bottom w:val="none" w:sz="0" w:space="0" w:color="auto"/>
                    <w:right w:val="none" w:sz="0" w:space="0" w:color="auto"/>
                  </w:divBdr>
                  <w:divsChild>
                    <w:div w:id="1816331067">
                      <w:marLeft w:val="0"/>
                      <w:marRight w:val="0"/>
                      <w:marTop w:val="0"/>
                      <w:marBottom w:val="0"/>
                      <w:divBdr>
                        <w:top w:val="none" w:sz="0" w:space="0" w:color="auto"/>
                        <w:left w:val="none" w:sz="0" w:space="0" w:color="auto"/>
                        <w:bottom w:val="none" w:sz="0" w:space="0" w:color="auto"/>
                        <w:right w:val="none" w:sz="0" w:space="0" w:color="auto"/>
                      </w:divBdr>
                      <w:divsChild>
                        <w:div w:id="1527139379">
                          <w:marLeft w:val="0"/>
                          <w:marRight w:val="0"/>
                          <w:marTop w:val="0"/>
                          <w:marBottom w:val="0"/>
                          <w:divBdr>
                            <w:top w:val="none" w:sz="0" w:space="0" w:color="auto"/>
                            <w:left w:val="none" w:sz="0" w:space="0" w:color="auto"/>
                            <w:bottom w:val="none" w:sz="0" w:space="0" w:color="auto"/>
                            <w:right w:val="none" w:sz="0" w:space="0" w:color="auto"/>
                          </w:divBdr>
                          <w:divsChild>
                            <w:div w:id="1880125230">
                              <w:marLeft w:val="0"/>
                              <w:marRight w:val="0"/>
                              <w:marTop w:val="0"/>
                              <w:marBottom w:val="0"/>
                              <w:divBdr>
                                <w:top w:val="none" w:sz="0" w:space="0" w:color="auto"/>
                                <w:left w:val="none" w:sz="0" w:space="0" w:color="auto"/>
                                <w:bottom w:val="none" w:sz="0" w:space="0" w:color="auto"/>
                                <w:right w:val="none" w:sz="0" w:space="0" w:color="auto"/>
                              </w:divBdr>
                              <w:divsChild>
                                <w:div w:id="2114981668">
                                  <w:marLeft w:val="0"/>
                                  <w:marRight w:val="0"/>
                                  <w:marTop w:val="0"/>
                                  <w:marBottom w:val="0"/>
                                  <w:divBdr>
                                    <w:top w:val="none" w:sz="0" w:space="0" w:color="auto"/>
                                    <w:left w:val="none" w:sz="0" w:space="0" w:color="auto"/>
                                    <w:bottom w:val="none" w:sz="0" w:space="0" w:color="auto"/>
                                    <w:right w:val="none" w:sz="0" w:space="0" w:color="auto"/>
                                  </w:divBdr>
                                  <w:divsChild>
                                    <w:div w:id="1305084341">
                                      <w:marLeft w:val="0"/>
                                      <w:marRight w:val="0"/>
                                      <w:marTop w:val="0"/>
                                      <w:marBottom w:val="0"/>
                                      <w:divBdr>
                                        <w:top w:val="none" w:sz="0" w:space="0" w:color="auto"/>
                                        <w:left w:val="none" w:sz="0" w:space="0" w:color="auto"/>
                                        <w:bottom w:val="none" w:sz="0" w:space="0" w:color="auto"/>
                                        <w:right w:val="none" w:sz="0" w:space="0" w:color="auto"/>
                                      </w:divBdr>
                                      <w:divsChild>
                                        <w:div w:id="370035656">
                                          <w:marLeft w:val="0"/>
                                          <w:marRight w:val="0"/>
                                          <w:marTop w:val="0"/>
                                          <w:marBottom w:val="0"/>
                                          <w:divBdr>
                                            <w:top w:val="none" w:sz="0" w:space="0" w:color="auto"/>
                                            <w:left w:val="none" w:sz="0" w:space="0" w:color="auto"/>
                                            <w:bottom w:val="none" w:sz="0" w:space="0" w:color="auto"/>
                                            <w:right w:val="none" w:sz="0" w:space="0" w:color="auto"/>
                                          </w:divBdr>
                                          <w:divsChild>
                                            <w:div w:id="150366443">
                                              <w:marLeft w:val="0"/>
                                              <w:marRight w:val="0"/>
                                              <w:marTop w:val="0"/>
                                              <w:marBottom w:val="495"/>
                                              <w:divBdr>
                                                <w:top w:val="none" w:sz="0" w:space="0" w:color="auto"/>
                                                <w:left w:val="none" w:sz="0" w:space="0" w:color="auto"/>
                                                <w:bottom w:val="none" w:sz="0" w:space="0" w:color="auto"/>
                                                <w:right w:val="none" w:sz="0" w:space="0" w:color="auto"/>
                                              </w:divBdr>
                                              <w:divsChild>
                                                <w:div w:id="977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0260468">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14458607">
      <w:bodyDiv w:val="1"/>
      <w:marLeft w:val="0"/>
      <w:marRight w:val="0"/>
      <w:marTop w:val="0"/>
      <w:marBottom w:val="0"/>
      <w:divBdr>
        <w:top w:val="none" w:sz="0" w:space="0" w:color="auto"/>
        <w:left w:val="none" w:sz="0" w:space="0" w:color="auto"/>
        <w:bottom w:val="none" w:sz="0" w:space="0" w:color="auto"/>
        <w:right w:val="none" w:sz="0" w:space="0" w:color="auto"/>
      </w:divBdr>
    </w:div>
    <w:div w:id="319507243">
      <w:bodyDiv w:val="1"/>
      <w:marLeft w:val="0"/>
      <w:marRight w:val="0"/>
      <w:marTop w:val="0"/>
      <w:marBottom w:val="0"/>
      <w:divBdr>
        <w:top w:val="none" w:sz="0" w:space="0" w:color="auto"/>
        <w:left w:val="none" w:sz="0" w:space="0" w:color="auto"/>
        <w:bottom w:val="none" w:sz="0" w:space="0" w:color="auto"/>
        <w:right w:val="none" w:sz="0" w:space="0" w:color="auto"/>
      </w:divBdr>
      <w:divsChild>
        <w:div w:id="368652645">
          <w:marLeft w:val="0"/>
          <w:marRight w:val="0"/>
          <w:marTop w:val="0"/>
          <w:marBottom w:val="0"/>
          <w:divBdr>
            <w:top w:val="none" w:sz="0" w:space="0" w:color="auto"/>
            <w:left w:val="none" w:sz="0" w:space="0" w:color="auto"/>
            <w:bottom w:val="none" w:sz="0" w:space="0" w:color="auto"/>
            <w:right w:val="none" w:sz="0" w:space="0" w:color="auto"/>
          </w:divBdr>
        </w:div>
      </w:divsChild>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367412743">
      <w:bodyDiv w:val="1"/>
      <w:marLeft w:val="0"/>
      <w:marRight w:val="0"/>
      <w:marTop w:val="0"/>
      <w:marBottom w:val="0"/>
      <w:divBdr>
        <w:top w:val="none" w:sz="0" w:space="0" w:color="auto"/>
        <w:left w:val="none" w:sz="0" w:space="0" w:color="auto"/>
        <w:bottom w:val="none" w:sz="0" w:space="0" w:color="auto"/>
        <w:right w:val="none" w:sz="0" w:space="0" w:color="auto"/>
      </w:divBdr>
      <w:divsChild>
        <w:div w:id="2024670339">
          <w:marLeft w:val="0"/>
          <w:marRight w:val="0"/>
          <w:marTop w:val="0"/>
          <w:marBottom w:val="0"/>
          <w:divBdr>
            <w:top w:val="none" w:sz="0" w:space="0" w:color="auto"/>
            <w:left w:val="none" w:sz="0" w:space="0" w:color="auto"/>
            <w:bottom w:val="none" w:sz="0" w:space="0" w:color="auto"/>
            <w:right w:val="none" w:sz="0" w:space="0" w:color="auto"/>
          </w:divBdr>
          <w:divsChild>
            <w:div w:id="1824545228">
              <w:marLeft w:val="0"/>
              <w:marRight w:val="0"/>
              <w:marTop w:val="0"/>
              <w:marBottom w:val="0"/>
              <w:divBdr>
                <w:top w:val="none" w:sz="0" w:space="0" w:color="auto"/>
                <w:left w:val="none" w:sz="0" w:space="0" w:color="auto"/>
                <w:bottom w:val="none" w:sz="0" w:space="0" w:color="auto"/>
                <w:right w:val="none" w:sz="0" w:space="0" w:color="auto"/>
              </w:divBdr>
              <w:divsChild>
                <w:div w:id="897937415">
                  <w:marLeft w:val="0"/>
                  <w:marRight w:val="0"/>
                  <w:marTop w:val="0"/>
                  <w:marBottom w:val="0"/>
                  <w:divBdr>
                    <w:top w:val="none" w:sz="0" w:space="0" w:color="auto"/>
                    <w:left w:val="none" w:sz="0" w:space="0" w:color="auto"/>
                    <w:bottom w:val="none" w:sz="0" w:space="0" w:color="auto"/>
                    <w:right w:val="none" w:sz="0" w:space="0" w:color="auto"/>
                  </w:divBdr>
                  <w:divsChild>
                    <w:div w:id="1721899241">
                      <w:marLeft w:val="0"/>
                      <w:marRight w:val="0"/>
                      <w:marTop w:val="0"/>
                      <w:marBottom w:val="0"/>
                      <w:divBdr>
                        <w:top w:val="none" w:sz="0" w:space="0" w:color="auto"/>
                        <w:left w:val="none" w:sz="0" w:space="0" w:color="auto"/>
                        <w:bottom w:val="none" w:sz="0" w:space="0" w:color="auto"/>
                        <w:right w:val="none" w:sz="0" w:space="0" w:color="auto"/>
                      </w:divBdr>
                      <w:divsChild>
                        <w:div w:id="329219207">
                          <w:marLeft w:val="0"/>
                          <w:marRight w:val="0"/>
                          <w:marTop w:val="0"/>
                          <w:marBottom w:val="0"/>
                          <w:divBdr>
                            <w:top w:val="none" w:sz="0" w:space="0" w:color="auto"/>
                            <w:left w:val="none" w:sz="0" w:space="0" w:color="auto"/>
                            <w:bottom w:val="none" w:sz="0" w:space="0" w:color="auto"/>
                            <w:right w:val="none" w:sz="0" w:space="0" w:color="auto"/>
                          </w:divBdr>
                          <w:divsChild>
                            <w:div w:id="619150238">
                              <w:marLeft w:val="0"/>
                              <w:marRight w:val="0"/>
                              <w:marTop w:val="0"/>
                              <w:marBottom w:val="0"/>
                              <w:divBdr>
                                <w:top w:val="none" w:sz="0" w:space="0" w:color="auto"/>
                                <w:left w:val="none" w:sz="0" w:space="0" w:color="auto"/>
                                <w:bottom w:val="none" w:sz="0" w:space="0" w:color="auto"/>
                                <w:right w:val="none" w:sz="0" w:space="0" w:color="auto"/>
                              </w:divBdr>
                              <w:divsChild>
                                <w:div w:id="1959488213">
                                  <w:marLeft w:val="0"/>
                                  <w:marRight w:val="0"/>
                                  <w:marTop w:val="0"/>
                                  <w:marBottom w:val="0"/>
                                  <w:divBdr>
                                    <w:top w:val="none" w:sz="0" w:space="0" w:color="auto"/>
                                    <w:left w:val="none" w:sz="0" w:space="0" w:color="auto"/>
                                    <w:bottom w:val="none" w:sz="0" w:space="0" w:color="auto"/>
                                    <w:right w:val="none" w:sz="0" w:space="0" w:color="auto"/>
                                  </w:divBdr>
                                  <w:divsChild>
                                    <w:div w:id="2069376566">
                                      <w:marLeft w:val="0"/>
                                      <w:marRight w:val="0"/>
                                      <w:marTop w:val="0"/>
                                      <w:marBottom w:val="0"/>
                                      <w:divBdr>
                                        <w:top w:val="none" w:sz="0" w:space="0" w:color="auto"/>
                                        <w:left w:val="none" w:sz="0" w:space="0" w:color="auto"/>
                                        <w:bottom w:val="none" w:sz="0" w:space="0" w:color="auto"/>
                                        <w:right w:val="none" w:sz="0" w:space="0" w:color="auto"/>
                                      </w:divBdr>
                                      <w:divsChild>
                                        <w:div w:id="1895239180">
                                          <w:marLeft w:val="0"/>
                                          <w:marRight w:val="0"/>
                                          <w:marTop w:val="0"/>
                                          <w:marBottom w:val="0"/>
                                          <w:divBdr>
                                            <w:top w:val="none" w:sz="0" w:space="0" w:color="auto"/>
                                            <w:left w:val="none" w:sz="0" w:space="0" w:color="auto"/>
                                            <w:bottom w:val="none" w:sz="0" w:space="0" w:color="auto"/>
                                            <w:right w:val="none" w:sz="0" w:space="0" w:color="auto"/>
                                          </w:divBdr>
                                          <w:divsChild>
                                            <w:div w:id="588732899">
                                              <w:marLeft w:val="0"/>
                                              <w:marRight w:val="0"/>
                                              <w:marTop w:val="0"/>
                                              <w:marBottom w:val="495"/>
                                              <w:divBdr>
                                                <w:top w:val="none" w:sz="0" w:space="0" w:color="auto"/>
                                                <w:left w:val="none" w:sz="0" w:space="0" w:color="auto"/>
                                                <w:bottom w:val="none" w:sz="0" w:space="0" w:color="auto"/>
                                                <w:right w:val="none" w:sz="0" w:space="0" w:color="auto"/>
                                              </w:divBdr>
                                              <w:divsChild>
                                                <w:div w:id="1913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714095">
      <w:bodyDiv w:val="1"/>
      <w:marLeft w:val="0"/>
      <w:marRight w:val="0"/>
      <w:marTop w:val="0"/>
      <w:marBottom w:val="0"/>
      <w:divBdr>
        <w:top w:val="none" w:sz="0" w:space="0" w:color="auto"/>
        <w:left w:val="none" w:sz="0" w:space="0" w:color="auto"/>
        <w:bottom w:val="none" w:sz="0" w:space="0" w:color="auto"/>
        <w:right w:val="none" w:sz="0" w:space="0" w:color="auto"/>
      </w:divBdr>
    </w:div>
    <w:div w:id="408238497">
      <w:bodyDiv w:val="1"/>
      <w:marLeft w:val="0"/>
      <w:marRight w:val="0"/>
      <w:marTop w:val="0"/>
      <w:marBottom w:val="0"/>
      <w:divBdr>
        <w:top w:val="none" w:sz="0" w:space="0" w:color="auto"/>
        <w:left w:val="none" w:sz="0" w:space="0" w:color="auto"/>
        <w:bottom w:val="none" w:sz="0" w:space="0" w:color="auto"/>
        <w:right w:val="none" w:sz="0" w:space="0" w:color="auto"/>
      </w:divBdr>
      <w:divsChild>
        <w:div w:id="2002151388">
          <w:marLeft w:val="0"/>
          <w:marRight w:val="0"/>
          <w:marTop w:val="0"/>
          <w:marBottom w:val="0"/>
          <w:divBdr>
            <w:top w:val="none" w:sz="0" w:space="0" w:color="auto"/>
            <w:left w:val="none" w:sz="0" w:space="0" w:color="auto"/>
            <w:bottom w:val="none" w:sz="0" w:space="0" w:color="auto"/>
            <w:right w:val="none" w:sz="0" w:space="0" w:color="auto"/>
          </w:divBdr>
          <w:divsChild>
            <w:div w:id="1372605959">
              <w:marLeft w:val="0"/>
              <w:marRight w:val="0"/>
              <w:marTop w:val="0"/>
              <w:marBottom w:val="0"/>
              <w:divBdr>
                <w:top w:val="none" w:sz="0" w:space="0" w:color="auto"/>
                <w:left w:val="none" w:sz="0" w:space="0" w:color="auto"/>
                <w:bottom w:val="none" w:sz="0" w:space="0" w:color="auto"/>
                <w:right w:val="none" w:sz="0" w:space="0" w:color="auto"/>
              </w:divBdr>
              <w:divsChild>
                <w:div w:id="117720037">
                  <w:marLeft w:val="0"/>
                  <w:marRight w:val="0"/>
                  <w:marTop w:val="0"/>
                  <w:marBottom w:val="0"/>
                  <w:divBdr>
                    <w:top w:val="none" w:sz="0" w:space="0" w:color="auto"/>
                    <w:left w:val="none" w:sz="0" w:space="0" w:color="auto"/>
                    <w:bottom w:val="none" w:sz="0" w:space="0" w:color="auto"/>
                    <w:right w:val="none" w:sz="0" w:space="0" w:color="auto"/>
                  </w:divBdr>
                  <w:divsChild>
                    <w:div w:id="1330135819">
                      <w:marLeft w:val="0"/>
                      <w:marRight w:val="0"/>
                      <w:marTop w:val="0"/>
                      <w:marBottom w:val="0"/>
                      <w:divBdr>
                        <w:top w:val="none" w:sz="0" w:space="0" w:color="auto"/>
                        <w:left w:val="none" w:sz="0" w:space="0" w:color="auto"/>
                        <w:bottom w:val="none" w:sz="0" w:space="0" w:color="auto"/>
                        <w:right w:val="none" w:sz="0" w:space="0" w:color="auto"/>
                      </w:divBdr>
                      <w:divsChild>
                        <w:div w:id="1522740663">
                          <w:marLeft w:val="0"/>
                          <w:marRight w:val="0"/>
                          <w:marTop w:val="0"/>
                          <w:marBottom w:val="0"/>
                          <w:divBdr>
                            <w:top w:val="none" w:sz="0" w:space="0" w:color="auto"/>
                            <w:left w:val="none" w:sz="0" w:space="0" w:color="auto"/>
                            <w:bottom w:val="none" w:sz="0" w:space="0" w:color="auto"/>
                            <w:right w:val="none" w:sz="0" w:space="0" w:color="auto"/>
                          </w:divBdr>
                          <w:divsChild>
                            <w:div w:id="945424547">
                              <w:marLeft w:val="0"/>
                              <w:marRight w:val="0"/>
                              <w:marTop w:val="0"/>
                              <w:marBottom w:val="0"/>
                              <w:divBdr>
                                <w:top w:val="none" w:sz="0" w:space="0" w:color="auto"/>
                                <w:left w:val="none" w:sz="0" w:space="0" w:color="auto"/>
                                <w:bottom w:val="none" w:sz="0" w:space="0" w:color="auto"/>
                                <w:right w:val="none" w:sz="0" w:space="0" w:color="auto"/>
                              </w:divBdr>
                              <w:divsChild>
                                <w:div w:id="1296372428">
                                  <w:marLeft w:val="0"/>
                                  <w:marRight w:val="0"/>
                                  <w:marTop w:val="0"/>
                                  <w:marBottom w:val="0"/>
                                  <w:divBdr>
                                    <w:top w:val="none" w:sz="0" w:space="0" w:color="auto"/>
                                    <w:left w:val="none" w:sz="0" w:space="0" w:color="auto"/>
                                    <w:bottom w:val="none" w:sz="0" w:space="0" w:color="auto"/>
                                    <w:right w:val="none" w:sz="0" w:space="0" w:color="auto"/>
                                  </w:divBdr>
                                  <w:divsChild>
                                    <w:div w:id="1187795796">
                                      <w:marLeft w:val="0"/>
                                      <w:marRight w:val="0"/>
                                      <w:marTop w:val="0"/>
                                      <w:marBottom w:val="0"/>
                                      <w:divBdr>
                                        <w:top w:val="none" w:sz="0" w:space="0" w:color="auto"/>
                                        <w:left w:val="none" w:sz="0" w:space="0" w:color="auto"/>
                                        <w:bottom w:val="none" w:sz="0" w:space="0" w:color="auto"/>
                                        <w:right w:val="none" w:sz="0" w:space="0" w:color="auto"/>
                                      </w:divBdr>
                                      <w:divsChild>
                                        <w:div w:id="1763145768">
                                          <w:marLeft w:val="0"/>
                                          <w:marRight w:val="0"/>
                                          <w:marTop w:val="0"/>
                                          <w:marBottom w:val="0"/>
                                          <w:divBdr>
                                            <w:top w:val="none" w:sz="0" w:space="0" w:color="auto"/>
                                            <w:left w:val="none" w:sz="0" w:space="0" w:color="auto"/>
                                            <w:bottom w:val="none" w:sz="0" w:space="0" w:color="auto"/>
                                            <w:right w:val="none" w:sz="0" w:space="0" w:color="auto"/>
                                          </w:divBdr>
                                          <w:divsChild>
                                            <w:div w:id="2109276183">
                                              <w:marLeft w:val="0"/>
                                              <w:marRight w:val="0"/>
                                              <w:marTop w:val="0"/>
                                              <w:marBottom w:val="495"/>
                                              <w:divBdr>
                                                <w:top w:val="none" w:sz="0" w:space="0" w:color="auto"/>
                                                <w:left w:val="none" w:sz="0" w:space="0" w:color="auto"/>
                                                <w:bottom w:val="none" w:sz="0" w:space="0" w:color="auto"/>
                                                <w:right w:val="none" w:sz="0" w:space="0" w:color="auto"/>
                                              </w:divBdr>
                                              <w:divsChild>
                                                <w:div w:id="1242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8602765">
      <w:bodyDiv w:val="1"/>
      <w:marLeft w:val="0"/>
      <w:marRight w:val="0"/>
      <w:marTop w:val="0"/>
      <w:marBottom w:val="0"/>
      <w:divBdr>
        <w:top w:val="none" w:sz="0" w:space="0" w:color="auto"/>
        <w:left w:val="none" w:sz="0" w:space="0" w:color="auto"/>
        <w:bottom w:val="none" w:sz="0" w:space="0" w:color="auto"/>
        <w:right w:val="none" w:sz="0" w:space="0" w:color="auto"/>
      </w:divBdr>
    </w:div>
    <w:div w:id="422604438">
      <w:bodyDiv w:val="1"/>
      <w:marLeft w:val="0"/>
      <w:marRight w:val="0"/>
      <w:marTop w:val="0"/>
      <w:marBottom w:val="0"/>
      <w:divBdr>
        <w:top w:val="none" w:sz="0" w:space="0" w:color="auto"/>
        <w:left w:val="none" w:sz="0" w:space="0" w:color="auto"/>
        <w:bottom w:val="none" w:sz="0" w:space="0" w:color="auto"/>
        <w:right w:val="none" w:sz="0" w:space="0" w:color="auto"/>
      </w:divBdr>
      <w:divsChild>
        <w:div w:id="261038230">
          <w:marLeft w:val="0"/>
          <w:marRight w:val="0"/>
          <w:marTop w:val="0"/>
          <w:marBottom w:val="0"/>
          <w:divBdr>
            <w:top w:val="none" w:sz="0" w:space="0" w:color="auto"/>
            <w:left w:val="none" w:sz="0" w:space="0" w:color="auto"/>
            <w:bottom w:val="none" w:sz="0" w:space="0" w:color="auto"/>
            <w:right w:val="none" w:sz="0" w:space="0" w:color="auto"/>
          </w:divBdr>
          <w:divsChild>
            <w:div w:id="1874998169">
              <w:marLeft w:val="0"/>
              <w:marRight w:val="0"/>
              <w:marTop w:val="0"/>
              <w:marBottom w:val="0"/>
              <w:divBdr>
                <w:top w:val="none" w:sz="0" w:space="0" w:color="auto"/>
                <w:left w:val="none" w:sz="0" w:space="0" w:color="auto"/>
                <w:bottom w:val="none" w:sz="0" w:space="0" w:color="auto"/>
                <w:right w:val="none" w:sz="0" w:space="0" w:color="auto"/>
              </w:divBdr>
              <w:divsChild>
                <w:div w:id="961226254">
                  <w:marLeft w:val="0"/>
                  <w:marRight w:val="0"/>
                  <w:marTop w:val="0"/>
                  <w:marBottom w:val="0"/>
                  <w:divBdr>
                    <w:top w:val="none" w:sz="0" w:space="0" w:color="auto"/>
                    <w:left w:val="none" w:sz="0" w:space="0" w:color="auto"/>
                    <w:bottom w:val="none" w:sz="0" w:space="0" w:color="auto"/>
                    <w:right w:val="none" w:sz="0" w:space="0" w:color="auto"/>
                  </w:divBdr>
                  <w:divsChild>
                    <w:div w:id="297734794">
                      <w:marLeft w:val="0"/>
                      <w:marRight w:val="0"/>
                      <w:marTop w:val="0"/>
                      <w:marBottom w:val="0"/>
                      <w:divBdr>
                        <w:top w:val="none" w:sz="0" w:space="0" w:color="auto"/>
                        <w:left w:val="none" w:sz="0" w:space="0" w:color="auto"/>
                        <w:bottom w:val="none" w:sz="0" w:space="0" w:color="auto"/>
                        <w:right w:val="none" w:sz="0" w:space="0" w:color="auto"/>
                      </w:divBdr>
                      <w:divsChild>
                        <w:div w:id="2034527036">
                          <w:marLeft w:val="0"/>
                          <w:marRight w:val="0"/>
                          <w:marTop w:val="0"/>
                          <w:marBottom w:val="0"/>
                          <w:divBdr>
                            <w:top w:val="none" w:sz="0" w:space="0" w:color="auto"/>
                            <w:left w:val="none" w:sz="0" w:space="0" w:color="auto"/>
                            <w:bottom w:val="none" w:sz="0" w:space="0" w:color="auto"/>
                            <w:right w:val="none" w:sz="0" w:space="0" w:color="auto"/>
                          </w:divBdr>
                          <w:divsChild>
                            <w:div w:id="2089571334">
                              <w:marLeft w:val="0"/>
                              <w:marRight w:val="0"/>
                              <w:marTop w:val="0"/>
                              <w:marBottom w:val="0"/>
                              <w:divBdr>
                                <w:top w:val="none" w:sz="0" w:space="0" w:color="auto"/>
                                <w:left w:val="none" w:sz="0" w:space="0" w:color="auto"/>
                                <w:bottom w:val="none" w:sz="0" w:space="0" w:color="auto"/>
                                <w:right w:val="none" w:sz="0" w:space="0" w:color="auto"/>
                              </w:divBdr>
                              <w:divsChild>
                                <w:div w:id="77290242">
                                  <w:marLeft w:val="0"/>
                                  <w:marRight w:val="0"/>
                                  <w:marTop w:val="0"/>
                                  <w:marBottom w:val="0"/>
                                  <w:divBdr>
                                    <w:top w:val="none" w:sz="0" w:space="0" w:color="auto"/>
                                    <w:left w:val="none" w:sz="0" w:space="0" w:color="auto"/>
                                    <w:bottom w:val="none" w:sz="0" w:space="0" w:color="auto"/>
                                    <w:right w:val="none" w:sz="0" w:space="0" w:color="auto"/>
                                  </w:divBdr>
                                  <w:divsChild>
                                    <w:div w:id="356278906">
                                      <w:marLeft w:val="0"/>
                                      <w:marRight w:val="0"/>
                                      <w:marTop w:val="0"/>
                                      <w:marBottom w:val="0"/>
                                      <w:divBdr>
                                        <w:top w:val="none" w:sz="0" w:space="0" w:color="auto"/>
                                        <w:left w:val="none" w:sz="0" w:space="0" w:color="auto"/>
                                        <w:bottom w:val="none" w:sz="0" w:space="0" w:color="auto"/>
                                        <w:right w:val="none" w:sz="0" w:space="0" w:color="auto"/>
                                      </w:divBdr>
                                      <w:divsChild>
                                        <w:div w:id="1525167425">
                                          <w:marLeft w:val="0"/>
                                          <w:marRight w:val="0"/>
                                          <w:marTop w:val="0"/>
                                          <w:marBottom w:val="495"/>
                                          <w:divBdr>
                                            <w:top w:val="none" w:sz="0" w:space="0" w:color="auto"/>
                                            <w:left w:val="none" w:sz="0" w:space="0" w:color="auto"/>
                                            <w:bottom w:val="none" w:sz="0" w:space="0" w:color="auto"/>
                                            <w:right w:val="none" w:sz="0" w:space="0" w:color="auto"/>
                                          </w:divBdr>
                                          <w:divsChild>
                                            <w:div w:id="16811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25868798">
      <w:bodyDiv w:val="1"/>
      <w:marLeft w:val="0"/>
      <w:marRight w:val="0"/>
      <w:marTop w:val="0"/>
      <w:marBottom w:val="0"/>
      <w:divBdr>
        <w:top w:val="none" w:sz="0" w:space="0" w:color="auto"/>
        <w:left w:val="none" w:sz="0" w:space="0" w:color="auto"/>
        <w:bottom w:val="none" w:sz="0" w:space="0" w:color="auto"/>
        <w:right w:val="none" w:sz="0" w:space="0" w:color="auto"/>
      </w:divBdr>
    </w:div>
    <w:div w:id="549341311">
      <w:bodyDiv w:val="1"/>
      <w:marLeft w:val="0"/>
      <w:marRight w:val="0"/>
      <w:marTop w:val="0"/>
      <w:marBottom w:val="0"/>
      <w:divBdr>
        <w:top w:val="none" w:sz="0" w:space="0" w:color="auto"/>
        <w:left w:val="none" w:sz="0" w:space="0" w:color="auto"/>
        <w:bottom w:val="none" w:sz="0" w:space="0" w:color="auto"/>
        <w:right w:val="none" w:sz="0" w:space="0" w:color="auto"/>
      </w:divBdr>
      <w:divsChild>
        <w:div w:id="1422602751">
          <w:marLeft w:val="0"/>
          <w:marRight w:val="0"/>
          <w:marTop w:val="0"/>
          <w:marBottom w:val="0"/>
          <w:divBdr>
            <w:top w:val="none" w:sz="0" w:space="0" w:color="auto"/>
            <w:left w:val="none" w:sz="0" w:space="0" w:color="auto"/>
            <w:bottom w:val="none" w:sz="0" w:space="0" w:color="auto"/>
            <w:right w:val="none" w:sz="0" w:space="0" w:color="auto"/>
          </w:divBdr>
          <w:divsChild>
            <w:div w:id="612589784">
              <w:marLeft w:val="0"/>
              <w:marRight w:val="0"/>
              <w:marTop w:val="0"/>
              <w:marBottom w:val="0"/>
              <w:divBdr>
                <w:top w:val="none" w:sz="0" w:space="0" w:color="auto"/>
                <w:left w:val="none" w:sz="0" w:space="0" w:color="auto"/>
                <w:bottom w:val="none" w:sz="0" w:space="0" w:color="auto"/>
                <w:right w:val="none" w:sz="0" w:space="0" w:color="auto"/>
              </w:divBdr>
              <w:divsChild>
                <w:div w:id="1512986534">
                  <w:marLeft w:val="0"/>
                  <w:marRight w:val="0"/>
                  <w:marTop w:val="0"/>
                  <w:marBottom w:val="0"/>
                  <w:divBdr>
                    <w:top w:val="none" w:sz="0" w:space="0" w:color="auto"/>
                    <w:left w:val="none" w:sz="0" w:space="0" w:color="auto"/>
                    <w:bottom w:val="none" w:sz="0" w:space="0" w:color="auto"/>
                    <w:right w:val="none" w:sz="0" w:space="0" w:color="auto"/>
                  </w:divBdr>
                  <w:divsChild>
                    <w:div w:id="1626425338">
                      <w:marLeft w:val="0"/>
                      <w:marRight w:val="0"/>
                      <w:marTop w:val="0"/>
                      <w:marBottom w:val="0"/>
                      <w:divBdr>
                        <w:top w:val="none" w:sz="0" w:space="0" w:color="auto"/>
                        <w:left w:val="none" w:sz="0" w:space="0" w:color="auto"/>
                        <w:bottom w:val="none" w:sz="0" w:space="0" w:color="auto"/>
                        <w:right w:val="none" w:sz="0" w:space="0" w:color="auto"/>
                      </w:divBdr>
                      <w:divsChild>
                        <w:div w:id="1578130905">
                          <w:marLeft w:val="0"/>
                          <w:marRight w:val="0"/>
                          <w:marTop w:val="0"/>
                          <w:marBottom w:val="0"/>
                          <w:divBdr>
                            <w:top w:val="none" w:sz="0" w:space="0" w:color="auto"/>
                            <w:left w:val="none" w:sz="0" w:space="0" w:color="auto"/>
                            <w:bottom w:val="none" w:sz="0" w:space="0" w:color="auto"/>
                            <w:right w:val="none" w:sz="0" w:space="0" w:color="auto"/>
                          </w:divBdr>
                          <w:divsChild>
                            <w:div w:id="1263027958">
                              <w:marLeft w:val="0"/>
                              <w:marRight w:val="0"/>
                              <w:marTop w:val="0"/>
                              <w:marBottom w:val="0"/>
                              <w:divBdr>
                                <w:top w:val="none" w:sz="0" w:space="0" w:color="auto"/>
                                <w:left w:val="none" w:sz="0" w:space="0" w:color="auto"/>
                                <w:bottom w:val="none" w:sz="0" w:space="0" w:color="auto"/>
                                <w:right w:val="none" w:sz="0" w:space="0" w:color="auto"/>
                              </w:divBdr>
                              <w:divsChild>
                                <w:div w:id="1389569415">
                                  <w:marLeft w:val="0"/>
                                  <w:marRight w:val="0"/>
                                  <w:marTop w:val="0"/>
                                  <w:marBottom w:val="0"/>
                                  <w:divBdr>
                                    <w:top w:val="none" w:sz="0" w:space="0" w:color="auto"/>
                                    <w:left w:val="none" w:sz="0" w:space="0" w:color="auto"/>
                                    <w:bottom w:val="none" w:sz="0" w:space="0" w:color="auto"/>
                                    <w:right w:val="none" w:sz="0" w:space="0" w:color="auto"/>
                                  </w:divBdr>
                                  <w:divsChild>
                                    <w:div w:id="1374841065">
                                      <w:marLeft w:val="0"/>
                                      <w:marRight w:val="0"/>
                                      <w:marTop w:val="0"/>
                                      <w:marBottom w:val="0"/>
                                      <w:divBdr>
                                        <w:top w:val="none" w:sz="0" w:space="0" w:color="auto"/>
                                        <w:left w:val="none" w:sz="0" w:space="0" w:color="auto"/>
                                        <w:bottom w:val="none" w:sz="0" w:space="0" w:color="auto"/>
                                        <w:right w:val="none" w:sz="0" w:space="0" w:color="auto"/>
                                      </w:divBdr>
                                      <w:divsChild>
                                        <w:div w:id="2077512678">
                                          <w:marLeft w:val="0"/>
                                          <w:marRight w:val="0"/>
                                          <w:marTop w:val="0"/>
                                          <w:marBottom w:val="495"/>
                                          <w:divBdr>
                                            <w:top w:val="none" w:sz="0" w:space="0" w:color="auto"/>
                                            <w:left w:val="none" w:sz="0" w:space="0" w:color="auto"/>
                                            <w:bottom w:val="none" w:sz="0" w:space="0" w:color="auto"/>
                                            <w:right w:val="none" w:sz="0" w:space="0" w:color="auto"/>
                                          </w:divBdr>
                                          <w:divsChild>
                                            <w:div w:id="9652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1504853">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46596885">
      <w:bodyDiv w:val="1"/>
      <w:marLeft w:val="0"/>
      <w:marRight w:val="0"/>
      <w:marTop w:val="0"/>
      <w:marBottom w:val="0"/>
      <w:divBdr>
        <w:top w:val="none" w:sz="0" w:space="0" w:color="auto"/>
        <w:left w:val="none" w:sz="0" w:space="0" w:color="auto"/>
        <w:bottom w:val="none" w:sz="0" w:space="0" w:color="auto"/>
        <w:right w:val="none" w:sz="0" w:space="0" w:color="auto"/>
      </w:divBdr>
    </w:div>
    <w:div w:id="658734330">
      <w:bodyDiv w:val="1"/>
      <w:marLeft w:val="0"/>
      <w:marRight w:val="0"/>
      <w:marTop w:val="0"/>
      <w:marBottom w:val="0"/>
      <w:divBdr>
        <w:top w:val="none" w:sz="0" w:space="0" w:color="auto"/>
        <w:left w:val="none" w:sz="0" w:space="0" w:color="auto"/>
        <w:bottom w:val="none" w:sz="0" w:space="0" w:color="auto"/>
        <w:right w:val="none" w:sz="0" w:space="0" w:color="auto"/>
      </w:divBdr>
    </w:div>
    <w:div w:id="667095355">
      <w:bodyDiv w:val="1"/>
      <w:marLeft w:val="0"/>
      <w:marRight w:val="0"/>
      <w:marTop w:val="0"/>
      <w:marBottom w:val="0"/>
      <w:divBdr>
        <w:top w:val="none" w:sz="0" w:space="0" w:color="auto"/>
        <w:left w:val="none" w:sz="0" w:space="0" w:color="auto"/>
        <w:bottom w:val="none" w:sz="0" w:space="0" w:color="auto"/>
        <w:right w:val="none" w:sz="0" w:space="0" w:color="auto"/>
      </w:divBdr>
    </w:div>
    <w:div w:id="682055925">
      <w:bodyDiv w:val="1"/>
      <w:marLeft w:val="0"/>
      <w:marRight w:val="0"/>
      <w:marTop w:val="0"/>
      <w:marBottom w:val="0"/>
      <w:divBdr>
        <w:top w:val="none" w:sz="0" w:space="0" w:color="auto"/>
        <w:left w:val="none" w:sz="0" w:space="0" w:color="auto"/>
        <w:bottom w:val="none" w:sz="0" w:space="0" w:color="auto"/>
        <w:right w:val="none" w:sz="0" w:space="0" w:color="auto"/>
      </w:divBdr>
    </w:div>
    <w:div w:id="694426038">
      <w:bodyDiv w:val="1"/>
      <w:marLeft w:val="0"/>
      <w:marRight w:val="0"/>
      <w:marTop w:val="0"/>
      <w:marBottom w:val="0"/>
      <w:divBdr>
        <w:top w:val="none" w:sz="0" w:space="0" w:color="auto"/>
        <w:left w:val="none" w:sz="0" w:space="0" w:color="auto"/>
        <w:bottom w:val="none" w:sz="0" w:space="0" w:color="auto"/>
        <w:right w:val="none" w:sz="0" w:space="0" w:color="auto"/>
      </w:divBdr>
      <w:divsChild>
        <w:div w:id="1861581193">
          <w:marLeft w:val="0"/>
          <w:marRight w:val="0"/>
          <w:marTop w:val="0"/>
          <w:marBottom w:val="0"/>
          <w:divBdr>
            <w:top w:val="none" w:sz="0" w:space="0" w:color="auto"/>
            <w:left w:val="none" w:sz="0" w:space="0" w:color="auto"/>
            <w:bottom w:val="none" w:sz="0" w:space="0" w:color="auto"/>
            <w:right w:val="none" w:sz="0" w:space="0" w:color="auto"/>
          </w:divBdr>
          <w:divsChild>
            <w:div w:id="18362301">
              <w:marLeft w:val="0"/>
              <w:marRight w:val="0"/>
              <w:marTop w:val="0"/>
              <w:marBottom w:val="0"/>
              <w:divBdr>
                <w:top w:val="none" w:sz="0" w:space="0" w:color="auto"/>
                <w:left w:val="none" w:sz="0" w:space="0" w:color="auto"/>
                <w:bottom w:val="none" w:sz="0" w:space="0" w:color="auto"/>
                <w:right w:val="none" w:sz="0" w:space="0" w:color="auto"/>
              </w:divBdr>
            </w:div>
            <w:div w:id="330183893">
              <w:marLeft w:val="0"/>
              <w:marRight w:val="0"/>
              <w:marTop w:val="0"/>
              <w:marBottom w:val="0"/>
              <w:divBdr>
                <w:top w:val="none" w:sz="0" w:space="0" w:color="auto"/>
                <w:left w:val="none" w:sz="0" w:space="0" w:color="auto"/>
                <w:bottom w:val="none" w:sz="0" w:space="0" w:color="auto"/>
                <w:right w:val="none" w:sz="0" w:space="0" w:color="auto"/>
              </w:divBdr>
              <w:divsChild>
                <w:div w:id="1761489517">
                  <w:marLeft w:val="0"/>
                  <w:marRight w:val="0"/>
                  <w:marTop w:val="0"/>
                  <w:marBottom w:val="0"/>
                  <w:divBdr>
                    <w:top w:val="none" w:sz="0" w:space="0" w:color="auto"/>
                    <w:left w:val="none" w:sz="0" w:space="0" w:color="auto"/>
                    <w:bottom w:val="none" w:sz="0" w:space="0" w:color="auto"/>
                    <w:right w:val="none" w:sz="0" w:space="0" w:color="auto"/>
                  </w:divBdr>
                  <w:divsChild>
                    <w:div w:id="18675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359">
      <w:bodyDiv w:val="1"/>
      <w:marLeft w:val="0"/>
      <w:marRight w:val="0"/>
      <w:marTop w:val="0"/>
      <w:marBottom w:val="0"/>
      <w:divBdr>
        <w:top w:val="none" w:sz="0" w:space="0" w:color="auto"/>
        <w:left w:val="none" w:sz="0" w:space="0" w:color="auto"/>
        <w:bottom w:val="none" w:sz="0" w:space="0" w:color="auto"/>
        <w:right w:val="none" w:sz="0" w:space="0" w:color="auto"/>
      </w:divBdr>
    </w:div>
    <w:div w:id="718437354">
      <w:bodyDiv w:val="1"/>
      <w:marLeft w:val="0"/>
      <w:marRight w:val="0"/>
      <w:marTop w:val="0"/>
      <w:marBottom w:val="0"/>
      <w:divBdr>
        <w:top w:val="none" w:sz="0" w:space="0" w:color="auto"/>
        <w:left w:val="none" w:sz="0" w:space="0" w:color="auto"/>
        <w:bottom w:val="none" w:sz="0" w:space="0" w:color="auto"/>
        <w:right w:val="none" w:sz="0" w:space="0" w:color="auto"/>
      </w:divBdr>
    </w:div>
    <w:div w:id="725370178">
      <w:bodyDiv w:val="1"/>
      <w:marLeft w:val="0"/>
      <w:marRight w:val="0"/>
      <w:marTop w:val="0"/>
      <w:marBottom w:val="0"/>
      <w:divBdr>
        <w:top w:val="none" w:sz="0" w:space="0" w:color="auto"/>
        <w:left w:val="none" w:sz="0" w:space="0" w:color="auto"/>
        <w:bottom w:val="none" w:sz="0" w:space="0" w:color="auto"/>
        <w:right w:val="none" w:sz="0" w:space="0" w:color="auto"/>
      </w:divBdr>
    </w:div>
    <w:div w:id="74391529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789402351">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44322533">
      <w:bodyDiv w:val="1"/>
      <w:marLeft w:val="0"/>
      <w:marRight w:val="0"/>
      <w:marTop w:val="0"/>
      <w:marBottom w:val="0"/>
      <w:divBdr>
        <w:top w:val="none" w:sz="0" w:space="0" w:color="auto"/>
        <w:left w:val="none" w:sz="0" w:space="0" w:color="auto"/>
        <w:bottom w:val="none" w:sz="0" w:space="0" w:color="auto"/>
        <w:right w:val="none" w:sz="0" w:space="0" w:color="auto"/>
      </w:divBdr>
      <w:divsChild>
        <w:div w:id="953444157">
          <w:marLeft w:val="0"/>
          <w:marRight w:val="0"/>
          <w:marTop w:val="0"/>
          <w:marBottom w:val="0"/>
          <w:divBdr>
            <w:top w:val="none" w:sz="0" w:space="0" w:color="auto"/>
            <w:left w:val="none" w:sz="0" w:space="0" w:color="auto"/>
            <w:bottom w:val="none" w:sz="0" w:space="0" w:color="auto"/>
            <w:right w:val="none" w:sz="0" w:space="0" w:color="auto"/>
          </w:divBdr>
          <w:divsChild>
            <w:div w:id="156894390">
              <w:marLeft w:val="0"/>
              <w:marRight w:val="0"/>
              <w:marTop w:val="0"/>
              <w:marBottom w:val="0"/>
              <w:divBdr>
                <w:top w:val="none" w:sz="0" w:space="0" w:color="auto"/>
                <w:left w:val="none" w:sz="0" w:space="0" w:color="auto"/>
                <w:bottom w:val="none" w:sz="0" w:space="0" w:color="auto"/>
                <w:right w:val="none" w:sz="0" w:space="0" w:color="auto"/>
              </w:divBdr>
              <w:divsChild>
                <w:div w:id="950279517">
                  <w:marLeft w:val="0"/>
                  <w:marRight w:val="0"/>
                  <w:marTop w:val="0"/>
                  <w:marBottom w:val="0"/>
                  <w:divBdr>
                    <w:top w:val="none" w:sz="0" w:space="0" w:color="auto"/>
                    <w:left w:val="none" w:sz="0" w:space="0" w:color="auto"/>
                    <w:bottom w:val="none" w:sz="0" w:space="0" w:color="auto"/>
                    <w:right w:val="none" w:sz="0" w:space="0" w:color="auto"/>
                  </w:divBdr>
                  <w:divsChild>
                    <w:div w:id="898630684">
                      <w:marLeft w:val="0"/>
                      <w:marRight w:val="0"/>
                      <w:marTop w:val="0"/>
                      <w:marBottom w:val="0"/>
                      <w:divBdr>
                        <w:top w:val="none" w:sz="0" w:space="0" w:color="auto"/>
                        <w:left w:val="none" w:sz="0" w:space="0" w:color="auto"/>
                        <w:bottom w:val="none" w:sz="0" w:space="0" w:color="auto"/>
                        <w:right w:val="none" w:sz="0" w:space="0" w:color="auto"/>
                      </w:divBdr>
                      <w:divsChild>
                        <w:div w:id="1252469387">
                          <w:marLeft w:val="0"/>
                          <w:marRight w:val="0"/>
                          <w:marTop w:val="0"/>
                          <w:marBottom w:val="0"/>
                          <w:divBdr>
                            <w:top w:val="none" w:sz="0" w:space="0" w:color="auto"/>
                            <w:left w:val="none" w:sz="0" w:space="0" w:color="auto"/>
                            <w:bottom w:val="none" w:sz="0" w:space="0" w:color="auto"/>
                            <w:right w:val="none" w:sz="0" w:space="0" w:color="auto"/>
                          </w:divBdr>
                          <w:divsChild>
                            <w:div w:id="673336307">
                              <w:marLeft w:val="0"/>
                              <w:marRight w:val="0"/>
                              <w:marTop w:val="0"/>
                              <w:marBottom w:val="0"/>
                              <w:divBdr>
                                <w:top w:val="none" w:sz="0" w:space="0" w:color="auto"/>
                                <w:left w:val="none" w:sz="0" w:space="0" w:color="auto"/>
                                <w:bottom w:val="none" w:sz="0" w:space="0" w:color="auto"/>
                                <w:right w:val="none" w:sz="0" w:space="0" w:color="auto"/>
                              </w:divBdr>
                              <w:divsChild>
                                <w:div w:id="1612474734">
                                  <w:marLeft w:val="0"/>
                                  <w:marRight w:val="0"/>
                                  <w:marTop w:val="0"/>
                                  <w:marBottom w:val="0"/>
                                  <w:divBdr>
                                    <w:top w:val="none" w:sz="0" w:space="0" w:color="auto"/>
                                    <w:left w:val="none" w:sz="0" w:space="0" w:color="auto"/>
                                    <w:bottom w:val="none" w:sz="0" w:space="0" w:color="auto"/>
                                    <w:right w:val="none" w:sz="0" w:space="0" w:color="auto"/>
                                  </w:divBdr>
                                </w:div>
                                <w:div w:id="1094667975">
                                  <w:marLeft w:val="0"/>
                                  <w:marRight w:val="0"/>
                                  <w:marTop w:val="0"/>
                                  <w:marBottom w:val="0"/>
                                  <w:divBdr>
                                    <w:top w:val="none" w:sz="0" w:space="0" w:color="auto"/>
                                    <w:left w:val="none" w:sz="0" w:space="0" w:color="auto"/>
                                    <w:bottom w:val="none" w:sz="0" w:space="0" w:color="auto"/>
                                    <w:right w:val="none" w:sz="0" w:space="0" w:color="auto"/>
                                  </w:divBdr>
                                </w:div>
                                <w:div w:id="1500923463">
                                  <w:marLeft w:val="0"/>
                                  <w:marRight w:val="0"/>
                                  <w:marTop w:val="0"/>
                                  <w:marBottom w:val="0"/>
                                  <w:divBdr>
                                    <w:top w:val="none" w:sz="0" w:space="0" w:color="auto"/>
                                    <w:left w:val="none" w:sz="0" w:space="0" w:color="auto"/>
                                    <w:bottom w:val="none" w:sz="0" w:space="0" w:color="auto"/>
                                    <w:right w:val="none" w:sz="0" w:space="0" w:color="auto"/>
                                  </w:divBdr>
                                </w:div>
                                <w:div w:id="1078291220">
                                  <w:marLeft w:val="0"/>
                                  <w:marRight w:val="0"/>
                                  <w:marTop w:val="0"/>
                                  <w:marBottom w:val="0"/>
                                  <w:divBdr>
                                    <w:top w:val="none" w:sz="0" w:space="0" w:color="auto"/>
                                    <w:left w:val="none" w:sz="0" w:space="0" w:color="auto"/>
                                    <w:bottom w:val="none" w:sz="0" w:space="0" w:color="auto"/>
                                    <w:right w:val="none" w:sz="0" w:space="0" w:color="auto"/>
                                  </w:divBdr>
                                </w:div>
                                <w:div w:id="3225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17371">
      <w:bodyDiv w:val="1"/>
      <w:marLeft w:val="0"/>
      <w:marRight w:val="0"/>
      <w:marTop w:val="0"/>
      <w:marBottom w:val="0"/>
      <w:divBdr>
        <w:top w:val="none" w:sz="0" w:space="0" w:color="auto"/>
        <w:left w:val="none" w:sz="0" w:space="0" w:color="auto"/>
        <w:bottom w:val="none" w:sz="0" w:space="0" w:color="auto"/>
        <w:right w:val="none" w:sz="0" w:space="0" w:color="auto"/>
      </w:divBdr>
    </w:div>
    <w:div w:id="854879059">
      <w:bodyDiv w:val="1"/>
      <w:marLeft w:val="0"/>
      <w:marRight w:val="0"/>
      <w:marTop w:val="0"/>
      <w:marBottom w:val="0"/>
      <w:divBdr>
        <w:top w:val="none" w:sz="0" w:space="0" w:color="auto"/>
        <w:left w:val="none" w:sz="0" w:space="0" w:color="auto"/>
        <w:bottom w:val="none" w:sz="0" w:space="0" w:color="auto"/>
        <w:right w:val="none" w:sz="0" w:space="0" w:color="auto"/>
      </w:divBdr>
    </w:div>
    <w:div w:id="857498605">
      <w:bodyDiv w:val="1"/>
      <w:marLeft w:val="0"/>
      <w:marRight w:val="0"/>
      <w:marTop w:val="0"/>
      <w:marBottom w:val="0"/>
      <w:divBdr>
        <w:top w:val="none" w:sz="0" w:space="0" w:color="auto"/>
        <w:left w:val="none" w:sz="0" w:space="0" w:color="auto"/>
        <w:bottom w:val="none" w:sz="0" w:space="0" w:color="auto"/>
        <w:right w:val="none" w:sz="0" w:space="0" w:color="auto"/>
      </w:divBdr>
    </w:div>
    <w:div w:id="863324153">
      <w:bodyDiv w:val="1"/>
      <w:marLeft w:val="0"/>
      <w:marRight w:val="0"/>
      <w:marTop w:val="0"/>
      <w:marBottom w:val="0"/>
      <w:divBdr>
        <w:top w:val="none" w:sz="0" w:space="0" w:color="auto"/>
        <w:left w:val="none" w:sz="0" w:space="0" w:color="auto"/>
        <w:bottom w:val="none" w:sz="0" w:space="0" w:color="auto"/>
        <w:right w:val="none" w:sz="0" w:space="0" w:color="auto"/>
      </w:divBdr>
      <w:divsChild>
        <w:div w:id="516578212">
          <w:marLeft w:val="547"/>
          <w:marRight w:val="0"/>
          <w:marTop w:val="125"/>
          <w:marBottom w:val="0"/>
          <w:divBdr>
            <w:top w:val="none" w:sz="0" w:space="0" w:color="auto"/>
            <w:left w:val="none" w:sz="0" w:space="0" w:color="auto"/>
            <w:bottom w:val="none" w:sz="0" w:space="0" w:color="auto"/>
            <w:right w:val="none" w:sz="0" w:space="0" w:color="auto"/>
          </w:divBdr>
        </w:div>
        <w:div w:id="1131560342">
          <w:marLeft w:val="547"/>
          <w:marRight w:val="0"/>
          <w:marTop w:val="125"/>
          <w:marBottom w:val="0"/>
          <w:divBdr>
            <w:top w:val="none" w:sz="0" w:space="0" w:color="auto"/>
            <w:left w:val="none" w:sz="0" w:space="0" w:color="auto"/>
            <w:bottom w:val="none" w:sz="0" w:space="0" w:color="auto"/>
            <w:right w:val="none" w:sz="0" w:space="0" w:color="auto"/>
          </w:divBdr>
        </w:div>
        <w:div w:id="1738164304">
          <w:marLeft w:val="547"/>
          <w:marRight w:val="0"/>
          <w:marTop w:val="125"/>
          <w:marBottom w:val="0"/>
          <w:divBdr>
            <w:top w:val="none" w:sz="0" w:space="0" w:color="auto"/>
            <w:left w:val="none" w:sz="0" w:space="0" w:color="auto"/>
            <w:bottom w:val="none" w:sz="0" w:space="0" w:color="auto"/>
            <w:right w:val="none" w:sz="0" w:space="0" w:color="auto"/>
          </w:divBdr>
        </w:div>
      </w:divsChild>
    </w:div>
    <w:div w:id="912817802">
      <w:bodyDiv w:val="1"/>
      <w:marLeft w:val="0"/>
      <w:marRight w:val="0"/>
      <w:marTop w:val="0"/>
      <w:marBottom w:val="0"/>
      <w:divBdr>
        <w:top w:val="none" w:sz="0" w:space="0" w:color="auto"/>
        <w:left w:val="none" w:sz="0" w:space="0" w:color="auto"/>
        <w:bottom w:val="none" w:sz="0" w:space="0" w:color="auto"/>
        <w:right w:val="none" w:sz="0" w:space="0" w:color="auto"/>
      </w:divBdr>
    </w:div>
    <w:div w:id="932588250">
      <w:bodyDiv w:val="1"/>
      <w:marLeft w:val="0"/>
      <w:marRight w:val="0"/>
      <w:marTop w:val="0"/>
      <w:marBottom w:val="0"/>
      <w:divBdr>
        <w:top w:val="none" w:sz="0" w:space="0" w:color="auto"/>
        <w:left w:val="none" w:sz="0" w:space="0" w:color="auto"/>
        <w:bottom w:val="none" w:sz="0" w:space="0" w:color="auto"/>
        <w:right w:val="none" w:sz="0" w:space="0" w:color="auto"/>
      </w:divBdr>
    </w:div>
    <w:div w:id="934168978">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55259440">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9531">
      <w:bodyDiv w:val="1"/>
      <w:marLeft w:val="0"/>
      <w:marRight w:val="0"/>
      <w:marTop w:val="0"/>
      <w:marBottom w:val="0"/>
      <w:divBdr>
        <w:top w:val="none" w:sz="0" w:space="0" w:color="auto"/>
        <w:left w:val="none" w:sz="0" w:space="0" w:color="auto"/>
        <w:bottom w:val="none" w:sz="0" w:space="0" w:color="auto"/>
        <w:right w:val="none" w:sz="0" w:space="0" w:color="auto"/>
      </w:divBdr>
    </w:div>
    <w:div w:id="1016425985">
      <w:bodyDiv w:val="1"/>
      <w:marLeft w:val="0"/>
      <w:marRight w:val="0"/>
      <w:marTop w:val="0"/>
      <w:marBottom w:val="0"/>
      <w:divBdr>
        <w:top w:val="none" w:sz="0" w:space="0" w:color="auto"/>
        <w:left w:val="none" w:sz="0" w:space="0" w:color="auto"/>
        <w:bottom w:val="none" w:sz="0" w:space="0" w:color="auto"/>
        <w:right w:val="none" w:sz="0" w:space="0" w:color="auto"/>
      </w:divBdr>
    </w:div>
    <w:div w:id="1016731892">
      <w:bodyDiv w:val="1"/>
      <w:marLeft w:val="0"/>
      <w:marRight w:val="0"/>
      <w:marTop w:val="0"/>
      <w:marBottom w:val="0"/>
      <w:divBdr>
        <w:top w:val="none" w:sz="0" w:space="0" w:color="auto"/>
        <w:left w:val="none" w:sz="0" w:space="0" w:color="auto"/>
        <w:bottom w:val="none" w:sz="0" w:space="0" w:color="auto"/>
        <w:right w:val="none" w:sz="0" w:space="0" w:color="auto"/>
      </w:divBdr>
    </w:div>
    <w:div w:id="1024938852">
      <w:bodyDiv w:val="1"/>
      <w:marLeft w:val="0"/>
      <w:marRight w:val="0"/>
      <w:marTop w:val="0"/>
      <w:marBottom w:val="0"/>
      <w:divBdr>
        <w:top w:val="none" w:sz="0" w:space="0" w:color="auto"/>
        <w:left w:val="none" w:sz="0" w:space="0" w:color="auto"/>
        <w:bottom w:val="none" w:sz="0" w:space="0" w:color="auto"/>
        <w:right w:val="none" w:sz="0" w:space="0" w:color="auto"/>
      </w:divBdr>
    </w:div>
    <w:div w:id="1033965907">
      <w:bodyDiv w:val="1"/>
      <w:marLeft w:val="0"/>
      <w:marRight w:val="0"/>
      <w:marTop w:val="0"/>
      <w:marBottom w:val="0"/>
      <w:divBdr>
        <w:top w:val="none" w:sz="0" w:space="0" w:color="auto"/>
        <w:left w:val="none" w:sz="0" w:space="0" w:color="auto"/>
        <w:bottom w:val="none" w:sz="0" w:space="0" w:color="auto"/>
        <w:right w:val="none" w:sz="0" w:space="0" w:color="auto"/>
      </w:divBdr>
      <w:divsChild>
        <w:div w:id="1811046819">
          <w:marLeft w:val="0"/>
          <w:marRight w:val="0"/>
          <w:marTop w:val="0"/>
          <w:marBottom w:val="0"/>
          <w:divBdr>
            <w:top w:val="none" w:sz="0" w:space="0" w:color="auto"/>
            <w:left w:val="none" w:sz="0" w:space="0" w:color="auto"/>
            <w:bottom w:val="none" w:sz="0" w:space="0" w:color="auto"/>
            <w:right w:val="none" w:sz="0" w:space="0" w:color="auto"/>
          </w:divBdr>
          <w:divsChild>
            <w:div w:id="839346450">
              <w:marLeft w:val="0"/>
              <w:marRight w:val="0"/>
              <w:marTop w:val="0"/>
              <w:marBottom w:val="0"/>
              <w:divBdr>
                <w:top w:val="none" w:sz="0" w:space="0" w:color="auto"/>
                <w:left w:val="none" w:sz="0" w:space="0" w:color="auto"/>
                <w:bottom w:val="none" w:sz="0" w:space="0" w:color="auto"/>
                <w:right w:val="none" w:sz="0" w:space="0" w:color="auto"/>
              </w:divBdr>
              <w:divsChild>
                <w:div w:id="523596879">
                  <w:marLeft w:val="0"/>
                  <w:marRight w:val="0"/>
                  <w:marTop w:val="0"/>
                  <w:marBottom w:val="0"/>
                  <w:divBdr>
                    <w:top w:val="none" w:sz="0" w:space="0" w:color="auto"/>
                    <w:left w:val="none" w:sz="0" w:space="0" w:color="auto"/>
                    <w:bottom w:val="none" w:sz="0" w:space="0" w:color="auto"/>
                    <w:right w:val="none" w:sz="0" w:space="0" w:color="auto"/>
                  </w:divBdr>
                  <w:divsChild>
                    <w:div w:id="2062245658">
                      <w:marLeft w:val="0"/>
                      <w:marRight w:val="0"/>
                      <w:marTop w:val="0"/>
                      <w:marBottom w:val="0"/>
                      <w:divBdr>
                        <w:top w:val="none" w:sz="0" w:space="0" w:color="auto"/>
                        <w:left w:val="none" w:sz="0" w:space="0" w:color="auto"/>
                        <w:bottom w:val="none" w:sz="0" w:space="0" w:color="auto"/>
                        <w:right w:val="none" w:sz="0" w:space="0" w:color="auto"/>
                      </w:divBdr>
                      <w:divsChild>
                        <w:div w:id="411661927">
                          <w:marLeft w:val="0"/>
                          <w:marRight w:val="0"/>
                          <w:marTop w:val="0"/>
                          <w:marBottom w:val="0"/>
                          <w:divBdr>
                            <w:top w:val="none" w:sz="0" w:space="0" w:color="auto"/>
                            <w:left w:val="none" w:sz="0" w:space="0" w:color="auto"/>
                            <w:bottom w:val="none" w:sz="0" w:space="0" w:color="auto"/>
                            <w:right w:val="none" w:sz="0" w:space="0" w:color="auto"/>
                          </w:divBdr>
                          <w:divsChild>
                            <w:div w:id="117838303">
                              <w:marLeft w:val="0"/>
                              <w:marRight w:val="0"/>
                              <w:marTop w:val="0"/>
                              <w:marBottom w:val="0"/>
                              <w:divBdr>
                                <w:top w:val="none" w:sz="0" w:space="0" w:color="auto"/>
                                <w:left w:val="none" w:sz="0" w:space="0" w:color="auto"/>
                                <w:bottom w:val="none" w:sz="0" w:space="0" w:color="auto"/>
                                <w:right w:val="none" w:sz="0" w:space="0" w:color="auto"/>
                              </w:divBdr>
                              <w:divsChild>
                                <w:div w:id="1160000379">
                                  <w:marLeft w:val="0"/>
                                  <w:marRight w:val="0"/>
                                  <w:marTop w:val="0"/>
                                  <w:marBottom w:val="0"/>
                                  <w:divBdr>
                                    <w:top w:val="none" w:sz="0" w:space="0" w:color="auto"/>
                                    <w:left w:val="none" w:sz="0" w:space="0" w:color="auto"/>
                                    <w:bottom w:val="none" w:sz="0" w:space="0" w:color="auto"/>
                                    <w:right w:val="none" w:sz="0" w:space="0" w:color="auto"/>
                                  </w:divBdr>
                                  <w:divsChild>
                                    <w:div w:id="317925868">
                                      <w:marLeft w:val="0"/>
                                      <w:marRight w:val="0"/>
                                      <w:marTop w:val="0"/>
                                      <w:marBottom w:val="0"/>
                                      <w:divBdr>
                                        <w:top w:val="none" w:sz="0" w:space="0" w:color="auto"/>
                                        <w:left w:val="none" w:sz="0" w:space="0" w:color="auto"/>
                                        <w:bottom w:val="none" w:sz="0" w:space="0" w:color="auto"/>
                                        <w:right w:val="none" w:sz="0" w:space="0" w:color="auto"/>
                                      </w:divBdr>
                                      <w:divsChild>
                                        <w:div w:id="1695886239">
                                          <w:marLeft w:val="0"/>
                                          <w:marRight w:val="0"/>
                                          <w:marTop w:val="0"/>
                                          <w:marBottom w:val="0"/>
                                          <w:divBdr>
                                            <w:top w:val="none" w:sz="0" w:space="0" w:color="auto"/>
                                            <w:left w:val="none" w:sz="0" w:space="0" w:color="auto"/>
                                            <w:bottom w:val="none" w:sz="0" w:space="0" w:color="auto"/>
                                            <w:right w:val="none" w:sz="0" w:space="0" w:color="auto"/>
                                          </w:divBdr>
                                          <w:divsChild>
                                            <w:div w:id="1487815344">
                                              <w:marLeft w:val="0"/>
                                              <w:marRight w:val="0"/>
                                              <w:marTop w:val="0"/>
                                              <w:marBottom w:val="495"/>
                                              <w:divBdr>
                                                <w:top w:val="none" w:sz="0" w:space="0" w:color="auto"/>
                                                <w:left w:val="none" w:sz="0" w:space="0" w:color="auto"/>
                                                <w:bottom w:val="none" w:sz="0" w:space="0" w:color="auto"/>
                                                <w:right w:val="none" w:sz="0" w:space="0" w:color="auto"/>
                                              </w:divBdr>
                                              <w:divsChild>
                                                <w:div w:id="6801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658414">
      <w:bodyDiv w:val="1"/>
      <w:marLeft w:val="0"/>
      <w:marRight w:val="0"/>
      <w:marTop w:val="0"/>
      <w:marBottom w:val="0"/>
      <w:divBdr>
        <w:top w:val="none" w:sz="0" w:space="0" w:color="auto"/>
        <w:left w:val="none" w:sz="0" w:space="0" w:color="auto"/>
        <w:bottom w:val="none" w:sz="0" w:space="0" w:color="auto"/>
        <w:right w:val="none" w:sz="0" w:space="0" w:color="auto"/>
      </w:divBdr>
      <w:divsChild>
        <w:div w:id="1504319358">
          <w:marLeft w:val="0"/>
          <w:marRight w:val="0"/>
          <w:marTop w:val="0"/>
          <w:marBottom w:val="0"/>
          <w:divBdr>
            <w:top w:val="none" w:sz="0" w:space="0" w:color="auto"/>
            <w:left w:val="none" w:sz="0" w:space="0" w:color="auto"/>
            <w:bottom w:val="none" w:sz="0" w:space="0" w:color="auto"/>
            <w:right w:val="none" w:sz="0" w:space="0" w:color="auto"/>
          </w:divBdr>
        </w:div>
      </w:divsChild>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1239">
      <w:bodyDiv w:val="1"/>
      <w:marLeft w:val="0"/>
      <w:marRight w:val="0"/>
      <w:marTop w:val="0"/>
      <w:marBottom w:val="0"/>
      <w:divBdr>
        <w:top w:val="none" w:sz="0" w:space="0" w:color="auto"/>
        <w:left w:val="none" w:sz="0" w:space="0" w:color="auto"/>
        <w:bottom w:val="none" w:sz="0" w:space="0" w:color="auto"/>
        <w:right w:val="none" w:sz="0" w:space="0" w:color="auto"/>
      </w:divBdr>
      <w:divsChild>
        <w:div w:id="300118789">
          <w:marLeft w:val="0"/>
          <w:marRight w:val="0"/>
          <w:marTop w:val="0"/>
          <w:marBottom w:val="0"/>
          <w:divBdr>
            <w:top w:val="none" w:sz="0" w:space="0" w:color="auto"/>
            <w:left w:val="none" w:sz="0" w:space="0" w:color="auto"/>
            <w:bottom w:val="none" w:sz="0" w:space="0" w:color="auto"/>
            <w:right w:val="none" w:sz="0" w:space="0" w:color="auto"/>
          </w:divBdr>
          <w:divsChild>
            <w:div w:id="766968055">
              <w:marLeft w:val="0"/>
              <w:marRight w:val="0"/>
              <w:marTop w:val="0"/>
              <w:marBottom w:val="0"/>
              <w:divBdr>
                <w:top w:val="none" w:sz="0" w:space="0" w:color="auto"/>
                <w:left w:val="none" w:sz="0" w:space="0" w:color="auto"/>
                <w:bottom w:val="none" w:sz="0" w:space="0" w:color="auto"/>
                <w:right w:val="none" w:sz="0" w:space="0" w:color="auto"/>
              </w:divBdr>
              <w:divsChild>
                <w:div w:id="1558512561">
                  <w:marLeft w:val="0"/>
                  <w:marRight w:val="0"/>
                  <w:marTop w:val="0"/>
                  <w:marBottom w:val="0"/>
                  <w:divBdr>
                    <w:top w:val="none" w:sz="0" w:space="0" w:color="auto"/>
                    <w:left w:val="none" w:sz="0" w:space="0" w:color="auto"/>
                    <w:bottom w:val="none" w:sz="0" w:space="0" w:color="auto"/>
                    <w:right w:val="none" w:sz="0" w:space="0" w:color="auto"/>
                  </w:divBdr>
                  <w:divsChild>
                    <w:div w:id="526020858">
                      <w:marLeft w:val="0"/>
                      <w:marRight w:val="0"/>
                      <w:marTop w:val="0"/>
                      <w:marBottom w:val="0"/>
                      <w:divBdr>
                        <w:top w:val="none" w:sz="0" w:space="0" w:color="auto"/>
                        <w:left w:val="none" w:sz="0" w:space="0" w:color="auto"/>
                        <w:bottom w:val="none" w:sz="0" w:space="0" w:color="auto"/>
                        <w:right w:val="none" w:sz="0" w:space="0" w:color="auto"/>
                      </w:divBdr>
                      <w:divsChild>
                        <w:div w:id="1111824063">
                          <w:marLeft w:val="0"/>
                          <w:marRight w:val="0"/>
                          <w:marTop w:val="0"/>
                          <w:marBottom w:val="0"/>
                          <w:divBdr>
                            <w:top w:val="none" w:sz="0" w:space="0" w:color="auto"/>
                            <w:left w:val="none" w:sz="0" w:space="0" w:color="auto"/>
                            <w:bottom w:val="none" w:sz="0" w:space="0" w:color="auto"/>
                            <w:right w:val="none" w:sz="0" w:space="0" w:color="auto"/>
                          </w:divBdr>
                          <w:divsChild>
                            <w:div w:id="1335835537">
                              <w:marLeft w:val="0"/>
                              <w:marRight w:val="0"/>
                              <w:marTop w:val="0"/>
                              <w:marBottom w:val="0"/>
                              <w:divBdr>
                                <w:top w:val="none" w:sz="0" w:space="0" w:color="auto"/>
                                <w:left w:val="none" w:sz="0" w:space="0" w:color="auto"/>
                                <w:bottom w:val="none" w:sz="0" w:space="0" w:color="auto"/>
                                <w:right w:val="none" w:sz="0" w:space="0" w:color="auto"/>
                              </w:divBdr>
                              <w:divsChild>
                                <w:div w:id="832188061">
                                  <w:marLeft w:val="0"/>
                                  <w:marRight w:val="0"/>
                                  <w:marTop w:val="0"/>
                                  <w:marBottom w:val="0"/>
                                  <w:divBdr>
                                    <w:top w:val="none" w:sz="0" w:space="0" w:color="auto"/>
                                    <w:left w:val="none" w:sz="0" w:space="0" w:color="auto"/>
                                    <w:bottom w:val="none" w:sz="0" w:space="0" w:color="auto"/>
                                    <w:right w:val="none" w:sz="0" w:space="0" w:color="auto"/>
                                  </w:divBdr>
                                  <w:divsChild>
                                    <w:div w:id="1835217221">
                                      <w:marLeft w:val="0"/>
                                      <w:marRight w:val="0"/>
                                      <w:marTop w:val="0"/>
                                      <w:marBottom w:val="0"/>
                                      <w:divBdr>
                                        <w:top w:val="none" w:sz="0" w:space="0" w:color="auto"/>
                                        <w:left w:val="none" w:sz="0" w:space="0" w:color="auto"/>
                                        <w:bottom w:val="none" w:sz="0" w:space="0" w:color="auto"/>
                                        <w:right w:val="none" w:sz="0" w:space="0" w:color="auto"/>
                                      </w:divBdr>
                                      <w:divsChild>
                                        <w:div w:id="46414434">
                                          <w:marLeft w:val="0"/>
                                          <w:marRight w:val="0"/>
                                          <w:marTop w:val="0"/>
                                          <w:marBottom w:val="0"/>
                                          <w:divBdr>
                                            <w:top w:val="none" w:sz="0" w:space="0" w:color="auto"/>
                                            <w:left w:val="none" w:sz="0" w:space="0" w:color="auto"/>
                                            <w:bottom w:val="none" w:sz="0" w:space="0" w:color="auto"/>
                                            <w:right w:val="none" w:sz="0" w:space="0" w:color="auto"/>
                                          </w:divBdr>
                                          <w:divsChild>
                                            <w:div w:id="68116063">
                                              <w:marLeft w:val="0"/>
                                              <w:marRight w:val="0"/>
                                              <w:marTop w:val="0"/>
                                              <w:marBottom w:val="495"/>
                                              <w:divBdr>
                                                <w:top w:val="none" w:sz="0" w:space="0" w:color="auto"/>
                                                <w:left w:val="none" w:sz="0" w:space="0" w:color="auto"/>
                                                <w:bottom w:val="none" w:sz="0" w:space="0" w:color="auto"/>
                                                <w:right w:val="none" w:sz="0" w:space="0" w:color="auto"/>
                                              </w:divBdr>
                                              <w:divsChild>
                                                <w:div w:id="753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093280675">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27890711">
      <w:bodyDiv w:val="1"/>
      <w:marLeft w:val="0"/>
      <w:marRight w:val="0"/>
      <w:marTop w:val="0"/>
      <w:marBottom w:val="0"/>
      <w:divBdr>
        <w:top w:val="none" w:sz="0" w:space="0" w:color="auto"/>
        <w:left w:val="none" w:sz="0" w:space="0" w:color="auto"/>
        <w:bottom w:val="none" w:sz="0" w:space="0" w:color="auto"/>
        <w:right w:val="none" w:sz="0" w:space="0" w:color="auto"/>
      </w:divBdr>
      <w:divsChild>
        <w:div w:id="714161398">
          <w:marLeft w:val="0"/>
          <w:marRight w:val="0"/>
          <w:marTop w:val="0"/>
          <w:marBottom w:val="0"/>
          <w:divBdr>
            <w:top w:val="none" w:sz="0" w:space="0" w:color="auto"/>
            <w:left w:val="none" w:sz="0" w:space="0" w:color="auto"/>
            <w:bottom w:val="none" w:sz="0" w:space="0" w:color="auto"/>
            <w:right w:val="none" w:sz="0" w:space="0" w:color="auto"/>
          </w:divBdr>
        </w:div>
      </w:divsChild>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68206489">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23637617">
      <w:bodyDiv w:val="1"/>
      <w:marLeft w:val="0"/>
      <w:marRight w:val="0"/>
      <w:marTop w:val="0"/>
      <w:marBottom w:val="0"/>
      <w:divBdr>
        <w:top w:val="none" w:sz="0" w:space="0" w:color="auto"/>
        <w:left w:val="none" w:sz="0" w:space="0" w:color="auto"/>
        <w:bottom w:val="none" w:sz="0" w:space="0" w:color="auto"/>
        <w:right w:val="none" w:sz="0" w:space="0" w:color="auto"/>
      </w:divBdr>
      <w:divsChild>
        <w:div w:id="1413232869">
          <w:marLeft w:val="0"/>
          <w:marRight w:val="0"/>
          <w:marTop w:val="0"/>
          <w:marBottom w:val="0"/>
          <w:divBdr>
            <w:top w:val="none" w:sz="0" w:space="0" w:color="auto"/>
            <w:left w:val="none" w:sz="0" w:space="0" w:color="auto"/>
            <w:bottom w:val="none" w:sz="0" w:space="0" w:color="auto"/>
            <w:right w:val="none" w:sz="0" w:space="0" w:color="auto"/>
          </w:divBdr>
          <w:divsChild>
            <w:div w:id="302585529">
              <w:marLeft w:val="0"/>
              <w:marRight w:val="0"/>
              <w:marTop w:val="0"/>
              <w:marBottom w:val="0"/>
              <w:divBdr>
                <w:top w:val="none" w:sz="0" w:space="0" w:color="auto"/>
                <w:left w:val="none" w:sz="0" w:space="0" w:color="auto"/>
                <w:bottom w:val="none" w:sz="0" w:space="0" w:color="auto"/>
                <w:right w:val="none" w:sz="0" w:space="0" w:color="auto"/>
              </w:divBdr>
              <w:divsChild>
                <w:div w:id="844904459">
                  <w:marLeft w:val="0"/>
                  <w:marRight w:val="0"/>
                  <w:marTop w:val="0"/>
                  <w:marBottom w:val="0"/>
                  <w:divBdr>
                    <w:top w:val="none" w:sz="0" w:space="0" w:color="auto"/>
                    <w:left w:val="none" w:sz="0" w:space="0" w:color="auto"/>
                    <w:bottom w:val="none" w:sz="0" w:space="0" w:color="auto"/>
                    <w:right w:val="none" w:sz="0" w:space="0" w:color="auto"/>
                  </w:divBdr>
                  <w:divsChild>
                    <w:div w:id="1534997736">
                      <w:marLeft w:val="0"/>
                      <w:marRight w:val="0"/>
                      <w:marTop w:val="0"/>
                      <w:marBottom w:val="0"/>
                      <w:divBdr>
                        <w:top w:val="none" w:sz="0" w:space="0" w:color="auto"/>
                        <w:left w:val="none" w:sz="0" w:space="0" w:color="auto"/>
                        <w:bottom w:val="none" w:sz="0" w:space="0" w:color="auto"/>
                        <w:right w:val="none" w:sz="0" w:space="0" w:color="auto"/>
                      </w:divBdr>
                      <w:divsChild>
                        <w:div w:id="467475537">
                          <w:marLeft w:val="0"/>
                          <w:marRight w:val="0"/>
                          <w:marTop w:val="0"/>
                          <w:marBottom w:val="0"/>
                          <w:divBdr>
                            <w:top w:val="none" w:sz="0" w:space="0" w:color="auto"/>
                            <w:left w:val="none" w:sz="0" w:space="0" w:color="auto"/>
                            <w:bottom w:val="none" w:sz="0" w:space="0" w:color="auto"/>
                            <w:right w:val="none" w:sz="0" w:space="0" w:color="auto"/>
                          </w:divBdr>
                          <w:divsChild>
                            <w:div w:id="430783713">
                              <w:marLeft w:val="0"/>
                              <w:marRight w:val="0"/>
                              <w:marTop w:val="0"/>
                              <w:marBottom w:val="0"/>
                              <w:divBdr>
                                <w:top w:val="none" w:sz="0" w:space="0" w:color="auto"/>
                                <w:left w:val="none" w:sz="0" w:space="0" w:color="auto"/>
                                <w:bottom w:val="none" w:sz="0" w:space="0" w:color="auto"/>
                                <w:right w:val="none" w:sz="0" w:space="0" w:color="auto"/>
                              </w:divBdr>
                              <w:divsChild>
                                <w:div w:id="1377201865">
                                  <w:marLeft w:val="0"/>
                                  <w:marRight w:val="0"/>
                                  <w:marTop w:val="0"/>
                                  <w:marBottom w:val="0"/>
                                  <w:divBdr>
                                    <w:top w:val="none" w:sz="0" w:space="0" w:color="auto"/>
                                    <w:left w:val="none" w:sz="0" w:space="0" w:color="auto"/>
                                    <w:bottom w:val="none" w:sz="0" w:space="0" w:color="auto"/>
                                    <w:right w:val="none" w:sz="0" w:space="0" w:color="auto"/>
                                  </w:divBdr>
                                </w:div>
                                <w:div w:id="7266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12510">
      <w:bodyDiv w:val="1"/>
      <w:marLeft w:val="0"/>
      <w:marRight w:val="0"/>
      <w:marTop w:val="0"/>
      <w:marBottom w:val="0"/>
      <w:divBdr>
        <w:top w:val="none" w:sz="0" w:space="0" w:color="auto"/>
        <w:left w:val="none" w:sz="0" w:space="0" w:color="auto"/>
        <w:bottom w:val="none" w:sz="0" w:space="0" w:color="auto"/>
        <w:right w:val="none" w:sz="0" w:space="0" w:color="auto"/>
      </w:divBdr>
    </w:div>
    <w:div w:id="1253708583">
      <w:bodyDiv w:val="1"/>
      <w:marLeft w:val="0"/>
      <w:marRight w:val="0"/>
      <w:marTop w:val="0"/>
      <w:marBottom w:val="0"/>
      <w:divBdr>
        <w:top w:val="none" w:sz="0" w:space="0" w:color="auto"/>
        <w:left w:val="none" w:sz="0" w:space="0" w:color="auto"/>
        <w:bottom w:val="none" w:sz="0" w:space="0" w:color="auto"/>
        <w:right w:val="none" w:sz="0" w:space="0" w:color="auto"/>
      </w:divBdr>
    </w:div>
    <w:div w:id="1260792545">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294948257">
      <w:bodyDiv w:val="1"/>
      <w:marLeft w:val="0"/>
      <w:marRight w:val="0"/>
      <w:marTop w:val="0"/>
      <w:marBottom w:val="0"/>
      <w:divBdr>
        <w:top w:val="none" w:sz="0" w:space="0" w:color="auto"/>
        <w:left w:val="none" w:sz="0" w:space="0" w:color="auto"/>
        <w:bottom w:val="none" w:sz="0" w:space="0" w:color="auto"/>
        <w:right w:val="none" w:sz="0" w:space="0" w:color="auto"/>
      </w:divBdr>
    </w:div>
    <w:div w:id="1298147546">
      <w:bodyDiv w:val="1"/>
      <w:marLeft w:val="0"/>
      <w:marRight w:val="0"/>
      <w:marTop w:val="0"/>
      <w:marBottom w:val="0"/>
      <w:divBdr>
        <w:top w:val="none" w:sz="0" w:space="0" w:color="auto"/>
        <w:left w:val="none" w:sz="0" w:space="0" w:color="auto"/>
        <w:bottom w:val="none" w:sz="0" w:space="0" w:color="auto"/>
        <w:right w:val="none" w:sz="0" w:space="0" w:color="auto"/>
      </w:divBdr>
    </w:div>
    <w:div w:id="1304390280">
      <w:bodyDiv w:val="1"/>
      <w:marLeft w:val="0"/>
      <w:marRight w:val="0"/>
      <w:marTop w:val="0"/>
      <w:marBottom w:val="0"/>
      <w:divBdr>
        <w:top w:val="none" w:sz="0" w:space="0" w:color="auto"/>
        <w:left w:val="none" w:sz="0" w:space="0" w:color="auto"/>
        <w:bottom w:val="none" w:sz="0" w:space="0" w:color="auto"/>
        <w:right w:val="none" w:sz="0" w:space="0" w:color="auto"/>
      </w:divBdr>
    </w:div>
    <w:div w:id="1316952111">
      <w:bodyDiv w:val="1"/>
      <w:marLeft w:val="0"/>
      <w:marRight w:val="0"/>
      <w:marTop w:val="0"/>
      <w:marBottom w:val="0"/>
      <w:divBdr>
        <w:top w:val="none" w:sz="0" w:space="0" w:color="auto"/>
        <w:left w:val="none" w:sz="0" w:space="0" w:color="auto"/>
        <w:bottom w:val="none" w:sz="0" w:space="0" w:color="auto"/>
        <w:right w:val="none" w:sz="0" w:space="0" w:color="auto"/>
      </w:divBdr>
    </w:div>
    <w:div w:id="1317686934">
      <w:bodyDiv w:val="1"/>
      <w:marLeft w:val="0"/>
      <w:marRight w:val="0"/>
      <w:marTop w:val="0"/>
      <w:marBottom w:val="0"/>
      <w:divBdr>
        <w:top w:val="none" w:sz="0" w:space="0" w:color="auto"/>
        <w:left w:val="none" w:sz="0" w:space="0" w:color="auto"/>
        <w:bottom w:val="none" w:sz="0" w:space="0" w:color="auto"/>
        <w:right w:val="none" w:sz="0" w:space="0" w:color="auto"/>
      </w:divBdr>
      <w:divsChild>
        <w:div w:id="2145657156">
          <w:marLeft w:val="0"/>
          <w:marRight w:val="0"/>
          <w:marTop w:val="0"/>
          <w:marBottom w:val="0"/>
          <w:divBdr>
            <w:top w:val="none" w:sz="0" w:space="0" w:color="auto"/>
            <w:left w:val="none" w:sz="0" w:space="0" w:color="auto"/>
            <w:bottom w:val="none" w:sz="0" w:space="0" w:color="auto"/>
            <w:right w:val="none" w:sz="0" w:space="0" w:color="auto"/>
          </w:divBdr>
          <w:divsChild>
            <w:div w:id="1493449619">
              <w:marLeft w:val="0"/>
              <w:marRight w:val="0"/>
              <w:marTop w:val="0"/>
              <w:marBottom w:val="0"/>
              <w:divBdr>
                <w:top w:val="none" w:sz="0" w:space="0" w:color="auto"/>
                <w:left w:val="none" w:sz="0" w:space="0" w:color="auto"/>
                <w:bottom w:val="none" w:sz="0" w:space="0" w:color="auto"/>
                <w:right w:val="none" w:sz="0" w:space="0" w:color="auto"/>
              </w:divBdr>
              <w:divsChild>
                <w:div w:id="1752969201">
                  <w:marLeft w:val="0"/>
                  <w:marRight w:val="0"/>
                  <w:marTop w:val="0"/>
                  <w:marBottom w:val="0"/>
                  <w:divBdr>
                    <w:top w:val="none" w:sz="0" w:space="0" w:color="auto"/>
                    <w:left w:val="none" w:sz="0" w:space="0" w:color="auto"/>
                    <w:bottom w:val="none" w:sz="0" w:space="0" w:color="auto"/>
                    <w:right w:val="none" w:sz="0" w:space="0" w:color="auto"/>
                  </w:divBdr>
                  <w:divsChild>
                    <w:div w:id="677196553">
                      <w:marLeft w:val="0"/>
                      <w:marRight w:val="0"/>
                      <w:marTop w:val="0"/>
                      <w:marBottom w:val="0"/>
                      <w:divBdr>
                        <w:top w:val="none" w:sz="0" w:space="0" w:color="auto"/>
                        <w:left w:val="none" w:sz="0" w:space="0" w:color="auto"/>
                        <w:bottom w:val="none" w:sz="0" w:space="0" w:color="auto"/>
                        <w:right w:val="none" w:sz="0" w:space="0" w:color="auto"/>
                      </w:divBdr>
                      <w:divsChild>
                        <w:div w:id="827984861">
                          <w:marLeft w:val="0"/>
                          <w:marRight w:val="0"/>
                          <w:marTop w:val="0"/>
                          <w:marBottom w:val="0"/>
                          <w:divBdr>
                            <w:top w:val="none" w:sz="0" w:space="0" w:color="auto"/>
                            <w:left w:val="none" w:sz="0" w:space="0" w:color="auto"/>
                            <w:bottom w:val="none" w:sz="0" w:space="0" w:color="auto"/>
                            <w:right w:val="none" w:sz="0" w:space="0" w:color="auto"/>
                          </w:divBdr>
                          <w:divsChild>
                            <w:div w:id="1516574956">
                              <w:marLeft w:val="0"/>
                              <w:marRight w:val="0"/>
                              <w:marTop w:val="0"/>
                              <w:marBottom w:val="0"/>
                              <w:divBdr>
                                <w:top w:val="none" w:sz="0" w:space="0" w:color="auto"/>
                                <w:left w:val="none" w:sz="0" w:space="0" w:color="auto"/>
                                <w:bottom w:val="none" w:sz="0" w:space="0" w:color="auto"/>
                                <w:right w:val="none" w:sz="0" w:space="0" w:color="auto"/>
                              </w:divBdr>
                              <w:divsChild>
                                <w:div w:id="51076035">
                                  <w:marLeft w:val="0"/>
                                  <w:marRight w:val="0"/>
                                  <w:marTop w:val="0"/>
                                  <w:marBottom w:val="0"/>
                                  <w:divBdr>
                                    <w:top w:val="none" w:sz="0" w:space="0" w:color="auto"/>
                                    <w:left w:val="none" w:sz="0" w:space="0" w:color="auto"/>
                                    <w:bottom w:val="none" w:sz="0" w:space="0" w:color="auto"/>
                                    <w:right w:val="none" w:sz="0" w:space="0" w:color="auto"/>
                                  </w:divBdr>
                                  <w:divsChild>
                                    <w:div w:id="1432123741">
                                      <w:marLeft w:val="0"/>
                                      <w:marRight w:val="0"/>
                                      <w:marTop w:val="0"/>
                                      <w:marBottom w:val="0"/>
                                      <w:divBdr>
                                        <w:top w:val="none" w:sz="0" w:space="0" w:color="auto"/>
                                        <w:left w:val="none" w:sz="0" w:space="0" w:color="auto"/>
                                        <w:bottom w:val="none" w:sz="0" w:space="0" w:color="auto"/>
                                        <w:right w:val="none" w:sz="0" w:space="0" w:color="auto"/>
                                      </w:divBdr>
                                      <w:divsChild>
                                        <w:div w:id="1050961375">
                                          <w:marLeft w:val="0"/>
                                          <w:marRight w:val="0"/>
                                          <w:marTop w:val="0"/>
                                          <w:marBottom w:val="0"/>
                                          <w:divBdr>
                                            <w:top w:val="none" w:sz="0" w:space="0" w:color="auto"/>
                                            <w:left w:val="none" w:sz="0" w:space="0" w:color="auto"/>
                                            <w:bottom w:val="none" w:sz="0" w:space="0" w:color="auto"/>
                                            <w:right w:val="none" w:sz="0" w:space="0" w:color="auto"/>
                                          </w:divBdr>
                                          <w:divsChild>
                                            <w:div w:id="1263302209">
                                              <w:marLeft w:val="0"/>
                                              <w:marRight w:val="0"/>
                                              <w:marTop w:val="0"/>
                                              <w:marBottom w:val="495"/>
                                              <w:divBdr>
                                                <w:top w:val="none" w:sz="0" w:space="0" w:color="auto"/>
                                                <w:left w:val="none" w:sz="0" w:space="0" w:color="auto"/>
                                                <w:bottom w:val="none" w:sz="0" w:space="0" w:color="auto"/>
                                                <w:right w:val="none" w:sz="0" w:space="0" w:color="auto"/>
                                              </w:divBdr>
                                              <w:divsChild>
                                                <w:div w:id="11224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082778">
      <w:bodyDiv w:val="1"/>
      <w:marLeft w:val="0"/>
      <w:marRight w:val="0"/>
      <w:marTop w:val="0"/>
      <w:marBottom w:val="0"/>
      <w:divBdr>
        <w:top w:val="none" w:sz="0" w:space="0" w:color="auto"/>
        <w:left w:val="none" w:sz="0" w:space="0" w:color="auto"/>
        <w:bottom w:val="none" w:sz="0" w:space="0" w:color="auto"/>
        <w:right w:val="none" w:sz="0" w:space="0" w:color="auto"/>
      </w:divBdr>
    </w:div>
    <w:div w:id="1328284048">
      <w:bodyDiv w:val="1"/>
      <w:marLeft w:val="0"/>
      <w:marRight w:val="0"/>
      <w:marTop w:val="0"/>
      <w:marBottom w:val="0"/>
      <w:divBdr>
        <w:top w:val="none" w:sz="0" w:space="0" w:color="auto"/>
        <w:left w:val="none" w:sz="0" w:space="0" w:color="auto"/>
        <w:bottom w:val="none" w:sz="0" w:space="0" w:color="auto"/>
        <w:right w:val="none" w:sz="0" w:space="0" w:color="auto"/>
      </w:divBdr>
    </w:div>
    <w:div w:id="1337263653">
      <w:bodyDiv w:val="1"/>
      <w:marLeft w:val="0"/>
      <w:marRight w:val="0"/>
      <w:marTop w:val="0"/>
      <w:marBottom w:val="0"/>
      <w:divBdr>
        <w:top w:val="none" w:sz="0" w:space="0" w:color="auto"/>
        <w:left w:val="none" w:sz="0" w:space="0" w:color="auto"/>
        <w:bottom w:val="none" w:sz="0" w:space="0" w:color="auto"/>
        <w:right w:val="none" w:sz="0" w:space="0" w:color="auto"/>
      </w:divBdr>
      <w:divsChild>
        <w:div w:id="770665515">
          <w:marLeft w:val="0"/>
          <w:marRight w:val="0"/>
          <w:marTop w:val="0"/>
          <w:marBottom w:val="0"/>
          <w:divBdr>
            <w:top w:val="none" w:sz="0" w:space="0" w:color="auto"/>
            <w:left w:val="none" w:sz="0" w:space="0" w:color="auto"/>
            <w:bottom w:val="none" w:sz="0" w:space="0" w:color="auto"/>
            <w:right w:val="none" w:sz="0" w:space="0" w:color="auto"/>
          </w:divBdr>
          <w:divsChild>
            <w:div w:id="2133746940">
              <w:marLeft w:val="0"/>
              <w:marRight w:val="0"/>
              <w:marTop w:val="0"/>
              <w:marBottom w:val="0"/>
              <w:divBdr>
                <w:top w:val="none" w:sz="0" w:space="0" w:color="auto"/>
                <w:left w:val="none" w:sz="0" w:space="0" w:color="auto"/>
                <w:bottom w:val="none" w:sz="0" w:space="0" w:color="auto"/>
                <w:right w:val="none" w:sz="0" w:space="0" w:color="auto"/>
              </w:divBdr>
              <w:divsChild>
                <w:div w:id="1957789334">
                  <w:marLeft w:val="0"/>
                  <w:marRight w:val="0"/>
                  <w:marTop w:val="0"/>
                  <w:marBottom w:val="0"/>
                  <w:divBdr>
                    <w:top w:val="none" w:sz="0" w:space="0" w:color="auto"/>
                    <w:left w:val="none" w:sz="0" w:space="0" w:color="auto"/>
                    <w:bottom w:val="none" w:sz="0" w:space="0" w:color="auto"/>
                    <w:right w:val="none" w:sz="0" w:space="0" w:color="auto"/>
                  </w:divBdr>
                  <w:divsChild>
                    <w:div w:id="106316087">
                      <w:marLeft w:val="0"/>
                      <w:marRight w:val="0"/>
                      <w:marTop w:val="0"/>
                      <w:marBottom w:val="0"/>
                      <w:divBdr>
                        <w:top w:val="none" w:sz="0" w:space="0" w:color="auto"/>
                        <w:left w:val="none" w:sz="0" w:space="0" w:color="auto"/>
                        <w:bottom w:val="none" w:sz="0" w:space="0" w:color="auto"/>
                        <w:right w:val="none" w:sz="0" w:space="0" w:color="auto"/>
                      </w:divBdr>
                      <w:divsChild>
                        <w:div w:id="1531726506">
                          <w:marLeft w:val="0"/>
                          <w:marRight w:val="0"/>
                          <w:marTop w:val="0"/>
                          <w:marBottom w:val="0"/>
                          <w:divBdr>
                            <w:top w:val="none" w:sz="0" w:space="0" w:color="auto"/>
                            <w:left w:val="none" w:sz="0" w:space="0" w:color="auto"/>
                            <w:bottom w:val="none" w:sz="0" w:space="0" w:color="auto"/>
                            <w:right w:val="none" w:sz="0" w:space="0" w:color="auto"/>
                          </w:divBdr>
                          <w:divsChild>
                            <w:div w:id="686559319">
                              <w:marLeft w:val="0"/>
                              <w:marRight w:val="0"/>
                              <w:marTop w:val="0"/>
                              <w:marBottom w:val="0"/>
                              <w:divBdr>
                                <w:top w:val="none" w:sz="0" w:space="0" w:color="auto"/>
                                <w:left w:val="none" w:sz="0" w:space="0" w:color="auto"/>
                                <w:bottom w:val="none" w:sz="0" w:space="0" w:color="auto"/>
                                <w:right w:val="none" w:sz="0" w:space="0" w:color="auto"/>
                              </w:divBdr>
                              <w:divsChild>
                                <w:div w:id="922184542">
                                  <w:marLeft w:val="0"/>
                                  <w:marRight w:val="0"/>
                                  <w:marTop w:val="0"/>
                                  <w:marBottom w:val="0"/>
                                  <w:divBdr>
                                    <w:top w:val="none" w:sz="0" w:space="0" w:color="auto"/>
                                    <w:left w:val="none" w:sz="0" w:space="0" w:color="auto"/>
                                    <w:bottom w:val="none" w:sz="0" w:space="0" w:color="auto"/>
                                    <w:right w:val="none" w:sz="0" w:space="0" w:color="auto"/>
                                  </w:divBdr>
                                  <w:divsChild>
                                    <w:div w:id="1666392561">
                                      <w:marLeft w:val="0"/>
                                      <w:marRight w:val="0"/>
                                      <w:marTop w:val="0"/>
                                      <w:marBottom w:val="0"/>
                                      <w:divBdr>
                                        <w:top w:val="none" w:sz="0" w:space="0" w:color="auto"/>
                                        <w:left w:val="none" w:sz="0" w:space="0" w:color="auto"/>
                                        <w:bottom w:val="none" w:sz="0" w:space="0" w:color="auto"/>
                                        <w:right w:val="none" w:sz="0" w:space="0" w:color="auto"/>
                                      </w:divBdr>
                                      <w:divsChild>
                                        <w:div w:id="668404592">
                                          <w:marLeft w:val="0"/>
                                          <w:marRight w:val="0"/>
                                          <w:marTop w:val="0"/>
                                          <w:marBottom w:val="0"/>
                                          <w:divBdr>
                                            <w:top w:val="none" w:sz="0" w:space="0" w:color="auto"/>
                                            <w:left w:val="none" w:sz="0" w:space="0" w:color="auto"/>
                                            <w:bottom w:val="none" w:sz="0" w:space="0" w:color="auto"/>
                                            <w:right w:val="none" w:sz="0" w:space="0" w:color="auto"/>
                                          </w:divBdr>
                                          <w:divsChild>
                                            <w:div w:id="1897282342">
                                              <w:marLeft w:val="0"/>
                                              <w:marRight w:val="0"/>
                                              <w:marTop w:val="0"/>
                                              <w:marBottom w:val="495"/>
                                              <w:divBdr>
                                                <w:top w:val="none" w:sz="0" w:space="0" w:color="auto"/>
                                                <w:left w:val="none" w:sz="0" w:space="0" w:color="auto"/>
                                                <w:bottom w:val="none" w:sz="0" w:space="0" w:color="auto"/>
                                                <w:right w:val="none" w:sz="0" w:space="0" w:color="auto"/>
                                              </w:divBdr>
                                              <w:divsChild>
                                                <w:div w:id="20296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407000284">
      <w:bodyDiv w:val="1"/>
      <w:marLeft w:val="0"/>
      <w:marRight w:val="0"/>
      <w:marTop w:val="0"/>
      <w:marBottom w:val="0"/>
      <w:divBdr>
        <w:top w:val="none" w:sz="0" w:space="0" w:color="auto"/>
        <w:left w:val="none" w:sz="0" w:space="0" w:color="auto"/>
        <w:bottom w:val="none" w:sz="0" w:space="0" w:color="auto"/>
        <w:right w:val="none" w:sz="0" w:space="0" w:color="auto"/>
      </w:divBdr>
    </w:div>
    <w:div w:id="1471362329">
      <w:bodyDiv w:val="1"/>
      <w:marLeft w:val="0"/>
      <w:marRight w:val="0"/>
      <w:marTop w:val="0"/>
      <w:marBottom w:val="0"/>
      <w:divBdr>
        <w:top w:val="none" w:sz="0" w:space="0" w:color="auto"/>
        <w:left w:val="none" w:sz="0" w:space="0" w:color="auto"/>
        <w:bottom w:val="none" w:sz="0" w:space="0" w:color="auto"/>
        <w:right w:val="none" w:sz="0" w:space="0" w:color="auto"/>
      </w:divBdr>
    </w:div>
    <w:div w:id="1519466533">
      <w:bodyDiv w:val="1"/>
      <w:marLeft w:val="0"/>
      <w:marRight w:val="0"/>
      <w:marTop w:val="0"/>
      <w:marBottom w:val="0"/>
      <w:divBdr>
        <w:top w:val="none" w:sz="0" w:space="0" w:color="auto"/>
        <w:left w:val="none" w:sz="0" w:space="0" w:color="auto"/>
        <w:bottom w:val="none" w:sz="0" w:space="0" w:color="auto"/>
        <w:right w:val="none" w:sz="0" w:space="0" w:color="auto"/>
      </w:divBdr>
      <w:divsChild>
        <w:div w:id="1376810421">
          <w:marLeft w:val="0"/>
          <w:marRight w:val="0"/>
          <w:marTop w:val="0"/>
          <w:marBottom w:val="0"/>
          <w:divBdr>
            <w:top w:val="none" w:sz="0" w:space="0" w:color="auto"/>
            <w:left w:val="none" w:sz="0" w:space="0" w:color="auto"/>
            <w:bottom w:val="none" w:sz="0" w:space="0" w:color="auto"/>
            <w:right w:val="none" w:sz="0" w:space="0" w:color="auto"/>
          </w:divBdr>
          <w:divsChild>
            <w:div w:id="334646790">
              <w:marLeft w:val="0"/>
              <w:marRight w:val="0"/>
              <w:marTop w:val="0"/>
              <w:marBottom w:val="0"/>
              <w:divBdr>
                <w:top w:val="none" w:sz="0" w:space="0" w:color="auto"/>
                <w:left w:val="none" w:sz="0" w:space="0" w:color="auto"/>
                <w:bottom w:val="none" w:sz="0" w:space="0" w:color="auto"/>
                <w:right w:val="none" w:sz="0" w:space="0" w:color="auto"/>
              </w:divBdr>
              <w:divsChild>
                <w:div w:id="1603418263">
                  <w:marLeft w:val="0"/>
                  <w:marRight w:val="0"/>
                  <w:marTop w:val="0"/>
                  <w:marBottom w:val="0"/>
                  <w:divBdr>
                    <w:top w:val="none" w:sz="0" w:space="0" w:color="auto"/>
                    <w:left w:val="none" w:sz="0" w:space="0" w:color="auto"/>
                    <w:bottom w:val="none" w:sz="0" w:space="0" w:color="auto"/>
                    <w:right w:val="none" w:sz="0" w:space="0" w:color="auto"/>
                  </w:divBdr>
                  <w:divsChild>
                    <w:div w:id="144932335">
                      <w:marLeft w:val="0"/>
                      <w:marRight w:val="0"/>
                      <w:marTop w:val="0"/>
                      <w:marBottom w:val="0"/>
                      <w:divBdr>
                        <w:top w:val="none" w:sz="0" w:space="0" w:color="auto"/>
                        <w:left w:val="none" w:sz="0" w:space="0" w:color="auto"/>
                        <w:bottom w:val="none" w:sz="0" w:space="0" w:color="auto"/>
                        <w:right w:val="none" w:sz="0" w:space="0" w:color="auto"/>
                      </w:divBdr>
                      <w:divsChild>
                        <w:div w:id="1240554809">
                          <w:marLeft w:val="0"/>
                          <w:marRight w:val="0"/>
                          <w:marTop w:val="0"/>
                          <w:marBottom w:val="0"/>
                          <w:divBdr>
                            <w:top w:val="none" w:sz="0" w:space="0" w:color="auto"/>
                            <w:left w:val="none" w:sz="0" w:space="0" w:color="auto"/>
                            <w:bottom w:val="none" w:sz="0" w:space="0" w:color="auto"/>
                            <w:right w:val="none" w:sz="0" w:space="0" w:color="auto"/>
                          </w:divBdr>
                          <w:divsChild>
                            <w:div w:id="1716126408">
                              <w:marLeft w:val="0"/>
                              <w:marRight w:val="0"/>
                              <w:marTop w:val="0"/>
                              <w:marBottom w:val="0"/>
                              <w:divBdr>
                                <w:top w:val="none" w:sz="0" w:space="0" w:color="auto"/>
                                <w:left w:val="none" w:sz="0" w:space="0" w:color="auto"/>
                                <w:bottom w:val="none" w:sz="0" w:space="0" w:color="auto"/>
                                <w:right w:val="none" w:sz="0" w:space="0" w:color="auto"/>
                              </w:divBdr>
                              <w:divsChild>
                                <w:div w:id="38749552">
                                  <w:marLeft w:val="0"/>
                                  <w:marRight w:val="0"/>
                                  <w:marTop w:val="0"/>
                                  <w:marBottom w:val="0"/>
                                  <w:divBdr>
                                    <w:top w:val="none" w:sz="0" w:space="0" w:color="auto"/>
                                    <w:left w:val="none" w:sz="0" w:space="0" w:color="auto"/>
                                    <w:bottom w:val="none" w:sz="0" w:space="0" w:color="auto"/>
                                    <w:right w:val="none" w:sz="0" w:space="0" w:color="auto"/>
                                  </w:divBdr>
                                  <w:divsChild>
                                    <w:div w:id="1018387546">
                                      <w:marLeft w:val="0"/>
                                      <w:marRight w:val="0"/>
                                      <w:marTop w:val="0"/>
                                      <w:marBottom w:val="0"/>
                                      <w:divBdr>
                                        <w:top w:val="none" w:sz="0" w:space="0" w:color="auto"/>
                                        <w:left w:val="none" w:sz="0" w:space="0" w:color="auto"/>
                                        <w:bottom w:val="none" w:sz="0" w:space="0" w:color="auto"/>
                                        <w:right w:val="none" w:sz="0" w:space="0" w:color="auto"/>
                                      </w:divBdr>
                                      <w:divsChild>
                                        <w:div w:id="862012803">
                                          <w:marLeft w:val="0"/>
                                          <w:marRight w:val="0"/>
                                          <w:marTop w:val="0"/>
                                          <w:marBottom w:val="0"/>
                                          <w:divBdr>
                                            <w:top w:val="none" w:sz="0" w:space="0" w:color="auto"/>
                                            <w:left w:val="none" w:sz="0" w:space="0" w:color="auto"/>
                                            <w:bottom w:val="none" w:sz="0" w:space="0" w:color="auto"/>
                                            <w:right w:val="none" w:sz="0" w:space="0" w:color="auto"/>
                                          </w:divBdr>
                                          <w:divsChild>
                                            <w:div w:id="1463380477">
                                              <w:marLeft w:val="0"/>
                                              <w:marRight w:val="0"/>
                                              <w:marTop w:val="0"/>
                                              <w:marBottom w:val="495"/>
                                              <w:divBdr>
                                                <w:top w:val="none" w:sz="0" w:space="0" w:color="auto"/>
                                                <w:left w:val="none" w:sz="0" w:space="0" w:color="auto"/>
                                                <w:bottom w:val="none" w:sz="0" w:space="0" w:color="auto"/>
                                                <w:right w:val="none" w:sz="0" w:space="0" w:color="auto"/>
                                              </w:divBdr>
                                              <w:divsChild>
                                                <w:div w:id="1030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4919744">
      <w:bodyDiv w:val="1"/>
      <w:marLeft w:val="0"/>
      <w:marRight w:val="0"/>
      <w:marTop w:val="0"/>
      <w:marBottom w:val="0"/>
      <w:divBdr>
        <w:top w:val="none" w:sz="0" w:space="0" w:color="auto"/>
        <w:left w:val="none" w:sz="0" w:space="0" w:color="auto"/>
        <w:bottom w:val="none" w:sz="0" w:space="0" w:color="auto"/>
        <w:right w:val="none" w:sz="0" w:space="0" w:color="auto"/>
      </w:divBdr>
    </w:div>
    <w:div w:id="1535263327">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529">
      <w:bodyDiv w:val="1"/>
      <w:marLeft w:val="0"/>
      <w:marRight w:val="0"/>
      <w:marTop w:val="0"/>
      <w:marBottom w:val="0"/>
      <w:divBdr>
        <w:top w:val="none" w:sz="0" w:space="0" w:color="auto"/>
        <w:left w:val="none" w:sz="0" w:space="0" w:color="auto"/>
        <w:bottom w:val="none" w:sz="0" w:space="0" w:color="auto"/>
        <w:right w:val="none" w:sz="0" w:space="0" w:color="auto"/>
      </w:divBdr>
    </w:div>
    <w:div w:id="1553811744">
      <w:bodyDiv w:val="1"/>
      <w:marLeft w:val="0"/>
      <w:marRight w:val="0"/>
      <w:marTop w:val="0"/>
      <w:marBottom w:val="0"/>
      <w:divBdr>
        <w:top w:val="none" w:sz="0" w:space="0" w:color="auto"/>
        <w:left w:val="none" w:sz="0" w:space="0" w:color="auto"/>
        <w:bottom w:val="none" w:sz="0" w:space="0" w:color="auto"/>
        <w:right w:val="none" w:sz="0" w:space="0" w:color="auto"/>
      </w:divBdr>
    </w:div>
    <w:div w:id="1558737767">
      <w:bodyDiv w:val="1"/>
      <w:marLeft w:val="0"/>
      <w:marRight w:val="0"/>
      <w:marTop w:val="0"/>
      <w:marBottom w:val="0"/>
      <w:divBdr>
        <w:top w:val="none" w:sz="0" w:space="0" w:color="auto"/>
        <w:left w:val="none" w:sz="0" w:space="0" w:color="auto"/>
        <w:bottom w:val="none" w:sz="0" w:space="0" w:color="auto"/>
        <w:right w:val="none" w:sz="0" w:space="0" w:color="auto"/>
      </w:divBdr>
      <w:divsChild>
        <w:div w:id="725495383">
          <w:marLeft w:val="0"/>
          <w:marRight w:val="0"/>
          <w:marTop w:val="0"/>
          <w:marBottom w:val="0"/>
          <w:divBdr>
            <w:top w:val="none" w:sz="0" w:space="0" w:color="auto"/>
            <w:left w:val="none" w:sz="0" w:space="0" w:color="auto"/>
            <w:bottom w:val="none" w:sz="0" w:space="0" w:color="auto"/>
            <w:right w:val="none" w:sz="0" w:space="0" w:color="auto"/>
          </w:divBdr>
          <w:divsChild>
            <w:div w:id="989482721">
              <w:marLeft w:val="0"/>
              <w:marRight w:val="0"/>
              <w:marTop w:val="0"/>
              <w:marBottom w:val="0"/>
              <w:divBdr>
                <w:top w:val="none" w:sz="0" w:space="0" w:color="auto"/>
                <w:left w:val="none" w:sz="0" w:space="0" w:color="auto"/>
                <w:bottom w:val="none" w:sz="0" w:space="0" w:color="auto"/>
                <w:right w:val="none" w:sz="0" w:space="0" w:color="auto"/>
              </w:divBdr>
              <w:divsChild>
                <w:div w:id="149487727">
                  <w:marLeft w:val="0"/>
                  <w:marRight w:val="0"/>
                  <w:marTop w:val="0"/>
                  <w:marBottom w:val="0"/>
                  <w:divBdr>
                    <w:top w:val="none" w:sz="0" w:space="0" w:color="auto"/>
                    <w:left w:val="none" w:sz="0" w:space="0" w:color="auto"/>
                    <w:bottom w:val="none" w:sz="0" w:space="0" w:color="auto"/>
                    <w:right w:val="none" w:sz="0" w:space="0" w:color="auto"/>
                  </w:divBdr>
                  <w:divsChild>
                    <w:div w:id="1907912492">
                      <w:marLeft w:val="0"/>
                      <w:marRight w:val="0"/>
                      <w:marTop w:val="300"/>
                      <w:marBottom w:val="0"/>
                      <w:divBdr>
                        <w:top w:val="single" w:sz="6" w:space="0" w:color="DDDDDD"/>
                        <w:left w:val="single" w:sz="6" w:space="0" w:color="DDDDDD"/>
                        <w:bottom w:val="single" w:sz="6" w:space="0" w:color="DDDDDD"/>
                        <w:right w:val="single" w:sz="6" w:space="0" w:color="DDDDDD"/>
                      </w:divBdr>
                      <w:divsChild>
                        <w:div w:id="830175036">
                          <w:marLeft w:val="0"/>
                          <w:marRight w:val="0"/>
                          <w:marTop w:val="0"/>
                          <w:marBottom w:val="0"/>
                          <w:divBdr>
                            <w:top w:val="none" w:sz="0" w:space="0" w:color="auto"/>
                            <w:left w:val="none" w:sz="0" w:space="0" w:color="auto"/>
                            <w:bottom w:val="none" w:sz="0" w:space="0" w:color="auto"/>
                            <w:right w:val="none" w:sz="0" w:space="0" w:color="auto"/>
                          </w:divBdr>
                          <w:divsChild>
                            <w:div w:id="1967003401">
                              <w:marLeft w:val="0"/>
                              <w:marRight w:val="0"/>
                              <w:marTop w:val="0"/>
                              <w:marBottom w:val="0"/>
                              <w:divBdr>
                                <w:top w:val="none" w:sz="0" w:space="0" w:color="auto"/>
                                <w:left w:val="none" w:sz="0" w:space="0" w:color="auto"/>
                                <w:bottom w:val="none" w:sz="0" w:space="0" w:color="auto"/>
                                <w:right w:val="none" w:sz="0" w:space="0" w:color="auto"/>
                              </w:divBdr>
                              <w:divsChild>
                                <w:div w:id="262341135">
                                  <w:marLeft w:val="0"/>
                                  <w:marRight w:val="0"/>
                                  <w:marTop w:val="0"/>
                                  <w:marBottom w:val="0"/>
                                  <w:divBdr>
                                    <w:top w:val="none" w:sz="0" w:space="0" w:color="auto"/>
                                    <w:left w:val="none" w:sz="0" w:space="0" w:color="auto"/>
                                    <w:bottom w:val="none" w:sz="0" w:space="0" w:color="auto"/>
                                    <w:right w:val="none" w:sz="0" w:space="0" w:color="auto"/>
                                  </w:divBdr>
                                  <w:divsChild>
                                    <w:div w:id="1541478439">
                                      <w:marLeft w:val="0"/>
                                      <w:marRight w:val="0"/>
                                      <w:marTop w:val="0"/>
                                      <w:marBottom w:val="0"/>
                                      <w:divBdr>
                                        <w:top w:val="none" w:sz="0" w:space="0" w:color="auto"/>
                                        <w:left w:val="none" w:sz="0" w:space="0" w:color="auto"/>
                                        <w:bottom w:val="none" w:sz="0" w:space="0" w:color="auto"/>
                                        <w:right w:val="none" w:sz="0" w:space="0" w:color="auto"/>
                                      </w:divBdr>
                                      <w:divsChild>
                                        <w:div w:id="2055306201">
                                          <w:marLeft w:val="0"/>
                                          <w:marRight w:val="0"/>
                                          <w:marTop w:val="0"/>
                                          <w:marBottom w:val="0"/>
                                          <w:divBdr>
                                            <w:top w:val="none" w:sz="0" w:space="0" w:color="auto"/>
                                            <w:left w:val="none" w:sz="0" w:space="0" w:color="auto"/>
                                            <w:bottom w:val="none" w:sz="0" w:space="0" w:color="auto"/>
                                            <w:right w:val="none" w:sz="0" w:space="0" w:color="auto"/>
                                          </w:divBdr>
                                          <w:divsChild>
                                            <w:div w:id="2036929347">
                                              <w:marLeft w:val="0"/>
                                              <w:marRight w:val="0"/>
                                              <w:marTop w:val="0"/>
                                              <w:marBottom w:val="0"/>
                                              <w:divBdr>
                                                <w:top w:val="none" w:sz="0" w:space="0" w:color="auto"/>
                                                <w:left w:val="none" w:sz="0" w:space="0" w:color="auto"/>
                                                <w:bottom w:val="none" w:sz="0" w:space="0" w:color="auto"/>
                                                <w:right w:val="none" w:sz="0" w:space="0" w:color="auto"/>
                                              </w:divBdr>
                                              <w:divsChild>
                                                <w:div w:id="263660026">
                                                  <w:marLeft w:val="0"/>
                                                  <w:marRight w:val="0"/>
                                                  <w:marTop w:val="0"/>
                                                  <w:marBottom w:val="0"/>
                                                  <w:divBdr>
                                                    <w:top w:val="none" w:sz="0" w:space="0" w:color="auto"/>
                                                    <w:left w:val="none" w:sz="0" w:space="0" w:color="auto"/>
                                                    <w:bottom w:val="none" w:sz="0" w:space="0" w:color="auto"/>
                                                    <w:right w:val="none" w:sz="0" w:space="0" w:color="auto"/>
                                                  </w:divBdr>
                                                  <w:divsChild>
                                                    <w:div w:id="1125078615">
                                                      <w:marLeft w:val="0"/>
                                                      <w:marRight w:val="0"/>
                                                      <w:marTop w:val="0"/>
                                                      <w:marBottom w:val="0"/>
                                                      <w:divBdr>
                                                        <w:top w:val="none" w:sz="0" w:space="0" w:color="auto"/>
                                                        <w:left w:val="none" w:sz="0" w:space="0" w:color="auto"/>
                                                        <w:bottom w:val="none" w:sz="0" w:space="0" w:color="auto"/>
                                                        <w:right w:val="none" w:sz="0" w:space="0" w:color="auto"/>
                                                      </w:divBdr>
                                                    </w:div>
                                                    <w:div w:id="1476872691">
                                                      <w:marLeft w:val="0"/>
                                                      <w:marRight w:val="0"/>
                                                      <w:marTop w:val="0"/>
                                                      <w:marBottom w:val="0"/>
                                                      <w:divBdr>
                                                        <w:top w:val="none" w:sz="0" w:space="0" w:color="auto"/>
                                                        <w:left w:val="none" w:sz="0" w:space="0" w:color="auto"/>
                                                        <w:bottom w:val="none" w:sz="0" w:space="0" w:color="auto"/>
                                                        <w:right w:val="none" w:sz="0" w:space="0" w:color="auto"/>
                                                      </w:divBdr>
                                                    </w:div>
                                                    <w:div w:id="1548227028">
                                                      <w:marLeft w:val="0"/>
                                                      <w:marRight w:val="0"/>
                                                      <w:marTop w:val="0"/>
                                                      <w:marBottom w:val="0"/>
                                                      <w:divBdr>
                                                        <w:top w:val="none" w:sz="0" w:space="0" w:color="auto"/>
                                                        <w:left w:val="none" w:sz="0" w:space="0" w:color="auto"/>
                                                        <w:bottom w:val="none" w:sz="0" w:space="0" w:color="auto"/>
                                                        <w:right w:val="none" w:sz="0" w:space="0" w:color="auto"/>
                                                      </w:divBdr>
                                                    </w:div>
                                                    <w:div w:id="19927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728825">
      <w:bodyDiv w:val="1"/>
      <w:marLeft w:val="0"/>
      <w:marRight w:val="0"/>
      <w:marTop w:val="0"/>
      <w:marBottom w:val="0"/>
      <w:divBdr>
        <w:top w:val="none" w:sz="0" w:space="0" w:color="auto"/>
        <w:left w:val="none" w:sz="0" w:space="0" w:color="auto"/>
        <w:bottom w:val="none" w:sz="0" w:space="0" w:color="auto"/>
        <w:right w:val="none" w:sz="0" w:space="0" w:color="auto"/>
      </w:divBdr>
    </w:div>
    <w:div w:id="1581257628">
      <w:bodyDiv w:val="1"/>
      <w:marLeft w:val="0"/>
      <w:marRight w:val="0"/>
      <w:marTop w:val="0"/>
      <w:marBottom w:val="0"/>
      <w:divBdr>
        <w:top w:val="none" w:sz="0" w:space="0" w:color="auto"/>
        <w:left w:val="none" w:sz="0" w:space="0" w:color="auto"/>
        <w:bottom w:val="none" w:sz="0" w:space="0" w:color="auto"/>
        <w:right w:val="none" w:sz="0" w:space="0" w:color="auto"/>
      </w:divBdr>
    </w:div>
    <w:div w:id="1590387987">
      <w:bodyDiv w:val="1"/>
      <w:marLeft w:val="0"/>
      <w:marRight w:val="0"/>
      <w:marTop w:val="0"/>
      <w:marBottom w:val="0"/>
      <w:divBdr>
        <w:top w:val="none" w:sz="0" w:space="0" w:color="auto"/>
        <w:left w:val="none" w:sz="0" w:space="0" w:color="auto"/>
        <w:bottom w:val="none" w:sz="0" w:space="0" w:color="auto"/>
        <w:right w:val="none" w:sz="0" w:space="0" w:color="auto"/>
      </w:divBdr>
    </w:div>
    <w:div w:id="1594825895">
      <w:bodyDiv w:val="1"/>
      <w:marLeft w:val="0"/>
      <w:marRight w:val="0"/>
      <w:marTop w:val="0"/>
      <w:marBottom w:val="0"/>
      <w:divBdr>
        <w:top w:val="none" w:sz="0" w:space="0" w:color="auto"/>
        <w:left w:val="none" w:sz="0" w:space="0" w:color="auto"/>
        <w:bottom w:val="none" w:sz="0" w:space="0" w:color="auto"/>
        <w:right w:val="none" w:sz="0" w:space="0" w:color="auto"/>
      </w:divBdr>
    </w:div>
    <w:div w:id="1609703460">
      <w:bodyDiv w:val="1"/>
      <w:marLeft w:val="0"/>
      <w:marRight w:val="0"/>
      <w:marTop w:val="0"/>
      <w:marBottom w:val="0"/>
      <w:divBdr>
        <w:top w:val="none" w:sz="0" w:space="0" w:color="auto"/>
        <w:left w:val="none" w:sz="0" w:space="0" w:color="auto"/>
        <w:bottom w:val="none" w:sz="0" w:space="0" w:color="auto"/>
        <w:right w:val="none" w:sz="0" w:space="0" w:color="auto"/>
      </w:divBdr>
    </w:div>
    <w:div w:id="1611818253">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1184875">
      <w:bodyDiv w:val="1"/>
      <w:marLeft w:val="0"/>
      <w:marRight w:val="0"/>
      <w:marTop w:val="0"/>
      <w:marBottom w:val="0"/>
      <w:divBdr>
        <w:top w:val="none" w:sz="0" w:space="0" w:color="auto"/>
        <w:left w:val="none" w:sz="0" w:space="0" w:color="auto"/>
        <w:bottom w:val="none" w:sz="0" w:space="0" w:color="auto"/>
        <w:right w:val="none" w:sz="0" w:space="0" w:color="auto"/>
      </w:divBdr>
      <w:divsChild>
        <w:div w:id="108743784">
          <w:marLeft w:val="0"/>
          <w:marRight w:val="0"/>
          <w:marTop w:val="0"/>
          <w:marBottom w:val="0"/>
          <w:divBdr>
            <w:top w:val="none" w:sz="0" w:space="0" w:color="auto"/>
            <w:left w:val="none" w:sz="0" w:space="0" w:color="auto"/>
            <w:bottom w:val="none" w:sz="0" w:space="0" w:color="auto"/>
            <w:right w:val="none" w:sz="0" w:space="0" w:color="auto"/>
          </w:divBdr>
          <w:divsChild>
            <w:div w:id="892423887">
              <w:marLeft w:val="0"/>
              <w:marRight w:val="0"/>
              <w:marTop w:val="0"/>
              <w:marBottom w:val="0"/>
              <w:divBdr>
                <w:top w:val="none" w:sz="0" w:space="0" w:color="auto"/>
                <w:left w:val="none" w:sz="0" w:space="0" w:color="auto"/>
                <w:bottom w:val="none" w:sz="0" w:space="0" w:color="auto"/>
                <w:right w:val="none" w:sz="0" w:space="0" w:color="auto"/>
              </w:divBdr>
              <w:divsChild>
                <w:div w:id="794057762">
                  <w:marLeft w:val="0"/>
                  <w:marRight w:val="0"/>
                  <w:marTop w:val="0"/>
                  <w:marBottom w:val="0"/>
                  <w:divBdr>
                    <w:top w:val="none" w:sz="0" w:space="0" w:color="auto"/>
                    <w:left w:val="none" w:sz="0" w:space="0" w:color="auto"/>
                    <w:bottom w:val="none" w:sz="0" w:space="0" w:color="auto"/>
                    <w:right w:val="none" w:sz="0" w:space="0" w:color="auto"/>
                  </w:divBdr>
                  <w:divsChild>
                    <w:div w:id="1671130101">
                      <w:marLeft w:val="0"/>
                      <w:marRight w:val="0"/>
                      <w:marTop w:val="0"/>
                      <w:marBottom w:val="0"/>
                      <w:divBdr>
                        <w:top w:val="none" w:sz="0" w:space="0" w:color="auto"/>
                        <w:left w:val="none" w:sz="0" w:space="0" w:color="auto"/>
                        <w:bottom w:val="none" w:sz="0" w:space="0" w:color="auto"/>
                        <w:right w:val="none" w:sz="0" w:space="0" w:color="auto"/>
                      </w:divBdr>
                      <w:divsChild>
                        <w:div w:id="265115957">
                          <w:marLeft w:val="0"/>
                          <w:marRight w:val="0"/>
                          <w:marTop w:val="0"/>
                          <w:marBottom w:val="0"/>
                          <w:divBdr>
                            <w:top w:val="none" w:sz="0" w:space="0" w:color="auto"/>
                            <w:left w:val="none" w:sz="0" w:space="0" w:color="auto"/>
                            <w:bottom w:val="none" w:sz="0" w:space="0" w:color="auto"/>
                            <w:right w:val="none" w:sz="0" w:space="0" w:color="auto"/>
                          </w:divBdr>
                          <w:divsChild>
                            <w:div w:id="147866772">
                              <w:marLeft w:val="0"/>
                              <w:marRight w:val="0"/>
                              <w:marTop w:val="0"/>
                              <w:marBottom w:val="0"/>
                              <w:divBdr>
                                <w:top w:val="none" w:sz="0" w:space="0" w:color="auto"/>
                                <w:left w:val="none" w:sz="0" w:space="0" w:color="auto"/>
                                <w:bottom w:val="none" w:sz="0" w:space="0" w:color="auto"/>
                                <w:right w:val="none" w:sz="0" w:space="0" w:color="auto"/>
                              </w:divBdr>
                              <w:divsChild>
                                <w:div w:id="1354726435">
                                  <w:marLeft w:val="0"/>
                                  <w:marRight w:val="0"/>
                                  <w:marTop w:val="0"/>
                                  <w:marBottom w:val="0"/>
                                  <w:divBdr>
                                    <w:top w:val="none" w:sz="0" w:space="0" w:color="auto"/>
                                    <w:left w:val="none" w:sz="0" w:space="0" w:color="auto"/>
                                    <w:bottom w:val="none" w:sz="0" w:space="0" w:color="auto"/>
                                    <w:right w:val="none" w:sz="0" w:space="0" w:color="auto"/>
                                  </w:divBdr>
                                  <w:divsChild>
                                    <w:div w:id="354697259">
                                      <w:marLeft w:val="0"/>
                                      <w:marRight w:val="0"/>
                                      <w:marTop w:val="0"/>
                                      <w:marBottom w:val="0"/>
                                      <w:divBdr>
                                        <w:top w:val="none" w:sz="0" w:space="0" w:color="auto"/>
                                        <w:left w:val="none" w:sz="0" w:space="0" w:color="auto"/>
                                        <w:bottom w:val="none" w:sz="0" w:space="0" w:color="auto"/>
                                        <w:right w:val="none" w:sz="0" w:space="0" w:color="auto"/>
                                      </w:divBdr>
                                      <w:divsChild>
                                        <w:div w:id="189146028">
                                          <w:marLeft w:val="0"/>
                                          <w:marRight w:val="0"/>
                                          <w:marTop w:val="0"/>
                                          <w:marBottom w:val="0"/>
                                          <w:divBdr>
                                            <w:top w:val="none" w:sz="0" w:space="0" w:color="auto"/>
                                            <w:left w:val="none" w:sz="0" w:space="0" w:color="auto"/>
                                            <w:bottom w:val="none" w:sz="0" w:space="0" w:color="auto"/>
                                            <w:right w:val="none" w:sz="0" w:space="0" w:color="auto"/>
                                          </w:divBdr>
                                          <w:divsChild>
                                            <w:div w:id="1324506342">
                                              <w:marLeft w:val="0"/>
                                              <w:marRight w:val="0"/>
                                              <w:marTop w:val="0"/>
                                              <w:marBottom w:val="495"/>
                                              <w:divBdr>
                                                <w:top w:val="none" w:sz="0" w:space="0" w:color="auto"/>
                                                <w:left w:val="none" w:sz="0" w:space="0" w:color="auto"/>
                                                <w:bottom w:val="none" w:sz="0" w:space="0" w:color="auto"/>
                                                <w:right w:val="none" w:sz="0" w:space="0" w:color="auto"/>
                                              </w:divBdr>
                                              <w:divsChild>
                                                <w:div w:id="7462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2415583">
      <w:bodyDiv w:val="1"/>
      <w:marLeft w:val="0"/>
      <w:marRight w:val="0"/>
      <w:marTop w:val="0"/>
      <w:marBottom w:val="0"/>
      <w:divBdr>
        <w:top w:val="none" w:sz="0" w:space="0" w:color="auto"/>
        <w:left w:val="none" w:sz="0" w:space="0" w:color="auto"/>
        <w:bottom w:val="none" w:sz="0" w:space="0" w:color="auto"/>
        <w:right w:val="none" w:sz="0" w:space="0" w:color="auto"/>
      </w:divBdr>
    </w:div>
    <w:div w:id="1672832603">
      <w:bodyDiv w:val="1"/>
      <w:marLeft w:val="0"/>
      <w:marRight w:val="0"/>
      <w:marTop w:val="0"/>
      <w:marBottom w:val="0"/>
      <w:divBdr>
        <w:top w:val="none" w:sz="0" w:space="0" w:color="auto"/>
        <w:left w:val="none" w:sz="0" w:space="0" w:color="auto"/>
        <w:bottom w:val="none" w:sz="0" w:space="0" w:color="auto"/>
        <w:right w:val="none" w:sz="0" w:space="0" w:color="auto"/>
      </w:divBdr>
    </w:div>
    <w:div w:id="1712148591">
      <w:bodyDiv w:val="1"/>
      <w:marLeft w:val="0"/>
      <w:marRight w:val="0"/>
      <w:marTop w:val="0"/>
      <w:marBottom w:val="0"/>
      <w:divBdr>
        <w:top w:val="none" w:sz="0" w:space="0" w:color="auto"/>
        <w:left w:val="none" w:sz="0" w:space="0" w:color="auto"/>
        <w:bottom w:val="none" w:sz="0" w:space="0" w:color="auto"/>
        <w:right w:val="none" w:sz="0" w:space="0" w:color="auto"/>
      </w:divBdr>
      <w:divsChild>
        <w:div w:id="822741516">
          <w:marLeft w:val="0"/>
          <w:marRight w:val="0"/>
          <w:marTop w:val="0"/>
          <w:marBottom w:val="0"/>
          <w:divBdr>
            <w:top w:val="none" w:sz="0" w:space="0" w:color="auto"/>
            <w:left w:val="none" w:sz="0" w:space="0" w:color="auto"/>
            <w:bottom w:val="none" w:sz="0" w:space="0" w:color="auto"/>
            <w:right w:val="none" w:sz="0" w:space="0" w:color="auto"/>
          </w:divBdr>
          <w:divsChild>
            <w:div w:id="74788385">
              <w:marLeft w:val="0"/>
              <w:marRight w:val="0"/>
              <w:marTop w:val="0"/>
              <w:marBottom w:val="0"/>
              <w:divBdr>
                <w:top w:val="none" w:sz="0" w:space="0" w:color="auto"/>
                <w:left w:val="none" w:sz="0" w:space="0" w:color="auto"/>
                <w:bottom w:val="none" w:sz="0" w:space="0" w:color="auto"/>
                <w:right w:val="none" w:sz="0" w:space="0" w:color="auto"/>
              </w:divBdr>
              <w:divsChild>
                <w:div w:id="417219248">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34639210">
                          <w:marLeft w:val="0"/>
                          <w:marRight w:val="0"/>
                          <w:marTop w:val="0"/>
                          <w:marBottom w:val="0"/>
                          <w:divBdr>
                            <w:top w:val="none" w:sz="0" w:space="0" w:color="auto"/>
                            <w:left w:val="none" w:sz="0" w:space="0" w:color="auto"/>
                            <w:bottom w:val="none" w:sz="0" w:space="0" w:color="auto"/>
                            <w:right w:val="none" w:sz="0" w:space="0" w:color="auto"/>
                          </w:divBdr>
                          <w:divsChild>
                            <w:div w:id="1332952419">
                              <w:marLeft w:val="0"/>
                              <w:marRight w:val="0"/>
                              <w:marTop w:val="0"/>
                              <w:marBottom w:val="0"/>
                              <w:divBdr>
                                <w:top w:val="none" w:sz="0" w:space="0" w:color="auto"/>
                                <w:left w:val="none" w:sz="0" w:space="0" w:color="auto"/>
                                <w:bottom w:val="none" w:sz="0" w:space="0" w:color="auto"/>
                                <w:right w:val="none" w:sz="0" w:space="0" w:color="auto"/>
                              </w:divBdr>
                              <w:divsChild>
                                <w:div w:id="454182856">
                                  <w:marLeft w:val="0"/>
                                  <w:marRight w:val="0"/>
                                  <w:marTop w:val="0"/>
                                  <w:marBottom w:val="0"/>
                                  <w:divBdr>
                                    <w:top w:val="none" w:sz="0" w:space="0" w:color="auto"/>
                                    <w:left w:val="none" w:sz="0" w:space="0" w:color="auto"/>
                                    <w:bottom w:val="none" w:sz="0" w:space="0" w:color="auto"/>
                                    <w:right w:val="none" w:sz="0" w:space="0" w:color="auto"/>
                                  </w:divBdr>
                                  <w:divsChild>
                                    <w:div w:id="619192903">
                                      <w:marLeft w:val="0"/>
                                      <w:marRight w:val="0"/>
                                      <w:marTop w:val="0"/>
                                      <w:marBottom w:val="0"/>
                                      <w:divBdr>
                                        <w:top w:val="none" w:sz="0" w:space="0" w:color="auto"/>
                                        <w:left w:val="none" w:sz="0" w:space="0" w:color="auto"/>
                                        <w:bottom w:val="none" w:sz="0" w:space="0" w:color="auto"/>
                                        <w:right w:val="none" w:sz="0" w:space="0" w:color="auto"/>
                                      </w:divBdr>
                                      <w:divsChild>
                                        <w:div w:id="1441878897">
                                          <w:marLeft w:val="0"/>
                                          <w:marRight w:val="0"/>
                                          <w:marTop w:val="0"/>
                                          <w:marBottom w:val="495"/>
                                          <w:divBdr>
                                            <w:top w:val="none" w:sz="0" w:space="0" w:color="auto"/>
                                            <w:left w:val="none" w:sz="0" w:space="0" w:color="auto"/>
                                            <w:bottom w:val="none" w:sz="0" w:space="0" w:color="auto"/>
                                            <w:right w:val="none" w:sz="0" w:space="0" w:color="auto"/>
                                          </w:divBdr>
                                          <w:divsChild>
                                            <w:div w:id="2664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26290463">
      <w:bodyDiv w:val="1"/>
      <w:marLeft w:val="0"/>
      <w:marRight w:val="0"/>
      <w:marTop w:val="0"/>
      <w:marBottom w:val="0"/>
      <w:divBdr>
        <w:top w:val="none" w:sz="0" w:space="0" w:color="auto"/>
        <w:left w:val="none" w:sz="0" w:space="0" w:color="auto"/>
        <w:bottom w:val="none" w:sz="0" w:space="0" w:color="auto"/>
        <w:right w:val="none" w:sz="0" w:space="0" w:color="auto"/>
      </w:divBdr>
      <w:divsChild>
        <w:div w:id="684283489">
          <w:marLeft w:val="0"/>
          <w:marRight w:val="0"/>
          <w:marTop w:val="0"/>
          <w:marBottom w:val="0"/>
          <w:divBdr>
            <w:top w:val="none" w:sz="0" w:space="0" w:color="auto"/>
            <w:left w:val="none" w:sz="0" w:space="0" w:color="auto"/>
            <w:bottom w:val="none" w:sz="0" w:space="0" w:color="auto"/>
            <w:right w:val="none" w:sz="0" w:space="0" w:color="auto"/>
          </w:divBdr>
          <w:divsChild>
            <w:div w:id="692267162">
              <w:marLeft w:val="0"/>
              <w:marRight w:val="0"/>
              <w:marTop w:val="0"/>
              <w:marBottom w:val="0"/>
              <w:divBdr>
                <w:top w:val="none" w:sz="0" w:space="0" w:color="auto"/>
                <w:left w:val="none" w:sz="0" w:space="0" w:color="auto"/>
                <w:bottom w:val="none" w:sz="0" w:space="0" w:color="auto"/>
                <w:right w:val="none" w:sz="0" w:space="0" w:color="auto"/>
              </w:divBdr>
              <w:divsChild>
                <w:div w:id="31077144">
                  <w:marLeft w:val="0"/>
                  <w:marRight w:val="0"/>
                  <w:marTop w:val="0"/>
                  <w:marBottom w:val="0"/>
                  <w:divBdr>
                    <w:top w:val="none" w:sz="0" w:space="0" w:color="auto"/>
                    <w:left w:val="none" w:sz="0" w:space="0" w:color="auto"/>
                    <w:bottom w:val="none" w:sz="0" w:space="0" w:color="auto"/>
                    <w:right w:val="none" w:sz="0" w:space="0" w:color="auto"/>
                  </w:divBdr>
                  <w:divsChild>
                    <w:div w:id="260644893">
                      <w:marLeft w:val="0"/>
                      <w:marRight w:val="0"/>
                      <w:marTop w:val="0"/>
                      <w:marBottom w:val="0"/>
                      <w:divBdr>
                        <w:top w:val="none" w:sz="0" w:space="0" w:color="auto"/>
                        <w:left w:val="none" w:sz="0" w:space="0" w:color="auto"/>
                        <w:bottom w:val="none" w:sz="0" w:space="0" w:color="auto"/>
                        <w:right w:val="none" w:sz="0" w:space="0" w:color="auto"/>
                      </w:divBdr>
                      <w:divsChild>
                        <w:div w:id="934944003">
                          <w:marLeft w:val="0"/>
                          <w:marRight w:val="0"/>
                          <w:marTop w:val="0"/>
                          <w:marBottom w:val="0"/>
                          <w:divBdr>
                            <w:top w:val="none" w:sz="0" w:space="0" w:color="auto"/>
                            <w:left w:val="none" w:sz="0" w:space="0" w:color="auto"/>
                            <w:bottom w:val="none" w:sz="0" w:space="0" w:color="auto"/>
                            <w:right w:val="none" w:sz="0" w:space="0" w:color="auto"/>
                          </w:divBdr>
                          <w:divsChild>
                            <w:div w:id="338191458">
                              <w:marLeft w:val="0"/>
                              <w:marRight w:val="0"/>
                              <w:marTop w:val="0"/>
                              <w:marBottom w:val="0"/>
                              <w:divBdr>
                                <w:top w:val="none" w:sz="0" w:space="0" w:color="auto"/>
                                <w:left w:val="none" w:sz="0" w:space="0" w:color="auto"/>
                                <w:bottom w:val="none" w:sz="0" w:space="0" w:color="auto"/>
                                <w:right w:val="none" w:sz="0" w:space="0" w:color="auto"/>
                              </w:divBdr>
                              <w:divsChild>
                                <w:div w:id="1965844897">
                                  <w:marLeft w:val="0"/>
                                  <w:marRight w:val="0"/>
                                  <w:marTop w:val="0"/>
                                  <w:marBottom w:val="0"/>
                                  <w:divBdr>
                                    <w:top w:val="none" w:sz="0" w:space="0" w:color="auto"/>
                                    <w:left w:val="none" w:sz="0" w:space="0" w:color="auto"/>
                                    <w:bottom w:val="none" w:sz="0" w:space="0" w:color="auto"/>
                                    <w:right w:val="none" w:sz="0" w:space="0" w:color="auto"/>
                                  </w:divBdr>
                                </w:div>
                                <w:div w:id="1966736096">
                                  <w:marLeft w:val="0"/>
                                  <w:marRight w:val="0"/>
                                  <w:marTop w:val="0"/>
                                  <w:marBottom w:val="0"/>
                                  <w:divBdr>
                                    <w:top w:val="none" w:sz="0" w:space="0" w:color="auto"/>
                                    <w:left w:val="none" w:sz="0" w:space="0" w:color="auto"/>
                                    <w:bottom w:val="none" w:sz="0" w:space="0" w:color="auto"/>
                                    <w:right w:val="none" w:sz="0" w:space="0" w:color="auto"/>
                                  </w:divBdr>
                                </w:div>
                                <w:div w:id="16046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52065">
      <w:bodyDiv w:val="1"/>
      <w:marLeft w:val="0"/>
      <w:marRight w:val="0"/>
      <w:marTop w:val="0"/>
      <w:marBottom w:val="0"/>
      <w:divBdr>
        <w:top w:val="none" w:sz="0" w:space="0" w:color="auto"/>
        <w:left w:val="none" w:sz="0" w:space="0" w:color="auto"/>
        <w:bottom w:val="none" w:sz="0" w:space="0" w:color="auto"/>
        <w:right w:val="none" w:sz="0" w:space="0" w:color="auto"/>
      </w:divBdr>
    </w:div>
    <w:div w:id="1731684605">
      <w:bodyDiv w:val="1"/>
      <w:marLeft w:val="0"/>
      <w:marRight w:val="0"/>
      <w:marTop w:val="0"/>
      <w:marBottom w:val="0"/>
      <w:divBdr>
        <w:top w:val="none" w:sz="0" w:space="0" w:color="auto"/>
        <w:left w:val="none" w:sz="0" w:space="0" w:color="auto"/>
        <w:bottom w:val="none" w:sz="0" w:space="0" w:color="auto"/>
        <w:right w:val="none" w:sz="0" w:space="0" w:color="auto"/>
      </w:divBdr>
      <w:divsChild>
        <w:div w:id="846479003">
          <w:marLeft w:val="0"/>
          <w:marRight w:val="0"/>
          <w:marTop w:val="0"/>
          <w:marBottom w:val="0"/>
          <w:divBdr>
            <w:top w:val="none" w:sz="0" w:space="0" w:color="auto"/>
            <w:left w:val="none" w:sz="0" w:space="0" w:color="auto"/>
            <w:bottom w:val="none" w:sz="0" w:space="0" w:color="auto"/>
            <w:right w:val="none" w:sz="0" w:space="0" w:color="auto"/>
          </w:divBdr>
        </w:div>
      </w:divsChild>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791701836">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6005">
      <w:bodyDiv w:val="1"/>
      <w:marLeft w:val="0"/>
      <w:marRight w:val="0"/>
      <w:marTop w:val="0"/>
      <w:marBottom w:val="0"/>
      <w:divBdr>
        <w:top w:val="none" w:sz="0" w:space="0" w:color="auto"/>
        <w:left w:val="none" w:sz="0" w:space="0" w:color="auto"/>
        <w:bottom w:val="none" w:sz="0" w:space="0" w:color="auto"/>
        <w:right w:val="none" w:sz="0" w:space="0" w:color="auto"/>
      </w:divBdr>
      <w:divsChild>
        <w:div w:id="1817913486">
          <w:marLeft w:val="0"/>
          <w:marRight w:val="0"/>
          <w:marTop w:val="0"/>
          <w:marBottom w:val="0"/>
          <w:divBdr>
            <w:top w:val="none" w:sz="0" w:space="0" w:color="auto"/>
            <w:left w:val="none" w:sz="0" w:space="0" w:color="auto"/>
            <w:bottom w:val="none" w:sz="0" w:space="0" w:color="auto"/>
            <w:right w:val="none" w:sz="0" w:space="0" w:color="auto"/>
          </w:divBdr>
          <w:divsChild>
            <w:div w:id="1916088823">
              <w:marLeft w:val="0"/>
              <w:marRight w:val="0"/>
              <w:marTop w:val="0"/>
              <w:marBottom w:val="0"/>
              <w:divBdr>
                <w:top w:val="none" w:sz="0" w:space="0" w:color="auto"/>
                <w:left w:val="none" w:sz="0" w:space="0" w:color="auto"/>
                <w:bottom w:val="none" w:sz="0" w:space="0" w:color="auto"/>
                <w:right w:val="none" w:sz="0" w:space="0" w:color="auto"/>
              </w:divBdr>
              <w:divsChild>
                <w:div w:id="2082829526">
                  <w:marLeft w:val="0"/>
                  <w:marRight w:val="0"/>
                  <w:marTop w:val="0"/>
                  <w:marBottom w:val="0"/>
                  <w:divBdr>
                    <w:top w:val="none" w:sz="0" w:space="0" w:color="auto"/>
                    <w:left w:val="none" w:sz="0" w:space="0" w:color="auto"/>
                    <w:bottom w:val="none" w:sz="0" w:space="0" w:color="auto"/>
                    <w:right w:val="none" w:sz="0" w:space="0" w:color="auto"/>
                  </w:divBdr>
                  <w:divsChild>
                    <w:div w:id="1463383004">
                      <w:marLeft w:val="-150"/>
                      <w:marRight w:val="-150"/>
                      <w:marTop w:val="0"/>
                      <w:marBottom w:val="0"/>
                      <w:divBdr>
                        <w:top w:val="none" w:sz="0" w:space="0" w:color="auto"/>
                        <w:left w:val="none" w:sz="0" w:space="0" w:color="auto"/>
                        <w:bottom w:val="none" w:sz="0" w:space="0" w:color="auto"/>
                        <w:right w:val="none" w:sz="0" w:space="0" w:color="auto"/>
                      </w:divBdr>
                      <w:divsChild>
                        <w:div w:id="441996863">
                          <w:marLeft w:val="0"/>
                          <w:marRight w:val="0"/>
                          <w:marTop w:val="0"/>
                          <w:marBottom w:val="0"/>
                          <w:divBdr>
                            <w:top w:val="none" w:sz="0" w:space="0" w:color="auto"/>
                            <w:left w:val="none" w:sz="0" w:space="0" w:color="auto"/>
                            <w:bottom w:val="none" w:sz="0" w:space="0" w:color="auto"/>
                            <w:right w:val="none" w:sz="0" w:space="0" w:color="auto"/>
                          </w:divBdr>
                          <w:divsChild>
                            <w:div w:id="572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45437580">
      <w:bodyDiv w:val="1"/>
      <w:marLeft w:val="0"/>
      <w:marRight w:val="0"/>
      <w:marTop w:val="0"/>
      <w:marBottom w:val="0"/>
      <w:divBdr>
        <w:top w:val="none" w:sz="0" w:space="0" w:color="auto"/>
        <w:left w:val="none" w:sz="0" w:space="0" w:color="auto"/>
        <w:bottom w:val="none" w:sz="0" w:space="0" w:color="auto"/>
        <w:right w:val="none" w:sz="0" w:space="0" w:color="auto"/>
      </w:divBdr>
      <w:divsChild>
        <w:div w:id="689379533">
          <w:marLeft w:val="0"/>
          <w:marRight w:val="0"/>
          <w:marTop w:val="0"/>
          <w:marBottom w:val="0"/>
          <w:divBdr>
            <w:top w:val="none" w:sz="0" w:space="0" w:color="auto"/>
            <w:left w:val="none" w:sz="0" w:space="0" w:color="auto"/>
            <w:bottom w:val="none" w:sz="0" w:space="0" w:color="auto"/>
            <w:right w:val="none" w:sz="0" w:space="0" w:color="auto"/>
          </w:divBdr>
          <w:divsChild>
            <w:div w:id="1665931320">
              <w:marLeft w:val="0"/>
              <w:marRight w:val="0"/>
              <w:marTop w:val="0"/>
              <w:marBottom w:val="0"/>
              <w:divBdr>
                <w:top w:val="none" w:sz="0" w:space="0" w:color="auto"/>
                <w:left w:val="none" w:sz="0" w:space="0" w:color="auto"/>
                <w:bottom w:val="none" w:sz="0" w:space="0" w:color="auto"/>
                <w:right w:val="none" w:sz="0" w:space="0" w:color="auto"/>
              </w:divBdr>
              <w:divsChild>
                <w:div w:id="1804225280">
                  <w:marLeft w:val="0"/>
                  <w:marRight w:val="0"/>
                  <w:marTop w:val="0"/>
                  <w:marBottom w:val="0"/>
                  <w:divBdr>
                    <w:top w:val="none" w:sz="0" w:space="0" w:color="auto"/>
                    <w:left w:val="none" w:sz="0" w:space="0" w:color="auto"/>
                    <w:bottom w:val="none" w:sz="0" w:space="0" w:color="auto"/>
                    <w:right w:val="none" w:sz="0" w:space="0" w:color="auto"/>
                  </w:divBdr>
                  <w:divsChild>
                    <w:div w:id="1916040019">
                      <w:marLeft w:val="0"/>
                      <w:marRight w:val="0"/>
                      <w:marTop w:val="0"/>
                      <w:marBottom w:val="0"/>
                      <w:divBdr>
                        <w:top w:val="none" w:sz="0" w:space="0" w:color="auto"/>
                        <w:left w:val="none" w:sz="0" w:space="0" w:color="auto"/>
                        <w:bottom w:val="none" w:sz="0" w:space="0" w:color="auto"/>
                        <w:right w:val="none" w:sz="0" w:space="0" w:color="auto"/>
                      </w:divBdr>
                      <w:divsChild>
                        <w:div w:id="98961351">
                          <w:marLeft w:val="0"/>
                          <w:marRight w:val="0"/>
                          <w:marTop w:val="0"/>
                          <w:marBottom w:val="0"/>
                          <w:divBdr>
                            <w:top w:val="none" w:sz="0" w:space="0" w:color="auto"/>
                            <w:left w:val="none" w:sz="0" w:space="0" w:color="auto"/>
                            <w:bottom w:val="none" w:sz="0" w:space="0" w:color="auto"/>
                            <w:right w:val="none" w:sz="0" w:space="0" w:color="auto"/>
                          </w:divBdr>
                          <w:divsChild>
                            <w:div w:id="467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8115">
      <w:bodyDiv w:val="1"/>
      <w:marLeft w:val="0"/>
      <w:marRight w:val="0"/>
      <w:marTop w:val="0"/>
      <w:marBottom w:val="0"/>
      <w:divBdr>
        <w:top w:val="none" w:sz="0" w:space="0" w:color="auto"/>
        <w:left w:val="none" w:sz="0" w:space="0" w:color="auto"/>
        <w:bottom w:val="none" w:sz="0" w:space="0" w:color="auto"/>
        <w:right w:val="none" w:sz="0" w:space="0" w:color="auto"/>
      </w:divBdr>
    </w:div>
    <w:div w:id="1889608562">
      <w:bodyDiv w:val="1"/>
      <w:marLeft w:val="0"/>
      <w:marRight w:val="0"/>
      <w:marTop w:val="0"/>
      <w:marBottom w:val="0"/>
      <w:divBdr>
        <w:top w:val="none" w:sz="0" w:space="0" w:color="auto"/>
        <w:left w:val="none" w:sz="0" w:space="0" w:color="auto"/>
        <w:bottom w:val="none" w:sz="0" w:space="0" w:color="auto"/>
        <w:right w:val="none" w:sz="0" w:space="0" w:color="auto"/>
      </w:divBdr>
    </w:div>
    <w:div w:id="1915626991">
      <w:bodyDiv w:val="1"/>
      <w:marLeft w:val="0"/>
      <w:marRight w:val="0"/>
      <w:marTop w:val="0"/>
      <w:marBottom w:val="0"/>
      <w:divBdr>
        <w:top w:val="none" w:sz="0" w:space="0" w:color="auto"/>
        <w:left w:val="none" w:sz="0" w:space="0" w:color="auto"/>
        <w:bottom w:val="none" w:sz="0" w:space="0" w:color="auto"/>
        <w:right w:val="none" w:sz="0" w:space="0" w:color="auto"/>
      </w:divBdr>
      <w:divsChild>
        <w:div w:id="1968050827">
          <w:marLeft w:val="0"/>
          <w:marRight w:val="0"/>
          <w:marTop w:val="0"/>
          <w:marBottom w:val="0"/>
          <w:divBdr>
            <w:top w:val="none" w:sz="0" w:space="0" w:color="auto"/>
            <w:left w:val="none" w:sz="0" w:space="0" w:color="auto"/>
            <w:bottom w:val="none" w:sz="0" w:space="0" w:color="auto"/>
            <w:right w:val="none" w:sz="0" w:space="0" w:color="auto"/>
          </w:divBdr>
          <w:divsChild>
            <w:div w:id="701133164">
              <w:marLeft w:val="0"/>
              <w:marRight w:val="0"/>
              <w:marTop w:val="0"/>
              <w:marBottom w:val="0"/>
              <w:divBdr>
                <w:top w:val="none" w:sz="0" w:space="0" w:color="auto"/>
                <w:left w:val="none" w:sz="0" w:space="0" w:color="auto"/>
                <w:bottom w:val="none" w:sz="0" w:space="0" w:color="auto"/>
                <w:right w:val="none" w:sz="0" w:space="0" w:color="auto"/>
              </w:divBdr>
              <w:divsChild>
                <w:div w:id="608052004">
                  <w:marLeft w:val="0"/>
                  <w:marRight w:val="0"/>
                  <w:marTop w:val="0"/>
                  <w:marBottom w:val="0"/>
                  <w:divBdr>
                    <w:top w:val="none" w:sz="0" w:space="0" w:color="auto"/>
                    <w:left w:val="none" w:sz="0" w:space="0" w:color="auto"/>
                    <w:bottom w:val="none" w:sz="0" w:space="0" w:color="auto"/>
                    <w:right w:val="none" w:sz="0" w:space="0" w:color="auto"/>
                  </w:divBdr>
                  <w:divsChild>
                    <w:div w:id="1536498724">
                      <w:marLeft w:val="0"/>
                      <w:marRight w:val="0"/>
                      <w:marTop w:val="0"/>
                      <w:marBottom w:val="0"/>
                      <w:divBdr>
                        <w:top w:val="none" w:sz="0" w:space="0" w:color="auto"/>
                        <w:left w:val="none" w:sz="0" w:space="0" w:color="auto"/>
                        <w:bottom w:val="none" w:sz="0" w:space="0" w:color="auto"/>
                        <w:right w:val="none" w:sz="0" w:space="0" w:color="auto"/>
                      </w:divBdr>
                      <w:divsChild>
                        <w:div w:id="205456420">
                          <w:marLeft w:val="0"/>
                          <w:marRight w:val="0"/>
                          <w:marTop w:val="0"/>
                          <w:marBottom w:val="0"/>
                          <w:divBdr>
                            <w:top w:val="none" w:sz="0" w:space="0" w:color="auto"/>
                            <w:left w:val="none" w:sz="0" w:space="0" w:color="auto"/>
                            <w:bottom w:val="none" w:sz="0" w:space="0" w:color="auto"/>
                            <w:right w:val="none" w:sz="0" w:space="0" w:color="auto"/>
                          </w:divBdr>
                          <w:divsChild>
                            <w:div w:id="341317630">
                              <w:marLeft w:val="0"/>
                              <w:marRight w:val="0"/>
                              <w:marTop w:val="0"/>
                              <w:marBottom w:val="0"/>
                              <w:divBdr>
                                <w:top w:val="none" w:sz="0" w:space="0" w:color="auto"/>
                                <w:left w:val="none" w:sz="0" w:space="0" w:color="auto"/>
                                <w:bottom w:val="none" w:sz="0" w:space="0" w:color="auto"/>
                                <w:right w:val="none" w:sz="0" w:space="0" w:color="auto"/>
                              </w:divBdr>
                              <w:divsChild>
                                <w:div w:id="1294628766">
                                  <w:marLeft w:val="0"/>
                                  <w:marRight w:val="0"/>
                                  <w:marTop w:val="0"/>
                                  <w:marBottom w:val="0"/>
                                  <w:divBdr>
                                    <w:top w:val="none" w:sz="0" w:space="0" w:color="auto"/>
                                    <w:left w:val="none" w:sz="0" w:space="0" w:color="auto"/>
                                    <w:bottom w:val="none" w:sz="0" w:space="0" w:color="auto"/>
                                    <w:right w:val="none" w:sz="0" w:space="0" w:color="auto"/>
                                  </w:divBdr>
                                  <w:divsChild>
                                    <w:div w:id="909775168">
                                      <w:marLeft w:val="0"/>
                                      <w:marRight w:val="0"/>
                                      <w:marTop w:val="0"/>
                                      <w:marBottom w:val="0"/>
                                      <w:divBdr>
                                        <w:top w:val="none" w:sz="0" w:space="0" w:color="auto"/>
                                        <w:left w:val="none" w:sz="0" w:space="0" w:color="auto"/>
                                        <w:bottom w:val="none" w:sz="0" w:space="0" w:color="auto"/>
                                        <w:right w:val="none" w:sz="0" w:space="0" w:color="auto"/>
                                      </w:divBdr>
                                      <w:divsChild>
                                        <w:div w:id="1194659319">
                                          <w:marLeft w:val="0"/>
                                          <w:marRight w:val="0"/>
                                          <w:marTop w:val="0"/>
                                          <w:marBottom w:val="0"/>
                                          <w:divBdr>
                                            <w:top w:val="none" w:sz="0" w:space="0" w:color="auto"/>
                                            <w:left w:val="none" w:sz="0" w:space="0" w:color="auto"/>
                                            <w:bottom w:val="none" w:sz="0" w:space="0" w:color="auto"/>
                                            <w:right w:val="none" w:sz="0" w:space="0" w:color="auto"/>
                                          </w:divBdr>
                                          <w:divsChild>
                                            <w:div w:id="364060249">
                                              <w:marLeft w:val="0"/>
                                              <w:marRight w:val="0"/>
                                              <w:marTop w:val="0"/>
                                              <w:marBottom w:val="495"/>
                                              <w:divBdr>
                                                <w:top w:val="none" w:sz="0" w:space="0" w:color="auto"/>
                                                <w:left w:val="none" w:sz="0" w:space="0" w:color="auto"/>
                                                <w:bottom w:val="none" w:sz="0" w:space="0" w:color="auto"/>
                                                <w:right w:val="none" w:sz="0" w:space="0" w:color="auto"/>
                                              </w:divBdr>
                                              <w:divsChild>
                                                <w:div w:id="1557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666472">
      <w:bodyDiv w:val="1"/>
      <w:marLeft w:val="0"/>
      <w:marRight w:val="0"/>
      <w:marTop w:val="0"/>
      <w:marBottom w:val="0"/>
      <w:divBdr>
        <w:top w:val="none" w:sz="0" w:space="0" w:color="auto"/>
        <w:left w:val="none" w:sz="0" w:space="0" w:color="auto"/>
        <w:bottom w:val="none" w:sz="0" w:space="0" w:color="auto"/>
        <w:right w:val="none" w:sz="0" w:space="0" w:color="auto"/>
      </w:divBdr>
    </w:div>
    <w:div w:id="1924799097">
      <w:bodyDiv w:val="1"/>
      <w:marLeft w:val="0"/>
      <w:marRight w:val="0"/>
      <w:marTop w:val="0"/>
      <w:marBottom w:val="0"/>
      <w:divBdr>
        <w:top w:val="none" w:sz="0" w:space="0" w:color="auto"/>
        <w:left w:val="none" w:sz="0" w:space="0" w:color="auto"/>
        <w:bottom w:val="none" w:sz="0" w:space="0" w:color="auto"/>
        <w:right w:val="none" w:sz="0" w:space="0" w:color="auto"/>
      </w:divBdr>
      <w:divsChild>
        <w:div w:id="1882547570">
          <w:marLeft w:val="0"/>
          <w:marRight w:val="0"/>
          <w:marTop w:val="0"/>
          <w:marBottom w:val="0"/>
          <w:divBdr>
            <w:top w:val="none" w:sz="0" w:space="0" w:color="auto"/>
            <w:left w:val="none" w:sz="0" w:space="0" w:color="auto"/>
            <w:bottom w:val="none" w:sz="0" w:space="0" w:color="auto"/>
            <w:right w:val="none" w:sz="0" w:space="0" w:color="auto"/>
          </w:divBdr>
        </w:div>
      </w:divsChild>
    </w:div>
    <w:div w:id="1928535645">
      <w:bodyDiv w:val="1"/>
      <w:marLeft w:val="0"/>
      <w:marRight w:val="0"/>
      <w:marTop w:val="0"/>
      <w:marBottom w:val="0"/>
      <w:divBdr>
        <w:top w:val="none" w:sz="0" w:space="0" w:color="auto"/>
        <w:left w:val="none" w:sz="0" w:space="0" w:color="auto"/>
        <w:bottom w:val="none" w:sz="0" w:space="0" w:color="auto"/>
        <w:right w:val="none" w:sz="0" w:space="0" w:color="auto"/>
      </w:divBdr>
    </w:div>
    <w:div w:id="1940870570">
      <w:bodyDiv w:val="1"/>
      <w:marLeft w:val="0"/>
      <w:marRight w:val="0"/>
      <w:marTop w:val="0"/>
      <w:marBottom w:val="0"/>
      <w:divBdr>
        <w:top w:val="none" w:sz="0" w:space="0" w:color="auto"/>
        <w:left w:val="none" w:sz="0" w:space="0" w:color="auto"/>
        <w:bottom w:val="none" w:sz="0" w:space="0" w:color="auto"/>
        <w:right w:val="none" w:sz="0" w:space="0" w:color="auto"/>
      </w:divBdr>
      <w:divsChild>
        <w:div w:id="421724643">
          <w:marLeft w:val="0"/>
          <w:marRight w:val="0"/>
          <w:marTop w:val="0"/>
          <w:marBottom w:val="0"/>
          <w:divBdr>
            <w:top w:val="none" w:sz="0" w:space="0" w:color="auto"/>
            <w:left w:val="none" w:sz="0" w:space="0" w:color="auto"/>
            <w:bottom w:val="none" w:sz="0" w:space="0" w:color="auto"/>
            <w:right w:val="none" w:sz="0" w:space="0" w:color="auto"/>
          </w:divBdr>
          <w:divsChild>
            <w:div w:id="1618567052">
              <w:marLeft w:val="0"/>
              <w:marRight w:val="0"/>
              <w:marTop w:val="0"/>
              <w:marBottom w:val="0"/>
              <w:divBdr>
                <w:top w:val="none" w:sz="0" w:space="0" w:color="auto"/>
                <w:left w:val="none" w:sz="0" w:space="0" w:color="auto"/>
                <w:bottom w:val="none" w:sz="0" w:space="0" w:color="auto"/>
                <w:right w:val="none" w:sz="0" w:space="0" w:color="auto"/>
              </w:divBdr>
              <w:divsChild>
                <w:div w:id="1699770749">
                  <w:marLeft w:val="0"/>
                  <w:marRight w:val="0"/>
                  <w:marTop w:val="0"/>
                  <w:marBottom w:val="0"/>
                  <w:divBdr>
                    <w:top w:val="none" w:sz="0" w:space="0" w:color="auto"/>
                    <w:left w:val="none" w:sz="0" w:space="0" w:color="auto"/>
                    <w:bottom w:val="none" w:sz="0" w:space="0" w:color="auto"/>
                    <w:right w:val="none" w:sz="0" w:space="0" w:color="auto"/>
                  </w:divBdr>
                  <w:divsChild>
                    <w:div w:id="822157447">
                      <w:marLeft w:val="0"/>
                      <w:marRight w:val="0"/>
                      <w:marTop w:val="300"/>
                      <w:marBottom w:val="0"/>
                      <w:divBdr>
                        <w:top w:val="single" w:sz="6" w:space="0" w:color="DDDDDD"/>
                        <w:left w:val="single" w:sz="6" w:space="0" w:color="DDDDDD"/>
                        <w:bottom w:val="single" w:sz="6" w:space="0" w:color="DDDDDD"/>
                        <w:right w:val="single" w:sz="6" w:space="0" w:color="DDDDDD"/>
                      </w:divBdr>
                      <w:divsChild>
                        <w:div w:id="1348287580">
                          <w:marLeft w:val="0"/>
                          <w:marRight w:val="0"/>
                          <w:marTop w:val="0"/>
                          <w:marBottom w:val="0"/>
                          <w:divBdr>
                            <w:top w:val="none" w:sz="0" w:space="0" w:color="auto"/>
                            <w:left w:val="none" w:sz="0" w:space="0" w:color="auto"/>
                            <w:bottom w:val="none" w:sz="0" w:space="0" w:color="auto"/>
                            <w:right w:val="none" w:sz="0" w:space="0" w:color="auto"/>
                          </w:divBdr>
                          <w:divsChild>
                            <w:div w:id="2100058577">
                              <w:marLeft w:val="0"/>
                              <w:marRight w:val="0"/>
                              <w:marTop w:val="0"/>
                              <w:marBottom w:val="0"/>
                              <w:divBdr>
                                <w:top w:val="none" w:sz="0" w:space="0" w:color="auto"/>
                                <w:left w:val="none" w:sz="0" w:space="0" w:color="auto"/>
                                <w:bottom w:val="none" w:sz="0" w:space="0" w:color="auto"/>
                                <w:right w:val="none" w:sz="0" w:space="0" w:color="auto"/>
                              </w:divBdr>
                              <w:divsChild>
                                <w:div w:id="720860231">
                                  <w:marLeft w:val="0"/>
                                  <w:marRight w:val="0"/>
                                  <w:marTop w:val="0"/>
                                  <w:marBottom w:val="0"/>
                                  <w:divBdr>
                                    <w:top w:val="none" w:sz="0" w:space="0" w:color="auto"/>
                                    <w:left w:val="none" w:sz="0" w:space="0" w:color="auto"/>
                                    <w:bottom w:val="none" w:sz="0" w:space="0" w:color="auto"/>
                                    <w:right w:val="none" w:sz="0" w:space="0" w:color="auto"/>
                                  </w:divBdr>
                                  <w:divsChild>
                                    <w:div w:id="1851218818">
                                      <w:marLeft w:val="0"/>
                                      <w:marRight w:val="0"/>
                                      <w:marTop w:val="0"/>
                                      <w:marBottom w:val="0"/>
                                      <w:divBdr>
                                        <w:top w:val="none" w:sz="0" w:space="0" w:color="auto"/>
                                        <w:left w:val="none" w:sz="0" w:space="0" w:color="auto"/>
                                        <w:bottom w:val="none" w:sz="0" w:space="0" w:color="auto"/>
                                        <w:right w:val="none" w:sz="0" w:space="0" w:color="auto"/>
                                      </w:divBdr>
                                      <w:divsChild>
                                        <w:div w:id="621233296">
                                          <w:marLeft w:val="0"/>
                                          <w:marRight w:val="0"/>
                                          <w:marTop w:val="0"/>
                                          <w:marBottom w:val="0"/>
                                          <w:divBdr>
                                            <w:top w:val="none" w:sz="0" w:space="0" w:color="auto"/>
                                            <w:left w:val="none" w:sz="0" w:space="0" w:color="auto"/>
                                            <w:bottom w:val="none" w:sz="0" w:space="0" w:color="auto"/>
                                            <w:right w:val="none" w:sz="0" w:space="0" w:color="auto"/>
                                          </w:divBdr>
                                          <w:divsChild>
                                            <w:div w:id="1848592360">
                                              <w:marLeft w:val="0"/>
                                              <w:marRight w:val="0"/>
                                              <w:marTop w:val="0"/>
                                              <w:marBottom w:val="0"/>
                                              <w:divBdr>
                                                <w:top w:val="none" w:sz="0" w:space="0" w:color="auto"/>
                                                <w:left w:val="none" w:sz="0" w:space="0" w:color="auto"/>
                                                <w:bottom w:val="none" w:sz="0" w:space="0" w:color="auto"/>
                                                <w:right w:val="none" w:sz="0" w:space="0" w:color="auto"/>
                                              </w:divBdr>
                                              <w:divsChild>
                                                <w:div w:id="179125395">
                                                  <w:marLeft w:val="0"/>
                                                  <w:marRight w:val="0"/>
                                                  <w:marTop w:val="0"/>
                                                  <w:marBottom w:val="0"/>
                                                  <w:divBdr>
                                                    <w:top w:val="none" w:sz="0" w:space="0" w:color="auto"/>
                                                    <w:left w:val="none" w:sz="0" w:space="0" w:color="auto"/>
                                                    <w:bottom w:val="none" w:sz="0" w:space="0" w:color="auto"/>
                                                    <w:right w:val="none" w:sz="0" w:space="0" w:color="auto"/>
                                                  </w:divBdr>
                                                  <w:divsChild>
                                                    <w:div w:id="315651976">
                                                      <w:marLeft w:val="0"/>
                                                      <w:marRight w:val="0"/>
                                                      <w:marTop w:val="0"/>
                                                      <w:marBottom w:val="0"/>
                                                      <w:divBdr>
                                                        <w:top w:val="none" w:sz="0" w:space="0" w:color="auto"/>
                                                        <w:left w:val="none" w:sz="0" w:space="0" w:color="auto"/>
                                                        <w:bottom w:val="none" w:sz="0" w:space="0" w:color="auto"/>
                                                        <w:right w:val="none" w:sz="0" w:space="0" w:color="auto"/>
                                                      </w:divBdr>
                                                    </w:div>
                                                    <w:div w:id="564686756">
                                                      <w:marLeft w:val="0"/>
                                                      <w:marRight w:val="0"/>
                                                      <w:marTop w:val="0"/>
                                                      <w:marBottom w:val="0"/>
                                                      <w:divBdr>
                                                        <w:top w:val="none" w:sz="0" w:space="0" w:color="auto"/>
                                                        <w:left w:val="none" w:sz="0" w:space="0" w:color="auto"/>
                                                        <w:bottom w:val="none" w:sz="0" w:space="0" w:color="auto"/>
                                                        <w:right w:val="none" w:sz="0" w:space="0" w:color="auto"/>
                                                      </w:divBdr>
                                                    </w:div>
                                                    <w:div w:id="1006594723">
                                                      <w:marLeft w:val="0"/>
                                                      <w:marRight w:val="0"/>
                                                      <w:marTop w:val="0"/>
                                                      <w:marBottom w:val="0"/>
                                                      <w:divBdr>
                                                        <w:top w:val="none" w:sz="0" w:space="0" w:color="auto"/>
                                                        <w:left w:val="none" w:sz="0" w:space="0" w:color="auto"/>
                                                        <w:bottom w:val="none" w:sz="0" w:space="0" w:color="auto"/>
                                                        <w:right w:val="none" w:sz="0" w:space="0" w:color="auto"/>
                                                      </w:divBdr>
                                                    </w:div>
                                                    <w:div w:id="1097139189">
                                                      <w:marLeft w:val="0"/>
                                                      <w:marRight w:val="0"/>
                                                      <w:marTop w:val="0"/>
                                                      <w:marBottom w:val="0"/>
                                                      <w:divBdr>
                                                        <w:top w:val="none" w:sz="0" w:space="0" w:color="auto"/>
                                                        <w:left w:val="none" w:sz="0" w:space="0" w:color="auto"/>
                                                        <w:bottom w:val="none" w:sz="0" w:space="0" w:color="auto"/>
                                                        <w:right w:val="none" w:sz="0" w:space="0" w:color="auto"/>
                                                      </w:divBdr>
                                                    </w:div>
                                                    <w:div w:id="14098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3922">
      <w:bodyDiv w:val="1"/>
      <w:marLeft w:val="0"/>
      <w:marRight w:val="0"/>
      <w:marTop w:val="0"/>
      <w:marBottom w:val="0"/>
      <w:divBdr>
        <w:top w:val="none" w:sz="0" w:space="0" w:color="auto"/>
        <w:left w:val="none" w:sz="0" w:space="0" w:color="auto"/>
        <w:bottom w:val="none" w:sz="0" w:space="0" w:color="auto"/>
        <w:right w:val="none" w:sz="0" w:space="0" w:color="auto"/>
      </w:divBdr>
      <w:divsChild>
        <w:div w:id="173690174">
          <w:marLeft w:val="0"/>
          <w:marRight w:val="0"/>
          <w:marTop w:val="0"/>
          <w:marBottom w:val="0"/>
          <w:divBdr>
            <w:top w:val="none" w:sz="0" w:space="0" w:color="auto"/>
            <w:left w:val="none" w:sz="0" w:space="0" w:color="auto"/>
            <w:bottom w:val="none" w:sz="0" w:space="0" w:color="auto"/>
            <w:right w:val="none" w:sz="0" w:space="0" w:color="auto"/>
          </w:divBdr>
          <w:divsChild>
            <w:div w:id="203635222">
              <w:marLeft w:val="0"/>
              <w:marRight w:val="0"/>
              <w:marTop w:val="0"/>
              <w:marBottom w:val="0"/>
              <w:divBdr>
                <w:top w:val="none" w:sz="0" w:space="0" w:color="auto"/>
                <w:left w:val="none" w:sz="0" w:space="0" w:color="auto"/>
                <w:bottom w:val="none" w:sz="0" w:space="0" w:color="auto"/>
                <w:right w:val="none" w:sz="0" w:space="0" w:color="auto"/>
              </w:divBdr>
              <w:divsChild>
                <w:div w:id="440534053">
                  <w:marLeft w:val="0"/>
                  <w:marRight w:val="0"/>
                  <w:marTop w:val="0"/>
                  <w:marBottom w:val="0"/>
                  <w:divBdr>
                    <w:top w:val="none" w:sz="0" w:space="0" w:color="auto"/>
                    <w:left w:val="none" w:sz="0" w:space="0" w:color="auto"/>
                    <w:bottom w:val="none" w:sz="0" w:space="0" w:color="auto"/>
                    <w:right w:val="none" w:sz="0" w:space="0" w:color="auto"/>
                  </w:divBdr>
                  <w:divsChild>
                    <w:div w:id="8602042">
                      <w:marLeft w:val="0"/>
                      <w:marRight w:val="0"/>
                      <w:marTop w:val="0"/>
                      <w:marBottom w:val="0"/>
                      <w:divBdr>
                        <w:top w:val="none" w:sz="0" w:space="0" w:color="auto"/>
                        <w:left w:val="none" w:sz="0" w:space="0" w:color="auto"/>
                        <w:bottom w:val="none" w:sz="0" w:space="0" w:color="auto"/>
                        <w:right w:val="none" w:sz="0" w:space="0" w:color="auto"/>
                      </w:divBdr>
                      <w:divsChild>
                        <w:div w:id="1278634722">
                          <w:marLeft w:val="0"/>
                          <w:marRight w:val="0"/>
                          <w:marTop w:val="0"/>
                          <w:marBottom w:val="0"/>
                          <w:divBdr>
                            <w:top w:val="none" w:sz="0" w:space="0" w:color="auto"/>
                            <w:left w:val="none" w:sz="0" w:space="0" w:color="auto"/>
                            <w:bottom w:val="none" w:sz="0" w:space="0" w:color="auto"/>
                            <w:right w:val="none" w:sz="0" w:space="0" w:color="auto"/>
                          </w:divBdr>
                          <w:divsChild>
                            <w:div w:id="1934901491">
                              <w:marLeft w:val="0"/>
                              <w:marRight w:val="0"/>
                              <w:marTop w:val="0"/>
                              <w:marBottom w:val="0"/>
                              <w:divBdr>
                                <w:top w:val="none" w:sz="0" w:space="0" w:color="auto"/>
                                <w:left w:val="none" w:sz="0" w:space="0" w:color="auto"/>
                                <w:bottom w:val="none" w:sz="0" w:space="0" w:color="auto"/>
                                <w:right w:val="none" w:sz="0" w:space="0" w:color="auto"/>
                              </w:divBdr>
                              <w:divsChild>
                                <w:div w:id="882979883">
                                  <w:marLeft w:val="0"/>
                                  <w:marRight w:val="0"/>
                                  <w:marTop w:val="0"/>
                                  <w:marBottom w:val="0"/>
                                  <w:divBdr>
                                    <w:top w:val="none" w:sz="0" w:space="0" w:color="auto"/>
                                    <w:left w:val="none" w:sz="0" w:space="0" w:color="auto"/>
                                    <w:bottom w:val="none" w:sz="0" w:space="0" w:color="auto"/>
                                    <w:right w:val="none" w:sz="0" w:space="0" w:color="auto"/>
                                  </w:divBdr>
                                  <w:divsChild>
                                    <w:div w:id="1881817467">
                                      <w:marLeft w:val="0"/>
                                      <w:marRight w:val="0"/>
                                      <w:marTop w:val="0"/>
                                      <w:marBottom w:val="0"/>
                                      <w:divBdr>
                                        <w:top w:val="none" w:sz="0" w:space="0" w:color="auto"/>
                                        <w:left w:val="none" w:sz="0" w:space="0" w:color="auto"/>
                                        <w:bottom w:val="none" w:sz="0" w:space="0" w:color="auto"/>
                                        <w:right w:val="none" w:sz="0" w:space="0" w:color="auto"/>
                                      </w:divBdr>
                                      <w:divsChild>
                                        <w:div w:id="1402363853">
                                          <w:marLeft w:val="0"/>
                                          <w:marRight w:val="0"/>
                                          <w:marTop w:val="0"/>
                                          <w:marBottom w:val="0"/>
                                          <w:divBdr>
                                            <w:top w:val="none" w:sz="0" w:space="0" w:color="auto"/>
                                            <w:left w:val="none" w:sz="0" w:space="0" w:color="auto"/>
                                            <w:bottom w:val="none" w:sz="0" w:space="0" w:color="auto"/>
                                            <w:right w:val="none" w:sz="0" w:space="0" w:color="auto"/>
                                          </w:divBdr>
                                          <w:divsChild>
                                            <w:div w:id="459307265">
                                              <w:marLeft w:val="0"/>
                                              <w:marRight w:val="0"/>
                                              <w:marTop w:val="0"/>
                                              <w:marBottom w:val="495"/>
                                              <w:divBdr>
                                                <w:top w:val="none" w:sz="0" w:space="0" w:color="auto"/>
                                                <w:left w:val="none" w:sz="0" w:space="0" w:color="auto"/>
                                                <w:bottom w:val="none" w:sz="0" w:space="0" w:color="auto"/>
                                                <w:right w:val="none" w:sz="0" w:space="0" w:color="auto"/>
                                              </w:divBdr>
                                              <w:divsChild>
                                                <w:div w:id="12975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91615">
      <w:bodyDiv w:val="1"/>
      <w:marLeft w:val="0"/>
      <w:marRight w:val="0"/>
      <w:marTop w:val="0"/>
      <w:marBottom w:val="0"/>
      <w:divBdr>
        <w:top w:val="none" w:sz="0" w:space="0" w:color="auto"/>
        <w:left w:val="none" w:sz="0" w:space="0" w:color="auto"/>
        <w:bottom w:val="none" w:sz="0" w:space="0" w:color="auto"/>
        <w:right w:val="none" w:sz="0" w:space="0" w:color="auto"/>
      </w:divBdr>
      <w:divsChild>
        <w:div w:id="1856191518">
          <w:marLeft w:val="0"/>
          <w:marRight w:val="0"/>
          <w:marTop w:val="0"/>
          <w:marBottom w:val="0"/>
          <w:divBdr>
            <w:top w:val="none" w:sz="0" w:space="0" w:color="auto"/>
            <w:left w:val="none" w:sz="0" w:space="0" w:color="auto"/>
            <w:bottom w:val="none" w:sz="0" w:space="0" w:color="auto"/>
            <w:right w:val="none" w:sz="0" w:space="0" w:color="auto"/>
          </w:divBdr>
          <w:divsChild>
            <w:div w:id="855538576">
              <w:marLeft w:val="0"/>
              <w:marRight w:val="0"/>
              <w:marTop w:val="0"/>
              <w:marBottom w:val="0"/>
              <w:divBdr>
                <w:top w:val="none" w:sz="0" w:space="0" w:color="auto"/>
                <w:left w:val="none" w:sz="0" w:space="0" w:color="auto"/>
                <w:bottom w:val="none" w:sz="0" w:space="0" w:color="auto"/>
                <w:right w:val="none" w:sz="0" w:space="0" w:color="auto"/>
              </w:divBdr>
              <w:divsChild>
                <w:div w:id="1177503884">
                  <w:marLeft w:val="0"/>
                  <w:marRight w:val="0"/>
                  <w:marTop w:val="0"/>
                  <w:marBottom w:val="0"/>
                  <w:divBdr>
                    <w:top w:val="none" w:sz="0" w:space="0" w:color="auto"/>
                    <w:left w:val="none" w:sz="0" w:space="0" w:color="auto"/>
                    <w:bottom w:val="none" w:sz="0" w:space="0" w:color="auto"/>
                    <w:right w:val="none" w:sz="0" w:space="0" w:color="auto"/>
                  </w:divBdr>
                  <w:divsChild>
                    <w:div w:id="733506476">
                      <w:marLeft w:val="0"/>
                      <w:marRight w:val="0"/>
                      <w:marTop w:val="0"/>
                      <w:marBottom w:val="0"/>
                      <w:divBdr>
                        <w:top w:val="none" w:sz="0" w:space="0" w:color="auto"/>
                        <w:left w:val="none" w:sz="0" w:space="0" w:color="auto"/>
                        <w:bottom w:val="none" w:sz="0" w:space="0" w:color="auto"/>
                        <w:right w:val="none" w:sz="0" w:space="0" w:color="auto"/>
                      </w:divBdr>
                      <w:divsChild>
                        <w:div w:id="2091462400">
                          <w:marLeft w:val="0"/>
                          <w:marRight w:val="0"/>
                          <w:marTop w:val="0"/>
                          <w:marBottom w:val="0"/>
                          <w:divBdr>
                            <w:top w:val="none" w:sz="0" w:space="0" w:color="auto"/>
                            <w:left w:val="none" w:sz="0" w:space="0" w:color="auto"/>
                            <w:bottom w:val="none" w:sz="0" w:space="0" w:color="auto"/>
                            <w:right w:val="none" w:sz="0" w:space="0" w:color="auto"/>
                          </w:divBdr>
                          <w:divsChild>
                            <w:div w:id="852376416">
                              <w:marLeft w:val="0"/>
                              <w:marRight w:val="0"/>
                              <w:marTop w:val="0"/>
                              <w:marBottom w:val="0"/>
                              <w:divBdr>
                                <w:top w:val="none" w:sz="0" w:space="0" w:color="auto"/>
                                <w:left w:val="none" w:sz="0" w:space="0" w:color="auto"/>
                                <w:bottom w:val="none" w:sz="0" w:space="0" w:color="auto"/>
                                <w:right w:val="none" w:sz="0" w:space="0" w:color="auto"/>
                              </w:divBdr>
                              <w:divsChild>
                                <w:div w:id="41105372">
                                  <w:marLeft w:val="0"/>
                                  <w:marRight w:val="0"/>
                                  <w:marTop w:val="0"/>
                                  <w:marBottom w:val="0"/>
                                  <w:divBdr>
                                    <w:top w:val="none" w:sz="0" w:space="0" w:color="auto"/>
                                    <w:left w:val="none" w:sz="0" w:space="0" w:color="auto"/>
                                    <w:bottom w:val="none" w:sz="0" w:space="0" w:color="auto"/>
                                    <w:right w:val="none" w:sz="0" w:space="0" w:color="auto"/>
                                  </w:divBdr>
                                </w:div>
                                <w:div w:id="217055735">
                                  <w:marLeft w:val="0"/>
                                  <w:marRight w:val="0"/>
                                  <w:marTop w:val="0"/>
                                  <w:marBottom w:val="0"/>
                                  <w:divBdr>
                                    <w:top w:val="none" w:sz="0" w:space="0" w:color="auto"/>
                                    <w:left w:val="none" w:sz="0" w:space="0" w:color="auto"/>
                                    <w:bottom w:val="none" w:sz="0" w:space="0" w:color="auto"/>
                                    <w:right w:val="none" w:sz="0" w:space="0" w:color="auto"/>
                                  </w:divBdr>
                                </w:div>
                                <w:div w:id="1966614275">
                                  <w:marLeft w:val="0"/>
                                  <w:marRight w:val="0"/>
                                  <w:marTop w:val="0"/>
                                  <w:marBottom w:val="0"/>
                                  <w:divBdr>
                                    <w:top w:val="none" w:sz="0" w:space="0" w:color="auto"/>
                                    <w:left w:val="none" w:sz="0" w:space="0" w:color="auto"/>
                                    <w:bottom w:val="none" w:sz="0" w:space="0" w:color="auto"/>
                                    <w:right w:val="none" w:sz="0" w:space="0" w:color="auto"/>
                                  </w:divBdr>
                                </w:div>
                                <w:div w:id="989283870">
                                  <w:marLeft w:val="0"/>
                                  <w:marRight w:val="0"/>
                                  <w:marTop w:val="0"/>
                                  <w:marBottom w:val="0"/>
                                  <w:divBdr>
                                    <w:top w:val="none" w:sz="0" w:space="0" w:color="auto"/>
                                    <w:left w:val="none" w:sz="0" w:space="0" w:color="auto"/>
                                    <w:bottom w:val="none" w:sz="0" w:space="0" w:color="auto"/>
                                    <w:right w:val="none" w:sz="0" w:space="0" w:color="auto"/>
                                  </w:divBdr>
                                </w:div>
                                <w:div w:id="367030994">
                                  <w:marLeft w:val="0"/>
                                  <w:marRight w:val="0"/>
                                  <w:marTop w:val="0"/>
                                  <w:marBottom w:val="0"/>
                                  <w:divBdr>
                                    <w:top w:val="none" w:sz="0" w:space="0" w:color="auto"/>
                                    <w:left w:val="none" w:sz="0" w:space="0" w:color="auto"/>
                                    <w:bottom w:val="none" w:sz="0" w:space="0" w:color="auto"/>
                                    <w:right w:val="none" w:sz="0" w:space="0" w:color="auto"/>
                                  </w:divBdr>
                                </w:div>
                                <w:div w:id="120880645">
                                  <w:marLeft w:val="0"/>
                                  <w:marRight w:val="0"/>
                                  <w:marTop w:val="0"/>
                                  <w:marBottom w:val="0"/>
                                  <w:divBdr>
                                    <w:top w:val="none" w:sz="0" w:space="0" w:color="auto"/>
                                    <w:left w:val="none" w:sz="0" w:space="0" w:color="auto"/>
                                    <w:bottom w:val="none" w:sz="0" w:space="0" w:color="auto"/>
                                    <w:right w:val="none" w:sz="0" w:space="0" w:color="auto"/>
                                  </w:divBdr>
                                </w:div>
                                <w:div w:id="639305688">
                                  <w:marLeft w:val="0"/>
                                  <w:marRight w:val="0"/>
                                  <w:marTop w:val="0"/>
                                  <w:marBottom w:val="0"/>
                                  <w:divBdr>
                                    <w:top w:val="none" w:sz="0" w:space="0" w:color="auto"/>
                                    <w:left w:val="none" w:sz="0" w:space="0" w:color="auto"/>
                                    <w:bottom w:val="none" w:sz="0" w:space="0" w:color="auto"/>
                                    <w:right w:val="none" w:sz="0" w:space="0" w:color="auto"/>
                                  </w:divBdr>
                                </w:div>
                                <w:div w:id="1949120347">
                                  <w:marLeft w:val="0"/>
                                  <w:marRight w:val="0"/>
                                  <w:marTop w:val="0"/>
                                  <w:marBottom w:val="0"/>
                                  <w:divBdr>
                                    <w:top w:val="none" w:sz="0" w:space="0" w:color="auto"/>
                                    <w:left w:val="none" w:sz="0" w:space="0" w:color="auto"/>
                                    <w:bottom w:val="none" w:sz="0" w:space="0" w:color="auto"/>
                                    <w:right w:val="none" w:sz="0" w:space="0" w:color="auto"/>
                                  </w:divBdr>
                                </w:div>
                                <w:div w:id="761682866">
                                  <w:marLeft w:val="0"/>
                                  <w:marRight w:val="0"/>
                                  <w:marTop w:val="0"/>
                                  <w:marBottom w:val="0"/>
                                  <w:divBdr>
                                    <w:top w:val="none" w:sz="0" w:space="0" w:color="auto"/>
                                    <w:left w:val="none" w:sz="0" w:space="0" w:color="auto"/>
                                    <w:bottom w:val="none" w:sz="0" w:space="0" w:color="auto"/>
                                    <w:right w:val="none" w:sz="0" w:space="0" w:color="auto"/>
                                  </w:divBdr>
                                </w:div>
                                <w:div w:id="17897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46889">
      <w:bodyDiv w:val="1"/>
      <w:marLeft w:val="0"/>
      <w:marRight w:val="0"/>
      <w:marTop w:val="0"/>
      <w:marBottom w:val="0"/>
      <w:divBdr>
        <w:top w:val="none" w:sz="0" w:space="0" w:color="auto"/>
        <w:left w:val="none" w:sz="0" w:space="0" w:color="auto"/>
        <w:bottom w:val="none" w:sz="0" w:space="0" w:color="auto"/>
        <w:right w:val="none" w:sz="0" w:space="0" w:color="auto"/>
      </w:divBdr>
    </w:div>
    <w:div w:id="2039810807">
      <w:bodyDiv w:val="1"/>
      <w:marLeft w:val="0"/>
      <w:marRight w:val="0"/>
      <w:marTop w:val="0"/>
      <w:marBottom w:val="0"/>
      <w:divBdr>
        <w:top w:val="none" w:sz="0" w:space="0" w:color="auto"/>
        <w:left w:val="none" w:sz="0" w:space="0" w:color="auto"/>
        <w:bottom w:val="none" w:sz="0" w:space="0" w:color="auto"/>
        <w:right w:val="none" w:sz="0" w:space="0" w:color="auto"/>
      </w:divBdr>
    </w:div>
    <w:div w:id="2044134450">
      <w:bodyDiv w:val="1"/>
      <w:marLeft w:val="0"/>
      <w:marRight w:val="0"/>
      <w:marTop w:val="0"/>
      <w:marBottom w:val="0"/>
      <w:divBdr>
        <w:top w:val="none" w:sz="0" w:space="0" w:color="auto"/>
        <w:left w:val="none" w:sz="0" w:space="0" w:color="auto"/>
        <w:bottom w:val="none" w:sz="0" w:space="0" w:color="auto"/>
        <w:right w:val="none" w:sz="0" w:space="0" w:color="auto"/>
      </w:divBdr>
    </w:div>
    <w:div w:id="2058703714">
      <w:bodyDiv w:val="1"/>
      <w:marLeft w:val="0"/>
      <w:marRight w:val="0"/>
      <w:marTop w:val="0"/>
      <w:marBottom w:val="0"/>
      <w:divBdr>
        <w:top w:val="none" w:sz="0" w:space="0" w:color="auto"/>
        <w:left w:val="none" w:sz="0" w:space="0" w:color="auto"/>
        <w:bottom w:val="none" w:sz="0" w:space="0" w:color="auto"/>
        <w:right w:val="none" w:sz="0" w:space="0" w:color="auto"/>
      </w:divBdr>
    </w:div>
    <w:div w:id="2063747225">
      <w:bodyDiv w:val="1"/>
      <w:marLeft w:val="0"/>
      <w:marRight w:val="0"/>
      <w:marTop w:val="0"/>
      <w:marBottom w:val="0"/>
      <w:divBdr>
        <w:top w:val="none" w:sz="0" w:space="0" w:color="auto"/>
        <w:left w:val="none" w:sz="0" w:space="0" w:color="auto"/>
        <w:bottom w:val="none" w:sz="0" w:space="0" w:color="auto"/>
        <w:right w:val="none" w:sz="0" w:space="0" w:color="auto"/>
      </w:divBdr>
      <w:divsChild>
        <w:div w:id="194539573">
          <w:marLeft w:val="0"/>
          <w:marRight w:val="0"/>
          <w:marTop w:val="0"/>
          <w:marBottom w:val="0"/>
          <w:divBdr>
            <w:top w:val="none" w:sz="0" w:space="0" w:color="auto"/>
            <w:left w:val="none" w:sz="0" w:space="0" w:color="auto"/>
            <w:bottom w:val="none" w:sz="0" w:space="0" w:color="auto"/>
            <w:right w:val="none" w:sz="0" w:space="0" w:color="auto"/>
          </w:divBdr>
          <w:divsChild>
            <w:div w:id="671570293">
              <w:marLeft w:val="0"/>
              <w:marRight w:val="0"/>
              <w:marTop w:val="0"/>
              <w:marBottom w:val="0"/>
              <w:divBdr>
                <w:top w:val="none" w:sz="0" w:space="0" w:color="auto"/>
                <w:left w:val="none" w:sz="0" w:space="0" w:color="auto"/>
                <w:bottom w:val="none" w:sz="0" w:space="0" w:color="auto"/>
                <w:right w:val="none" w:sz="0" w:space="0" w:color="auto"/>
              </w:divBdr>
              <w:divsChild>
                <w:div w:id="1532958959">
                  <w:marLeft w:val="0"/>
                  <w:marRight w:val="0"/>
                  <w:marTop w:val="0"/>
                  <w:marBottom w:val="0"/>
                  <w:divBdr>
                    <w:top w:val="none" w:sz="0" w:space="0" w:color="auto"/>
                    <w:left w:val="none" w:sz="0" w:space="0" w:color="auto"/>
                    <w:bottom w:val="none" w:sz="0" w:space="0" w:color="auto"/>
                    <w:right w:val="none" w:sz="0" w:space="0" w:color="auto"/>
                  </w:divBdr>
                  <w:divsChild>
                    <w:div w:id="787235056">
                      <w:marLeft w:val="0"/>
                      <w:marRight w:val="0"/>
                      <w:marTop w:val="0"/>
                      <w:marBottom w:val="0"/>
                      <w:divBdr>
                        <w:top w:val="none" w:sz="0" w:space="0" w:color="auto"/>
                        <w:left w:val="none" w:sz="0" w:space="0" w:color="auto"/>
                        <w:bottom w:val="none" w:sz="0" w:space="0" w:color="auto"/>
                        <w:right w:val="none" w:sz="0" w:space="0" w:color="auto"/>
                      </w:divBdr>
                      <w:divsChild>
                        <w:div w:id="1342858378">
                          <w:marLeft w:val="0"/>
                          <w:marRight w:val="0"/>
                          <w:marTop w:val="0"/>
                          <w:marBottom w:val="0"/>
                          <w:divBdr>
                            <w:top w:val="none" w:sz="0" w:space="0" w:color="auto"/>
                            <w:left w:val="none" w:sz="0" w:space="0" w:color="auto"/>
                            <w:bottom w:val="none" w:sz="0" w:space="0" w:color="auto"/>
                            <w:right w:val="none" w:sz="0" w:space="0" w:color="auto"/>
                          </w:divBdr>
                        </w:div>
                      </w:divsChild>
                    </w:div>
                    <w:div w:id="1087381952">
                      <w:marLeft w:val="0"/>
                      <w:marRight w:val="0"/>
                      <w:marTop w:val="0"/>
                      <w:marBottom w:val="0"/>
                      <w:divBdr>
                        <w:top w:val="none" w:sz="0" w:space="0" w:color="auto"/>
                        <w:left w:val="none" w:sz="0" w:space="0" w:color="auto"/>
                        <w:bottom w:val="none" w:sz="0" w:space="0" w:color="auto"/>
                        <w:right w:val="none" w:sz="0" w:space="0" w:color="auto"/>
                      </w:divBdr>
                      <w:divsChild>
                        <w:div w:id="86120700">
                          <w:marLeft w:val="0"/>
                          <w:marRight w:val="0"/>
                          <w:marTop w:val="0"/>
                          <w:marBottom w:val="0"/>
                          <w:divBdr>
                            <w:top w:val="none" w:sz="0" w:space="0" w:color="auto"/>
                            <w:left w:val="none" w:sz="0" w:space="0" w:color="auto"/>
                            <w:bottom w:val="none" w:sz="0" w:space="0" w:color="auto"/>
                            <w:right w:val="none" w:sz="0" w:space="0" w:color="auto"/>
                          </w:divBdr>
                        </w:div>
                        <w:div w:id="880676770">
                          <w:marLeft w:val="0"/>
                          <w:marRight w:val="0"/>
                          <w:marTop w:val="0"/>
                          <w:marBottom w:val="0"/>
                          <w:divBdr>
                            <w:top w:val="none" w:sz="0" w:space="0" w:color="auto"/>
                            <w:left w:val="none" w:sz="0" w:space="0" w:color="auto"/>
                            <w:bottom w:val="none" w:sz="0" w:space="0" w:color="auto"/>
                            <w:right w:val="none" w:sz="0" w:space="0" w:color="auto"/>
                          </w:divBdr>
                        </w:div>
                        <w:div w:id="1847749833">
                          <w:marLeft w:val="0"/>
                          <w:marRight w:val="0"/>
                          <w:marTop w:val="0"/>
                          <w:marBottom w:val="0"/>
                          <w:divBdr>
                            <w:top w:val="none" w:sz="0" w:space="0" w:color="auto"/>
                            <w:left w:val="none" w:sz="0" w:space="0" w:color="auto"/>
                            <w:bottom w:val="none" w:sz="0" w:space="0" w:color="auto"/>
                            <w:right w:val="none" w:sz="0" w:space="0" w:color="auto"/>
                          </w:divBdr>
                          <w:divsChild>
                            <w:div w:id="2293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3456">
                      <w:marLeft w:val="0"/>
                      <w:marRight w:val="0"/>
                      <w:marTop w:val="0"/>
                      <w:marBottom w:val="0"/>
                      <w:divBdr>
                        <w:top w:val="none" w:sz="0" w:space="0" w:color="auto"/>
                        <w:left w:val="none" w:sz="0" w:space="0" w:color="auto"/>
                        <w:bottom w:val="none" w:sz="0" w:space="0" w:color="auto"/>
                        <w:right w:val="none" w:sz="0" w:space="0" w:color="auto"/>
                      </w:divBdr>
                    </w:div>
                    <w:div w:id="1520776612">
                      <w:marLeft w:val="0"/>
                      <w:marRight w:val="0"/>
                      <w:marTop w:val="0"/>
                      <w:marBottom w:val="0"/>
                      <w:divBdr>
                        <w:top w:val="none" w:sz="0" w:space="0" w:color="auto"/>
                        <w:left w:val="none" w:sz="0" w:space="0" w:color="auto"/>
                        <w:bottom w:val="none" w:sz="0" w:space="0" w:color="auto"/>
                        <w:right w:val="none" w:sz="0" w:space="0" w:color="auto"/>
                      </w:divBdr>
                      <w:divsChild>
                        <w:div w:id="208498889">
                          <w:marLeft w:val="0"/>
                          <w:marRight w:val="0"/>
                          <w:marTop w:val="0"/>
                          <w:marBottom w:val="0"/>
                          <w:divBdr>
                            <w:top w:val="none" w:sz="0" w:space="0" w:color="auto"/>
                            <w:left w:val="none" w:sz="0" w:space="0" w:color="auto"/>
                            <w:bottom w:val="none" w:sz="0" w:space="0" w:color="auto"/>
                            <w:right w:val="none" w:sz="0" w:space="0" w:color="auto"/>
                          </w:divBdr>
                        </w:div>
                        <w:div w:id="675419595">
                          <w:marLeft w:val="0"/>
                          <w:marRight w:val="0"/>
                          <w:marTop w:val="0"/>
                          <w:marBottom w:val="0"/>
                          <w:divBdr>
                            <w:top w:val="none" w:sz="0" w:space="0" w:color="auto"/>
                            <w:left w:val="none" w:sz="0" w:space="0" w:color="auto"/>
                            <w:bottom w:val="none" w:sz="0" w:space="0" w:color="auto"/>
                            <w:right w:val="none" w:sz="0" w:space="0" w:color="auto"/>
                          </w:divBdr>
                        </w:div>
                        <w:div w:id="1026129175">
                          <w:marLeft w:val="0"/>
                          <w:marRight w:val="0"/>
                          <w:marTop w:val="0"/>
                          <w:marBottom w:val="0"/>
                          <w:divBdr>
                            <w:top w:val="none" w:sz="0" w:space="0" w:color="auto"/>
                            <w:left w:val="none" w:sz="0" w:space="0" w:color="auto"/>
                            <w:bottom w:val="none" w:sz="0" w:space="0" w:color="auto"/>
                            <w:right w:val="none" w:sz="0" w:space="0" w:color="auto"/>
                          </w:divBdr>
                          <w:divsChild>
                            <w:div w:id="153107284">
                              <w:marLeft w:val="0"/>
                              <w:marRight w:val="0"/>
                              <w:marTop w:val="0"/>
                              <w:marBottom w:val="0"/>
                              <w:divBdr>
                                <w:top w:val="none" w:sz="0" w:space="0" w:color="auto"/>
                                <w:left w:val="none" w:sz="0" w:space="0" w:color="auto"/>
                                <w:bottom w:val="none" w:sz="0" w:space="0" w:color="auto"/>
                                <w:right w:val="none" w:sz="0" w:space="0" w:color="auto"/>
                              </w:divBdr>
                            </w:div>
                            <w:div w:id="382993397">
                              <w:marLeft w:val="0"/>
                              <w:marRight w:val="0"/>
                              <w:marTop w:val="0"/>
                              <w:marBottom w:val="0"/>
                              <w:divBdr>
                                <w:top w:val="none" w:sz="0" w:space="0" w:color="auto"/>
                                <w:left w:val="none" w:sz="0" w:space="0" w:color="auto"/>
                                <w:bottom w:val="none" w:sz="0" w:space="0" w:color="auto"/>
                                <w:right w:val="none" w:sz="0" w:space="0" w:color="auto"/>
                              </w:divBdr>
                            </w:div>
                            <w:div w:id="14017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37567">
          <w:marLeft w:val="0"/>
          <w:marRight w:val="0"/>
          <w:marTop w:val="0"/>
          <w:marBottom w:val="0"/>
          <w:divBdr>
            <w:top w:val="none" w:sz="0" w:space="0" w:color="auto"/>
            <w:left w:val="none" w:sz="0" w:space="0" w:color="auto"/>
            <w:bottom w:val="none" w:sz="0" w:space="0" w:color="auto"/>
            <w:right w:val="none" w:sz="0" w:space="0" w:color="auto"/>
          </w:divBdr>
          <w:divsChild>
            <w:div w:id="345791042">
              <w:marLeft w:val="0"/>
              <w:marRight w:val="0"/>
              <w:marTop w:val="0"/>
              <w:marBottom w:val="0"/>
              <w:divBdr>
                <w:top w:val="none" w:sz="0" w:space="0" w:color="auto"/>
                <w:left w:val="none" w:sz="0" w:space="0" w:color="auto"/>
                <w:bottom w:val="none" w:sz="0" w:space="0" w:color="auto"/>
                <w:right w:val="none" w:sz="0" w:space="0" w:color="auto"/>
              </w:divBdr>
              <w:divsChild>
                <w:div w:id="14555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4248">
          <w:marLeft w:val="0"/>
          <w:marRight w:val="0"/>
          <w:marTop w:val="0"/>
          <w:marBottom w:val="0"/>
          <w:divBdr>
            <w:top w:val="none" w:sz="0" w:space="0" w:color="auto"/>
            <w:left w:val="none" w:sz="0" w:space="0" w:color="auto"/>
            <w:bottom w:val="none" w:sz="0" w:space="0" w:color="auto"/>
            <w:right w:val="none" w:sz="0" w:space="0" w:color="auto"/>
          </w:divBdr>
          <w:divsChild>
            <w:div w:id="477038638">
              <w:marLeft w:val="0"/>
              <w:marRight w:val="0"/>
              <w:marTop w:val="0"/>
              <w:marBottom w:val="0"/>
              <w:divBdr>
                <w:top w:val="none" w:sz="0" w:space="0" w:color="auto"/>
                <w:left w:val="none" w:sz="0" w:space="0" w:color="auto"/>
                <w:bottom w:val="none" w:sz="0" w:space="0" w:color="auto"/>
                <w:right w:val="none" w:sz="0" w:space="0" w:color="auto"/>
              </w:divBdr>
              <w:divsChild>
                <w:div w:id="222762025">
                  <w:marLeft w:val="0"/>
                  <w:marRight w:val="0"/>
                  <w:marTop w:val="0"/>
                  <w:marBottom w:val="0"/>
                  <w:divBdr>
                    <w:top w:val="none" w:sz="0" w:space="0" w:color="auto"/>
                    <w:left w:val="none" w:sz="0" w:space="0" w:color="auto"/>
                    <w:bottom w:val="none" w:sz="0" w:space="0" w:color="auto"/>
                    <w:right w:val="none" w:sz="0" w:space="0" w:color="auto"/>
                  </w:divBdr>
                  <w:divsChild>
                    <w:div w:id="608124275">
                      <w:marLeft w:val="0"/>
                      <w:marRight w:val="0"/>
                      <w:marTop w:val="0"/>
                      <w:marBottom w:val="0"/>
                      <w:divBdr>
                        <w:top w:val="none" w:sz="0" w:space="0" w:color="auto"/>
                        <w:left w:val="none" w:sz="0" w:space="0" w:color="auto"/>
                        <w:bottom w:val="none" w:sz="0" w:space="0" w:color="auto"/>
                        <w:right w:val="none" w:sz="0" w:space="0" w:color="auto"/>
                      </w:divBdr>
                      <w:divsChild>
                        <w:div w:id="1793741263">
                          <w:marLeft w:val="0"/>
                          <w:marRight w:val="0"/>
                          <w:marTop w:val="0"/>
                          <w:marBottom w:val="0"/>
                          <w:divBdr>
                            <w:top w:val="none" w:sz="0" w:space="0" w:color="auto"/>
                            <w:left w:val="none" w:sz="0" w:space="0" w:color="auto"/>
                            <w:bottom w:val="none" w:sz="0" w:space="0" w:color="auto"/>
                            <w:right w:val="none" w:sz="0" w:space="0" w:color="auto"/>
                          </w:divBdr>
                          <w:divsChild>
                            <w:div w:id="6520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4978">
                      <w:marLeft w:val="0"/>
                      <w:marRight w:val="0"/>
                      <w:marTop w:val="0"/>
                      <w:marBottom w:val="0"/>
                      <w:divBdr>
                        <w:top w:val="none" w:sz="0" w:space="0" w:color="auto"/>
                        <w:left w:val="none" w:sz="0" w:space="0" w:color="auto"/>
                        <w:bottom w:val="none" w:sz="0" w:space="0" w:color="auto"/>
                        <w:right w:val="none" w:sz="0" w:space="0" w:color="auto"/>
                      </w:divBdr>
                    </w:div>
                    <w:div w:id="2134474132">
                      <w:marLeft w:val="0"/>
                      <w:marRight w:val="0"/>
                      <w:marTop w:val="0"/>
                      <w:marBottom w:val="0"/>
                      <w:divBdr>
                        <w:top w:val="none" w:sz="0" w:space="0" w:color="auto"/>
                        <w:left w:val="none" w:sz="0" w:space="0" w:color="auto"/>
                        <w:bottom w:val="none" w:sz="0" w:space="0" w:color="auto"/>
                        <w:right w:val="none" w:sz="0" w:space="0" w:color="auto"/>
                      </w:divBdr>
                    </w:div>
                  </w:divsChild>
                </w:div>
                <w:div w:id="398213984">
                  <w:marLeft w:val="0"/>
                  <w:marRight w:val="0"/>
                  <w:marTop w:val="0"/>
                  <w:marBottom w:val="0"/>
                  <w:divBdr>
                    <w:top w:val="none" w:sz="0" w:space="0" w:color="auto"/>
                    <w:left w:val="none" w:sz="0" w:space="0" w:color="auto"/>
                    <w:bottom w:val="none" w:sz="0" w:space="0" w:color="auto"/>
                    <w:right w:val="none" w:sz="0" w:space="0" w:color="auto"/>
                  </w:divBdr>
                  <w:divsChild>
                    <w:div w:id="1175655796">
                      <w:marLeft w:val="0"/>
                      <w:marRight w:val="0"/>
                      <w:marTop w:val="0"/>
                      <w:marBottom w:val="0"/>
                      <w:divBdr>
                        <w:top w:val="none" w:sz="0" w:space="0" w:color="auto"/>
                        <w:left w:val="none" w:sz="0" w:space="0" w:color="auto"/>
                        <w:bottom w:val="none" w:sz="0" w:space="0" w:color="auto"/>
                        <w:right w:val="none" w:sz="0" w:space="0" w:color="auto"/>
                      </w:divBdr>
                    </w:div>
                    <w:div w:id="1239973103">
                      <w:marLeft w:val="0"/>
                      <w:marRight w:val="0"/>
                      <w:marTop w:val="0"/>
                      <w:marBottom w:val="0"/>
                      <w:divBdr>
                        <w:top w:val="none" w:sz="0" w:space="0" w:color="auto"/>
                        <w:left w:val="none" w:sz="0" w:space="0" w:color="auto"/>
                        <w:bottom w:val="none" w:sz="0" w:space="0" w:color="auto"/>
                        <w:right w:val="none" w:sz="0" w:space="0" w:color="auto"/>
                      </w:divBdr>
                      <w:divsChild>
                        <w:div w:id="1910533016">
                          <w:marLeft w:val="0"/>
                          <w:marRight w:val="0"/>
                          <w:marTop w:val="0"/>
                          <w:marBottom w:val="0"/>
                          <w:divBdr>
                            <w:top w:val="none" w:sz="0" w:space="0" w:color="auto"/>
                            <w:left w:val="none" w:sz="0" w:space="0" w:color="auto"/>
                            <w:bottom w:val="none" w:sz="0" w:space="0" w:color="auto"/>
                            <w:right w:val="none" w:sz="0" w:space="0" w:color="auto"/>
                          </w:divBdr>
                          <w:divsChild>
                            <w:div w:id="598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4681">
                      <w:marLeft w:val="0"/>
                      <w:marRight w:val="0"/>
                      <w:marTop w:val="0"/>
                      <w:marBottom w:val="0"/>
                      <w:divBdr>
                        <w:top w:val="none" w:sz="0" w:space="0" w:color="auto"/>
                        <w:left w:val="none" w:sz="0" w:space="0" w:color="auto"/>
                        <w:bottom w:val="none" w:sz="0" w:space="0" w:color="auto"/>
                        <w:right w:val="none" w:sz="0" w:space="0" w:color="auto"/>
                      </w:divBdr>
                    </w:div>
                  </w:divsChild>
                </w:div>
                <w:div w:id="545603450">
                  <w:marLeft w:val="0"/>
                  <w:marRight w:val="0"/>
                  <w:marTop w:val="0"/>
                  <w:marBottom w:val="0"/>
                  <w:divBdr>
                    <w:top w:val="none" w:sz="0" w:space="0" w:color="auto"/>
                    <w:left w:val="none" w:sz="0" w:space="0" w:color="auto"/>
                    <w:bottom w:val="none" w:sz="0" w:space="0" w:color="auto"/>
                    <w:right w:val="none" w:sz="0" w:space="0" w:color="auto"/>
                  </w:divBdr>
                  <w:divsChild>
                    <w:div w:id="634795581">
                      <w:marLeft w:val="0"/>
                      <w:marRight w:val="0"/>
                      <w:marTop w:val="0"/>
                      <w:marBottom w:val="0"/>
                      <w:divBdr>
                        <w:top w:val="none" w:sz="0" w:space="0" w:color="auto"/>
                        <w:left w:val="none" w:sz="0" w:space="0" w:color="auto"/>
                        <w:bottom w:val="none" w:sz="0" w:space="0" w:color="auto"/>
                        <w:right w:val="none" w:sz="0" w:space="0" w:color="auto"/>
                      </w:divBdr>
                    </w:div>
                    <w:div w:id="781459229">
                      <w:marLeft w:val="0"/>
                      <w:marRight w:val="0"/>
                      <w:marTop w:val="0"/>
                      <w:marBottom w:val="0"/>
                      <w:divBdr>
                        <w:top w:val="none" w:sz="0" w:space="0" w:color="auto"/>
                        <w:left w:val="none" w:sz="0" w:space="0" w:color="auto"/>
                        <w:bottom w:val="none" w:sz="0" w:space="0" w:color="auto"/>
                        <w:right w:val="none" w:sz="0" w:space="0" w:color="auto"/>
                      </w:divBdr>
                      <w:divsChild>
                        <w:div w:id="1296984339">
                          <w:marLeft w:val="0"/>
                          <w:marRight w:val="0"/>
                          <w:marTop w:val="0"/>
                          <w:marBottom w:val="0"/>
                          <w:divBdr>
                            <w:top w:val="none" w:sz="0" w:space="0" w:color="auto"/>
                            <w:left w:val="none" w:sz="0" w:space="0" w:color="auto"/>
                            <w:bottom w:val="none" w:sz="0" w:space="0" w:color="auto"/>
                            <w:right w:val="none" w:sz="0" w:space="0" w:color="auto"/>
                          </w:divBdr>
                          <w:divsChild>
                            <w:div w:id="13730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2434">
                      <w:marLeft w:val="0"/>
                      <w:marRight w:val="0"/>
                      <w:marTop w:val="0"/>
                      <w:marBottom w:val="0"/>
                      <w:divBdr>
                        <w:top w:val="none" w:sz="0" w:space="0" w:color="auto"/>
                        <w:left w:val="none" w:sz="0" w:space="0" w:color="auto"/>
                        <w:bottom w:val="none" w:sz="0" w:space="0" w:color="auto"/>
                        <w:right w:val="none" w:sz="0" w:space="0" w:color="auto"/>
                      </w:divBdr>
                    </w:div>
                  </w:divsChild>
                </w:div>
                <w:div w:id="1801219494">
                  <w:marLeft w:val="0"/>
                  <w:marRight w:val="0"/>
                  <w:marTop w:val="0"/>
                  <w:marBottom w:val="0"/>
                  <w:divBdr>
                    <w:top w:val="none" w:sz="0" w:space="0" w:color="auto"/>
                    <w:left w:val="none" w:sz="0" w:space="0" w:color="auto"/>
                    <w:bottom w:val="none" w:sz="0" w:space="0" w:color="auto"/>
                    <w:right w:val="none" w:sz="0" w:space="0" w:color="auto"/>
                  </w:divBdr>
                  <w:divsChild>
                    <w:div w:id="44837663">
                      <w:marLeft w:val="0"/>
                      <w:marRight w:val="0"/>
                      <w:marTop w:val="0"/>
                      <w:marBottom w:val="0"/>
                      <w:divBdr>
                        <w:top w:val="none" w:sz="0" w:space="0" w:color="auto"/>
                        <w:left w:val="none" w:sz="0" w:space="0" w:color="auto"/>
                        <w:bottom w:val="none" w:sz="0" w:space="0" w:color="auto"/>
                        <w:right w:val="none" w:sz="0" w:space="0" w:color="auto"/>
                      </w:divBdr>
                      <w:divsChild>
                        <w:div w:id="262417164">
                          <w:marLeft w:val="0"/>
                          <w:marRight w:val="0"/>
                          <w:marTop w:val="0"/>
                          <w:marBottom w:val="0"/>
                          <w:divBdr>
                            <w:top w:val="none" w:sz="0" w:space="0" w:color="auto"/>
                            <w:left w:val="none" w:sz="0" w:space="0" w:color="auto"/>
                            <w:bottom w:val="none" w:sz="0" w:space="0" w:color="auto"/>
                            <w:right w:val="none" w:sz="0" w:space="0" w:color="auto"/>
                          </w:divBdr>
                          <w:divsChild>
                            <w:div w:id="145248877">
                              <w:marLeft w:val="0"/>
                              <w:marRight w:val="0"/>
                              <w:marTop w:val="0"/>
                              <w:marBottom w:val="0"/>
                              <w:divBdr>
                                <w:top w:val="none" w:sz="0" w:space="0" w:color="auto"/>
                                <w:left w:val="none" w:sz="0" w:space="0" w:color="auto"/>
                                <w:bottom w:val="none" w:sz="0" w:space="0" w:color="auto"/>
                                <w:right w:val="none" w:sz="0" w:space="0" w:color="auto"/>
                              </w:divBdr>
                            </w:div>
                            <w:div w:id="10442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5963">
                      <w:marLeft w:val="0"/>
                      <w:marRight w:val="0"/>
                      <w:marTop w:val="0"/>
                      <w:marBottom w:val="0"/>
                      <w:divBdr>
                        <w:top w:val="none" w:sz="0" w:space="0" w:color="auto"/>
                        <w:left w:val="none" w:sz="0" w:space="0" w:color="auto"/>
                        <w:bottom w:val="none" w:sz="0" w:space="0" w:color="auto"/>
                        <w:right w:val="none" w:sz="0" w:space="0" w:color="auto"/>
                      </w:divBdr>
                    </w:div>
                    <w:div w:id="11102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6692">
          <w:marLeft w:val="0"/>
          <w:marRight w:val="0"/>
          <w:marTop w:val="0"/>
          <w:marBottom w:val="0"/>
          <w:divBdr>
            <w:top w:val="none" w:sz="0" w:space="0" w:color="auto"/>
            <w:left w:val="none" w:sz="0" w:space="0" w:color="auto"/>
            <w:bottom w:val="none" w:sz="0" w:space="0" w:color="auto"/>
            <w:right w:val="none" w:sz="0" w:space="0" w:color="auto"/>
          </w:divBdr>
          <w:divsChild>
            <w:div w:id="135996698">
              <w:marLeft w:val="0"/>
              <w:marRight w:val="0"/>
              <w:marTop w:val="0"/>
              <w:marBottom w:val="0"/>
              <w:divBdr>
                <w:top w:val="none" w:sz="0" w:space="0" w:color="auto"/>
                <w:left w:val="none" w:sz="0" w:space="0" w:color="auto"/>
                <w:bottom w:val="none" w:sz="0" w:space="0" w:color="auto"/>
                <w:right w:val="none" w:sz="0" w:space="0" w:color="auto"/>
              </w:divBdr>
              <w:divsChild>
                <w:div w:id="873076254">
                  <w:marLeft w:val="0"/>
                  <w:marRight w:val="0"/>
                  <w:marTop w:val="0"/>
                  <w:marBottom w:val="0"/>
                  <w:divBdr>
                    <w:top w:val="none" w:sz="0" w:space="0" w:color="auto"/>
                    <w:left w:val="none" w:sz="0" w:space="0" w:color="auto"/>
                    <w:bottom w:val="none" w:sz="0" w:space="0" w:color="auto"/>
                    <w:right w:val="none" w:sz="0" w:space="0" w:color="auto"/>
                  </w:divBdr>
                </w:div>
                <w:div w:id="992952911">
                  <w:marLeft w:val="0"/>
                  <w:marRight w:val="0"/>
                  <w:marTop w:val="0"/>
                  <w:marBottom w:val="0"/>
                  <w:divBdr>
                    <w:top w:val="none" w:sz="0" w:space="0" w:color="auto"/>
                    <w:left w:val="none" w:sz="0" w:space="0" w:color="auto"/>
                    <w:bottom w:val="none" w:sz="0" w:space="0" w:color="auto"/>
                    <w:right w:val="none" w:sz="0" w:space="0" w:color="auto"/>
                  </w:divBdr>
                </w:div>
              </w:divsChild>
            </w:div>
            <w:div w:id="387731452">
              <w:marLeft w:val="0"/>
              <w:marRight w:val="0"/>
              <w:marTop w:val="0"/>
              <w:marBottom w:val="0"/>
              <w:divBdr>
                <w:top w:val="none" w:sz="0" w:space="0" w:color="auto"/>
                <w:left w:val="none" w:sz="0" w:space="0" w:color="auto"/>
                <w:bottom w:val="none" w:sz="0" w:space="0" w:color="auto"/>
                <w:right w:val="none" w:sz="0" w:space="0" w:color="auto"/>
              </w:divBdr>
              <w:divsChild>
                <w:div w:id="1626735960">
                  <w:marLeft w:val="0"/>
                  <w:marRight w:val="0"/>
                  <w:marTop w:val="0"/>
                  <w:marBottom w:val="0"/>
                  <w:divBdr>
                    <w:top w:val="none" w:sz="0" w:space="0" w:color="auto"/>
                    <w:left w:val="none" w:sz="0" w:space="0" w:color="auto"/>
                    <w:bottom w:val="none" w:sz="0" w:space="0" w:color="auto"/>
                    <w:right w:val="none" w:sz="0" w:space="0" w:color="auto"/>
                  </w:divBdr>
                </w:div>
                <w:div w:id="1738630625">
                  <w:marLeft w:val="0"/>
                  <w:marRight w:val="0"/>
                  <w:marTop w:val="0"/>
                  <w:marBottom w:val="0"/>
                  <w:divBdr>
                    <w:top w:val="none" w:sz="0" w:space="0" w:color="auto"/>
                    <w:left w:val="none" w:sz="0" w:space="0" w:color="auto"/>
                    <w:bottom w:val="none" w:sz="0" w:space="0" w:color="auto"/>
                    <w:right w:val="none" w:sz="0" w:space="0" w:color="auto"/>
                  </w:divBdr>
                </w:div>
              </w:divsChild>
            </w:div>
            <w:div w:id="667829317">
              <w:marLeft w:val="0"/>
              <w:marRight w:val="0"/>
              <w:marTop w:val="0"/>
              <w:marBottom w:val="0"/>
              <w:divBdr>
                <w:top w:val="none" w:sz="0" w:space="0" w:color="auto"/>
                <w:left w:val="none" w:sz="0" w:space="0" w:color="auto"/>
                <w:bottom w:val="none" w:sz="0" w:space="0" w:color="auto"/>
                <w:right w:val="none" w:sz="0" w:space="0" w:color="auto"/>
              </w:divBdr>
              <w:divsChild>
                <w:div w:id="1856384161">
                  <w:marLeft w:val="0"/>
                  <w:marRight w:val="0"/>
                  <w:marTop w:val="0"/>
                  <w:marBottom w:val="0"/>
                  <w:divBdr>
                    <w:top w:val="none" w:sz="0" w:space="0" w:color="auto"/>
                    <w:left w:val="none" w:sz="0" w:space="0" w:color="auto"/>
                    <w:bottom w:val="none" w:sz="0" w:space="0" w:color="auto"/>
                    <w:right w:val="none" w:sz="0" w:space="0" w:color="auto"/>
                  </w:divBdr>
                </w:div>
              </w:divsChild>
            </w:div>
            <w:div w:id="1018701756">
              <w:marLeft w:val="0"/>
              <w:marRight w:val="0"/>
              <w:marTop w:val="0"/>
              <w:marBottom w:val="0"/>
              <w:divBdr>
                <w:top w:val="none" w:sz="0" w:space="0" w:color="auto"/>
                <w:left w:val="none" w:sz="0" w:space="0" w:color="auto"/>
                <w:bottom w:val="none" w:sz="0" w:space="0" w:color="auto"/>
                <w:right w:val="none" w:sz="0" w:space="0" w:color="auto"/>
              </w:divBdr>
              <w:divsChild>
                <w:div w:id="1508671420">
                  <w:marLeft w:val="0"/>
                  <w:marRight w:val="0"/>
                  <w:marTop w:val="0"/>
                  <w:marBottom w:val="0"/>
                  <w:divBdr>
                    <w:top w:val="none" w:sz="0" w:space="0" w:color="auto"/>
                    <w:left w:val="none" w:sz="0" w:space="0" w:color="auto"/>
                    <w:bottom w:val="none" w:sz="0" w:space="0" w:color="auto"/>
                    <w:right w:val="none" w:sz="0" w:space="0" w:color="auto"/>
                  </w:divBdr>
                </w:div>
                <w:div w:id="1888444371">
                  <w:marLeft w:val="0"/>
                  <w:marRight w:val="0"/>
                  <w:marTop w:val="0"/>
                  <w:marBottom w:val="0"/>
                  <w:divBdr>
                    <w:top w:val="none" w:sz="0" w:space="0" w:color="auto"/>
                    <w:left w:val="none" w:sz="0" w:space="0" w:color="auto"/>
                    <w:bottom w:val="none" w:sz="0" w:space="0" w:color="auto"/>
                    <w:right w:val="none" w:sz="0" w:space="0" w:color="auto"/>
                  </w:divBdr>
                </w:div>
              </w:divsChild>
            </w:div>
            <w:div w:id="1324889291">
              <w:marLeft w:val="0"/>
              <w:marRight w:val="0"/>
              <w:marTop w:val="0"/>
              <w:marBottom w:val="0"/>
              <w:divBdr>
                <w:top w:val="none" w:sz="0" w:space="0" w:color="auto"/>
                <w:left w:val="none" w:sz="0" w:space="0" w:color="auto"/>
                <w:bottom w:val="none" w:sz="0" w:space="0" w:color="auto"/>
                <w:right w:val="none" w:sz="0" w:space="0" w:color="auto"/>
              </w:divBdr>
              <w:divsChild>
                <w:div w:id="359553096">
                  <w:marLeft w:val="0"/>
                  <w:marRight w:val="0"/>
                  <w:marTop w:val="0"/>
                  <w:marBottom w:val="0"/>
                  <w:divBdr>
                    <w:top w:val="none" w:sz="0" w:space="0" w:color="auto"/>
                    <w:left w:val="none" w:sz="0" w:space="0" w:color="auto"/>
                    <w:bottom w:val="none" w:sz="0" w:space="0" w:color="auto"/>
                    <w:right w:val="none" w:sz="0" w:space="0" w:color="auto"/>
                  </w:divBdr>
                </w:div>
                <w:div w:id="8252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50485">
          <w:marLeft w:val="0"/>
          <w:marRight w:val="0"/>
          <w:marTop w:val="0"/>
          <w:marBottom w:val="0"/>
          <w:divBdr>
            <w:top w:val="none" w:sz="0" w:space="0" w:color="auto"/>
            <w:left w:val="none" w:sz="0" w:space="0" w:color="auto"/>
            <w:bottom w:val="none" w:sz="0" w:space="0" w:color="auto"/>
            <w:right w:val="none" w:sz="0" w:space="0" w:color="auto"/>
          </w:divBdr>
          <w:divsChild>
            <w:div w:id="4939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8168">
      <w:bodyDiv w:val="1"/>
      <w:marLeft w:val="0"/>
      <w:marRight w:val="0"/>
      <w:marTop w:val="0"/>
      <w:marBottom w:val="0"/>
      <w:divBdr>
        <w:top w:val="none" w:sz="0" w:space="0" w:color="auto"/>
        <w:left w:val="none" w:sz="0" w:space="0" w:color="auto"/>
        <w:bottom w:val="none" w:sz="0" w:space="0" w:color="auto"/>
        <w:right w:val="none" w:sz="0" w:space="0" w:color="auto"/>
      </w:divBdr>
      <w:divsChild>
        <w:div w:id="297229255">
          <w:marLeft w:val="0"/>
          <w:marRight w:val="0"/>
          <w:marTop w:val="0"/>
          <w:marBottom w:val="0"/>
          <w:divBdr>
            <w:top w:val="none" w:sz="0" w:space="0" w:color="auto"/>
            <w:left w:val="none" w:sz="0" w:space="0" w:color="auto"/>
            <w:bottom w:val="none" w:sz="0" w:space="0" w:color="auto"/>
            <w:right w:val="none" w:sz="0" w:space="0" w:color="auto"/>
          </w:divBdr>
          <w:divsChild>
            <w:div w:id="1543050796">
              <w:marLeft w:val="0"/>
              <w:marRight w:val="0"/>
              <w:marTop w:val="0"/>
              <w:marBottom w:val="0"/>
              <w:divBdr>
                <w:top w:val="none" w:sz="0" w:space="0" w:color="auto"/>
                <w:left w:val="none" w:sz="0" w:space="0" w:color="auto"/>
                <w:bottom w:val="none" w:sz="0" w:space="0" w:color="auto"/>
                <w:right w:val="none" w:sz="0" w:space="0" w:color="auto"/>
              </w:divBdr>
              <w:divsChild>
                <w:div w:id="400062024">
                  <w:marLeft w:val="0"/>
                  <w:marRight w:val="0"/>
                  <w:marTop w:val="0"/>
                  <w:marBottom w:val="0"/>
                  <w:divBdr>
                    <w:top w:val="none" w:sz="0" w:space="0" w:color="auto"/>
                    <w:left w:val="none" w:sz="0" w:space="0" w:color="auto"/>
                    <w:bottom w:val="none" w:sz="0" w:space="0" w:color="auto"/>
                    <w:right w:val="none" w:sz="0" w:space="0" w:color="auto"/>
                  </w:divBdr>
                  <w:divsChild>
                    <w:div w:id="868300014">
                      <w:marLeft w:val="0"/>
                      <w:marRight w:val="0"/>
                      <w:marTop w:val="0"/>
                      <w:marBottom w:val="0"/>
                      <w:divBdr>
                        <w:top w:val="none" w:sz="0" w:space="0" w:color="auto"/>
                        <w:left w:val="none" w:sz="0" w:space="0" w:color="auto"/>
                        <w:bottom w:val="none" w:sz="0" w:space="0" w:color="auto"/>
                        <w:right w:val="none" w:sz="0" w:space="0" w:color="auto"/>
                      </w:divBdr>
                      <w:divsChild>
                        <w:div w:id="1284076557">
                          <w:marLeft w:val="0"/>
                          <w:marRight w:val="0"/>
                          <w:marTop w:val="0"/>
                          <w:marBottom w:val="0"/>
                          <w:divBdr>
                            <w:top w:val="none" w:sz="0" w:space="0" w:color="auto"/>
                            <w:left w:val="none" w:sz="0" w:space="0" w:color="auto"/>
                            <w:bottom w:val="none" w:sz="0" w:space="0" w:color="auto"/>
                            <w:right w:val="none" w:sz="0" w:space="0" w:color="auto"/>
                          </w:divBdr>
                          <w:divsChild>
                            <w:div w:id="1736126599">
                              <w:marLeft w:val="0"/>
                              <w:marRight w:val="0"/>
                              <w:marTop w:val="0"/>
                              <w:marBottom w:val="0"/>
                              <w:divBdr>
                                <w:top w:val="none" w:sz="0" w:space="0" w:color="auto"/>
                                <w:left w:val="none" w:sz="0" w:space="0" w:color="auto"/>
                                <w:bottom w:val="none" w:sz="0" w:space="0" w:color="auto"/>
                                <w:right w:val="none" w:sz="0" w:space="0" w:color="auto"/>
                              </w:divBdr>
                              <w:divsChild>
                                <w:div w:id="1454783521">
                                  <w:marLeft w:val="0"/>
                                  <w:marRight w:val="0"/>
                                  <w:marTop w:val="0"/>
                                  <w:marBottom w:val="0"/>
                                  <w:divBdr>
                                    <w:top w:val="none" w:sz="0" w:space="0" w:color="auto"/>
                                    <w:left w:val="none" w:sz="0" w:space="0" w:color="auto"/>
                                    <w:bottom w:val="none" w:sz="0" w:space="0" w:color="auto"/>
                                    <w:right w:val="none" w:sz="0" w:space="0" w:color="auto"/>
                                  </w:divBdr>
                                  <w:divsChild>
                                    <w:div w:id="348995174">
                                      <w:marLeft w:val="0"/>
                                      <w:marRight w:val="0"/>
                                      <w:marTop w:val="0"/>
                                      <w:marBottom w:val="0"/>
                                      <w:divBdr>
                                        <w:top w:val="none" w:sz="0" w:space="0" w:color="auto"/>
                                        <w:left w:val="none" w:sz="0" w:space="0" w:color="auto"/>
                                        <w:bottom w:val="none" w:sz="0" w:space="0" w:color="auto"/>
                                        <w:right w:val="none" w:sz="0" w:space="0" w:color="auto"/>
                                      </w:divBdr>
                                      <w:divsChild>
                                        <w:div w:id="1853757572">
                                          <w:marLeft w:val="0"/>
                                          <w:marRight w:val="0"/>
                                          <w:marTop w:val="0"/>
                                          <w:marBottom w:val="495"/>
                                          <w:divBdr>
                                            <w:top w:val="none" w:sz="0" w:space="0" w:color="auto"/>
                                            <w:left w:val="none" w:sz="0" w:space="0" w:color="auto"/>
                                            <w:bottom w:val="none" w:sz="0" w:space="0" w:color="auto"/>
                                            <w:right w:val="none" w:sz="0" w:space="0" w:color="auto"/>
                                          </w:divBdr>
                                          <w:divsChild>
                                            <w:div w:id="8357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316572">
      <w:bodyDiv w:val="1"/>
      <w:marLeft w:val="0"/>
      <w:marRight w:val="0"/>
      <w:marTop w:val="0"/>
      <w:marBottom w:val="0"/>
      <w:divBdr>
        <w:top w:val="none" w:sz="0" w:space="0" w:color="auto"/>
        <w:left w:val="none" w:sz="0" w:space="0" w:color="auto"/>
        <w:bottom w:val="none" w:sz="0" w:space="0" w:color="auto"/>
        <w:right w:val="none" w:sz="0" w:space="0" w:color="auto"/>
      </w:divBdr>
    </w:div>
    <w:div w:id="2118521943">
      <w:bodyDiv w:val="1"/>
      <w:marLeft w:val="0"/>
      <w:marRight w:val="0"/>
      <w:marTop w:val="0"/>
      <w:marBottom w:val="0"/>
      <w:divBdr>
        <w:top w:val="none" w:sz="0" w:space="0" w:color="auto"/>
        <w:left w:val="none" w:sz="0" w:space="0" w:color="auto"/>
        <w:bottom w:val="none" w:sz="0" w:space="0" w:color="auto"/>
        <w:right w:val="none" w:sz="0" w:space="0" w:color="auto"/>
      </w:divBdr>
    </w:div>
    <w:div w:id="2124375091">
      <w:bodyDiv w:val="1"/>
      <w:marLeft w:val="0"/>
      <w:marRight w:val="0"/>
      <w:marTop w:val="0"/>
      <w:marBottom w:val="0"/>
      <w:divBdr>
        <w:top w:val="none" w:sz="0" w:space="0" w:color="auto"/>
        <w:left w:val="none" w:sz="0" w:space="0" w:color="auto"/>
        <w:bottom w:val="none" w:sz="0" w:space="0" w:color="auto"/>
        <w:right w:val="none" w:sz="0" w:space="0" w:color="auto"/>
      </w:divBdr>
      <w:divsChild>
        <w:div w:id="1282496675">
          <w:marLeft w:val="0"/>
          <w:marRight w:val="0"/>
          <w:marTop w:val="0"/>
          <w:marBottom w:val="0"/>
          <w:divBdr>
            <w:top w:val="none" w:sz="0" w:space="0" w:color="auto"/>
            <w:left w:val="none" w:sz="0" w:space="0" w:color="auto"/>
            <w:bottom w:val="none" w:sz="0" w:space="0" w:color="auto"/>
            <w:right w:val="none" w:sz="0" w:space="0" w:color="auto"/>
          </w:divBdr>
        </w:div>
      </w:divsChild>
    </w:div>
    <w:div w:id="2126659077">
      <w:bodyDiv w:val="1"/>
      <w:marLeft w:val="0"/>
      <w:marRight w:val="0"/>
      <w:marTop w:val="0"/>
      <w:marBottom w:val="0"/>
      <w:divBdr>
        <w:top w:val="none" w:sz="0" w:space="0" w:color="auto"/>
        <w:left w:val="none" w:sz="0" w:space="0" w:color="auto"/>
        <w:bottom w:val="none" w:sz="0" w:space="0" w:color="auto"/>
        <w:right w:val="none" w:sz="0" w:space="0" w:color="auto"/>
      </w:divBdr>
      <w:divsChild>
        <w:div w:id="407115918">
          <w:marLeft w:val="0"/>
          <w:marRight w:val="0"/>
          <w:marTop w:val="0"/>
          <w:marBottom w:val="0"/>
          <w:divBdr>
            <w:top w:val="none" w:sz="0" w:space="0" w:color="auto"/>
            <w:left w:val="none" w:sz="0" w:space="0" w:color="auto"/>
            <w:bottom w:val="none" w:sz="0" w:space="0" w:color="auto"/>
            <w:right w:val="none" w:sz="0" w:space="0" w:color="auto"/>
          </w:divBdr>
          <w:divsChild>
            <w:div w:id="837843960">
              <w:marLeft w:val="0"/>
              <w:marRight w:val="0"/>
              <w:marTop w:val="0"/>
              <w:marBottom w:val="0"/>
              <w:divBdr>
                <w:top w:val="none" w:sz="0" w:space="0" w:color="auto"/>
                <w:left w:val="none" w:sz="0" w:space="0" w:color="auto"/>
                <w:bottom w:val="none" w:sz="0" w:space="0" w:color="auto"/>
                <w:right w:val="none" w:sz="0" w:space="0" w:color="auto"/>
              </w:divBdr>
              <w:divsChild>
                <w:div w:id="1279334116">
                  <w:marLeft w:val="0"/>
                  <w:marRight w:val="0"/>
                  <w:marTop w:val="0"/>
                  <w:marBottom w:val="0"/>
                  <w:divBdr>
                    <w:top w:val="none" w:sz="0" w:space="0" w:color="auto"/>
                    <w:left w:val="none" w:sz="0" w:space="0" w:color="auto"/>
                    <w:bottom w:val="none" w:sz="0" w:space="0" w:color="auto"/>
                    <w:right w:val="none" w:sz="0" w:space="0" w:color="auto"/>
                  </w:divBdr>
                  <w:divsChild>
                    <w:div w:id="1232960326">
                      <w:marLeft w:val="0"/>
                      <w:marRight w:val="0"/>
                      <w:marTop w:val="300"/>
                      <w:marBottom w:val="0"/>
                      <w:divBdr>
                        <w:top w:val="single" w:sz="6" w:space="0" w:color="DDDDDD"/>
                        <w:left w:val="single" w:sz="6" w:space="0" w:color="DDDDDD"/>
                        <w:bottom w:val="single" w:sz="6" w:space="0" w:color="DDDDDD"/>
                        <w:right w:val="single" w:sz="6" w:space="0" w:color="DDDDDD"/>
                      </w:divBdr>
                      <w:divsChild>
                        <w:div w:id="65108385">
                          <w:marLeft w:val="0"/>
                          <w:marRight w:val="0"/>
                          <w:marTop w:val="0"/>
                          <w:marBottom w:val="0"/>
                          <w:divBdr>
                            <w:top w:val="none" w:sz="0" w:space="0" w:color="auto"/>
                            <w:left w:val="none" w:sz="0" w:space="0" w:color="auto"/>
                            <w:bottom w:val="none" w:sz="0" w:space="0" w:color="auto"/>
                            <w:right w:val="none" w:sz="0" w:space="0" w:color="auto"/>
                          </w:divBdr>
                          <w:divsChild>
                            <w:div w:id="905798603">
                              <w:marLeft w:val="0"/>
                              <w:marRight w:val="0"/>
                              <w:marTop w:val="0"/>
                              <w:marBottom w:val="0"/>
                              <w:divBdr>
                                <w:top w:val="none" w:sz="0" w:space="0" w:color="auto"/>
                                <w:left w:val="none" w:sz="0" w:space="0" w:color="auto"/>
                                <w:bottom w:val="none" w:sz="0" w:space="0" w:color="auto"/>
                                <w:right w:val="none" w:sz="0" w:space="0" w:color="auto"/>
                              </w:divBdr>
                              <w:divsChild>
                                <w:div w:id="1174881710">
                                  <w:marLeft w:val="0"/>
                                  <w:marRight w:val="0"/>
                                  <w:marTop w:val="0"/>
                                  <w:marBottom w:val="0"/>
                                  <w:divBdr>
                                    <w:top w:val="none" w:sz="0" w:space="0" w:color="auto"/>
                                    <w:left w:val="none" w:sz="0" w:space="0" w:color="auto"/>
                                    <w:bottom w:val="none" w:sz="0" w:space="0" w:color="auto"/>
                                    <w:right w:val="none" w:sz="0" w:space="0" w:color="auto"/>
                                  </w:divBdr>
                                  <w:divsChild>
                                    <w:div w:id="1705321843">
                                      <w:marLeft w:val="0"/>
                                      <w:marRight w:val="0"/>
                                      <w:marTop w:val="0"/>
                                      <w:marBottom w:val="0"/>
                                      <w:divBdr>
                                        <w:top w:val="none" w:sz="0" w:space="0" w:color="auto"/>
                                        <w:left w:val="none" w:sz="0" w:space="0" w:color="auto"/>
                                        <w:bottom w:val="none" w:sz="0" w:space="0" w:color="auto"/>
                                        <w:right w:val="none" w:sz="0" w:space="0" w:color="auto"/>
                                      </w:divBdr>
                                      <w:divsChild>
                                        <w:div w:id="1158693558">
                                          <w:marLeft w:val="0"/>
                                          <w:marRight w:val="0"/>
                                          <w:marTop w:val="0"/>
                                          <w:marBottom w:val="0"/>
                                          <w:divBdr>
                                            <w:top w:val="none" w:sz="0" w:space="0" w:color="auto"/>
                                            <w:left w:val="none" w:sz="0" w:space="0" w:color="auto"/>
                                            <w:bottom w:val="none" w:sz="0" w:space="0" w:color="auto"/>
                                            <w:right w:val="none" w:sz="0" w:space="0" w:color="auto"/>
                                          </w:divBdr>
                                          <w:divsChild>
                                            <w:div w:id="358551958">
                                              <w:marLeft w:val="0"/>
                                              <w:marRight w:val="0"/>
                                              <w:marTop w:val="0"/>
                                              <w:marBottom w:val="0"/>
                                              <w:divBdr>
                                                <w:top w:val="none" w:sz="0" w:space="0" w:color="auto"/>
                                                <w:left w:val="none" w:sz="0" w:space="0" w:color="auto"/>
                                                <w:bottom w:val="none" w:sz="0" w:space="0" w:color="auto"/>
                                                <w:right w:val="none" w:sz="0" w:space="0" w:color="auto"/>
                                              </w:divBdr>
                                              <w:divsChild>
                                                <w:div w:id="375357346">
                                                  <w:marLeft w:val="0"/>
                                                  <w:marRight w:val="0"/>
                                                  <w:marTop w:val="0"/>
                                                  <w:marBottom w:val="0"/>
                                                  <w:divBdr>
                                                    <w:top w:val="none" w:sz="0" w:space="0" w:color="auto"/>
                                                    <w:left w:val="none" w:sz="0" w:space="0" w:color="auto"/>
                                                    <w:bottom w:val="none" w:sz="0" w:space="0" w:color="auto"/>
                                                    <w:right w:val="none" w:sz="0" w:space="0" w:color="auto"/>
                                                  </w:divBdr>
                                                  <w:divsChild>
                                                    <w:div w:id="142695772">
                                                      <w:marLeft w:val="0"/>
                                                      <w:marRight w:val="0"/>
                                                      <w:marTop w:val="0"/>
                                                      <w:marBottom w:val="0"/>
                                                      <w:divBdr>
                                                        <w:top w:val="none" w:sz="0" w:space="0" w:color="auto"/>
                                                        <w:left w:val="none" w:sz="0" w:space="0" w:color="auto"/>
                                                        <w:bottom w:val="none" w:sz="0" w:space="0" w:color="auto"/>
                                                        <w:right w:val="none" w:sz="0" w:space="0" w:color="auto"/>
                                                      </w:divBdr>
                                                    </w:div>
                                                    <w:div w:id="600842610">
                                                      <w:marLeft w:val="0"/>
                                                      <w:marRight w:val="0"/>
                                                      <w:marTop w:val="0"/>
                                                      <w:marBottom w:val="0"/>
                                                      <w:divBdr>
                                                        <w:top w:val="none" w:sz="0" w:space="0" w:color="auto"/>
                                                        <w:left w:val="none" w:sz="0" w:space="0" w:color="auto"/>
                                                        <w:bottom w:val="none" w:sz="0" w:space="0" w:color="auto"/>
                                                        <w:right w:val="none" w:sz="0" w:space="0" w:color="auto"/>
                                                      </w:divBdr>
                                                    </w:div>
                                                    <w:div w:id="1141077104">
                                                      <w:marLeft w:val="0"/>
                                                      <w:marRight w:val="0"/>
                                                      <w:marTop w:val="0"/>
                                                      <w:marBottom w:val="0"/>
                                                      <w:divBdr>
                                                        <w:top w:val="none" w:sz="0" w:space="0" w:color="auto"/>
                                                        <w:left w:val="none" w:sz="0" w:space="0" w:color="auto"/>
                                                        <w:bottom w:val="none" w:sz="0" w:space="0" w:color="auto"/>
                                                        <w:right w:val="none" w:sz="0" w:space="0" w:color="auto"/>
                                                      </w:divBdr>
                                                    </w:div>
                                                    <w:div w:id="11975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576103">
      <w:bodyDiv w:val="1"/>
      <w:marLeft w:val="0"/>
      <w:marRight w:val="0"/>
      <w:marTop w:val="0"/>
      <w:marBottom w:val="0"/>
      <w:divBdr>
        <w:top w:val="none" w:sz="0" w:space="0" w:color="auto"/>
        <w:left w:val="none" w:sz="0" w:space="0" w:color="auto"/>
        <w:bottom w:val="none" w:sz="0" w:space="0" w:color="auto"/>
        <w:right w:val="none" w:sz="0" w:space="0" w:color="auto"/>
      </w:divBdr>
      <w:divsChild>
        <w:div w:id="2042121755">
          <w:marLeft w:val="0"/>
          <w:marRight w:val="0"/>
          <w:marTop w:val="0"/>
          <w:marBottom w:val="0"/>
          <w:divBdr>
            <w:top w:val="none" w:sz="0" w:space="0" w:color="auto"/>
            <w:left w:val="none" w:sz="0" w:space="0" w:color="auto"/>
            <w:bottom w:val="none" w:sz="0" w:space="0" w:color="auto"/>
            <w:right w:val="none" w:sz="0" w:space="0" w:color="auto"/>
          </w:divBdr>
          <w:divsChild>
            <w:div w:id="1789347551">
              <w:marLeft w:val="0"/>
              <w:marRight w:val="0"/>
              <w:marTop w:val="0"/>
              <w:marBottom w:val="0"/>
              <w:divBdr>
                <w:top w:val="none" w:sz="0" w:space="0" w:color="auto"/>
                <w:left w:val="none" w:sz="0" w:space="0" w:color="auto"/>
                <w:bottom w:val="none" w:sz="0" w:space="0" w:color="auto"/>
                <w:right w:val="none" w:sz="0" w:space="0" w:color="auto"/>
              </w:divBdr>
              <w:divsChild>
                <w:div w:id="957294701">
                  <w:marLeft w:val="0"/>
                  <w:marRight w:val="0"/>
                  <w:marTop w:val="0"/>
                  <w:marBottom w:val="0"/>
                  <w:divBdr>
                    <w:top w:val="none" w:sz="0" w:space="0" w:color="auto"/>
                    <w:left w:val="none" w:sz="0" w:space="0" w:color="auto"/>
                    <w:bottom w:val="none" w:sz="0" w:space="0" w:color="auto"/>
                    <w:right w:val="none" w:sz="0" w:space="0" w:color="auto"/>
                  </w:divBdr>
                  <w:divsChild>
                    <w:div w:id="680594000">
                      <w:marLeft w:val="0"/>
                      <w:marRight w:val="0"/>
                      <w:marTop w:val="0"/>
                      <w:marBottom w:val="0"/>
                      <w:divBdr>
                        <w:top w:val="none" w:sz="0" w:space="0" w:color="auto"/>
                        <w:left w:val="none" w:sz="0" w:space="0" w:color="auto"/>
                        <w:bottom w:val="none" w:sz="0" w:space="0" w:color="auto"/>
                        <w:right w:val="none" w:sz="0" w:space="0" w:color="auto"/>
                      </w:divBdr>
                      <w:divsChild>
                        <w:div w:id="1100641012">
                          <w:marLeft w:val="0"/>
                          <w:marRight w:val="0"/>
                          <w:marTop w:val="0"/>
                          <w:marBottom w:val="0"/>
                          <w:divBdr>
                            <w:top w:val="none" w:sz="0" w:space="0" w:color="auto"/>
                            <w:left w:val="none" w:sz="0" w:space="0" w:color="auto"/>
                            <w:bottom w:val="none" w:sz="0" w:space="0" w:color="auto"/>
                            <w:right w:val="none" w:sz="0" w:space="0" w:color="auto"/>
                          </w:divBdr>
                          <w:divsChild>
                            <w:div w:id="1566992863">
                              <w:marLeft w:val="0"/>
                              <w:marRight w:val="0"/>
                              <w:marTop w:val="0"/>
                              <w:marBottom w:val="0"/>
                              <w:divBdr>
                                <w:top w:val="none" w:sz="0" w:space="0" w:color="auto"/>
                                <w:left w:val="none" w:sz="0" w:space="0" w:color="auto"/>
                                <w:bottom w:val="none" w:sz="0" w:space="0" w:color="auto"/>
                                <w:right w:val="none" w:sz="0" w:space="0" w:color="auto"/>
                              </w:divBdr>
                              <w:divsChild>
                                <w:div w:id="251360560">
                                  <w:marLeft w:val="0"/>
                                  <w:marRight w:val="0"/>
                                  <w:marTop w:val="0"/>
                                  <w:marBottom w:val="0"/>
                                  <w:divBdr>
                                    <w:top w:val="none" w:sz="0" w:space="0" w:color="auto"/>
                                    <w:left w:val="none" w:sz="0" w:space="0" w:color="auto"/>
                                    <w:bottom w:val="none" w:sz="0" w:space="0" w:color="auto"/>
                                    <w:right w:val="none" w:sz="0" w:space="0" w:color="auto"/>
                                  </w:divBdr>
                                  <w:divsChild>
                                    <w:div w:id="345450552">
                                      <w:marLeft w:val="0"/>
                                      <w:marRight w:val="0"/>
                                      <w:marTop w:val="0"/>
                                      <w:marBottom w:val="0"/>
                                      <w:divBdr>
                                        <w:top w:val="none" w:sz="0" w:space="0" w:color="auto"/>
                                        <w:left w:val="none" w:sz="0" w:space="0" w:color="auto"/>
                                        <w:bottom w:val="none" w:sz="0" w:space="0" w:color="auto"/>
                                        <w:right w:val="none" w:sz="0" w:space="0" w:color="auto"/>
                                      </w:divBdr>
                                      <w:divsChild>
                                        <w:div w:id="35785072">
                                          <w:marLeft w:val="0"/>
                                          <w:marRight w:val="0"/>
                                          <w:marTop w:val="0"/>
                                          <w:marBottom w:val="495"/>
                                          <w:divBdr>
                                            <w:top w:val="none" w:sz="0" w:space="0" w:color="auto"/>
                                            <w:left w:val="none" w:sz="0" w:space="0" w:color="auto"/>
                                            <w:bottom w:val="none" w:sz="0" w:space="0" w:color="auto"/>
                                            <w:right w:val="none" w:sz="0" w:space="0" w:color="auto"/>
                                          </w:divBdr>
                                          <w:divsChild>
                                            <w:div w:id="227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chart" Target="charts/chart55.xml"/><Relationship Id="rId21" Type="http://schemas.openxmlformats.org/officeDocument/2006/relationships/hyperlink" Target="https://ec.europa.eu/agriculture/sites/agriculture/files/mp-mb-010_en.pdf" TargetMode="External"/><Relationship Id="rId42" Type="http://schemas.openxmlformats.org/officeDocument/2006/relationships/chart" Target="charts/chart15.xml"/><Relationship Id="rId47" Type="http://schemas.openxmlformats.org/officeDocument/2006/relationships/hyperlink" Target="https://www.fi-compass.eu/sites/default/files/publications/financial_needs_agriculture_agrifood_sectors_Slovenia.pdf" TargetMode="External"/><Relationship Id="rId63" Type="http://schemas.openxmlformats.org/officeDocument/2006/relationships/image" Target="media/image12.png"/><Relationship Id="rId68" Type="http://schemas.openxmlformats.org/officeDocument/2006/relationships/chart" Target="charts/chart33.xml"/><Relationship Id="rId84" Type="http://schemas.openxmlformats.org/officeDocument/2006/relationships/hyperlink" Target="https://www.fu.gov.si/e_storitve/seznami_davcnih_zavezancev/" TargetMode="External"/><Relationship Id="rId89" Type="http://schemas.openxmlformats.org/officeDocument/2006/relationships/image" Target="media/image23.wmf"/><Relationship Id="rId112" Type="http://schemas.openxmlformats.org/officeDocument/2006/relationships/chart" Target="charts/chart53.xml"/><Relationship Id="rId133" Type="http://schemas.openxmlformats.org/officeDocument/2006/relationships/image" Target="media/image48.png"/><Relationship Id="rId138" Type="http://schemas.openxmlformats.org/officeDocument/2006/relationships/hyperlink" Target="https://vrh-zkzp.gzs.si/Portals/Portal-Vrhzkzp/7.%20GZS_2019.pdf" TargetMode="External"/><Relationship Id="rId154" Type="http://schemas.openxmlformats.org/officeDocument/2006/relationships/hyperlink" Target="https://eanalitik.akos-rs.si/?tx_agindicator_filter%5Baction%5D=indicator&amp;tx_agindicator_filter%5Bcontroller%5D=Filter&amp;tx_agindicator_filter%5Bi%5D%5B0%5D=7&amp;cHash=c96f5feaffe16e8f02c044107d0a3860" TargetMode="External"/><Relationship Id="rId159" Type="http://schemas.openxmlformats.org/officeDocument/2006/relationships/hyperlink" Target="https://ec.europa.eu/eurostat/statistics-explained/index.php?title=Performance_of_the_agricultural_sector" TargetMode="External"/><Relationship Id="rId175" Type="http://schemas.openxmlformats.org/officeDocument/2006/relationships/hyperlink" Target="https://www.gov.si/assets/ministrstva/MKGP/PODROCJA/NOVICE/CRP-V4-1824-Bridge2Bio-Zakljucno-porocilo-stisnjeno.pdf" TargetMode="External"/><Relationship Id="rId170" Type="http://schemas.openxmlformats.org/officeDocument/2006/relationships/hyperlink" Target="https://www.gzs.si/Portals/Panoga-Kmetijska-Zivilska/brosura%20zpi%202018%20v2_web.pdf" TargetMode="External"/><Relationship Id="rId16" Type="http://schemas.openxmlformats.org/officeDocument/2006/relationships/image" Target="media/image4.emf"/><Relationship Id="rId107" Type="http://schemas.openxmlformats.org/officeDocument/2006/relationships/chart" Target="charts/chart49.xml"/><Relationship Id="rId11" Type="http://schemas.openxmlformats.org/officeDocument/2006/relationships/image" Target="media/image1.jpeg"/><Relationship Id="rId32" Type="http://schemas.openxmlformats.org/officeDocument/2006/relationships/chart" Target="charts/chart7.xml"/><Relationship Id="rId37" Type="http://schemas.openxmlformats.org/officeDocument/2006/relationships/chart" Target="charts/chart10.xml"/><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image" Target="media/image20.jpeg"/><Relationship Id="rId79" Type="http://schemas.openxmlformats.org/officeDocument/2006/relationships/chart" Target="charts/chart38.xml"/><Relationship Id="rId102" Type="http://schemas.openxmlformats.org/officeDocument/2006/relationships/image" Target="media/image31.png"/><Relationship Id="rId123" Type="http://schemas.openxmlformats.org/officeDocument/2006/relationships/image" Target="media/image41.png"/><Relationship Id="rId128" Type="http://schemas.openxmlformats.org/officeDocument/2006/relationships/image" Target="media/image46.png"/><Relationship Id="rId144" Type="http://schemas.openxmlformats.org/officeDocument/2006/relationships/chart" Target="charts/chart63.xml"/><Relationship Id="rId149"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24.emf"/><Relationship Id="rId95" Type="http://schemas.openxmlformats.org/officeDocument/2006/relationships/hyperlink" Target="https://www.gov.si/teme/konjereja/" TargetMode="External"/><Relationship Id="rId160" Type="http://schemas.openxmlformats.org/officeDocument/2006/relationships/hyperlink" Target="https://ec.europa.eu/agriculture/sites/agriculture/files/mp-mb-010_en.pdf" TargetMode="External"/><Relationship Id="rId165" Type="http://schemas.openxmlformats.org/officeDocument/2006/relationships/hyperlink" Target="https://ec.europa.eu/info/sites/info/files/food-farming-fisheries/key_policies/documents/building-stronger-akis_en.pdf" TargetMode="External"/><Relationship Id="rId181" Type="http://schemas.openxmlformats.org/officeDocument/2006/relationships/hyperlink" Target="http://www.oecd.org/sdd/productivity-stats/2352458.pdf" TargetMode="External"/><Relationship Id="rId186"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4.xml"/><Relationship Id="rId43" Type="http://schemas.openxmlformats.org/officeDocument/2006/relationships/chart" Target="charts/chart16.xml"/><Relationship Id="rId48" Type="http://schemas.openxmlformats.org/officeDocument/2006/relationships/chart" Target="charts/chart19.xml"/><Relationship Id="rId64" Type="http://schemas.openxmlformats.org/officeDocument/2006/relationships/image" Target="media/image13.png"/><Relationship Id="rId69" Type="http://schemas.openxmlformats.org/officeDocument/2006/relationships/chart" Target="charts/chart34.xml"/><Relationship Id="rId113" Type="http://schemas.openxmlformats.org/officeDocument/2006/relationships/hyperlink" Target="https://www.gov.si/teme/hmeljarstvo/" TargetMode="External"/><Relationship Id="rId118" Type="http://schemas.openxmlformats.org/officeDocument/2006/relationships/image" Target="media/image36.emf"/><Relationship Id="rId134" Type="http://schemas.openxmlformats.org/officeDocument/2006/relationships/image" Target="media/image49.emf"/><Relationship Id="rId139" Type="http://schemas.openxmlformats.org/officeDocument/2006/relationships/image" Target="media/image53.png"/><Relationship Id="rId80" Type="http://schemas.openxmlformats.org/officeDocument/2006/relationships/hyperlink" Target="https://www.fu.gov.si/e_storitve/seznami_davcnih_zavezancev/" TargetMode="External"/><Relationship Id="rId85" Type="http://schemas.openxmlformats.org/officeDocument/2006/relationships/chart" Target="charts/chart41.xml"/><Relationship Id="rId150" Type="http://schemas.openxmlformats.org/officeDocument/2006/relationships/image" Target="media/image59.png"/><Relationship Id="rId155" Type="http://schemas.openxmlformats.org/officeDocument/2006/relationships/image" Target="media/image61.emf"/><Relationship Id="rId171" Type="http://schemas.openxmlformats.org/officeDocument/2006/relationships/hyperlink" Target="https://www.europarl.europa.eu/thinktank/en/document.html?reference=IPOL_STU(2015)540374" TargetMode="External"/><Relationship Id="rId176" Type="http://schemas.openxmlformats.org/officeDocument/2006/relationships/hyperlink" Target="http://www.fao.org/3/a-i3227e.pdf" TargetMode="External"/><Relationship Id="rId12" Type="http://schemas.openxmlformats.org/officeDocument/2006/relationships/image" Target="media/image2.png"/><Relationship Id="rId17" Type="http://schemas.openxmlformats.org/officeDocument/2006/relationships/hyperlink" Target="https://ec.europa.eu/agriculture/sites/agriculture/files/statistics/facts-figures/production-yields-productivity.pdf" TargetMode="External"/><Relationship Id="rId33" Type="http://schemas.openxmlformats.org/officeDocument/2006/relationships/image" Target="media/image10.png"/><Relationship Id="rId38" Type="http://schemas.openxmlformats.org/officeDocument/2006/relationships/chart" Target="charts/chart11.xml"/><Relationship Id="rId59" Type="http://schemas.openxmlformats.org/officeDocument/2006/relationships/chart" Target="charts/chart28.xml"/><Relationship Id="rId103" Type="http://schemas.openxmlformats.org/officeDocument/2006/relationships/chart" Target="charts/chart46.xml"/><Relationship Id="rId108" Type="http://schemas.openxmlformats.org/officeDocument/2006/relationships/image" Target="media/image33.emf"/><Relationship Id="rId124" Type="http://schemas.openxmlformats.org/officeDocument/2006/relationships/image" Target="media/image42.png"/><Relationship Id="rId129" Type="http://schemas.openxmlformats.org/officeDocument/2006/relationships/chart" Target="charts/chart56.xml"/><Relationship Id="rId54" Type="http://schemas.openxmlformats.org/officeDocument/2006/relationships/hyperlink" Target="http://www.trgnepremicnin.si/sl/vsebine-portala/periodicna-porocila" TargetMode="External"/><Relationship Id="rId70" Type="http://schemas.openxmlformats.org/officeDocument/2006/relationships/image" Target="media/image16.jpeg"/><Relationship Id="rId75" Type="http://schemas.openxmlformats.org/officeDocument/2006/relationships/image" Target="media/image21.jpeg"/><Relationship Id="rId91" Type="http://schemas.openxmlformats.org/officeDocument/2006/relationships/image" Target="media/image25.emf"/><Relationship Id="rId96" Type="http://schemas.openxmlformats.org/officeDocument/2006/relationships/image" Target="media/image28.emf"/><Relationship Id="rId140" Type="http://schemas.openxmlformats.org/officeDocument/2006/relationships/chart" Target="charts/chart59.xml"/><Relationship Id="rId145" Type="http://schemas.openxmlformats.org/officeDocument/2006/relationships/image" Target="media/image54.jpeg"/><Relationship Id="rId161" Type="http://schemas.openxmlformats.org/officeDocument/2006/relationships/hyperlink" Target="https://ec.europa.eu/programmes/horizon2020/en/news/final-paper-strategic-approach-eu-agricultural-research-and-innovation" TargetMode="External"/><Relationship Id="rId166" Type="http://schemas.openxmlformats.org/officeDocument/2006/relationships/hyperlink" Target="https://www.europarl.europa.eu/RegData/etudes/STUD/2016/581892/EPRS_STU(2016)581892_EN.pdf" TargetMode="External"/><Relationship Id="rId182" Type="http://schemas.openxmlformats.org/officeDocument/2006/relationships/hyperlink" Target="https://www.stat.si/StatWeb/News/Index/6208"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gridata.ec.europa.eu/extensions/DashboardIndicators/DataExplorer.html" TargetMode="External"/><Relationship Id="rId28" Type="http://schemas.openxmlformats.org/officeDocument/2006/relationships/chart" Target="charts/chart5.xml"/><Relationship Id="rId49" Type="http://schemas.openxmlformats.org/officeDocument/2006/relationships/chart" Target="charts/chart20.xml"/><Relationship Id="rId114" Type="http://schemas.openxmlformats.org/officeDocument/2006/relationships/image" Target="media/image34.emf"/><Relationship Id="rId119" Type="http://schemas.openxmlformats.org/officeDocument/2006/relationships/image" Target="media/image37.emf"/><Relationship Id="rId44" Type="http://schemas.openxmlformats.org/officeDocument/2006/relationships/chart" Target="charts/chart17.xml"/><Relationship Id="rId60" Type="http://schemas.openxmlformats.org/officeDocument/2006/relationships/chart" Target="charts/chart29.xml"/><Relationship Id="rId65" Type="http://schemas.openxmlformats.org/officeDocument/2006/relationships/image" Target="media/image14.png"/><Relationship Id="rId81" Type="http://schemas.openxmlformats.org/officeDocument/2006/relationships/chart" Target="charts/chart39.xml"/><Relationship Id="rId86" Type="http://schemas.openxmlformats.org/officeDocument/2006/relationships/hyperlink" Target="https://www.fu.gov.si/e_storitve/seznami_davcnih_zavezancev/" TargetMode="External"/><Relationship Id="rId130" Type="http://schemas.openxmlformats.org/officeDocument/2006/relationships/chart" Target="charts/chart57.xml"/><Relationship Id="rId135" Type="http://schemas.openxmlformats.org/officeDocument/2006/relationships/image" Target="media/image50.png"/><Relationship Id="rId151" Type="http://schemas.openxmlformats.org/officeDocument/2006/relationships/image" Target="media/image60.png"/><Relationship Id="rId156" Type="http://schemas.openxmlformats.org/officeDocument/2006/relationships/hyperlink" Target="https://onlinelibrary.wiley.com/doi/abs/10.1111/agec.12391" TargetMode="External"/><Relationship Id="rId177" Type="http://schemas.openxmlformats.org/officeDocument/2006/relationships/hyperlink" Target="https://vrh-zkzp.gzs.si/Portals/Portal-Vrhzkzp/7.%20GZS_2019.pdf" TargetMode="External"/><Relationship Id="rId172" Type="http://schemas.openxmlformats.org/officeDocument/2006/relationships/hyperlink" Target="http://www.ruralfinanceandinvestment.org/sites/default/files/1166709374977_Economic_concepts_farming.pdf" TargetMode="External"/><Relationship Id="rId202" Type="http://schemas.microsoft.com/office/2018/08/relationships/commentsExtensible" Target="commentsExtensible.xm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chart" Target="charts/chart12.xml"/><Relationship Id="rId109" Type="http://schemas.openxmlformats.org/officeDocument/2006/relationships/chart" Target="charts/chart50.xml"/><Relationship Id="rId34" Type="http://schemas.openxmlformats.org/officeDocument/2006/relationships/hyperlink" Target="https://agridata.ec.europa.eu/extensions/DashboardIndicators/DataExplorer.html" TargetMode="External"/><Relationship Id="rId50" Type="http://schemas.openxmlformats.org/officeDocument/2006/relationships/chart" Target="charts/chart21.xml"/><Relationship Id="rId55" Type="http://schemas.openxmlformats.org/officeDocument/2006/relationships/chart" Target="charts/chart24.xml"/><Relationship Id="rId76" Type="http://schemas.openxmlformats.org/officeDocument/2006/relationships/chart" Target="charts/chart35.xml"/><Relationship Id="rId97" Type="http://schemas.openxmlformats.org/officeDocument/2006/relationships/chart" Target="charts/chart43.xml"/><Relationship Id="rId104" Type="http://schemas.openxmlformats.org/officeDocument/2006/relationships/chart" Target="charts/chart47.xml"/><Relationship Id="rId120" Type="http://schemas.openxmlformats.org/officeDocument/2006/relationships/image" Target="media/image38.emf"/><Relationship Id="rId125" Type="http://schemas.openxmlformats.org/officeDocument/2006/relationships/image" Target="media/image43.png"/><Relationship Id="rId141" Type="http://schemas.openxmlformats.org/officeDocument/2006/relationships/chart" Target="charts/chart60.xml"/><Relationship Id="rId146" Type="http://schemas.openxmlformats.org/officeDocument/2006/relationships/image" Target="media/image55.png"/><Relationship Id="rId167" Type="http://schemas.openxmlformats.org/officeDocument/2006/relationships/hyperlink" Target="https://www.fi-compass.eu/publication/brochures/survey-financial-needs-and-access-finance-eu-agricultural-enterprises"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hyperlink" Target="https://www.gov.si/teme/perutninarstvo-in-jajca/" TargetMode="External"/><Relationship Id="rId162" Type="http://schemas.openxmlformats.org/officeDocument/2006/relationships/hyperlink" Target="https://ec.europa.eu/agriculture/sites/agriculture/files/statistics/facts-figures/production-yields-productivity.pdf" TargetMode="External"/><Relationship Id="rId183" Type="http://schemas.openxmlformats.org/officeDocument/2006/relationships/hyperlink" Target="https://www.stat.si/StatWeb/News/Index/9015" TargetMode="Externa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image" Target="media/image8.emf"/><Relationship Id="rId40" Type="http://schemas.openxmlformats.org/officeDocument/2006/relationships/chart" Target="charts/chart13.xml"/><Relationship Id="rId45" Type="http://schemas.openxmlformats.org/officeDocument/2006/relationships/hyperlink" Target="https://www.fi-compass.eu/sites/default/files/Annex_III_SLOVENIA.pdf" TargetMode="External"/><Relationship Id="rId66" Type="http://schemas.openxmlformats.org/officeDocument/2006/relationships/image" Target="media/image15.png"/><Relationship Id="rId87" Type="http://schemas.openxmlformats.org/officeDocument/2006/relationships/chart" Target="charts/chart42.xml"/><Relationship Id="rId110" Type="http://schemas.openxmlformats.org/officeDocument/2006/relationships/chart" Target="charts/chart51.xml"/><Relationship Id="rId115" Type="http://schemas.openxmlformats.org/officeDocument/2006/relationships/image" Target="media/image35.png"/><Relationship Id="rId131" Type="http://schemas.openxmlformats.org/officeDocument/2006/relationships/image" Target="media/image47.png"/><Relationship Id="rId136" Type="http://schemas.openxmlformats.org/officeDocument/2006/relationships/image" Target="media/image51.emf"/><Relationship Id="rId157" Type="http://schemas.openxmlformats.org/officeDocument/2006/relationships/hyperlink" Target="https://cema-agri.org/images/publications/position-papers/CEMA_Digital_Farming_-_Agriculture_4.0__13_02_2017_0.pdf" TargetMode="External"/><Relationship Id="rId178" Type="http://schemas.openxmlformats.org/officeDocument/2006/relationships/hyperlink" Target="http://dx.doi.org/10.1787/5km91nkdt6d6-en" TargetMode="External"/><Relationship Id="rId61" Type="http://schemas.openxmlformats.org/officeDocument/2006/relationships/chart" Target="charts/chart30.xml"/><Relationship Id="rId82" Type="http://schemas.openxmlformats.org/officeDocument/2006/relationships/hyperlink" Target="https://www.fu.gov.si/e_storitve/seznami_davcnih_zavezancev/" TargetMode="External"/><Relationship Id="rId152" Type="http://schemas.openxmlformats.org/officeDocument/2006/relationships/hyperlink" Target="https://webapl.mkgp.gov.si/pregl/" TargetMode="External"/><Relationship Id="rId173" Type="http://schemas.openxmlformats.org/officeDocument/2006/relationships/hyperlink" Target="https://ageconsearch.umn.edu/record/257870" TargetMode="External"/><Relationship Id="rId203" Type="http://schemas.microsoft.com/office/2016/09/relationships/commentsIds" Target="commentsIds.xml"/><Relationship Id="rId19" Type="http://schemas.openxmlformats.org/officeDocument/2006/relationships/hyperlink" Target="https://ec.europa.eu/agriculture/sites/agriculture/files/mp-mb-010_en.pdf" TargetMode="External"/><Relationship Id="rId14" Type="http://schemas.openxmlformats.org/officeDocument/2006/relationships/chart" Target="charts/chart1.xml"/><Relationship Id="rId30" Type="http://schemas.openxmlformats.org/officeDocument/2006/relationships/image" Target="media/image9.png"/><Relationship Id="rId35" Type="http://schemas.openxmlformats.org/officeDocument/2006/relationships/chart" Target="charts/chart8.xml"/><Relationship Id="rId56" Type="http://schemas.openxmlformats.org/officeDocument/2006/relationships/chart" Target="charts/chart25.xml"/><Relationship Id="rId77" Type="http://schemas.openxmlformats.org/officeDocument/2006/relationships/chart" Target="charts/chart36.xml"/><Relationship Id="rId100" Type="http://schemas.openxmlformats.org/officeDocument/2006/relationships/image" Target="media/image30.png"/><Relationship Id="rId105" Type="http://schemas.openxmlformats.org/officeDocument/2006/relationships/image" Target="media/image32.emf"/><Relationship Id="rId126" Type="http://schemas.openxmlformats.org/officeDocument/2006/relationships/image" Target="media/image44.png"/><Relationship Id="rId147" Type="http://schemas.openxmlformats.org/officeDocument/2006/relationships/image" Target="media/image56.png"/><Relationship Id="rId168" Type="http://schemas.openxmlformats.org/officeDocument/2006/relationships/hyperlink" Target="https://www.fi-compass.eu/sites/default/files/publications/financial_needs_agriculture_agrifood_sectors_Slovenia.pdf" TargetMode="External"/><Relationship Id="rId8" Type="http://schemas.openxmlformats.org/officeDocument/2006/relationships/webSettings" Target="webSettings.xml"/><Relationship Id="rId51" Type="http://schemas.openxmlformats.org/officeDocument/2006/relationships/chart" Target="charts/chart22.xml"/><Relationship Id="rId72" Type="http://schemas.openxmlformats.org/officeDocument/2006/relationships/image" Target="media/image18.jpeg"/><Relationship Id="rId93" Type="http://schemas.openxmlformats.org/officeDocument/2006/relationships/image" Target="media/image26.emf"/><Relationship Id="rId98" Type="http://schemas.openxmlformats.org/officeDocument/2006/relationships/image" Target="media/image29.png"/><Relationship Id="rId121" Type="http://schemas.openxmlformats.org/officeDocument/2006/relationships/image" Target="media/image39.emf"/><Relationship Id="rId142" Type="http://schemas.openxmlformats.org/officeDocument/2006/relationships/chart" Target="charts/chart61.xml"/><Relationship Id="rId163" Type="http://schemas.openxmlformats.org/officeDocument/2006/relationships/hyperlink" Target="https://ec.europa.eu/info/sites/info/files/food-farming-fisheries/key_policies/documents/cap-briefs-2-productivity_en.pdf" TargetMode="External"/><Relationship Id="rId184" Type="http://schemas.openxmlformats.org/officeDocument/2006/relationships/hyperlink" Target="http://www.fao.org/3/ca4985en/ca4985en.pdf" TargetMode="External"/><Relationship Id="rId3" Type="http://schemas.openxmlformats.org/officeDocument/2006/relationships/customXml" Target="../customXml/item3.xml"/><Relationship Id="rId25" Type="http://schemas.openxmlformats.org/officeDocument/2006/relationships/hyperlink" Target="https://ec.europa.eu/info/sites/info/files/food-farming-fisheries/by_country/documents/analytical_factsheet_sl.pdf" TargetMode="External"/><Relationship Id="rId46" Type="http://schemas.openxmlformats.org/officeDocument/2006/relationships/chart" Target="charts/chart18.xml"/><Relationship Id="rId67" Type="http://schemas.openxmlformats.org/officeDocument/2006/relationships/chart" Target="charts/chart32.xml"/><Relationship Id="rId116" Type="http://schemas.openxmlformats.org/officeDocument/2006/relationships/chart" Target="charts/chart54.xml"/><Relationship Id="rId137" Type="http://schemas.openxmlformats.org/officeDocument/2006/relationships/image" Target="media/image52.png"/><Relationship Id="rId158" Type="http://schemas.openxmlformats.org/officeDocument/2006/relationships/hyperlink" Target="https://ec.europa.eu/eip/agriculture/sites/agri-eip/files/eip-agri_brochure_digital_revolution_2017_sl_infographic.pdf" TargetMode="External"/><Relationship Id="rId20" Type="http://schemas.openxmlformats.org/officeDocument/2006/relationships/image" Target="media/image6.emf"/><Relationship Id="rId41" Type="http://schemas.openxmlformats.org/officeDocument/2006/relationships/chart" Target="charts/chart14.xml"/><Relationship Id="rId62" Type="http://schemas.openxmlformats.org/officeDocument/2006/relationships/chart" Target="charts/chart31.xml"/><Relationship Id="rId83" Type="http://schemas.openxmlformats.org/officeDocument/2006/relationships/chart" Target="charts/chart40.xml"/><Relationship Id="rId88" Type="http://schemas.openxmlformats.org/officeDocument/2006/relationships/image" Target="media/image22.emf"/><Relationship Id="rId111" Type="http://schemas.openxmlformats.org/officeDocument/2006/relationships/chart" Target="charts/chart52.xml"/><Relationship Id="rId132" Type="http://schemas.openxmlformats.org/officeDocument/2006/relationships/chart" Target="charts/chart58.xml"/><Relationship Id="rId153" Type="http://schemas.openxmlformats.org/officeDocument/2006/relationships/chart" Target="charts/chart64.xml"/><Relationship Id="rId174" Type="http://schemas.openxmlformats.org/officeDocument/2006/relationships/hyperlink" Target="https://nutris.org/novice/rezultati-raziskave-epidemija-covid-19-pomembno-vpliva-na-prehranjevalne-navade-prebivalcev-slovenije" TargetMode="External"/><Relationship Id="rId179" Type="http://schemas.openxmlformats.org/officeDocument/2006/relationships/hyperlink" Target="https://www.program-podezelja.si/images/SPLETNA_STRAN_PRP_NOVA/Novice/SPP2019/Uvodi/Uvod_2_Konkuren%C4%8Dnost_-_Lovec.pdf" TargetMode="External"/><Relationship Id="rId15" Type="http://schemas.openxmlformats.org/officeDocument/2006/relationships/chart" Target="charts/chart2.xml"/><Relationship Id="rId36" Type="http://schemas.openxmlformats.org/officeDocument/2006/relationships/chart" Target="charts/chart9.xml"/><Relationship Id="rId57" Type="http://schemas.openxmlformats.org/officeDocument/2006/relationships/chart" Target="charts/chart26.xml"/><Relationship Id="rId106" Type="http://schemas.openxmlformats.org/officeDocument/2006/relationships/chart" Target="charts/chart48.xml"/><Relationship Id="rId12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hyperlink" Target="https://agridata.ec.europa.eu/extensions/DashboardIndicators/DataExplorer.html" TargetMode="External"/><Relationship Id="rId52"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chart" Target="charts/chart37.xml"/><Relationship Id="rId94" Type="http://schemas.openxmlformats.org/officeDocument/2006/relationships/image" Target="media/image27.emf"/><Relationship Id="rId99" Type="http://schemas.openxmlformats.org/officeDocument/2006/relationships/chart" Target="charts/chart44.xml"/><Relationship Id="rId101" Type="http://schemas.openxmlformats.org/officeDocument/2006/relationships/chart" Target="charts/chart45.xml"/><Relationship Id="rId122" Type="http://schemas.openxmlformats.org/officeDocument/2006/relationships/image" Target="media/image40.emf"/><Relationship Id="rId143" Type="http://schemas.openxmlformats.org/officeDocument/2006/relationships/chart" Target="charts/chart62.xml"/><Relationship Id="rId148" Type="http://schemas.openxmlformats.org/officeDocument/2006/relationships/image" Target="media/image57.png"/><Relationship Id="rId164" Type="http://schemas.openxmlformats.org/officeDocument/2006/relationships/hyperlink" Target="https://ec.europa.eu/info/sites/info/files/food-farming-fisheries/by_country/documents/analytical_factsheet_sl.pdf" TargetMode="External"/><Relationship Id="rId169" Type="http://schemas.openxmlformats.org/officeDocument/2006/relationships/hyperlink" Target="https://www.mvn.e-prostor.gov.si/fileadmin/user_upload/MVN/Dokumenti/Porocila/Letno_porocilo_za_leto_2019.pdf" TargetMode="External"/><Relationship Id="rId185" Type="http://schemas.openxmlformats.org/officeDocument/2006/relationships/hyperlink" Target="https://www.weforum.org/reports/how-to-end-a-decade-of-lost-productivity-growth"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knjige.ff.uni-lj.si/znanstvena-zalozba/catalog/view/22/62/2544-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u.gov.si/davki_in_druge_dajatve/podrocja/davek_na_dodano_vrednost_ddv/" TargetMode="External"/><Relationship Id="rId2" Type="http://schemas.openxmlformats.org/officeDocument/2006/relationships/hyperlink" Target="https://ec.europa.eu/info/sites/default/files/food-farming-f%20isheries/farming/documents/eu-farm-econ-overview-2018_en.pdf" TargetMode="External"/><Relationship Id="rId1" Type="http://schemas.openxmlformats.org/officeDocument/2006/relationships/hyperlink" Target="https://www.gov.si/assets/ministrstva/MKGP/PODROCJA/KMETIJSTVO/Kmetijstvo-v-st-/Jesensko-PDF-ZELENO-porocilo_17.12.2020-prva-ocena-za-leto-2020.pdf" TargetMode="External"/><Relationship Id="rId4" Type="http://schemas.openxmlformats.org/officeDocument/2006/relationships/hyperlink" Target="https://www.gov.si/assets/ministrstva/MKGP/PODROCJA/NOVICE/CRP-V4-1824-Bridge2Bio-Zakljucno-porocilo-stisnjeno.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s1\MKGP\INTERNO\DK\SSPRP\Oddelek%20za%20konkuren&#269;nost\SKP%20po%202020_nova%20mapa\CILJ%202%20Konkuren&#269;nost\Narejeno%20Katarina\dele&#382;%20kmet%20v%20skupnem%20BDV.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podukrepa%204.1_30.4.2020.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anja.gorisek\Desktop\CILJ%202\SEPTEMBER%202020\4.1_analiza_30.4.20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Analiza%20podukrepa%204.1_30.4.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anja.gorisek\AppData\Roaming\Microsoft\Excel\Amortizacija%20po%20dr&#382;avah%20(version%201).xlsb"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Zvezek2"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7.xml"/><Relationship Id="rId1" Type="http://schemas.microsoft.com/office/2011/relationships/chartStyle" Target="style17.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tanja.gorisek\Desktop\CILJ%202\GVA_ha%20UAA.xls" TargetMode="External"/><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podjetni&#353;ki%20dohodek%20po%20stro&#353;kih%20in%20prihodkih.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6_NetoDodanaVrednost\C_26_velikost.xlsx"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1_30.4.2020.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1_30.4.2020.xlsx" TargetMode="External"/><Relationship Id="rId2" Type="http://schemas.microsoft.com/office/2011/relationships/chartColorStyle" Target="colors21.xml"/><Relationship Id="rId1" Type="http://schemas.microsoft.com/office/2011/relationships/chartStyle" Target="style21.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22.xml"/><Relationship Id="rId1" Type="http://schemas.microsoft.com/office/2011/relationships/chartStyle" Target="style22.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2_30.4.202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Zvezek4"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tanja.gorisek\AppData\Local\Temp\notesB9BEF6\~3206931.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tanja.gorisek\AppData\Local\Temp\notesB9BEF6\~320693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tanja.gorisek\AppData\Local\Temp\notesB9BEF6\~3206931.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tanja.gorisek\AppData\Local\Temp\notesB9BEF6\~3206931.xlsx" TargetMode="External"/><Relationship Id="rId2" Type="http://schemas.microsoft.com/office/2011/relationships/chartColorStyle" Target="colors27.xml"/><Relationship Id="rId1" Type="http://schemas.microsoft.com/office/2011/relationships/chartStyle" Target="style27.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tanja.gorisek\Desktop\CILJ%202\Tr&#382;na%20usmerjenost_M16.4.xlsx" TargetMode="Externa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1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0.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ov_delovni_list3.xlsx"/><Relationship Id="rId1" Type="http://schemas.openxmlformats.org/officeDocument/2006/relationships/themeOverride" Target="../theme/themeOverride22.xm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anja.gorisek\Desktop\CILJ%202\EUROSTAT_analize%20in%20podatki.xls"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3.xml"/></Relationships>
</file>

<file path=word/charts/_rels/chart51.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4.xml"/></Relationships>
</file>

<file path=word/charts/_rels/chart52.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5.xml"/></Relationships>
</file>

<file path=word/charts/_rels/chart53.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6.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ov_delovni_list4.xlsx"/><Relationship Id="rId1" Type="http://schemas.openxmlformats.org/officeDocument/2006/relationships/themeOverride" Target="../theme/themeOverride27.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28.xml"/></Relationships>
</file>

<file path=word/charts/_rels/chart56.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29.xml"/><Relationship Id="rId1" Type="http://schemas.microsoft.com/office/2011/relationships/chartStyle" Target="style29.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30.xml"/><Relationship Id="rId1" Type="http://schemas.microsoft.com/office/2011/relationships/chartStyle" Target="style30.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2%20Prip.%20Ben%20Moljk29.9.20\SC2_Trgov.bil.in%20samoosk.16.10.20.xlsx" TargetMode="External"/><Relationship Id="rId2" Type="http://schemas.microsoft.com/office/2011/relationships/chartColorStyle" Target="colors31.xml"/><Relationship Id="rId1" Type="http://schemas.microsoft.com/office/2011/relationships/chartStyle" Target="style31.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2.xml"/><Relationship Id="rId1" Type="http://schemas.microsoft.com/office/2011/relationships/chartStyle" Target="style3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3.xml"/><Relationship Id="rId1" Type="http://schemas.microsoft.com/office/2011/relationships/chartStyle" Target="style33.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4.xml"/><Relationship Id="rId1" Type="http://schemas.microsoft.com/office/2011/relationships/chartStyle" Target="style34.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5.xml"/><Relationship Id="rId1" Type="http://schemas.microsoft.com/office/2011/relationships/chartStyle" Target="style35.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6.xml"/><Relationship Id="rId1" Type="http://schemas.microsoft.com/office/2011/relationships/chartStyle" Target="style36.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tanja.gorisek\Desktop\CILJ%202\SEPTEMBER%202020\penetracija-fiksnega-iro.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anja.gorisek\AppData\Roaming\Microsoft\Excel\EUROSTAT_analize%20in%20podatki%20(version%201).xls"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nja.gorisek\AppData\Roaming\Microsoft\Excel\GFCF%20v%20GVA%20(version%20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FADN\GFCF%20PO%20INVESTICIJI%202005-2019%20aact_eaa01.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sl-SI"/>
              <a:t>Delež BDV kmetijstva, gozdarstva in ribištva v celotni BDV, Slovenija in EU-28, 1995-2018, tekoče cene </a:t>
            </a:r>
          </a:p>
        </c:rich>
      </c:tx>
      <c:overlay val="0"/>
      <c:spPr>
        <a:noFill/>
        <a:ln>
          <a:noFill/>
        </a:ln>
        <a:effectLst/>
      </c:spPr>
    </c:title>
    <c:autoTitleDeleted val="0"/>
    <c:plotArea>
      <c:layout/>
      <c:lineChart>
        <c:grouping val="stacked"/>
        <c:varyColors val="0"/>
        <c:ser>
          <c:idx val="0"/>
          <c:order val="0"/>
          <c:tx>
            <c:strRef>
              <c:f>Data!$A$23</c:f>
              <c:strCache>
                <c:ptCount val="1"/>
                <c:pt idx="0">
                  <c:v>European Union - 28 countries (2013-2020)</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Data!$B$23:$Y$23</c:f>
              <c:numCache>
                <c:formatCode>##,#00</c:formatCode>
                <c:ptCount val="24"/>
                <c:pt idx="0">
                  <c:v>2.6</c:v>
                </c:pt>
                <c:pt idx="1">
                  <c:v>2.6</c:v>
                </c:pt>
                <c:pt idx="2">
                  <c:v>2.5</c:v>
                </c:pt>
                <c:pt idx="3">
                  <c:v>2.4</c:v>
                </c:pt>
                <c:pt idx="4">
                  <c:v>2.2999999999999998</c:v>
                </c:pt>
                <c:pt idx="5">
                  <c:v>2.2000000000000002</c:v>
                </c:pt>
                <c:pt idx="6">
                  <c:v>2.2000000000000002</c:v>
                </c:pt>
                <c:pt idx="7">
                  <c:v>2.1</c:v>
                </c:pt>
                <c:pt idx="8">
                  <c:v>2</c:v>
                </c:pt>
                <c:pt idx="9">
                  <c:v>2</c:v>
                </c:pt>
                <c:pt idx="10">
                  <c:v>1.7</c:v>
                </c:pt>
                <c:pt idx="11">
                  <c:v>1.7</c:v>
                </c:pt>
                <c:pt idx="12">
                  <c:v>1.7</c:v>
                </c:pt>
                <c:pt idx="13">
                  <c:v>1.7</c:v>
                </c:pt>
                <c:pt idx="14">
                  <c:v>1.6</c:v>
                </c:pt>
                <c:pt idx="15">
                  <c:v>1.7</c:v>
                </c:pt>
                <c:pt idx="16">
                  <c:v>1.7</c:v>
                </c:pt>
                <c:pt idx="17">
                  <c:v>1.7</c:v>
                </c:pt>
                <c:pt idx="18">
                  <c:v>1.8</c:v>
                </c:pt>
                <c:pt idx="19">
                  <c:v>1.7</c:v>
                </c:pt>
                <c:pt idx="20">
                  <c:v>1.6</c:v>
                </c:pt>
                <c:pt idx="21">
                  <c:v>1.6</c:v>
                </c:pt>
                <c:pt idx="22">
                  <c:v>1.7</c:v>
                </c:pt>
                <c:pt idx="23">
                  <c:v>1.6</c:v>
                </c:pt>
              </c:numCache>
            </c:numRef>
          </c:val>
          <c:smooth val="0"/>
          <c:extLst>
            <c:ext xmlns:c16="http://schemas.microsoft.com/office/drawing/2014/chart" uri="{C3380CC4-5D6E-409C-BE32-E72D297353CC}">
              <c16:uniqueId val="{00000000-E39A-46AC-AD7E-480E695CA475}"/>
            </c:ext>
          </c:extLst>
        </c:ser>
        <c:dLbls>
          <c:showLegendKey val="0"/>
          <c:showVal val="0"/>
          <c:showCatName val="0"/>
          <c:showSerName val="0"/>
          <c:showPercent val="0"/>
          <c:showBubbleSize val="0"/>
        </c:dLbls>
        <c:marker val="1"/>
        <c:smooth val="0"/>
        <c:axId val="130521728"/>
        <c:axId val="130523904"/>
      </c:lineChart>
      <c:lineChart>
        <c:grouping val="stacked"/>
        <c:varyColors val="0"/>
        <c:ser>
          <c:idx val="1"/>
          <c:order val="1"/>
          <c:tx>
            <c:strRef>
              <c:f>Data!$A$24</c:f>
              <c:strCache>
                <c:ptCount val="1"/>
                <c:pt idx="0">
                  <c:v>Slovenia</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Data!$B$24:$Y$24</c:f>
              <c:numCache>
                <c:formatCode>##,#00</c:formatCode>
                <c:ptCount val="24"/>
                <c:pt idx="0">
                  <c:v>4.7</c:v>
                </c:pt>
                <c:pt idx="1">
                  <c:v>4.4000000000000004</c:v>
                </c:pt>
                <c:pt idx="2">
                  <c:v>4.3</c:v>
                </c:pt>
                <c:pt idx="3">
                  <c:v>4.0999999999999996</c:v>
                </c:pt>
                <c:pt idx="4">
                  <c:v>3.5</c:v>
                </c:pt>
                <c:pt idx="5">
                  <c:v>3.5</c:v>
                </c:pt>
                <c:pt idx="6">
                  <c:v>3.2</c:v>
                </c:pt>
                <c:pt idx="7">
                  <c:v>3.4</c:v>
                </c:pt>
                <c:pt idx="8">
                  <c:v>2.6</c:v>
                </c:pt>
                <c:pt idx="9">
                  <c:v>2.8</c:v>
                </c:pt>
                <c:pt idx="10">
                  <c:v>2.8</c:v>
                </c:pt>
                <c:pt idx="11">
                  <c:v>2.4</c:v>
                </c:pt>
                <c:pt idx="12">
                  <c:v>2.2999999999999998</c:v>
                </c:pt>
                <c:pt idx="13">
                  <c:v>2.1</c:v>
                </c:pt>
                <c:pt idx="14">
                  <c:v>2.1</c:v>
                </c:pt>
                <c:pt idx="15">
                  <c:v>2.2000000000000002</c:v>
                </c:pt>
                <c:pt idx="16">
                  <c:v>2.5</c:v>
                </c:pt>
                <c:pt idx="17">
                  <c:v>2.2999999999999998</c:v>
                </c:pt>
                <c:pt idx="18">
                  <c:v>2.2999999999999998</c:v>
                </c:pt>
                <c:pt idx="19">
                  <c:v>2.2999999999999998</c:v>
                </c:pt>
                <c:pt idx="20">
                  <c:v>2.4</c:v>
                </c:pt>
                <c:pt idx="21">
                  <c:v>2.2999999999999998</c:v>
                </c:pt>
                <c:pt idx="22">
                  <c:v>2.1</c:v>
                </c:pt>
                <c:pt idx="23">
                  <c:v>2.4</c:v>
                </c:pt>
              </c:numCache>
            </c:numRef>
          </c:val>
          <c:smooth val="0"/>
          <c:extLst>
            <c:ext xmlns:c16="http://schemas.microsoft.com/office/drawing/2014/chart" uri="{C3380CC4-5D6E-409C-BE32-E72D297353CC}">
              <c16:uniqueId val="{00000001-E39A-46AC-AD7E-480E695CA475}"/>
            </c:ext>
          </c:extLst>
        </c:ser>
        <c:dLbls>
          <c:showLegendKey val="0"/>
          <c:showVal val="0"/>
          <c:showCatName val="0"/>
          <c:showSerName val="0"/>
          <c:showPercent val="0"/>
          <c:showBubbleSize val="0"/>
        </c:dLbls>
        <c:marker val="1"/>
        <c:smooth val="0"/>
        <c:axId val="130531328"/>
        <c:axId val="130525440"/>
      </c:lineChart>
      <c:catAx>
        <c:axId val="13052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30523904"/>
        <c:crosses val="autoZero"/>
        <c:auto val="1"/>
        <c:lblAlgn val="ctr"/>
        <c:lblOffset val="100"/>
        <c:noMultiLvlLbl val="0"/>
      </c:catAx>
      <c:valAx>
        <c:axId val="1305239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l-SI"/>
          </a:p>
        </c:txPr>
        <c:crossAx val="130521728"/>
        <c:crosses val="autoZero"/>
        <c:crossBetween val="between"/>
      </c:valAx>
      <c:valAx>
        <c:axId val="130525440"/>
        <c:scaling>
          <c:orientation val="minMax"/>
        </c:scaling>
        <c:delete val="0"/>
        <c:axPos val="r"/>
        <c:numFmt formatCode="##,#00" sourceLinked="1"/>
        <c:majorTickMark val="out"/>
        <c:minorTickMark val="none"/>
        <c:tickLblPos val="nextTo"/>
        <c:spPr>
          <a:noFill/>
          <a:ln>
            <a:noFill/>
          </a:ln>
          <a:effectLst/>
        </c:spPr>
        <c:txPr>
          <a:bodyPr rot="-60000000" vert="horz"/>
          <a:lstStyle/>
          <a:p>
            <a:pPr>
              <a:defRPr/>
            </a:pPr>
            <a:endParaRPr lang="sl-SI"/>
          </a:p>
        </c:txPr>
        <c:crossAx val="130531328"/>
        <c:crosses val="max"/>
        <c:crossBetween val="between"/>
      </c:valAx>
      <c:catAx>
        <c:axId val="130531328"/>
        <c:scaling>
          <c:orientation val="minMax"/>
        </c:scaling>
        <c:delete val="1"/>
        <c:axPos val="b"/>
        <c:numFmt formatCode="General" sourceLinked="1"/>
        <c:majorTickMark val="out"/>
        <c:minorTickMark val="none"/>
        <c:tickLblPos val="none"/>
        <c:crossAx val="13052544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sl-SI"/>
        </a:p>
      </c:txPr>
    </c:legend>
    <c:plotVisOnly val="1"/>
    <c:dispBlanksAs val="zero"/>
    <c:showDLblsOverMax val="0"/>
  </c:chart>
  <c:spPr>
    <a:solidFill>
      <a:schemeClr val="bg1"/>
    </a:solidFill>
    <a:ln w="9525" cap="flat" cmpd="sng" algn="ctr">
      <a:noFill/>
      <a:round/>
    </a:ln>
    <a:effectLst/>
  </c:spPr>
  <c:txPr>
    <a:bodyPr/>
    <a:lstStyle/>
    <a:p>
      <a:pPr>
        <a:defRPr sz="700"/>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800" b="0"/>
            </a:pPr>
            <a:r>
              <a:rPr lang="sl-SI" sz="800" b="0"/>
              <a:t>Bruto investicije v osnovna sredstva na hektar kmetijskih zemljišč v uporabi (GFCF/UAA), Slovenija in EU-28, v tekočih cenah, v EUR</a:t>
            </a:r>
          </a:p>
        </c:rich>
      </c:tx>
      <c:overlay val="0"/>
      <c:spPr>
        <a:noFill/>
        <a:ln w="25400">
          <a:noFill/>
        </a:ln>
      </c:spPr>
    </c:title>
    <c:autoTitleDeleted val="0"/>
    <c:plotArea>
      <c:layout/>
      <c:barChart>
        <c:barDir val="col"/>
        <c:grouping val="clustered"/>
        <c:varyColors val="0"/>
        <c:ser>
          <c:idx val="0"/>
          <c:order val="0"/>
          <c:tx>
            <c:strRef>
              <c:f>'GFCF na hektar'!$B$89</c:f>
              <c:strCache>
                <c:ptCount val="1"/>
                <c:pt idx="0">
                  <c:v>2013</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hektar'!$B$90,'GFCF na hektar'!$B$114)</c:f>
              <c:numCache>
                <c:formatCode>#,##0</c:formatCode>
                <c:ptCount val="2"/>
                <c:pt idx="0">
                  <c:v>330.26404007455176</c:v>
                </c:pt>
                <c:pt idx="1">
                  <c:v>461.15365612648219</c:v>
                </c:pt>
              </c:numCache>
            </c:numRef>
          </c:val>
          <c:extLst>
            <c:ext xmlns:c16="http://schemas.microsoft.com/office/drawing/2014/chart" uri="{C3380CC4-5D6E-409C-BE32-E72D297353CC}">
              <c16:uniqueId val="{00000000-08B5-4171-9C69-F9BCEBA496A1}"/>
            </c:ext>
          </c:extLst>
        </c:ser>
        <c:ser>
          <c:idx val="1"/>
          <c:order val="1"/>
          <c:tx>
            <c:strRef>
              <c:f>'GFCF na hektar'!$C$89</c:f>
              <c:strCache>
                <c:ptCount val="1"/>
                <c:pt idx="0">
                  <c:v>2016</c:v>
                </c:pt>
              </c:strCache>
            </c:strRef>
          </c:tx>
          <c:spPr>
            <a:solidFill>
              <a:srgbClr val="92D05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hektar'!$C$90,'GFCF na hektar'!$C$114)</c:f>
              <c:numCache>
                <c:formatCode>#,##0</c:formatCode>
                <c:ptCount val="2"/>
                <c:pt idx="0">
                  <c:v>314.20880514080636</c:v>
                </c:pt>
                <c:pt idx="1">
                  <c:v>473.6486486486487</c:v>
                </c:pt>
              </c:numCache>
            </c:numRef>
          </c:val>
          <c:extLst>
            <c:ext xmlns:c16="http://schemas.microsoft.com/office/drawing/2014/chart" uri="{C3380CC4-5D6E-409C-BE32-E72D297353CC}">
              <c16:uniqueId val="{00000001-08B5-4171-9C69-F9BCEBA496A1}"/>
            </c:ext>
          </c:extLst>
        </c:ser>
        <c:dLbls>
          <c:showLegendKey val="0"/>
          <c:showVal val="0"/>
          <c:showCatName val="0"/>
          <c:showSerName val="0"/>
          <c:showPercent val="0"/>
          <c:showBubbleSize val="0"/>
        </c:dLbls>
        <c:gapWidth val="219"/>
        <c:overlap val="-27"/>
        <c:axId val="163680256"/>
        <c:axId val="163681792"/>
      </c:barChart>
      <c:catAx>
        <c:axId val="1636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3681792"/>
        <c:crosses val="autoZero"/>
        <c:auto val="1"/>
        <c:lblAlgn val="ctr"/>
        <c:lblOffset val="100"/>
        <c:noMultiLvlLbl val="0"/>
      </c:catAx>
      <c:valAx>
        <c:axId val="1636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63680256"/>
        <c:crosses val="autoZero"/>
        <c:crossBetween val="between"/>
      </c:valAx>
      <c:spPr>
        <a:gradFill>
          <a:gsLst>
            <a:gs pos="37000">
              <a:schemeClr val="bg1">
                <a:lumMod val="95000"/>
              </a:schemeClr>
            </a:gs>
            <a:gs pos="96000">
              <a:schemeClr val="bg1">
                <a:lumMod val="85000"/>
              </a:schemeClr>
            </a:gs>
            <a:gs pos="0">
              <a:schemeClr val="accent1">
                <a:lumMod val="5000"/>
                <a:lumOff val="95000"/>
              </a:schemeClr>
            </a:gs>
            <a:gs pos="67000">
              <a:schemeClr val="bg1">
                <a:lumMod val="85000"/>
              </a:schemeClr>
            </a:gs>
          </a:gsLst>
          <a:lin ang="5400000" scaled="1"/>
        </a:gradFill>
        <a:ln w="25400">
          <a:noFill/>
        </a:ln>
      </c:spPr>
    </c:plotArea>
    <c:legend>
      <c:legendPos val="r"/>
      <c:layout>
        <c:manualLayout>
          <c:xMode val="edge"/>
          <c:yMode val="edge"/>
          <c:x val="0.90913431331196959"/>
          <c:y val="0.453990297595531"/>
          <c:w val="8.7908599111263558E-2"/>
          <c:h val="0.25493756833487996"/>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sl-SI"/>
              <a:t>Bruto investicije v osnovna sredstva na polnovredno delovno moč (GFCF/AWU) v obdobju 2005-2018, Slovenija, EU-28 in EU-27, v tekočih cenah, v EUR</a:t>
            </a:r>
            <a:endParaRPr lang="en-US"/>
          </a:p>
        </c:rich>
      </c:tx>
      <c:overlay val="0"/>
      <c:spPr>
        <a:noFill/>
        <a:ln w="25400">
          <a:noFill/>
        </a:ln>
      </c:spPr>
    </c:title>
    <c:autoTitleDeleted val="0"/>
    <c:plotArea>
      <c:layout>
        <c:manualLayout>
          <c:layoutTarget val="inner"/>
          <c:xMode val="edge"/>
          <c:yMode val="edge"/>
          <c:x val="9.6019372323877028E-2"/>
          <c:y val="0.16650953984287317"/>
          <c:w val="0.87603701268502332"/>
          <c:h val="0.68588810237104203"/>
        </c:manualLayout>
      </c:layout>
      <c:lineChart>
        <c:grouping val="standard"/>
        <c:varyColors val="0"/>
        <c:ser>
          <c:idx val="0"/>
          <c:order val="0"/>
          <c:tx>
            <c:strRef>
              <c:f>'GFCF na pdm (AWU)'!$A$89</c:f>
              <c:strCache>
                <c:ptCount val="1"/>
                <c:pt idx="0">
                  <c:v>EU-27 (od 2020)</c:v>
                </c:pt>
              </c:strCache>
            </c:strRef>
          </c:tx>
          <c:spPr>
            <a:ln w="28575" cap="rnd">
              <a:solidFill>
                <a:schemeClr val="accent1"/>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(AWU)'!$B$89:$O$89</c:f>
              <c:numCache>
                <c:formatCode>#,##0</c:formatCode>
                <c:ptCount val="14"/>
                <c:pt idx="0">
                  <c:v>3759.7595334949801</c:v>
                </c:pt>
                <c:pt idx="1">
                  <c:v>4174.6297361096777</c:v>
                </c:pt>
                <c:pt idx="2">
                  <c:v>4798.7367167579177</c:v>
                </c:pt>
                <c:pt idx="3">
                  <c:v>5234.3322925911652</c:v>
                </c:pt>
                <c:pt idx="4">
                  <c:v>4704.5144763624003</c:v>
                </c:pt>
                <c:pt idx="5">
                  <c:v>4964.1961510390047</c:v>
                </c:pt>
                <c:pt idx="6">
                  <c:v>5756.7775665690824</c:v>
                </c:pt>
                <c:pt idx="7">
                  <c:v>5655.9512225696299</c:v>
                </c:pt>
                <c:pt idx="8">
                  <c:v>5475.2117389090381</c:v>
                </c:pt>
                <c:pt idx="9">
                  <c:v>5449.3313048963428</c:v>
                </c:pt>
                <c:pt idx="10">
                  <c:v>5502.9776878545317</c:v>
                </c:pt>
                <c:pt idx="11">
                  <c:v>5423.4010891108492</c:v>
                </c:pt>
                <c:pt idx="12">
                  <c:v>5735.3213361938224</c:v>
                </c:pt>
                <c:pt idx="13">
                  <c:v>6050.5836532439998</c:v>
                </c:pt>
              </c:numCache>
            </c:numRef>
          </c:val>
          <c:smooth val="0"/>
          <c:extLst>
            <c:ext xmlns:c16="http://schemas.microsoft.com/office/drawing/2014/chart" uri="{C3380CC4-5D6E-409C-BE32-E72D297353CC}">
              <c16:uniqueId val="{00000000-445D-4ED1-A9BB-DD85172BACDE}"/>
            </c:ext>
          </c:extLst>
        </c:ser>
        <c:ser>
          <c:idx val="1"/>
          <c:order val="1"/>
          <c:tx>
            <c:strRef>
              <c:f>'GFCF na pdm (AWU)'!$A$90</c:f>
              <c:strCache>
                <c:ptCount val="1"/>
                <c:pt idx="0">
                  <c:v>EU-28</c:v>
                </c:pt>
              </c:strCache>
            </c:strRef>
          </c:tx>
          <c:spPr>
            <a:ln w="28575" cap="rnd">
              <a:solidFill>
                <a:schemeClr val="accent2"/>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(AWU)'!$B$90:$O$90</c:f>
              <c:numCache>
                <c:formatCode>#,##0</c:formatCode>
                <c:ptCount val="14"/>
                <c:pt idx="0">
                  <c:v>3956.1232673596573</c:v>
                </c:pt>
                <c:pt idx="1">
                  <c:v>4371.71068410096</c:v>
                </c:pt>
                <c:pt idx="2">
                  <c:v>5023.1054172040458</c:v>
                </c:pt>
                <c:pt idx="3">
                  <c:v>5454.8733445548405</c:v>
                </c:pt>
                <c:pt idx="4">
                  <c:v>4944.539703923454</c:v>
                </c:pt>
                <c:pt idx="5">
                  <c:v>5267.7640410022295</c:v>
                </c:pt>
                <c:pt idx="6">
                  <c:v>6059.6178849684884</c:v>
                </c:pt>
                <c:pt idx="7">
                  <c:v>6004.712653764539</c:v>
                </c:pt>
                <c:pt idx="8">
                  <c:v>5813.5881228217377</c:v>
                </c:pt>
                <c:pt idx="9">
                  <c:v>5833.435291722657</c:v>
                </c:pt>
                <c:pt idx="10">
                  <c:v>5875.7339114984607</c:v>
                </c:pt>
                <c:pt idx="11">
                  <c:v>5730.9646917912214</c:v>
                </c:pt>
                <c:pt idx="12">
                  <c:v>6064.3471330945349</c:v>
                </c:pt>
                <c:pt idx="13">
                  <c:v>6342.062269170342</c:v>
                </c:pt>
              </c:numCache>
            </c:numRef>
          </c:val>
          <c:smooth val="0"/>
          <c:extLst>
            <c:ext xmlns:c16="http://schemas.microsoft.com/office/drawing/2014/chart" uri="{C3380CC4-5D6E-409C-BE32-E72D297353CC}">
              <c16:uniqueId val="{00000001-445D-4ED1-A9BB-DD85172BACDE}"/>
            </c:ext>
          </c:extLst>
        </c:ser>
        <c:ser>
          <c:idx val="2"/>
          <c:order val="2"/>
          <c:tx>
            <c:strRef>
              <c:f>'GFCF na pdm (AWU)'!$A$114</c:f>
              <c:strCache>
                <c:ptCount val="1"/>
                <c:pt idx="0">
                  <c:v>Slovenija</c:v>
                </c:pt>
              </c:strCache>
            </c:strRef>
          </c:tx>
          <c:spPr>
            <a:ln w="28575" cap="rnd">
              <a:solidFill>
                <a:schemeClr val="accent3"/>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(AWU)'!$B$114:$O$114</c:f>
              <c:numCache>
                <c:formatCode>#,##0</c:formatCode>
                <c:ptCount val="14"/>
                <c:pt idx="0">
                  <c:v>2415.1488227454461</c:v>
                </c:pt>
                <c:pt idx="1">
                  <c:v>2713.9957144468253</c:v>
                </c:pt>
                <c:pt idx="2">
                  <c:v>3306.6110780226322</c:v>
                </c:pt>
                <c:pt idx="3">
                  <c:v>3759.9471090275279</c:v>
                </c:pt>
                <c:pt idx="4">
                  <c:v>3173.3383214864698</c:v>
                </c:pt>
                <c:pt idx="5">
                  <c:v>2819.8935203220358</c:v>
                </c:pt>
                <c:pt idx="6">
                  <c:v>2612.12976022567</c:v>
                </c:pt>
                <c:pt idx="7">
                  <c:v>2629.0382473078353</c:v>
                </c:pt>
                <c:pt idx="8">
                  <c:v>2707.0694864048337</c:v>
                </c:pt>
                <c:pt idx="9">
                  <c:v>2848.4107579462107</c:v>
                </c:pt>
                <c:pt idx="10">
                  <c:v>3060.4645446724835</c:v>
                </c:pt>
                <c:pt idx="11">
                  <c:v>2892.7097661623111</c:v>
                </c:pt>
                <c:pt idx="12">
                  <c:v>3249.3968253968251</c:v>
                </c:pt>
                <c:pt idx="13">
                  <c:v>3913.3555498590104</c:v>
                </c:pt>
              </c:numCache>
            </c:numRef>
          </c:val>
          <c:smooth val="0"/>
          <c:extLst>
            <c:ext xmlns:c16="http://schemas.microsoft.com/office/drawing/2014/chart" uri="{C3380CC4-5D6E-409C-BE32-E72D297353CC}">
              <c16:uniqueId val="{00000002-445D-4ED1-A9BB-DD85172BACDE}"/>
            </c:ext>
          </c:extLst>
        </c:ser>
        <c:dLbls>
          <c:showLegendKey val="0"/>
          <c:showVal val="0"/>
          <c:showCatName val="0"/>
          <c:showSerName val="0"/>
          <c:showPercent val="0"/>
          <c:showBubbleSize val="0"/>
        </c:dLbls>
        <c:smooth val="0"/>
        <c:axId val="163844480"/>
        <c:axId val="163846016"/>
      </c:lineChart>
      <c:catAx>
        <c:axId val="163844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3846016"/>
        <c:crosses val="autoZero"/>
        <c:auto val="1"/>
        <c:lblAlgn val="ctr"/>
        <c:lblOffset val="100"/>
        <c:noMultiLvlLbl val="0"/>
      </c:catAx>
      <c:valAx>
        <c:axId val="16384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63844480"/>
        <c:crosses val="autoZero"/>
        <c:crossBetween val="between"/>
      </c:valAx>
      <c:spPr>
        <a:gradFill>
          <a:gsLst>
            <a:gs pos="0">
              <a:schemeClr val="bg1">
                <a:lumMod val="95000"/>
              </a:schemeClr>
            </a:gs>
            <a:gs pos="74000">
              <a:schemeClr val="bg1">
                <a:lumMod val="85000"/>
              </a:schemeClr>
            </a:gs>
            <a:gs pos="83000">
              <a:schemeClr val="bg1">
                <a:lumMod val="85000"/>
              </a:schemeClr>
            </a:gs>
            <a:gs pos="100000">
              <a:schemeClr val="accent1">
                <a:lumMod val="20000"/>
                <a:lumOff val="80000"/>
              </a:schemeClr>
            </a:gs>
          </a:gsLst>
          <a:lin ang="5400000" scaled="1"/>
        </a:gradFill>
        <a:ln w="25400">
          <a:noFill/>
        </a:ln>
      </c:spPr>
    </c:plotArea>
    <c:legend>
      <c:legendPos val="r"/>
      <c:layout>
        <c:manualLayout>
          <c:xMode val="edge"/>
          <c:yMode val="edge"/>
          <c:x val="0.1975560511583451"/>
          <c:y val="0.92155523085387525"/>
          <c:w val="0.60488798370672103"/>
          <c:h val="7.4074427565241185E-2"/>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latin typeface="+mn-lt"/>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sl-SI" sz="800">
                <a:solidFill>
                  <a:schemeClr val="tx1"/>
                </a:solidFill>
              </a:rPr>
              <a:t>Število odobrenih vlog in celotna vrednost podprtih naložb iz ukrepa 121 PRP 2007-2013</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sl-SI"/>
        </a:p>
      </c:txPr>
    </c:title>
    <c:autoTitleDeleted val="0"/>
    <c:plotArea>
      <c:layout/>
      <c:barChart>
        <c:barDir val="col"/>
        <c:grouping val="stacked"/>
        <c:varyColors val="0"/>
        <c:ser>
          <c:idx val="1"/>
          <c:order val="1"/>
          <c:tx>
            <c:strRef>
              <c:f>'2007-2013'!$E$1</c:f>
              <c:strCache>
                <c:ptCount val="1"/>
                <c:pt idx="0">
                  <c:v>celotna vrednost naložb</c:v>
                </c:pt>
              </c:strCache>
            </c:strRef>
          </c:tx>
          <c:spPr>
            <a:solidFill>
              <a:srgbClr val="92D050"/>
            </a:solidFill>
            <a:ln>
              <a:noFill/>
            </a:ln>
            <a:effectLst>
              <a:outerShdw blurRad="40000" dist="23000" dir="5400000" rotWithShape="0">
                <a:srgbClr val="000000">
                  <a:alpha val="35000"/>
                </a:srgbClr>
              </a:outerShdw>
            </a:effectLst>
          </c:spPr>
          <c:invertIfNegative val="0"/>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'2007-2013'!$E$2:$E$5</c:f>
              <c:numCache>
                <c:formatCode>#,##0</c:formatCode>
                <c:ptCount val="4"/>
                <c:pt idx="0">
                  <c:v>198853834.19999999</c:v>
                </c:pt>
                <c:pt idx="1">
                  <c:v>117820827.40000001</c:v>
                </c:pt>
                <c:pt idx="2">
                  <c:v>7277192.0499999998</c:v>
                </c:pt>
                <c:pt idx="3">
                  <c:v>51010693.409999996</c:v>
                </c:pt>
              </c:numCache>
            </c:numRef>
          </c:val>
          <c:extLst>
            <c:ext xmlns:c16="http://schemas.microsoft.com/office/drawing/2014/chart" uri="{C3380CC4-5D6E-409C-BE32-E72D297353CC}">
              <c16:uniqueId val="{00000000-B75D-476A-A99F-2A9E77A0793D}"/>
            </c:ext>
          </c:extLst>
        </c:ser>
        <c:dLbls>
          <c:showLegendKey val="0"/>
          <c:showVal val="0"/>
          <c:showCatName val="0"/>
          <c:showSerName val="0"/>
          <c:showPercent val="0"/>
          <c:showBubbleSize val="0"/>
        </c:dLbls>
        <c:gapWidth val="247"/>
        <c:overlap val="100"/>
        <c:axId val="163920512"/>
        <c:axId val="163918976"/>
      </c:barChart>
      <c:lineChart>
        <c:grouping val="stacked"/>
        <c:varyColors val="0"/>
        <c:ser>
          <c:idx val="0"/>
          <c:order val="0"/>
          <c:tx>
            <c:strRef>
              <c:f>'2007-2013'!$D$1</c:f>
              <c:strCache>
                <c:ptCount val="1"/>
                <c:pt idx="0">
                  <c:v>število vlog</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'2007-2013'!$D$2:$D$5</c:f>
              <c:numCache>
                <c:formatCode>General</c:formatCode>
                <c:ptCount val="4"/>
                <c:pt idx="0">
                  <c:v>875</c:v>
                </c:pt>
                <c:pt idx="1">
                  <c:v>1716</c:v>
                </c:pt>
                <c:pt idx="2">
                  <c:v>82</c:v>
                </c:pt>
                <c:pt idx="3">
                  <c:v>426</c:v>
                </c:pt>
              </c:numCache>
            </c:numRef>
          </c:val>
          <c:smooth val="0"/>
          <c:extLst>
            <c:ext xmlns:c16="http://schemas.microsoft.com/office/drawing/2014/chart" uri="{C3380CC4-5D6E-409C-BE32-E72D297353CC}">
              <c16:uniqueId val="{00000001-B75D-476A-A99F-2A9E77A0793D}"/>
            </c:ext>
          </c:extLst>
        </c:ser>
        <c:dLbls>
          <c:showLegendKey val="0"/>
          <c:showVal val="0"/>
          <c:showCatName val="0"/>
          <c:showSerName val="0"/>
          <c:showPercent val="0"/>
          <c:showBubbleSize val="0"/>
        </c:dLbls>
        <c:marker val="1"/>
        <c:smooth val="0"/>
        <c:axId val="163900800"/>
        <c:axId val="163899264"/>
      </c:lineChart>
      <c:valAx>
        <c:axId val="16389926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63900800"/>
        <c:crosses val="max"/>
        <c:crossBetween val="between"/>
      </c:valAx>
      <c:catAx>
        <c:axId val="163900800"/>
        <c:scaling>
          <c:orientation val="minMax"/>
        </c:scaling>
        <c:delete val="0"/>
        <c:axPos val="t"/>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sl-SI"/>
          </a:p>
        </c:txPr>
        <c:crossAx val="163899264"/>
        <c:crosses val="max"/>
        <c:auto val="1"/>
        <c:lblAlgn val="ctr"/>
        <c:lblOffset val="100"/>
        <c:tickMarkSkip val="1"/>
        <c:noMultiLvlLbl val="0"/>
      </c:catAx>
      <c:valAx>
        <c:axId val="1639189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63920512"/>
        <c:crosses val="autoZero"/>
        <c:crossBetween val="between"/>
      </c:valAx>
      <c:catAx>
        <c:axId val="163920512"/>
        <c:scaling>
          <c:orientation val="minMax"/>
        </c:scaling>
        <c:delete val="1"/>
        <c:axPos val="b"/>
        <c:numFmt formatCode="General" sourceLinked="1"/>
        <c:majorTickMark val="none"/>
        <c:minorTickMark val="none"/>
        <c:tickLblPos val="nextTo"/>
        <c:crossAx val="163918976"/>
        <c:crosses val="autoZero"/>
        <c:auto val="1"/>
        <c:lblAlgn val="ctr"/>
        <c:lblOffset val="100"/>
        <c:noMultiLvlLbl val="0"/>
      </c:catAx>
      <c:spPr>
        <a:gradFill>
          <a:gsLst>
            <a:gs pos="0">
              <a:schemeClr val="accent3">
                <a:lumMod val="5000"/>
                <a:lumOff val="95000"/>
              </a:schemeClr>
            </a:gs>
            <a:gs pos="84000">
              <a:srgbClr val="E6EBF2"/>
            </a:gs>
            <a:gs pos="48000">
              <a:schemeClr val="bg1">
                <a:lumMod val="85000"/>
              </a:schemeClr>
            </a:gs>
            <a:gs pos="97000">
              <a:schemeClr val="accent1">
                <a:lumMod val="20000"/>
                <a:lumOff val="8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solidFill>
                  <a:sysClr val="windowText" lastClr="000000"/>
                </a:solidFill>
              </a:rPr>
              <a:t>Povprečje</a:t>
            </a:r>
            <a:r>
              <a:rPr lang="sl-SI" sz="1000" baseline="0">
                <a:solidFill>
                  <a:sysClr val="windowText" lastClr="000000"/>
                </a:solidFill>
              </a:rPr>
              <a:t> KZU (ha), PDM in GVŽ na podprto KMG v okviru podukrepa M04.1 PRP 2014-2020, 30. 4. 2020</a:t>
            </a:r>
            <a:endParaRPr lang="sl-SI"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List1!$B$178</c:f>
              <c:strCache>
                <c:ptCount val="1"/>
                <c:pt idx="0">
                  <c:v>kmetija</c:v>
                </c:pt>
              </c:strCache>
            </c:strRef>
          </c:tx>
          <c:spPr>
            <a:solidFill>
              <a:schemeClr val="accent1"/>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(List1!$B$180,List1!$B$182,List1!$B$185)</c:f>
              <c:numCache>
                <c:formatCode>##,#00</c:formatCode>
                <c:ptCount val="3"/>
                <c:pt idx="0">
                  <c:v>39.138549516728645</c:v>
                </c:pt>
                <c:pt idx="1">
                  <c:v>3.6606166419019437</c:v>
                </c:pt>
                <c:pt idx="2">
                  <c:v>46.767462178919381</c:v>
                </c:pt>
              </c:numCache>
            </c:numRef>
          </c:val>
          <c:extLst>
            <c:ext xmlns:c16="http://schemas.microsoft.com/office/drawing/2014/chart" uri="{C3380CC4-5D6E-409C-BE32-E72D297353CC}">
              <c16:uniqueId val="{00000000-1113-4F58-B888-B5CC7ED25A47}"/>
            </c:ext>
          </c:extLst>
        </c:ser>
        <c:ser>
          <c:idx val="1"/>
          <c:order val="1"/>
          <c:tx>
            <c:strRef>
              <c:f>List1!$C$178</c:f>
              <c:strCache>
                <c:ptCount val="1"/>
                <c:pt idx="0">
                  <c:v>podjetje</c:v>
                </c:pt>
              </c:strCache>
            </c:strRef>
          </c:tx>
          <c:spPr>
            <a:solidFill>
              <a:srgbClr val="92D050"/>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(List1!$C$180,List1!$C$182,List1!$C$185)</c:f>
              <c:numCache>
                <c:formatCode>##,#00</c:formatCode>
                <c:ptCount val="3"/>
                <c:pt idx="0">
                  <c:v>372.77286376811583</c:v>
                </c:pt>
                <c:pt idx="1">
                  <c:v>46.863380281690134</c:v>
                </c:pt>
                <c:pt idx="2">
                  <c:v>312.04902903225803</c:v>
                </c:pt>
              </c:numCache>
            </c:numRef>
          </c:val>
          <c:extLst>
            <c:ext xmlns:c16="http://schemas.microsoft.com/office/drawing/2014/chart" uri="{C3380CC4-5D6E-409C-BE32-E72D297353CC}">
              <c16:uniqueId val="{00000001-1113-4F58-B888-B5CC7ED25A47}"/>
            </c:ext>
          </c:extLst>
        </c:ser>
        <c:dLbls>
          <c:showLegendKey val="0"/>
          <c:showVal val="0"/>
          <c:showCatName val="0"/>
          <c:showSerName val="0"/>
          <c:showPercent val="0"/>
          <c:showBubbleSize val="0"/>
        </c:dLbls>
        <c:gapWidth val="219"/>
        <c:overlap val="-27"/>
        <c:axId val="163950976"/>
        <c:axId val="163952512"/>
      </c:barChart>
      <c:lineChart>
        <c:grouping val="standard"/>
        <c:varyColors val="0"/>
        <c:ser>
          <c:idx val="2"/>
          <c:order val="2"/>
          <c:tx>
            <c:strRef>
              <c:f>List1!$D$178</c:f>
              <c:strCache>
                <c:ptCount val="1"/>
                <c:pt idx="0">
                  <c:v>Skupaj</c:v>
                </c:pt>
              </c:strCache>
            </c:strRef>
          </c:tx>
          <c:spPr>
            <a:ln w="12700" cap="rnd">
              <a:solidFill>
                <a:srgbClr val="FF0000"/>
              </a:solidFill>
              <a:round/>
            </a:ln>
            <a:effectLst/>
          </c:spPr>
          <c:marker>
            <c:symbol val="none"/>
          </c:marker>
          <c:dLbls>
            <c:dLbl>
              <c:idx val="0"/>
              <c:layout>
                <c:manualLayout>
                  <c:x val="-7.222222222222224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3-4F58-B888-B5CC7ED25A47}"/>
                </c:ext>
              </c:extLst>
            </c:dLbl>
            <c:dLbl>
              <c:idx val="1"/>
              <c:layout>
                <c:manualLayout>
                  <c:x val="-3.6111111111111108E-2"/>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13-4F58-B888-B5CC7ED25A47}"/>
                </c:ext>
              </c:extLst>
            </c:dLbl>
            <c:dLbl>
              <c:idx val="2"/>
              <c:layout>
                <c:manualLayout>
                  <c:x val="-2.9843706722589489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3-4F58-B888-B5CC7ED25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(List1!$A$180,List1!$A$182,List1!$A$185)</c:f>
              <c:strCache>
                <c:ptCount val="3"/>
                <c:pt idx="0">
                  <c:v>KZU (ha): POVPREČJE</c:v>
                </c:pt>
                <c:pt idx="1">
                  <c:v>PDM: POVPREČJE</c:v>
                </c:pt>
                <c:pt idx="2">
                  <c:v>GVŽ: POVPREČJE</c:v>
                </c:pt>
              </c:strCache>
            </c:strRef>
          </c:cat>
          <c:val>
            <c:numRef>
              <c:f>(List1!$D$180,List1!$D$182,List1!$D$185)</c:f>
              <c:numCache>
                <c:formatCode>##,#00</c:formatCode>
                <c:ptCount val="3"/>
                <c:pt idx="0">
                  <c:v>55.419149009900906</c:v>
                </c:pt>
                <c:pt idx="1">
                  <c:v>5.8253281580804686</c:v>
                </c:pt>
                <c:pt idx="2">
                  <c:v>53.856883362068956</c:v>
                </c:pt>
              </c:numCache>
            </c:numRef>
          </c:val>
          <c:smooth val="0"/>
          <c:extLst>
            <c:ext xmlns:c16="http://schemas.microsoft.com/office/drawing/2014/chart" uri="{C3380CC4-5D6E-409C-BE32-E72D297353CC}">
              <c16:uniqueId val="{00000005-1113-4F58-B888-B5CC7ED25A47}"/>
            </c:ext>
          </c:extLst>
        </c:ser>
        <c:dLbls>
          <c:showLegendKey val="0"/>
          <c:showVal val="0"/>
          <c:showCatName val="0"/>
          <c:showSerName val="0"/>
          <c:showPercent val="0"/>
          <c:showBubbleSize val="0"/>
        </c:dLbls>
        <c:marker val="1"/>
        <c:smooth val="0"/>
        <c:axId val="163950976"/>
        <c:axId val="163952512"/>
      </c:lineChart>
      <c:catAx>
        <c:axId val="16395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952512"/>
        <c:crosses val="autoZero"/>
        <c:auto val="1"/>
        <c:lblAlgn val="ctr"/>
        <c:lblOffset val="100"/>
        <c:noMultiLvlLbl val="0"/>
      </c:catAx>
      <c:valAx>
        <c:axId val="16395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950976"/>
        <c:crosses val="autoZero"/>
        <c:crossBetween val="between"/>
      </c:valAx>
      <c:spPr>
        <a:gradFill>
          <a:gsLst>
            <a:gs pos="0">
              <a:schemeClr val="accent1">
                <a:lumMod val="5000"/>
                <a:lumOff val="95000"/>
              </a:schemeClr>
            </a:gs>
            <a:gs pos="74000">
              <a:schemeClr val="bg1">
                <a:lumMod val="95000"/>
              </a:schemeClr>
            </a:gs>
            <a:gs pos="100000">
              <a:schemeClr val="bg1">
                <a:lumMod val="8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l-SI" b="1"/>
              <a:t>Vlaganja v okviru podukrepa M04.1 PRP 2014-2020 - naložbe na kmetijska gospodarstva</a:t>
            </a:r>
          </a:p>
        </c:rich>
      </c:tx>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2578392978655449E-2"/>
          <c:y val="3.2370417666838874E-2"/>
          <c:w val="0.87958464787861113"/>
          <c:h val="0.47851319084872573"/>
        </c:manualLayout>
      </c:layout>
      <c:barChart>
        <c:barDir val="col"/>
        <c:grouping val="clustered"/>
        <c:varyColors val="0"/>
        <c:ser>
          <c:idx val="1"/>
          <c:order val="1"/>
          <c:tx>
            <c:strRef>
              <c:f>List2!$D$2</c:f>
              <c:strCache>
                <c:ptCount val="1"/>
                <c:pt idx="0">
                  <c:v>Celotna vrednost odobrenih naložb, €</c:v>
                </c:pt>
              </c:strCache>
            </c:strRef>
          </c:tx>
          <c:spPr>
            <a:solidFill>
              <a:srgbClr val="92D050"/>
            </a:solidFill>
            <a:ln>
              <a:noFill/>
            </a:ln>
            <a:effectLst/>
          </c:spPr>
          <c:invertIfNegative val="0"/>
          <c:dLbls>
            <c:dLbl>
              <c:idx val="0"/>
              <c:layout>
                <c:manualLayout>
                  <c:x val="0"/>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8-4491-B457-10D173335EE3}"/>
                </c:ext>
              </c:extLst>
            </c:dLbl>
            <c:dLbl>
              <c:idx val="1"/>
              <c:layout>
                <c:manualLayout>
                  <c:x val="-2.0350183682897557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8-4491-B457-10D173335EE3}"/>
                </c:ext>
              </c:extLst>
            </c:dLbl>
            <c:dLbl>
              <c:idx val="2"/>
              <c:layout>
                <c:manualLayout>
                  <c:x val="0"/>
                  <c:y val="-8.02359949097526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8-4491-B457-10D173335EE3}"/>
                </c:ext>
              </c:extLst>
            </c:dLbl>
            <c:dLbl>
              <c:idx val="3"/>
              <c:layout>
                <c:manualLayout>
                  <c:x val="-1.1100228419976006E-3"/>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8-4491-B457-10D173335EE3}"/>
                </c:ext>
              </c:extLst>
            </c:dLbl>
            <c:dLbl>
              <c:idx val="4"/>
              <c:layout>
                <c:manualLayout>
                  <c:x val="-4.0700367365795115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98-4491-B457-10D173335EE3}"/>
                </c:ext>
              </c:extLst>
            </c:dLbl>
            <c:dLbl>
              <c:idx val="5"/>
              <c:layout>
                <c:manualLayout>
                  <c:x val="0"/>
                  <c:y val="-2.4070798472925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98-4491-B457-10D173335EE3}"/>
                </c:ext>
              </c:extLst>
            </c:dLbl>
            <c:dLbl>
              <c:idx val="8"/>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98-4491-B457-10D173335EE3}"/>
                </c:ext>
              </c:extLst>
            </c:dLbl>
            <c:dLbl>
              <c:idx val="9"/>
              <c:layout>
                <c:manualLayout>
                  <c:x val="8.140073473159023E-17"/>
                  <c:y val="-2.40707984729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8-4491-B457-10D173335EE3}"/>
                </c:ext>
              </c:extLst>
            </c:dLbl>
            <c:dLbl>
              <c:idx val="10"/>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98-4491-B457-10D173335EE3}"/>
                </c:ext>
              </c:extLst>
            </c:dLbl>
            <c:dLbl>
              <c:idx val="12"/>
              <c:layout>
                <c:manualLayout>
                  <c:x val="-1.1100228419976006E-3"/>
                  <c:y val="-3.2094397963901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98-4491-B457-10D173335EE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List2!$D$3:$D$17</c:f>
              <c:numCache>
                <c:formatCode>#,##0</c:formatCode>
                <c:ptCount val="15"/>
                <c:pt idx="0">
                  <c:v>16759.650000000001</c:v>
                </c:pt>
                <c:pt idx="1">
                  <c:v>150201.17000000001</c:v>
                </c:pt>
                <c:pt idx="2">
                  <c:v>167370.61000000002</c:v>
                </c:pt>
                <c:pt idx="3">
                  <c:v>195774.64</c:v>
                </c:pt>
                <c:pt idx="4">
                  <c:v>265074.11</c:v>
                </c:pt>
                <c:pt idx="5">
                  <c:v>1441864.4200000002</c:v>
                </c:pt>
                <c:pt idx="6">
                  <c:v>1803077.95</c:v>
                </c:pt>
                <c:pt idx="7">
                  <c:v>3105504.0300000003</c:v>
                </c:pt>
                <c:pt idx="8">
                  <c:v>3509459.5</c:v>
                </c:pt>
                <c:pt idx="9">
                  <c:v>3917760.9899999998</c:v>
                </c:pt>
                <c:pt idx="10">
                  <c:v>8481465.5199999996</c:v>
                </c:pt>
                <c:pt idx="11">
                  <c:v>13613323.359999998</c:v>
                </c:pt>
                <c:pt idx="12">
                  <c:v>15887648.899999997</c:v>
                </c:pt>
                <c:pt idx="13">
                  <c:v>77673013.129999995</c:v>
                </c:pt>
                <c:pt idx="14">
                  <c:v>129343689.72</c:v>
                </c:pt>
              </c:numCache>
            </c:numRef>
          </c:val>
          <c:extLst>
            <c:ext xmlns:c16="http://schemas.microsoft.com/office/drawing/2014/chart" uri="{C3380CC4-5D6E-409C-BE32-E72D297353CC}">
              <c16:uniqueId val="{0000000A-6698-4491-B457-10D173335EE3}"/>
            </c:ext>
          </c:extLst>
        </c:ser>
        <c:dLbls>
          <c:showLegendKey val="0"/>
          <c:showVal val="0"/>
          <c:showCatName val="0"/>
          <c:showSerName val="0"/>
          <c:showPercent val="0"/>
          <c:showBubbleSize val="0"/>
        </c:dLbls>
        <c:gapWidth val="182"/>
        <c:axId val="165846400"/>
        <c:axId val="166151296"/>
      </c:barChart>
      <c:lineChart>
        <c:grouping val="standard"/>
        <c:varyColors val="0"/>
        <c:ser>
          <c:idx val="0"/>
          <c:order val="0"/>
          <c:tx>
            <c:strRef>
              <c:f>List2!$C$2</c:f>
              <c:strCache>
                <c:ptCount val="1"/>
                <c:pt idx="0">
                  <c:v>Število odobrenih vlog</c:v>
                </c:pt>
              </c:strCache>
            </c:strRef>
          </c:tx>
          <c:spPr>
            <a:ln w="28575" cap="rnd">
              <a:solidFill>
                <a:schemeClr val="accent1"/>
              </a:solidFill>
              <a:round/>
            </a:ln>
            <a:effectLst/>
          </c:spPr>
          <c:marker>
            <c:symbol val="none"/>
          </c:marker>
          <c:dLbls>
            <c:spPr>
              <a:solidFill>
                <a:schemeClr val="accent2"/>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List2!$C$3:$C$17</c:f>
              <c:numCache>
                <c:formatCode>General</c:formatCode>
                <c:ptCount val="15"/>
                <c:pt idx="0">
                  <c:v>1</c:v>
                </c:pt>
                <c:pt idx="1">
                  <c:v>4</c:v>
                </c:pt>
                <c:pt idx="2">
                  <c:v>7</c:v>
                </c:pt>
                <c:pt idx="3">
                  <c:v>1</c:v>
                </c:pt>
                <c:pt idx="4">
                  <c:v>3</c:v>
                </c:pt>
                <c:pt idx="5">
                  <c:v>11</c:v>
                </c:pt>
                <c:pt idx="6">
                  <c:v>5</c:v>
                </c:pt>
                <c:pt idx="7">
                  <c:v>6</c:v>
                </c:pt>
                <c:pt idx="8">
                  <c:v>26</c:v>
                </c:pt>
                <c:pt idx="9">
                  <c:v>37</c:v>
                </c:pt>
                <c:pt idx="10">
                  <c:v>53</c:v>
                </c:pt>
                <c:pt idx="11">
                  <c:v>30</c:v>
                </c:pt>
                <c:pt idx="12">
                  <c:v>122</c:v>
                </c:pt>
                <c:pt idx="13">
                  <c:v>721</c:v>
                </c:pt>
                <c:pt idx="14">
                  <c:v>408</c:v>
                </c:pt>
              </c:numCache>
            </c:numRef>
          </c:val>
          <c:smooth val="0"/>
          <c:extLst>
            <c:ext xmlns:c16="http://schemas.microsoft.com/office/drawing/2014/chart" uri="{C3380CC4-5D6E-409C-BE32-E72D297353CC}">
              <c16:uniqueId val="{0000000B-6698-4491-B457-10D173335EE3}"/>
            </c:ext>
          </c:extLst>
        </c:ser>
        <c:dLbls>
          <c:showLegendKey val="0"/>
          <c:showVal val="0"/>
          <c:showCatName val="0"/>
          <c:showSerName val="0"/>
          <c:showPercent val="0"/>
          <c:showBubbleSize val="0"/>
        </c:dLbls>
        <c:marker val="1"/>
        <c:smooth val="0"/>
        <c:axId val="166158720"/>
        <c:axId val="166152832"/>
      </c:lineChart>
      <c:catAx>
        <c:axId val="1658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66151296"/>
        <c:crosses val="autoZero"/>
        <c:auto val="1"/>
        <c:lblAlgn val="ctr"/>
        <c:lblOffset val="100"/>
        <c:noMultiLvlLbl val="0"/>
      </c:catAx>
      <c:valAx>
        <c:axId val="1661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65846400"/>
        <c:crosses val="autoZero"/>
        <c:crossBetween val="between"/>
        <c:majorUnit val="20000000"/>
      </c:valAx>
      <c:valAx>
        <c:axId val="1661528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66158720"/>
        <c:crosses val="max"/>
        <c:crossBetween val="between"/>
      </c:valAx>
      <c:catAx>
        <c:axId val="166158720"/>
        <c:scaling>
          <c:orientation val="minMax"/>
        </c:scaling>
        <c:delete val="1"/>
        <c:axPos val="b"/>
        <c:numFmt formatCode="General" sourceLinked="1"/>
        <c:majorTickMark val="out"/>
        <c:minorTickMark val="none"/>
        <c:tickLblPos val="nextTo"/>
        <c:crossAx val="166152832"/>
        <c:crosses val="autoZero"/>
        <c:auto val="1"/>
        <c:lblAlgn val="ctr"/>
        <c:lblOffset val="100"/>
        <c:noMultiLvlLbl val="0"/>
      </c:catAx>
      <c:spPr>
        <a:gradFill>
          <a:gsLst>
            <a:gs pos="85000">
              <a:srgbClr val="DCDCDC"/>
            </a:gs>
            <a:gs pos="0">
              <a:schemeClr val="accent3">
                <a:lumMod val="5000"/>
                <a:lumOff val="95000"/>
              </a:schemeClr>
            </a:gs>
            <a:gs pos="85000">
              <a:schemeClr val="accent3">
                <a:lumMod val="45000"/>
                <a:lumOff val="55000"/>
              </a:schemeClr>
            </a:gs>
            <a:gs pos="83000">
              <a:schemeClr val="accent3">
                <a:lumMod val="45000"/>
                <a:lumOff val="55000"/>
              </a:schemeClr>
            </a:gs>
            <a:gs pos="97000">
              <a:schemeClr val="accent1">
                <a:lumMod val="20000"/>
                <a:lumOff val="80000"/>
              </a:schemeClr>
            </a:gs>
          </a:gsLst>
          <a:lin ang="5400000" scaled="1"/>
        </a:gradFill>
        <a:ln>
          <a:noFill/>
        </a:ln>
        <a:effectLst/>
      </c:spPr>
    </c:plotArea>
    <c:legend>
      <c:legendPos val="b"/>
      <c:layout>
        <c:manualLayout>
          <c:xMode val="edge"/>
          <c:yMode val="edge"/>
          <c:x val="0.32084097126748046"/>
          <c:y val="0.13046648053455467"/>
          <c:w val="0.36084725520421057"/>
          <c:h val="0.129467327540232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l-SI" sz="1000" b="0" i="0" baseline="0">
                <a:effectLst/>
              </a:rPr>
              <a:t>Ševilo odobrenih vlog in povprečna višina vrednosti naložb (EUR) v okviru podukrepa M04.1 glede na vključenost v sheme ekološke proizvodnje</a:t>
            </a:r>
            <a:endParaRPr lang="sl-SI" sz="1000"/>
          </a:p>
        </c:rich>
      </c:tx>
      <c:layout>
        <c:manualLayout>
          <c:xMode val="edge"/>
          <c:yMode val="edge"/>
          <c:x val="0.14864860696422627"/>
          <c:y val="3.6975411351451284E-2"/>
        </c:manualLayout>
      </c:layout>
      <c:overlay val="0"/>
      <c:spPr>
        <a:noFill/>
        <a:ln w="25400">
          <a:noFill/>
        </a:ln>
      </c:spPr>
    </c:title>
    <c:autoTitleDeleted val="0"/>
    <c:plotArea>
      <c:layout>
        <c:manualLayout>
          <c:layoutTarget val="inner"/>
          <c:xMode val="edge"/>
          <c:yMode val="edge"/>
          <c:x val="0.12188699116591506"/>
          <c:y val="0.25348173515981737"/>
          <c:w val="0.71192151434361994"/>
          <c:h val="0.48354231834034445"/>
        </c:manualLayout>
      </c:layout>
      <c:barChart>
        <c:barDir val="col"/>
        <c:grouping val="clustered"/>
        <c:varyColors val="0"/>
        <c:ser>
          <c:idx val="0"/>
          <c:order val="0"/>
          <c:tx>
            <c:strRef>
              <c:f>'N:\INTERNO\PROJEKTI\PREJEMNIKI_PRP\ANALIZA IZVAJANJA PRP 2014-2020\Analiza 2020\30.4.2020\4.1\Oddano_20200515\Excel\[! Select_PRPO(V)1420_M041_OsnovniPodatki.xls]analiza za SC 2'!$A$425</c:f>
              <c:strCache>
                <c:ptCount val="1"/>
                <c:pt idx="0">
                  <c:v>Št. odobrenih vlog</c:v>
                </c:pt>
              </c:strCache>
            </c:strRef>
          </c:tx>
          <c:spPr>
            <a:solidFill>
              <a:srgbClr val="5B9BD5"/>
            </a:solidFill>
            <a:ln w="25400">
              <a:noFill/>
            </a:ln>
          </c:spPr>
          <c:invertIfNegative val="0"/>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2'!$B$425:$D$425</c:f>
              <c:numCache>
                <c:formatCode>General</c:formatCode>
                <c:ptCount val="3"/>
                <c:pt idx="0">
                  <c:v>338</c:v>
                </c:pt>
                <c:pt idx="1">
                  <c:v>1097</c:v>
                </c:pt>
                <c:pt idx="2">
                  <c:v>1435</c:v>
                </c:pt>
              </c:numCache>
            </c:numRef>
          </c:val>
          <c:extLst>
            <c:ext xmlns:c16="http://schemas.microsoft.com/office/drawing/2014/chart" uri="{C3380CC4-5D6E-409C-BE32-E72D297353CC}">
              <c16:uniqueId val="{00000000-C073-4F0B-BDF8-686B12F5E4F1}"/>
            </c:ext>
          </c:extLst>
        </c:ser>
        <c:dLbls>
          <c:showLegendKey val="0"/>
          <c:showVal val="0"/>
          <c:showCatName val="0"/>
          <c:showSerName val="0"/>
          <c:showPercent val="0"/>
          <c:showBubbleSize val="0"/>
        </c:dLbls>
        <c:gapWidth val="219"/>
        <c:axId val="166195584"/>
        <c:axId val="166197120"/>
      </c:barChart>
      <c:lineChart>
        <c:grouping val="standard"/>
        <c:varyColors val="0"/>
        <c:ser>
          <c:idx val="2"/>
          <c:order val="1"/>
          <c:tx>
            <c:strRef>
              <c:f>'N:\INTERNO\PROJEKTI\PREJEMNIKI_PRP\ANALIZA IZVAJANJA PRP 2014-2020\Analiza 2020\30.4.2020\4.1\Oddano_20200515\Excel\[! Select_PRPO(V)1420_M041_OsnovniPodatki.xls]analiza za SC 2'!$A$427</c:f>
              <c:strCache>
                <c:ptCount val="1"/>
                <c:pt idx="0">
                  <c:v>Povprečna višina vrednosti naložb (EUR)</c:v>
                </c:pt>
              </c:strCache>
            </c:strRef>
          </c:tx>
          <c:spPr>
            <a:ln w="28575" cap="rnd">
              <a:solidFill>
                <a:schemeClr val="accent2"/>
              </a:solidFill>
              <a:round/>
            </a:ln>
            <a:effectLst/>
          </c:spPr>
          <c:marker>
            <c:symbol val="none"/>
          </c:marker>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2'!$B$427:$D$427</c:f>
              <c:numCache>
                <c:formatCode>General</c:formatCode>
                <c:ptCount val="3"/>
                <c:pt idx="0">
                  <c:v>120105.2625739645</c:v>
                </c:pt>
                <c:pt idx="1">
                  <c:v>199613.86412944406</c:v>
                </c:pt>
                <c:pt idx="2">
                  <c:v>180886.40257839739</c:v>
                </c:pt>
              </c:numCache>
            </c:numRef>
          </c:val>
          <c:smooth val="0"/>
          <c:extLst>
            <c:ext xmlns:c16="http://schemas.microsoft.com/office/drawing/2014/chart" uri="{C3380CC4-5D6E-409C-BE32-E72D297353CC}">
              <c16:uniqueId val="{00000001-C073-4F0B-BDF8-686B12F5E4F1}"/>
            </c:ext>
          </c:extLst>
        </c:ser>
        <c:dLbls>
          <c:showLegendKey val="0"/>
          <c:showVal val="0"/>
          <c:showCatName val="0"/>
          <c:showSerName val="0"/>
          <c:showPercent val="0"/>
          <c:showBubbleSize val="0"/>
        </c:dLbls>
        <c:marker val="1"/>
        <c:smooth val="0"/>
        <c:axId val="144113664"/>
        <c:axId val="144115200"/>
      </c:lineChart>
      <c:catAx>
        <c:axId val="1661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97120"/>
        <c:crosses val="autoZero"/>
        <c:auto val="1"/>
        <c:lblAlgn val="ctr"/>
        <c:lblOffset val="100"/>
        <c:noMultiLvlLbl val="0"/>
      </c:catAx>
      <c:valAx>
        <c:axId val="16619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b="0"/>
                </a:pPr>
                <a:r>
                  <a:rPr lang="sl-SI" sz="800" b="0"/>
                  <a:t>število</a:t>
                </a:r>
              </a:p>
            </c:rich>
          </c:tx>
          <c:layout>
            <c:manualLayout>
              <c:xMode val="edge"/>
              <c:yMode val="edge"/>
              <c:x val="2.8905531467612666E-2"/>
              <c:y val="0.78987299104735198"/>
            </c:manualLayout>
          </c:layout>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95584"/>
        <c:crosses val="autoZero"/>
        <c:crossBetween val="between"/>
      </c:valAx>
      <c:catAx>
        <c:axId val="144113664"/>
        <c:scaling>
          <c:orientation val="minMax"/>
        </c:scaling>
        <c:delete val="1"/>
        <c:axPos val="b"/>
        <c:numFmt formatCode="General" sourceLinked="1"/>
        <c:majorTickMark val="out"/>
        <c:minorTickMark val="none"/>
        <c:tickLblPos val="nextTo"/>
        <c:crossAx val="144115200"/>
        <c:crosses val="autoZero"/>
        <c:auto val="1"/>
        <c:lblAlgn val="ctr"/>
        <c:lblOffset val="100"/>
        <c:noMultiLvlLbl val="0"/>
      </c:catAx>
      <c:valAx>
        <c:axId val="144115200"/>
        <c:scaling>
          <c:orientation val="minMax"/>
        </c:scaling>
        <c:delete val="0"/>
        <c:axPos val="r"/>
        <c:title>
          <c:tx>
            <c:rich>
              <a:bodyPr rot="0" vert="horz"/>
              <a:lstStyle/>
              <a:p>
                <a:pPr>
                  <a:defRPr sz="800" b="0"/>
                </a:pPr>
                <a:r>
                  <a:rPr lang="sl-SI" sz="800" b="0"/>
                  <a:t>vrednost v EUR</a:t>
                </a:r>
              </a:p>
            </c:rich>
          </c:tx>
          <c:layout>
            <c:manualLayout>
              <c:xMode val="edge"/>
              <c:yMode val="edge"/>
              <c:x val="0.84904732789363102"/>
              <c:y val="0.77274970337611903"/>
            </c:manualLayout>
          </c:layout>
          <c:overlay val="0"/>
        </c:title>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1366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Amortizacija (SE360 - </a:t>
            </a:r>
            <a:r>
              <a:rPr lang="sl-SI" sz="900"/>
              <a:t>"</a:t>
            </a:r>
            <a:r>
              <a:rPr lang="en-US" sz="900"/>
              <a:t>depreciation</a:t>
            </a:r>
            <a:r>
              <a:rPr lang="sl-SI" sz="900"/>
              <a:t>"</a:t>
            </a:r>
            <a:r>
              <a:rPr lang="en-US" sz="900"/>
              <a:t>) kot % bruto dohodka na kmetiji (SE410 - </a:t>
            </a:r>
            <a:r>
              <a:rPr lang="sl-SI" sz="900"/>
              <a:t>"g</a:t>
            </a:r>
            <a:r>
              <a:rPr lang="en-US" sz="900"/>
              <a:t>ross farm income</a:t>
            </a:r>
            <a:r>
              <a:rPr lang="sl-SI" sz="900"/>
              <a:t>"</a:t>
            </a:r>
            <a:r>
              <a:rPr lang="en-US" sz="900"/>
              <a:t>)</a:t>
            </a:r>
            <a:r>
              <a:rPr lang="sl-SI" sz="900"/>
              <a:t> - leto 2018</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'Amortizacija po državah'!$B$39</c:f>
              <c:strCache>
                <c:ptCount val="1"/>
                <c:pt idx="0">
                  <c:v>Amortizacija (SE360 - depreciation) kot % bruto dohodka na kmetiji (SE410 - gross farm income)</c:v>
                </c:pt>
              </c:strCache>
            </c:strRef>
          </c:tx>
          <c:spPr>
            <a:solidFill>
              <a:srgbClr val="92D050"/>
            </a:solidFill>
            <a:ln>
              <a:noFill/>
            </a:ln>
            <a:effectLst/>
          </c:spPr>
          <c:invertIfNegative val="0"/>
          <c:dPt>
            <c:idx val="10"/>
            <c:invertIfNegative val="0"/>
            <c:bubble3D val="0"/>
            <c:spPr>
              <a:solidFill>
                <a:srgbClr val="FFC000"/>
              </a:solidFill>
              <a:ln>
                <a:noFill/>
              </a:ln>
              <a:effectLst/>
            </c:spPr>
            <c:extLst>
              <c:ext xmlns:c16="http://schemas.microsoft.com/office/drawing/2014/chart" uri="{C3380CC4-5D6E-409C-BE32-E72D297353CC}">
                <c16:uniqueId val="{00000001-F99D-4571-B18E-EE5FDC4DFD11}"/>
              </c:ext>
            </c:extLst>
          </c:dPt>
          <c:dPt>
            <c:idx val="28"/>
            <c:invertIfNegative val="0"/>
            <c:bubble3D val="0"/>
            <c:spPr>
              <a:solidFill>
                <a:srgbClr val="FFC000"/>
              </a:solidFill>
              <a:ln>
                <a:noFill/>
              </a:ln>
              <a:effectLst/>
            </c:spPr>
            <c:extLst>
              <c:ext xmlns:c16="http://schemas.microsoft.com/office/drawing/2014/chart" uri="{C3380CC4-5D6E-409C-BE32-E72D297353CC}">
                <c16:uniqueId val="{00000003-F99D-4571-B18E-EE5FDC4DFD11}"/>
              </c:ext>
            </c:extLst>
          </c:dPt>
          <c:cat>
            <c:strRef>
              <c:f>'Amortizacija po državah'!$A$40:$A$68</c:f>
              <c:strCache>
                <c:ptCount val="29"/>
                <c:pt idx="0">
                  <c:v>ES</c:v>
                </c:pt>
                <c:pt idx="1">
                  <c:v>IT</c:v>
                </c:pt>
                <c:pt idx="2">
                  <c:v>RO</c:v>
                </c:pt>
                <c:pt idx="3">
                  <c:v>PT</c:v>
                </c:pt>
                <c:pt idx="4">
                  <c:v>HU</c:v>
                </c:pt>
                <c:pt idx="5">
                  <c:v>CY</c:v>
                </c:pt>
                <c:pt idx="6">
                  <c:v>MT</c:v>
                </c:pt>
                <c:pt idx="7">
                  <c:v>IE</c:v>
                </c:pt>
                <c:pt idx="8">
                  <c:v>BG</c:v>
                </c:pt>
                <c:pt idx="9">
                  <c:v>EL</c:v>
                </c:pt>
                <c:pt idx="10">
                  <c:v>Skupaj EU-28</c:v>
                </c:pt>
                <c:pt idx="11">
                  <c:v>NL</c:v>
                </c:pt>
                <c:pt idx="12">
                  <c:v>CZ</c:v>
                </c:pt>
                <c:pt idx="13">
                  <c:v>BE</c:v>
                </c:pt>
                <c:pt idx="14">
                  <c:v>CR</c:v>
                </c:pt>
                <c:pt idx="15">
                  <c:v>DE</c:v>
                </c:pt>
                <c:pt idx="16">
                  <c:v>UK</c:v>
                </c:pt>
                <c:pt idx="17">
                  <c:v>SK</c:v>
                </c:pt>
                <c:pt idx="18">
                  <c:v>DK</c:v>
                </c:pt>
                <c:pt idx="19">
                  <c:v>PL</c:v>
                </c:pt>
                <c:pt idx="20">
                  <c:v>FR</c:v>
                </c:pt>
                <c:pt idx="21">
                  <c:v>AT</c:v>
                </c:pt>
                <c:pt idx="22">
                  <c:v>EE</c:v>
                </c:pt>
                <c:pt idx="23">
                  <c:v>LV</c:v>
                </c:pt>
                <c:pt idx="24">
                  <c:v>FI</c:v>
                </c:pt>
                <c:pt idx="25">
                  <c:v>SE</c:v>
                </c:pt>
                <c:pt idx="26">
                  <c:v>LU</c:v>
                </c:pt>
                <c:pt idx="27">
                  <c:v>LT</c:v>
                </c:pt>
                <c:pt idx="28">
                  <c:v>SI</c:v>
                </c:pt>
              </c:strCache>
            </c:strRef>
          </c:cat>
          <c:val>
            <c:numRef>
              <c:f>'Amortizacija po državah'!$B$40:$B$68</c:f>
              <c:numCache>
                <c:formatCode>0%</c:formatCode>
                <c:ptCount val="29"/>
                <c:pt idx="0">
                  <c:v>9.2984305017125221E-2</c:v>
                </c:pt>
                <c:pt idx="1">
                  <c:v>0.11824655010268123</c:v>
                </c:pt>
                <c:pt idx="2">
                  <c:v>0.13872832369942195</c:v>
                </c:pt>
                <c:pt idx="3">
                  <c:v>0.14158305462653289</c:v>
                </c:pt>
                <c:pt idx="4">
                  <c:v>0.15814734821214302</c:v>
                </c:pt>
                <c:pt idx="5">
                  <c:v>0.16736354390326591</c:v>
                </c:pt>
                <c:pt idx="6">
                  <c:v>0.17204301075268819</c:v>
                </c:pt>
                <c:pt idx="7">
                  <c:v>0.17878548004071015</c:v>
                </c:pt>
                <c:pt idx="8">
                  <c:v>0.18001735943678271</c:v>
                </c:pt>
                <c:pt idx="9">
                  <c:v>0.20214589549869849</c:v>
                </c:pt>
                <c:pt idx="10">
                  <c:v>0.2241469816272966</c:v>
                </c:pt>
                <c:pt idx="11">
                  <c:v>0.23802574368246587</c:v>
                </c:pt>
                <c:pt idx="12">
                  <c:v>0.23966458075582889</c:v>
                </c:pt>
                <c:pt idx="13">
                  <c:v>0.24014369933677229</c:v>
                </c:pt>
                <c:pt idx="14">
                  <c:v>0.24306172291296627</c:v>
                </c:pt>
                <c:pt idx="15">
                  <c:v>0.26367717272337926</c:v>
                </c:pt>
                <c:pt idx="16">
                  <c:v>0.26578295278189817</c:v>
                </c:pt>
                <c:pt idx="17">
                  <c:v>0.26766632195794554</c:v>
                </c:pt>
                <c:pt idx="18">
                  <c:v>0.29064362188759491</c:v>
                </c:pt>
                <c:pt idx="19">
                  <c:v>0.30717842827644842</c:v>
                </c:pt>
                <c:pt idx="20">
                  <c:v>0.31072575593361901</c:v>
                </c:pt>
                <c:pt idx="21">
                  <c:v>0.33261692286128114</c:v>
                </c:pt>
                <c:pt idx="22">
                  <c:v>0.37690873062128455</c:v>
                </c:pt>
                <c:pt idx="23">
                  <c:v>0.38024780860739471</c:v>
                </c:pt>
                <c:pt idx="24">
                  <c:v>0.41116247844860471</c:v>
                </c:pt>
                <c:pt idx="25">
                  <c:v>0.41505532944098411</c:v>
                </c:pt>
                <c:pt idx="26">
                  <c:v>0.43918534777445933</c:v>
                </c:pt>
                <c:pt idx="27">
                  <c:v>0.44160650644247462</c:v>
                </c:pt>
                <c:pt idx="28">
                  <c:v>0.52480158730158732</c:v>
                </c:pt>
              </c:numCache>
            </c:numRef>
          </c:val>
          <c:extLst>
            <c:ext xmlns:c16="http://schemas.microsoft.com/office/drawing/2014/chart" uri="{C3380CC4-5D6E-409C-BE32-E72D297353CC}">
              <c16:uniqueId val="{00000004-F99D-4571-B18E-EE5FDC4DFD11}"/>
            </c:ext>
          </c:extLst>
        </c:ser>
        <c:dLbls>
          <c:showLegendKey val="0"/>
          <c:showVal val="0"/>
          <c:showCatName val="0"/>
          <c:showSerName val="0"/>
          <c:showPercent val="0"/>
          <c:showBubbleSize val="0"/>
        </c:dLbls>
        <c:gapWidth val="219"/>
        <c:overlap val="-27"/>
        <c:axId val="144149888"/>
        <c:axId val="144172160"/>
      </c:barChart>
      <c:catAx>
        <c:axId val="1441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72160"/>
        <c:crosses val="autoZero"/>
        <c:auto val="1"/>
        <c:lblAlgn val="ctr"/>
        <c:lblOffset val="100"/>
        <c:noMultiLvlLbl val="0"/>
      </c:catAx>
      <c:valAx>
        <c:axId val="14417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49888"/>
        <c:crosses val="autoZero"/>
        <c:crossBetween val="between"/>
      </c:valAx>
      <c:spPr>
        <a:noFill/>
        <a:ln>
          <a:noFill/>
        </a:ln>
        <a:effectLst/>
      </c:spPr>
    </c:plotArea>
    <c:plotVisOnly val="1"/>
    <c:dispBlanksAs val="gap"/>
    <c:showDLblsOverMax val="0"/>
  </c:chart>
  <c:spPr>
    <a:gradFill>
      <a:gsLst>
        <a:gs pos="24000">
          <a:schemeClr val="accent3">
            <a:lumMod val="5000"/>
            <a:lumOff val="95000"/>
          </a:schemeClr>
        </a:gs>
        <a:gs pos="80000">
          <a:schemeClr val="accent3">
            <a:lumMod val="45000"/>
            <a:lumOff val="55000"/>
          </a:schemeClr>
        </a:gs>
        <a:gs pos="100000">
          <a:schemeClr val="accent1">
            <a:lumMod val="20000"/>
            <a:lumOff val="80000"/>
          </a:schemeClr>
        </a:gs>
        <a:gs pos="95000">
          <a:schemeClr val="accent1">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List1!$L$6</c:f>
              <c:strCache>
                <c:ptCount val="1"/>
                <c:pt idx="0">
                  <c:v>Slovenija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List1!$M$6:$R$6</c:f>
              <c:numCache>
                <c:formatCode>0%</c:formatCode>
                <c:ptCount val="6"/>
                <c:pt idx="0">
                  <c:v>0.14000000000000001</c:v>
                </c:pt>
                <c:pt idx="1">
                  <c:v>0.3</c:v>
                </c:pt>
                <c:pt idx="2">
                  <c:v>0.45</c:v>
                </c:pt>
                <c:pt idx="3">
                  <c:v>0.15</c:v>
                </c:pt>
                <c:pt idx="4">
                  <c:v>0.13</c:v>
                </c:pt>
                <c:pt idx="5">
                  <c:v>0.2</c:v>
                </c:pt>
              </c:numCache>
            </c:numRef>
          </c:val>
          <c:extLst>
            <c:ext xmlns:c16="http://schemas.microsoft.com/office/drawing/2014/chart" uri="{C3380CC4-5D6E-409C-BE32-E72D297353CC}">
              <c16:uniqueId val="{00000000-1DE7-4F85-9F9B-20E937627FCC}"/>
            </c:ext>
          </c:extLst>
        </c:ser>
        <c:ser>
          <c:idx val="1"/>
          <c:order val="1"/>
          <c:tx>
            <c:strRef>
              <c:f>List1!$L$7</c:f>
              <c:strCache>
                <c:ptCount val="1"/>
                <c:pt idx="0">
                  <c:v>EU-24</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List1!$M$7:$R$7</c:f>
              <c:numCache>
                <c:formatCode>0%</c:formatCode>
                <c:ptCount val="6"/>
                <c:pt idx="0">
                  <c:v>0.18</c:v>
                </c:pt>
                <c:pt idx="1">
                  <c:v>0.38</c:v>
                </c:pt>
                <c:pt idx="2">
                  <c:v>0.47</c:v>
                </c:pt>
                <c:pt idx="3">
                  <c:v>0.12</c:v>
                </c:pt>
                <c:pt idx="4">
                  <c:v>0.1</c:v>
                </c:pt>
                <c:pt idx="5">
                  <c:v>0.11</c:v>
                </c:pt>
              </c:numCache>
            </c:numRef>
          </c:val>
          <c:extLst>
            <c:ext xmlns:c16="http://schemas.microsoft.com/office/drawing/2014/chart" uri="{C3380CC4-5D6E-409C-BE32-E72D297353CC}">
              <c16:uniqueId val="{00000001-1DE7-4F85-9F9B-20E937627FCC}"/>
            </c:ext>
          </c:extLst>
        </c:ser>
        <c:dLbls>
          <c:showLegendKey val="0"/>
          <c:showVal val="0"/>
          <c:showCatName val="0"/>
          <c:showSerName val="0"/>
          <c:showPercent val="0"/>
          <c:showBubbleSize val="0"/>
        </c:dLbls>
        <c:gapWidth val="219"/>
        <c:overlap val="-27"/>
        <c:axId val="167479936"/>
        <c:axId val="167485824"/>
      </c:barChart>
      <c:catAx>
        <c:axId val="1674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67485824"/>
        <c:crosses val="autoZero"/>
        <c:auto val="1"/>
        <c:lblAlgn val="ctr"/>
        <c:lblOffset val="100"/>
        <c:noMultiLvlLbl val="0"/>
      </c:catAx>
      <c:valAx>
        <c:axId val="167485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479936"/>
        <c:crosses val="autoZero"/>
        <c:crossBetween val="between"/>
      </c:valAx>
      <c:spPr>
        <a:gradFill>
          <a:gsLst>
            <a:gs pos="0">
              <a:schemeClr val="bg1">
                <a:lumMod val="95000"/>
              </a:schemeClr>
            </a:gs>
            <a:gs pos="50000">
              <a:schemeClr val="bg1">
                <a:lumMod val="85000"/>
              </a:schemeClr>
            </a:gs>
            <a:gs pos="93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A554-4FB7-9511-F5A3FD0FB73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A554-4FB7-9511-F5A3FD0FB73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A554-4FB7-9511-F5A3FD0FB73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A554-4FB7-9511-F5A3FD0FB730}"/>
              </c:ext>
            </c:extLst>
          </c:dPt>
          <c:dLbls>
            <c:dLbl>
              <c:idx val="0"/>
              <c:layout>
                <c:manualLayout>
                  <c:x val="0.10277777777777777"/>
                  <c:y val="-0.1759259259259259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54-4FB7-9511-F5A3FD0FB730}"/>
                </c:ext>
              </c:extLst>
            </c:dLbl>
            <c:dLbl>
              <c:idx val="1"/>
              <c:layout>
                <c:manualLayout>
                  <c:x val="0.14444444444444443"/>
                  <c:y val="-5.55555555555556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54-4FB7-9511-F5A3FD0FB730}"/>
                </c:ext>
              </c:extLst>
            </c:dLbl>
            <c:dLbl>
              <c:idx val="2"/>
              <c:layout>
                <c:manualLayout>
                  <c:x val="-0.17500000000000004"/>
                  <c:y val="-3.24074074074074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54-4FB7-9511-F5A3FD0FB730}"/>
                </c:ext>
              </c:extLst>
            </c:dLbl>
            <c:dLbl>
              <c:idx val="3"/>
              <c:layout>
                <c:manualLayout>
                  <c:x val="-8.8888888888888837E-2"/>
                  <c:y val="-0.185185185185185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54-4FB7-9511-F5A3FD0FB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eparator>
</c:separator>
            <c:showLeaderLines val="1"/>
            <c:leaderLines>
              <c:spPr>
                <a:ln>
                  <a:noFill/>
                </a:ln>
                <a:effectLst/>
              </c:spPr>
            </c:leaderLines>
            <c:extLst>
              <c:ext xmlns:c15="http://schemas.microsoft.com/office/drawing/2012/chart" uri="{CE6537A1-D6FC-4f65-9D91-7224C49458BB}"/>
            </c:extLst>
          </c:dLbls>
          <c:cat>
            <c:strRef>
              <c:f>List1!$D$3:$G$3</c:f>
              <c:strCache>
                <c:ptCount val="4"/>
                <c:pt idx="0">
                  <c:v>kratkoročna posojila</c:v>
                </c:pt>
                <c:pt idx="1">
                  <c:v>srednjeročna posojila</c:v>
                </c:pt>
                <c:pt idx="2">
                  <c:v>dolgoročna posojila</c:v>
                </c:pt>
                <c:pt idx="3">
                  <c:v>kreditna linija / limit</c:v>
                </c:pt>
              </c:strCache>
            </c:strRef>
          </c:cat>
          <c:val>
            <c:numRef>
              <c:f>List1!$D$4:$G$4</c:f>
              <c:numCache>
                <c:formatCode>General</c:formatCode>
                <c:ptCount val="4"/>
                <c:pt idx="0">
                  <c:v>84</c:v>
                </c:pt>
                <c:pt idx="1">
                  <c:v>196.4</c:v>
                </c:pt>
                <c:pt idx="2">
                  <c:v>594.6</c:v>
                </c:pt>
                <c:pt idx="3">
                  <c:v>76.900000000000006</c:v>
                </c:pt>
              </c:numCache>
            </c:numRef>
          </c:val>
          <c:extLst>
            <c:ext xmlns:c16="http://schemas.microsoft.com/office/drawing/2014/chart" uri="{C3380CC4-5D6E-409C-BE32-E72D297353CC}">
              <c16:uniqueId val="{00000008-A554-4FB7-9511-F5A3FD0FB73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Velikost!$F$2</c:f>
              <c:strCache>
                <c:ptCount val="1"/>
                <c:pt idx="0">
                  <c:v>Št. GERK na KMG</c:v>
                </c:pt>
              </c:strCache>
            </c:strRef>
          </c:tx>
          <c:spPr>
            <a:ln w="28575" cap="rnd">
              <a:solidFill>
                <a:schemeClr val="accent1"/>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Velikost!$F$3:$F$9</c:f>
              <c:numCache>
                <c:formatCode>General</c:formatCode>
                <c:ptCount val="7"/>
                <c:pt idx="0">
                  <c:v>3.19</c:v>
                </c:pt>
                <c:pt idx="1">
                  <c:v>9.0500000000000007</c:v>
                </c:pt>
                <c:pt idx="2">
                  <c:v>13.62</c:v>
                </c:pt>
                <c:pt idx="3">
                  <c:v>20.079999999999998</c:v>
                </c:pt>
                <c:pt idx="4">
                  <c:v>30.63</c:v>
                </c:pt>
                <c:pt idx="5">
                  <c:v>42.71</c:v>
                </c:pt>
                <c:pt idx="6">
                  <c:v>68.28</c:v>
                </c:pt>
              </c:numCache>
            </c:numRef>
          </c:val>
          <c:smooth val="0"/>
          <c:extLst>
            <c:ext xmlns:c16="http://schemas.microsoft.com/office/drawing/2014/chart" uri="{C3380CC4-5D6E-409C-BE32-E72D297353CC}">
              <c16:uniqueId val="{00000000-1E94-488F-AA33-47CF1C2ECC05}"/>
            </c:ext>
          </c:extLst>
        </c:ser>
        <c:dLbls>
          <c:showLegendKey val="0"/>
          <c:showVal val="0"/>
          <c:showCatName val="0"/>
          <c:showSerName val="0"/>
          <c:showPercent val="0"/>
          <c:showBubbleSize val="0"/>
        </c:dLbls>
        <c:marker val="1"/>
        <c:smooth val="0"/>
        <c:axId val="167820288"/>
        <c:axId val="167826176"/>
      </c:lineChart>
      <c:lineChart>
        <c:grouping val="standard"/>
        <c:varyColors val="0"/>
        <c:ser>
          <c:idx val="1"/>
          <c:order val="1"/>
          <c:tx>
            <c:strRef>
              <c:f>Velikost!$G$2</c:f>
              <c:strCache>
                <c:ptCount val="1"/>
                <c:pt idx="0">
                  <c:v>Povprečna velikost GERK</c:v>
                </c:pt>
              </c:strCache>
            </c:strRef>
          </c:tx>
          <c:spPr>
            <a:ln w="28575" cap="rnd">
              <a:solidFill>
                <a:srgbClr val="92D050"/>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Velikost!$G$3:$G$9</c:f>
              <c:numCache>
                <c:formatCode>General</c:formatCode>
                <c:ptCount val="7"/>
                <c:pt idx="0">
                  <c:v>0.21</c:v>
                </c:pt>
                <c:pt idx="1">
                  <c:v>0.37</c:v>
                </c:pt>
                <c:pt idx="2">
                  <c:v>0.52</c:v>
                </c:pt>
                <c:pt idx="3">
                  <c:v>0.68</c:v>
                </c:pt>
                <c:pt idx="4">
                  <c:v>0.79</c:v>
                </c:pt>
                <c:pt idx="5">
                  <c:v>0.88</c:v>
                </c:pt>
                <c:pt idx="6">
                  <c:v>1.6</c:v>
                </c:pt>
              </c:numCache>
            </c:numRef>
          </c:val>
          <c:smooth val="0"/>
          <c:extLst>
            <c:ext xmlns:c16="http://schemas.microsoft.com/office/drawing/2014/chart" uri="{C3380CC4-5D6E-409C-BE32-E72D297353CC}">
              <c16:uniqueId val="{00000001-1E94-488F-AA33-47CF1C2ECC05}"/>
            </c:ext>
          </c:extLst>
        </c:ser>
        <c:dLbls>
          <c:showLegendKey val="0"/>
          <c:showVal val="0"/>
          <c:showCatName val="0"/>
          <c:showSerName val="0"/>
          <c:showPercent val="0"/>
          <c:showBubbleSize val="0"/>
        </c:dLbls>
        <c:marker val="1"/>
        <c:smooth val="0"/>
        <c:axId val="167834368"/>
        <c:axId val="167828096"/>
      </c:lineChart>
      <c:catAx>
        <c:axId val="1678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26176"/>
        <c:crosses val="autoZero"/>
        <c:auto val="1"/>
        <c:lblAlgn val="ctr"/>
        <c:lblOffset val="100"/>
        <c:noMultiLvlLbl val="0"/>
      </c:catAx>
      <c:valAx>
        <c:axId val="167826176"/>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20288"/>
        <c:crosses val="autoZero"/>
        <c:crossBetween val="between"/>
      </c:valAx>
      <c:valAx>
        <c:axId val="16782809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34368"/>
        <c:crosses val="max"/>
        <c:crossBetween val="between"/>
      </c:valAx>
      <c:catAx>
        <c:axId val="167834368"/>
        <c:scaling>
          <c:orientation val="minMax"/>
        </c:scaling>
        <c:delete val="1"/>
        <c:axPos val="b"/>
        <c:numFmt formatCode="General" sourceLinked="1"/>
        <c:majorTickMark val="out"/>
        <c:minorTickMark val="none"/>
        <c:tickLblPos val="nextTo"/>
        <c:crossAx val="167828096"/>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layout>
        <c:manualLayout>
          <c:xMode val="edge"/>
          <c:yMode val="edge"/>
          <c:x val="0.25481155133386102"/>
          <c:y val="0.86737998475996958"/>
          <c:w val="0.48596772625644019"/>
          <c:h val="8.423291846583692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no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5"/>
          <c:dPt>
            <c:idx val="0"/>
            <c:bubble3D val="0"/>
            <c:spPr>
              <a:solidFill>
                <a:schemeClr val="tx2">
                  <a:lumMod val="40000"/>
                  <a:lumOff val="60000"/>
                </a:schemeClr>
              </a:solidFill>
            </c:spPr>
            <c:extLst>
              <c:ext xmlns:c16="http://schemas.microsoft.com/office/drawing/2014/chart" uri="{C3380CC4-5D6E-409C-BE32-E72D297353CC}">
                <c16:uniqueId val="{00000001-C88B-4782-84DA-830BE8574809}"/>
              </c:ext>
            </c:extLst>
          </c:dPt>
          <c:dPt>
            <c:idx val="1"/>
            <c:bubble3D val="0"/>
            <c:spPr>
              <a:solidFill>
                <a:schemeClr val="accent6">
                  <a:lumMod val="40000"/>
                  <a:lumOff val="60000"/>
                </a:schemeClr>
              </a:solidFill>
            </c:spPr>
            <c:extLst>
              <c:ext xmlns:c16="http://schemas.microsoft.com/office/drawing/2014/chart" uri="{C3380CC4-5D6E-409C-BE32-E72D297353CC}">
                <c16:uniqueId val="{00000003-C88B-4782-84DA-830BE8574809}"/>
              </c:ext>
            </c:extLst>
          </c:dPt>
          <c:dPt>
            <c:idx val="2"/>
            <c:bubble3D val="0"/>
            <c:spPr>
              <a:solidFill>
                <a:srgbClr val="CCFF99"/>
              </a:solidFill>
            </c:spPr>
            <c:extLst>
              <c:ext xmlns:c16="http://schemas.microsoft.com/office/drawing/2014/chart" uri="{C3380CC4-5D6E-409C-BE32-E72D297353CC}">
                <c16:uniqueId val="{00000005-C88B-4782-84DA-830BE8574809}"/>
              </c:ext>
            </c:extLst>
          </c:dPt>
          <c:dPt>
            <c:idx val="5"/>
            <c:bubble3D val="0"/>
            <c:spPr>
              <a:solidFill>
                <a:srgbClr val="FFFF00"/>
              </a:solidFill>
            </c:spPr>
            <c:extLst>
              <c:ext xmlns:c16="http://schemas.microsoft.com/office/drawing/2014/chart" uri="{C3380CC4-5D6E-409C-BE32-E72D297353CC}">
                <c16:uniqueId val="{00000007-C88B-4782-84DA-830BE8574809}"/>
              </c:ext>
            </c:extLst>
          </c:dPt>
          <c:dLbls>
            <c:dLbl>
              <c:idx val="0"/>
              <c:layout>
                <c:manualLayout>
                  <c:x val="3.0424140769386075E-2"/>
                  <c:y val="-1.3791149480875411E-2"/>
                </c:manualLayout>
              </c:layout>
              <c:tx>
                <c:rich>
                  <a:bodyPr/>
                  <a:lstStyle/>
                  <a:p>
                    <a:r>
                      <a:rPr lang="en-US"/>
                      <a:t>Specializirani rejec pašne živine
35,7%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8B-4782-84DA-830BE8574809}"/>
                </c:ext>
              </c:extLst>
            </c:dLbl>
            <c:dLbl>
              <c:idx val="1"/>
              <c:layout>
                <c:manualLayout>
                  <c:x val="8.8218989268353296E-2"/>
                  <c:y val="-5.4719050361597861E-2"/>
                </c:manualLayout>
              </c:layout>
              <c:tx>
                <c:rich>
                  <a:bodyPr/>
                  <a:lstStyle/>
                  <a:p>
                    <a:r>
                      <a:rPr lang="en-US"/>
                      <a:t>Specializirani pridelovalec poljščin
19,2%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8B-4782-84DA-830BE8574809}"/>
                </c:ext>
              </c:extLst>
            </c:dLbl>
            <c:dLbl>
              <c:idx val="2"/>
              <c:layout>
                <c:manualLayout>
                  <c:x val="-3.2179720138532979E-2"/>
                  <c:y val="-3.6036693275720323E-2"/>
                </c:manualLayout>
              </c:layout>
              <c:tx>
                <c:rich>
                  <a:bodyPr/>
                  <a:lstStyle/>
                  <a:p>
                    <a:r>
                      <a:rPr lang="en-US"/>
                      <a:t>Mešano rastlinska pridelava – živinoreja
17,2%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8B-4782-84DA-830BE8574809}"/>
                </c:ext>
              </c:extLst>
            </c:dLbl>
            <c:dLbl>
              <c:idx val="3"/>
              <c:layout>
                <c:manualLayout>
                  <c:x val="1.3857568839398034E-3"/>
                  <c:y val="-1.7809566684768005E-2"/>
                </c:manualLayout>
              </c:layout>
              <c:tx>
                <c:rich>
                  <a:bodyPr/>
                  <a:lstStyle/>
                  <a:p>
                    <a:r>
                      <a:rPr lang="en-US"/>
                      <a:t>Specializirani gojitelj trajnih nasadov
13,1%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88B-4782-84DA-830BE8574809}"/>
                </c:ext>
              </c:extLst>
            </c:dLbl>
            <c:dLbl>
              <c:idx val="4"/>
              <c:layout>
                <c:manualLayout>
                  <c:x val="-4.5145477175035545E-2"/>
                  <c:y val="2.6020117145846192E-2"/>
                </c:manualLayout>
              </c:layout>
              <c:tx>
                <c:rich>
                  <a:bodyPr/>
                  <a:lstStyle/>
                  <a:p>
                    <a:r>
                      <a:rPr lang="en-US"/>
                      <a:t>Mešana rastlinska pridelava
8,2%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8B-4782-84DA-830BE8574809}"/>
                </c:ext>
              </c:extLst>
            </c:dLbl>
            <c:dLbl>
              <c:idx val="5"/>
              <c:layout>
                <c:manualLayout>
                  <c:x val="-2.3128407026044823E-2"/>
                  <c:y val="2.9494479269105687E-3"/>
                </c:manualLayout>
              </c:layout>
              <c:tx>
                <c:rich>
                  <a:bodyPr/>
                  <a:lstStyle/>
                  <a:p>
                    <a:r>
                      <a:rPr lang="en-US"/>
                      <a:t>Mešana živinoreja
5,4%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8B-4782-84DA-830BE8574809}"/>
                </c:ext>
              </c:extLst>
            </c:dLbl>
            <c:dLbl>
              <c:idx val="6"/>
              <c:tx>
                <c:rich>
                  <a:bodyPr/>
                  <a:lstStyle/>
                  <a:p>
                    <a:r>
                      <a:rPr lang="en-US"/>
                      <a:t>Specializirani vrtnar
0,6%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88B-4782-84DA-830BE8574809}"/>
                </c:ext>
              </c:extLst>
            </c:dLbl>
            <c:dLbl>
              <c:idx val="7"/>
              <c:tx>
                <c:rich>
                  <a:bodyPr/>
                  <a:lstStyle/>
                  <a:p>
                    <a:r>
                      <a:rPr lang="en-US"/>
                      <a:t>Specializirani prašičerejci in perutninarji
0,6%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8B-4782-84DA-830BE8574809}"/>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List2!$A$1:$A$8</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List2!$B$1:$B$8</c:f>
              <c:numCache>
                <c:formatCode>#,##0</c:formatCode>
                <c:ptCount val="8"/>
                <c:pt idx="0">
                  <c:v>24983</c:v>
                </c:pt>
                <c:pt idx="1">
                  <c:v>13413</c:v>
                </c:pt>
                <c:pt idx="2">
                  <c:v>11962</c:v>
                </c:pt>
                <c:pt idx="3">
                  <c:v>9189</c:v>
                </c:pt>
                <c:pt idx="4">
                  <c:v>5720</c:v>
                </c:pt>
                <c:pt idx="5">
                  <c:v>3793</c:v>
                </c:pt>
                <c:pt idx="6">
                  <c:v>432</c:v>
                </c:pt>
                <c:pt idx="7">
                  <c:v>410</c:v>
                </c:pt>
              </c:numCache>
            </c:numRef>
          </c:val>
          <c:extLst>
            <c:ext xmlns:c16="http://schemas.microsoft.com/office/drawing/2014/chart" uri="{C3380CC4-5D6E-409C-BE32-E72D297353CC}">
              <c16:uniqueId val="{0000000C-C88B-4782-84DA-830BE857480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NMV!$F$2</c:f>
              <c:strCache>
                <c:ptCount val="1"/>
                <c:pt idx="0">
                  <c:v>Št. GERK na KMG</c:v>
                </c:pt>
              </c:strCache>
            </c:strRef>
          </c:tx>
          <c:spPr>
            <a:ln w="28575" cap="rnd">
              <a:solidFill>
                <a:schemeClr val="accent1"/>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NMV!$F$3:$F$8</c:f>
              <c:numCache>
                <c:formatCode>General</c:formatCode>
                <c:ptCount val="6"/>
                <c:pt idx="0">
                  <c:v>12.95</c:v>
                </c:pt>
                <c:pt idx="1">
                  <c:v>13.89</c:v>
                </c:pt>
                <c:pt idx="2">
                  <c:v>13.18</c:v>
                </c:pt>
                <c:pt idx="3">
                  <c:v>14.52</c:v>
                </c:pt>
                <c:pt idx="4">
                  <c:v>12.66</c:v>
                </c:pt>
                <c:pt idx="5">
                  <c:v>10.99</c:v>
                </c:pt>
              </c:numCache>
            </c:numRef>
          </c:val>
          <c:smooth val="0"/>
          <c:extLst>
            <c:ext xmlns:c16="http://schemas.microsoft.com/office/drawing/2014/chart" uri="{C3380CC4-5D6E-409C-BE32-E72D297353CC}">
              <c16:uniqueId val="{00000000-DA28-4CA4-8166-EF69AB859342}"/>
            </c:ext>
          </c:extLst>
        </c:ser>
        <c:dLbls>
          <c:showLegendKey val="0"/>
          <c:showVal val="0"/>
          <c:showCatName val="0"/>
          <c:showSerName val="0"/>
          <c:showPercent val="0"/>
          <c:showBubbleSize val="0"/>
        </c:dLbls>
        <c:marker val="1"/>
        <c:smooth val="0"/>
        <c:axId val="167275904"/>
        <c:axId val="167289984"/>
      </c:lineChart>
      <c:lineChart>
        <c:grouping val="standard"/>
        <c:varyColors val="0"/>
        <c:ser>
          <c:idx val="1"/>
          <c:order val="1"/>
          <c:tx>
            <c:strRef>
              <c:f>NMV!$G$2</c:f>
              <c:strCache>
                <c:ptCount val="1"/>
                <c:pt idx="0">
                  <c:v>Povprečna velikost GERK</c:v>
                </c:pt>
              </c:strCache>
            </c:strRef>
          </c:tx>
          <c:spPr>
            <a:ln w="28575" cap="rnd">
              <a:solidFill>
                <a:srgbClr val="92D050"/>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NMV!$G$3:$G$8</c:f>
              <c:numCache>
                <c:formatCode>General</c:formatCode>
                <c:ptCount val="6"/>
                <c:pt idx="0">
                  <c:v>0.52</c:v>
                </c:pt>
                <c:pt idx="1">
                  <c:v>0.64</c:v>
                </c:pt>
                <c:pt idx="2">
                  <c:v>0.54</c:v>
                </c:pt>
                <c:pt idx="3">
                  <c:v>0.52</c:v>
                </c:pt>
                <c:pt idx="4">
                  <c:v>0.65</c:v>
                </c:pt>
                <c:pt idx="5">
                  <c:v>0.95</c:v>
                </c:pt>
              </c:numCache>
            </c:numRef>
          </c:val>
          <c:smooth val="0"/>
          <c:extLst>
            <c:ext xmlns:c16="http://schemas.microsoft.com/office/drawing/2014/chart" uri="{C3380CC4-5D6E-409C-BE32-E72D297353CC}">
              <c16:uniqueId val="{00000001-DA28-4CA4-8166-EF69AB859342}"/>
            </c:ext>
          </c:extLst>
        </c:ser>
        <c:dLbls>
          <c:showLegendKey val="0"/>
          <c:showVal val="0"/>
          <c:showCatName val="0"/>
          <c:showSerName val="0"/>
          <c:showPercent val="0"/>
          <c:showBubbleSize val="0"/>
        </c:dLbls>
        <c:marker val="1"/>
        <c:smooth val="0"/>
        <c:axId val="167302272"/>
        <c:axId val="167291904"/>
      </c:lineChart>
      <c:catAx>
        <c:axId val="16727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289984"/>
        <c:crosses val="autoZero"/>
        <c:auto val="1"/>
        <c:lblAlgn val="ctr"/>
        <c:lblOffset val="100"/>
        <c:noMultiLvlLbl val="0"/>
      </c:catAx>
      <c:valAx>
        <c:axId val="16728998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275904"/>
        <c:crosses val="autoZero"/>
        <c:crossBetween val="between"/>
      </c:valAx>
      <c:valAx>
        <c:axId val="167291904"/>
        <c:scaling>
          <c:orientation val="minMax"/>
          <c:min val="0.5"/>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302272"/>
        <c:crosses val="max"/>
        <c:crossBetween val="between"/>
      </c:valAx>
      <c:catAx>
        <c:axId val="167302272"/>
        <c:scaling>
          <c:orientation val="minMax"/>
        </c:scaling>
        <c:delete val="1"/>
        <c:axPos val="b"/>
        <c:numFmt formatCode="General" sourceLinked="1"/>
        <c:majorTickMark val="out"/>
        <c:minorTickMark val="none"/>
        <c:tickLblPos val="nextTo"/>
        <c:crossAx val="167291904"/>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OMD!$E$2</c:f>
              <c:strCache>
                <c:ptCount val="1"/>
                <c:pt idx="0">
                  <c:v>Št. GERK na KMG</c:v>
                </c:pt>
              </c:strCache>
            </c:strRef>
          </c:tx>
          <c:spPr>
            <a:ln w="28575" cap="rnd">
              <a:solidFill>
                <a:schemeClr val="accent1"/>
              </a:solidFill>
              <a:round/>
            </a:ln>
            <a:effectLst/>
          </c:spPr>
          <c:marker>
            <c:symbol val="none"/>
          </c:marker>
          <c:cat>
            <c:strRef>
              <c:f>OMD!$A$3:$A$6</c:f>
              <c:strCache>
                <c:ptCount val="4"/>
                <c:pt idx="0">
                  <c:v>niOMD</c:v>
                </c:pt>
                <c:pt idx="1">
                  <c:v>PO</c:v>
                </c:pt>
                <c:pt idx="2">
                  <c:v>HGO</c:v>
                </c:pt>
                <c:pt idx="3">
                  <c:v>DO</c:v>
                </c:pt>
              </c:strCache>
            </c:strRef>
          </c:cat>
          <c:val>
            <c:numRef>
              <c:f>OMD!$E$3:$E$6</c:f>
              <c:numCache>
                <c:formatCode>General</c:formatCode>
                <c:ptCount val="4"/>
                <c:pt idx="0">
                  <c:v>14.36</c:v>
                </c:pt>
                <c:pt idx="1">
                  <c:v>12.43</c:v>
                </c:pt>
                <c:pt idx="2">
                  <c:v>12.95</c:v>
                </c:pt>
                <c:pt idx="3">
                  <c:v>17.079999999999998</c:v>
                </c:pt>
              </c:numCache>
            </c:numRef>
          </c:val>
          <c:smooth val="0"/>
          <c:extLst>
            <c:ext xmlns:c16="http://schemas.microsoft.com/office/drawing/2014/chart" uri="{C3380CC4-5D6E-409C-BE32-E72D297353CC}">
              <c16:uniqueId val="{00000000-FBC9-4843-9630-38325B37DB9B}"/>
            </c:ext>
          </c:extLst>
        </c:ser>
        <c:dLbls>
          <c:showLegendKey val="0"/>
          <c:showVal val="0"/>
          <c:showCatName val="0"/>
          <c:showSerName val="0"/>
          <c:showPercent val="0"/>
          <c:showBubbleSize val="0"/>
        </c:dLbls>
        <c:marker val="1"/>
        <c:smooth val="0"/>
        <c:axId val="167992704"/>
        <c:axId val="167998592"/>
      </c:lineChart>
      <c:lineChart>
        <c:grouping val="standard"/>
        <c:varyColors val="0"/>
        <c:ser>
          <c:idx val="1"/>
          <c:order val="1"/>
          <c:tx>
            <c:strRef>
              <c:f>OMD!$F$2</c:f>
              <c:strCache>
                <c:ptCount val="1"/>
                <c:pt idx="0">
                  <c:v>Povprečna velikost GERK</c:v>
                </c:pt>
              </c:strCache>
            </c:strRef>
          </c:tx>
          <c:spPr>
            <a:ln w="28575" cap="rnd">
              <a:solidFill>
                <a:srgbClr val="92D050"/>
              </a:solidFill>
              <a:round/>
            </a:ln>
            <a:effectLst/>
          </c:spPr>
          <c:marker>
            <c:symbol val="none"/>
          </c:marker>
          <c:cat>
            <c:strRef>
              <c:f>OMD!$A$3:$A$6</c:f>
              <c:strCache>
                <c:ptCount val="4"/>
                <c:pt idx="0">
                  <c:v>niOMD</c:v>
                </c:pt>
                <c:pt idx="1">
                  <c:v>PO</c:v>
                </c:pt>
                <c:pt idx="2">
                  <c:v>HGO</c:v>
                </c:pt>
                <c:pt idx="3">
                  <c:v>DO</c:v>
                </c:pt>
              </c:strCache>
            </c:strRef>
          </c:cat>
          <c:val>
            <c:numRef>
              <c:f>OMD!$F$3:$F$6</c:f>
              <c:numCache>
                <c:formatCode>General</c:formatCode>
                <c:ptCount val="4"/>
                <c:pt idx="0">
                  <c:v>0.77</c:v>
                </c:pt>
                <c:pt idx="1">
                  <c:v>0.61</c:v>
                </c:pt>
                <c:pt idx="2">
                  <c:v>0.56999999999999995</c:v>
                </c:pt>
                <c:pt idx="3">
                  <c:v>0.46</c:v>
                </c:pt>
              </c:numCache>
            </c:numRef>
          </c:val>
          <c:smooth val="0"/>
          <c:extLst>
            <c:ext xmlns:c16="http://schemas.microsoft.com/office/drawing/2014/chart" uri="{C3380CC4-5D6E-409C-BE32-E72D297353CC}">
              <c16:uniqueId val="{00000001-FBC9-4843-9630-38325B37DB9B}"/>
            </c:ext>
          </c:extLst>
        </c:ser>
        <c:dLbls>
          <c:showLegendKey val="0"/>
          <c:showVal val="0"/>
          <c:showCatName val="0"/>
          <c:showSerName val="0"/>
          <c:showPercent val="0"/>
          <c:showBubbleSize val="0"/>
        </c:dLbls>
        <c:marker val="1"/>
        <c:smooth val="0"/>
        <c:axId val="168006784"/>
        <c:axId val="168000512"/>
      </c:lineChart>
      <c:catAx>
        <c:axId val="1679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998592"/>
        <c:crosses val="autoZero"/>
        <c:auto val="1"/>
        <c:lblAlgn val="ctr"/>
        <c:lblOffset val="100"/>
        <c:noMultiLvlLbl val="0"/>
      </c:catAx>
      <c:valAx>
        <c:axId val="167998592"/>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992704"/>
        <c:crosses val="autoZero"/>
        <c:crossBetween val="between"/>
      </c:valAx>
      <c:valAx>
        <c:axId val="168000512"/>
        <c:scaling>
          <c:orientation val="minMax"/>
          <c:min val="0.4"/>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8006784"/>
        <c:crosses val="max"/>
        <c:crossBetween val="between"/>
      </c:valAx>
      <c:catAx>
        <c:axId val="168006784"/>
        <c:scaling>
          <c:orientation val="minMax"/>
        </c:scaling>
        <c:delete val="1"/>
        <c:axPos val="b"/>
        <c:numFmt formatCode="General" sourceLinked="1"/>
        <c:majorTickMark val="out"/>
        <c:minorTickMark val="none"/>
        <c:tickLblPos val="nextTo"/>
        <c:crossAx val="168000512"/>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71550277526782E-2"/>
          <c:y val="5.0925925925925923E-2"/>
          <c:w val="0.79325244180543009"/>
          <c:h val="0.49477325750947798"/>
        </c:manualLayout>
      </c:layout>
      <c:lineChart>
        <c:grouping val="standard"/>
        <c:varyColors val="0"/>
        <c:ser>
          <c:idx val="0"/>
          <c:order val="0"/>
          <c:tx>
            <c:strRef>
              <c:f>SO_2014_TIPI!$E$2</c:f>
              <c:strCache>
                <c:ptCount val="1"/>
                <c:pt idx="0">
                  <c:v>Št. GERK na KMG</c:v>
                </c:pt>
              </c:strCache>
            </c:strRef>
          </c:tx>
          <c:spPr>
            <a:ln w="28575" cap="rnd">
              <a:solidFill>
                <a:schemeClr val="accent1"/>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SO_2014_TIPI!$E$3:$E$13</c:f>
              <c:numCache>
                <c:formatCode>General</c:formatCode>
                <c:ptCount val="11"/>
                <c:pt idx="0">
                  <c:v>17.170000000000002</c:v>
                </c:pt>
                <c:pt idx="1">
                  <c:v>13.6</c:v>
                </c:pt>
                <c:pt idx="2">
                  <c:v>22.02</c:v>
                </c:pt>
                <c:pt idx="3">
                  <c:v>11.96</c:v>
                </c:pt>
                <c:pt idx="4">
                  <c:v>13.13</c:v>
                </c:pt>
                <c:pt idx="5">
                  <c:v>7.69</c:v>
                </c:pt>
                <c:pt idx="6">
                  <c:v>12.29</c:v>
                </c:pt>
                <c:pt idx="7">
                  <c:v>11.51</c:v>
                </c:pt>
                <c:pt idx="8">
                  <c:v>7.84</c:v>
                </c:pt>
                <c:pt idx="9">
                  <c:v>3.73</c:v>
                </c:pt>
                <c:pt idx="10">
                  <c:v>9.7100000000000009</c:v>
                </c:pt>
              </c:numCache>
            </c:numRef>
          </c:val>
          <c:smooth val="0"/>
          <c:extLst>
            <c:ext xmlns:c16="http://schemas.microsoft.com/office/drawing/2014/chart" uri="{C3380CC4-5D6E-409C-BE32-E72D297353CC}">
              <c16:uniqueId val="{00000000-9E3C-4DE5-AA23-CB85AFEA1C39}"/>
            </c:ext>
          </c:extLst>
        </c:ser>
        <c:dLbls>
          <c:showLegendKey val="0"/>
          <c:showVal val="0"/>
          <c:showCatName val="0"/>
          <c:showSerName val="0"/>
          <c:showPercent val="0"/>
          <c:showBubbleSize val="0"/>
        </c:dLbls>
        <c:marker val="1"/>
        <c:smooth val="0"/>
        <c:axId val="167717888"/>
        <c:axId val="167719680"/>
      </c:lineChart>
      <c:lineChart>
        <c:grouping val="standard"/>
        <c:varyColors val="0"/>
        <c:ser>
          <c:idx val="1"/>
          <c:order val="1"/>
          <c:tx>
            <c:strRef>
              <c:f>SO_2014_TIPI!$F$2</c:f>
              <c:strCache>
                <c:ptCount val="1"/>
                <c:pt idx="0">
                  <c:v>Povprečna velikost GERK</c:v>
                </c:pt>
              </c:strCache>
            </c:strRef>
          </c:tx>
          <c:spPr>
            <a:ln w="28575" cap="rnd">
              <a:solidFill>
                <a:srgbClr val="92D050"/>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SO_2014_TIPI!$F$3:$F$13</c:f>
              <c:numCache>
                <c:formatCode>General</c:formatCode>
                <c:ptCount val="11"/>
                <c:pt idx="0">
                  <c:v>1.67</c:v>
                </c:pt>
                <c:pt idx="1">
                  <c:v>0.94</c:v>
                </c:pt>
                <c:pt idx="2">
                  <c:v>0.79</c:v>
                </c:pt>
                <c:pt idx="3">
                  <c:v>0.67</c:v>
                </c:pt>
                <c:pt idx="4">
                  <c:v>0.61</c:v>
                </c:pt>
                <c:pt idx="5">
                  <c:v>0.59</c:v>
                </c:pt>
                <c:pt idx="6">
                  <c:v>0.55000000000000004</c:v>
                </c:pt>
                <c:pt idx="7">
                  <c:v>0.49</c:v>
                </c:pt>
                <c:pt idx="8">
                  <c:v>0.43</c:v>
                </c:pt>
                <c:pt idx="9">
                  <c:v>0.35</c:v>
                </c:pt>
                <c:pt idx="10">
                  <c:v>0.32</c:v>
                </c:pt>
              </c:numCache>
            </c:numRef>
          </c:val>
          <c:smooth val="0"/>
          <c:extLst>
            <c:ext xmlns:c16="http://schemas.microsoft.com/office/drawing/2014/chart" uri="{C3380CC4-5D6E-409C-BE32-E72D297353CC}">
              <c16:uniqueId val="{00000001-9E3C-4DE5-AA23-CB85AFEA1C39}"/>
            </c:ext>
          </c:extLst>
        </c:ser>
        <c:dLbls>
          <c:showLegendKey val="0"/>
          <c:showVal val="0"/>
          <c:showCatName val="0"/>
          <c:showSerName val="0"/>
          <c:showPercent val="0"/>
          <c:showBubbleSize val="0"/>
        </c:dLbls>
        <c:marker val="1"/>
        <c:smooth val="0"/>
        <c:axId val="167727872"/>
        <c:axId val="167721600"/>
      </c:lineChart>
      <c:catAx>
        <c:axId val="1677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19680"/>
        <c:crosses val="autoZero"/>
        <c:auto val="1"/>
        <c:lblAlgn val="ctr"/>
        <c:lblOffset val="100"/>
        <c:noMultiLvlLbl val="0"/>
      </c:catAx>
      <c:valAx>
        <c:axId val="1677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17888"/>
        <c:crosses val="autoZero"/>
        <c:crossBetween val="between"/>
      </c:valAx>
      <c:valAx>
        <c:axId val="16772160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layout>
            <c:manualLayout>
              <c:xMode val="edge"/>
              <c:yMode val="edge"/>
              <c:x val="0.9480545587539263"/>
              <c:y val="6.304607757363663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27872"/>
        <c:crosses val="max"/>
        <c:crossBetween val="between"/>
      </c:valAx>
      <c:catAx>
        <c:axId val="167727872"/>
        <c:scaling>
          <c:orientation val="minMax"/>
        </c:scaling>
        <c:delete val="1"/>
        <c:axPos val="b"/>
        <c:numFmt formatCode="General" sourceLinked="1"/>
        <c:majorTickMark val="out"/>
        <c:minorTickMark val="none"/>
        <c:tickLblPos val="nextTo"/>
        <c:crossAx val="167721600"/>
        <c:crosses val="autoZero"/>
        <c:auto val="1"/>
        <c:lblAlgn val="ctr"/>
        <c:lblOffset val="100"/>
        <c:noMultiLvlLbl val="0"/>
      </c:catAx>
      <c:spPr>
        <a:gradFill>
          <a:gsLst>
            <a:gs pos="0">
              <a:schemeClr val="bg1"/>
            </a:gs>
            <a:gs pos="74000">
              <a:schemeClr val="bg1">
                <a:lumMod val="95000"/>
              </a:schemeClr>
            </a:gs>
            <a:gs pos="100000">
              <a:schemeClr val="bg1">
                <a:lumMod val="85000"/>
              </a:schemeClr>
            </a:gs>
          </a:gsLst>
          <a:lin ang="5400000" scaled="1"/>
        </a:gradFill>
        <a:ln>
          <a:noFill/>
        </a:ln>
        <a:effectLst/>
      </c:spPr>
    </c:plotArea>
    <c:legend>
      <c:legendPos val="b"/>
      <c:layout>
        <c:manualLayout>
          <c:xMode val="edge"/>
          <c:yMode val="edge"/>
          <c:x val="0.25908747472139759"/>
          <c:y val="0.86728091280256636"/>
          <c:w val="0.48182505055720493"/>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sl-SI" sz="900">
                <a:solidFill>
                  <a:schemeClr val="tx1"/>
                </a:solidFill>
              </a:rPr>
              <a:t>Promet s kmetijskimi in gozdnimi zemljišči, 2011-2019</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l-SI"/>
        </a:p>
      </c:txPr>
    </c:title>
    <c:autoTitleDeleted val="0"/>
    <c:plotArea>
      <c:layout/>
      <c:barChart>
        <c:barDir val="col"/>
        <c:grouping val="clustered"/>
        <c:varyColors val="0"/>
        <c:ser>
          <c:idx val="0"/>
          <c:order val="0"/>
          <c:tx>
            <c:strRef>
              <c:f>List1!$A$57</c:f>
              <c:strCache>
                <c:ptCount val="1"/>
                <c:pt idx="0">
                  <c:v>Št. kupoprodaj  kmetijskih zemljišč</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List1!$B$57:$J$57</c:f>
              <c:numCache>
                <c:formatCode>#,##0</c:formatCode>
                <c:ptCount val="6"/>
                <c:pt idx="0">
                  <c:v>5700</c:v>
                </c:pt>
                <c:pt idx="1">
                  <c:v>7452</c:v>
                </c:pt>
                <c:pt idx="2">
                  <c:v>8131</c:v>
                </c:pt>
                <c:pt idx="3">
                  <c:v>8493</c:v>
                </c:pt>
                <c:pt idx="4">
                  <c:v>8422</c:v>
                </c:pt>
                <c:pt idx="5">
                  <c:v>8783</c:v>
                </c:pt>
              </c:numCache>
              <c:extLst/>
            </c:numRef>
          </c:val>
          <c:extLst>
            <c:ext xmlns:c16="http://schemas.microsoft.com/office/drawing/2014/chart" uri="{C3380CC4-5D6E-409C-BE32-E72D297353CC}">
              <c16:uniqueId val="{00000000-8621-4A67-B520-1A1134271A3B}"/>
            </c:ext>
          </c:extLst>
        </c:ser>
        <c:ser>
          <c:idx val="1"/>
          <c:order val="1"/>
          <c:tx>
            <c:strRef>
              <c:f>List1!$A$58</c:f>
              <c:strCache>
                <c:ptCount val="1"/>
                <c:pt idx="0">
                  <c:v>Prodana površina kmetijskih zemljišč v ha</c:v>
                </c:pt>
              </c:strCache>
            </c:strRef>
          </c:tx>
          <c:spPr>
            <a:solidFill>
              <a:srgbClr val="92D050"/>
            </a:soli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List1!$B$58:$J$58</c:f>
              <c:numCache>
                <c:formatCode>#,##0</c:formatCode>
                <c:ptCount val="6"/>
                <c:pt idx="0" formatCode="General">
                  <c:v>0</c:v>
                </c:pt>
                <c:pt idx="1">
                  <c:v>5796</c:v>
                </c:pt>
                <c:pt idx="2">
                  <c:v>5060</c:v>
                </c:pt>
                <c:pt idx="3">
                  <c:v>6578</c:v>
                </c:pt>
                <c:pt idx="4">
                  <c:v>7713</c:v>
                </c:pt>
                <c:pt idx="5">
                  <c:v>5466</c:v>
                </c:pt>
              </c:numCache>
              <c:extLst/>
            </c:numRef>
          </c:val>
          <c:extLst>
            <c:ext xmlns:c16="http://schemas.microsoft.com/office/drawing/2014/chart" uri="{C3380CC4-5D6E-409C-BE32-E72D297353CC}">
              <c16:uniqueId val="{00000001-8621-4A67-B520-1A1134271A3B}"/>
            </c:ext>
          </c:extLst>
        </c:ser>
        <c:ser>
          <c:idx val="2"/>
          <c:order val="2"/>
          <c:tx>
            <c:strRef>
              <c:f>List1!$A$59</c:f>
              <c:strCache>
                <c:ptCount val="1"/>
                <c:pt idx="0">
                  <c:v>Št. kupoprodaj gozdnih zemljišč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List1!$B$59:$J$59</c:f>
              <c:numCache>
                <c:formatCode>#,##0</c:formatCode>
                <c:ptCount val="6"/>
                <c:pt idx="0">
                  <c:v>1750</c:v>
                </c:pt>
                <c:pt idx="1">
                  <c:v>2282</c:v>
                </c:pt>
                <c:pt idx="2">
                  <c:v>2542</c:v>
                </c:pt>
                <c:pt idx="3">
                  <c:v>2786</c:v>
                </c:pt>
                <c:pt idx="4">
                  <c:v>2980</c:v>
                </c:pt>
                <c:pt idx="5">
                  <c:v>3275</c:v>
                </c:pt>
              </c:numCache>
              <c:extLst/>
            </c:numRef>
          </c:val>
          <c:extLst>
            <c:ext xmlns:c16="http://schemas.microsoft.com/office/drawing/2014/chart" uri="{C3380CC4-5D6E-409C-BE32-E72D297353CC}">
              <c16:uniqueId val="{00000002-8621-4A67-B520-1A1134271A3B}"/>
            </c:ext>
          </c:extLst>
        </c:ser>
        <c:ser>
          <c:idx val="3"/>
          <c:order val="3"/>
          <c:tx>
            <c:strRef>
              <c:f>List1!$A$60</c:f>
              <c:strCache>
                <c:ptCount val="1"/>
                <c:pt idx="0">
                  <c:v>Prodana površina gozdnih zemljišč v ha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List1!$B$60:$J$60</c:f>
              <c:numCache>
                <c:formatCode>#,##0</c:formatCode>
                <c:ptCount val="6"/>
                <c:pt idx="0" formatCode="General">
                  <c:v>0</c:v>
                </c:pt>
                <c:pt idx="1">
                  <c:v>3182</c:v>
                </c:pt>
                <c:pt idx="2">
                  <c:v>4258</c:v>
                </c:pt>
                <c:pt idx="3">
                  <c:v>5846</c:v>
                </c:pt>
                <c:pt idx="4">
                  <c:v>4437</c:v>
                </c:pt>
                <c:pt idx="5">
                  <c:v>4984</c:v>
                </c:pt>
              </c:numCache>
              <c:extLst/>
            </c:numRef>
          </c:val>
          <c:extLst>
            <c:ext xmlns:c16="http://schemas.microsoft.com/office/drawing/2014/chart" uri="{C3380CC4-5D6E-409C-BE32-E72D297353CC}">
              <c16:uniqueId val="{00000003-8621-4A67-B520-1A1134271A3B}"/>
            </c:ext>
          </c:extLst>
        </c:ser>
        <c:dLbls>
          <c:showLegendKey val="0"/>
          <c:showVal val="0"/>
          <c:showCatName val="0"/>
          <c:showSerName val="0"/>
          <c:showPercent val="0"/>
          <c:showBubbleSize val="0"/>
        </c:dLbls>
        <c:gapWidth val="100"/>
        <c:overlap val="-24"/>
        <c:axId val="154227456"/>
        <c:axId val="154228992"/>
      </c:barChart>
      <c:catAx>
        <c:axId val="154227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54228992"/>
        <c:crosses val="autoZero"/>
        <c:auto val="1"/>
        <c:lblAlgn val="ctr"/>
        <c:lblOffset val="100"/>
        <c:noMultiLvlLbl val="0"/>
      </c:catAx>
      <c:valAx>
        <c:axId val="1542289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54227456"/>
        <c:crosses val="autoZero"/>
        <c:crossBetween val="between"/>
      </c:valAx>
      <c:spPr>
        <a:gradFill>
          <a:gsLst>
            <a:gs pos="0">
              <a:schemeClr val="accent1">
                <a:lumMod val="5000"/>
                <a:lumOff val="95000"/>
              </a:schemeClr>
            </a:gs>
            <a:gs pos="64000">
              <a:schemeClr val="bg1">
                <a:lumMod val="95000"/>
              </a:schemeClr>
            </a:gs>
            <a:gs pos="82000">
              <a:schemeClr val="bg1">
                <a:lumMod val="85000"/>
              </a:schemeClr>
            </a:gs>
            <a:gs pos="100000">
              <a:schemeClr val="bg1">
                <a:lumMod val="7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sl-SI" sz="800"/>
              <a:t>Hektarski donos pšenice in pire, oljne ogrščice in repice, sončnic ter koruze za zrnje, Slovenija, 2005-2018</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'zrnje in sadje'!$C$3</c:f>
              <c:strCache>
                <c:ptCount val="1"/>
                <c:pt idx="0">
                  <c:v>Pšenica in pira</c:v>
                </c:pt>
              </c:strCache>
            </c:strRef>
          </c:tx>
          <c:spPr>
            <a:ln w="28575" cap="rnd">
              <a:solidFill>
                <a:schemeClr val="accent1"/>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sadje'!$D$3:$Q$3</c:f>
              <c:numCache>
                <c:formatCode>General</c:formatCode>
                <c:ptCount val="14"/>
                <c:pt idx="0">
                  <c:v>4.7</c:v>
                </c:pt>
                <c:pt idx="1">
                  <c:v>4.2</c:v>
                </c:pt>
                <c:pt idx="2">
                  <c:v>4.2</c:v>
                </c:pt>
                <c:pt idx="3">
                  <c:v>4.5</c:v>
                </c:pt>
                <c:pt idx="4">
                  <c:v>4</c:v>
                </c:pt>
                <c:pt idx="5">
                  <c:v>4.8</c:v>
                </c:pt>
                <c:pt idx="6">
                  <c:v>5.2</c:v>
                </c:pt>
                <c:pt idx="7">
                  <c:v>5.4</c:v>
                </c:pt>
                <c:pt idx="8">
                  <c:v>4.4000000000000004</c:v>
                </c:pt>
                <c:pt idx="9">
                  <c:v>5.2</c:v>
                </c:pt>
                <c:pt idx="10">
                  <c:v>5.0999999999999996</c:v>
                </c:pt>
                <c:pt idx="11">
                  <c:v>5.2</c:v>
                </c:pt>
                <c:pt idx="12">
                  <c:v>5</c:v>
                </c:pt>
                <c:pt idx="13">
                  <c:v>4.4000000000000004</c:v>
                </c:pt>
              </c:numCache>
            </c:numRef>
          </c:val>
          <c:smooth val="0"/>
          <c:extLst>
            <c:ext xmlns:c16="http://schemas.microsoft.com/office/drawing/2014/chart" uri="{C3380CC4-5D6E-409C-BE32-E72D297353CC}">
              <c16:uniqueId val="{00000000-44D6-463F-9C41-2A54766BAFF9}"/>
            </c:ext>
          </c:extLst>
        </c:ser>
        <c:ser>
          <c:idx val="1"/>
          <c:order val="1"/>
          <c:tx>
            <c:strRef>
              <c:f>'zrnje in sadje'!$C$4</c:f>
              <c:strCache>
                <c:ptCount val="1"/>
                <c:pt idx="0">
                  <c:v>Oljna ogrščica in repica</c:v>
                </c:pt>
              </c:strCache>
            </c:strRef>
          </c:tx>
          <c:spPr>
            <a:ln w="28575" cap="rnd">
              <a:solidFill>
                <a:schemeClr val="accent2"/>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sadje'!$D$4:$Q$4</c:f>
              <c:numCache>
                <c:formatCode>General</c:formatCode>
                <c:ptCount val="14"/>
                <c:pt idx="0">
                  <c:v>2.4</c:v>
                </c:pt>
                <c:pt idx="1">
                  <c:v>1.8</c:v>
                </c:pt>
                <c:pt idx="2">
                  <c:v>2.8</c:v>
                </c:pt>
                <c:pt idx="3">
                  <c:v>2.5</c:v>
                </c:pt>
                <c:pt idx="4">
                  <c:v>2.2000000000000002</c:v>
                </c:pt>
                <c:pt idx="5">
                  <c:v>2.9</c:v>
                </c:pt>
                <c:pt idx="6">
                  <c:v>2.9</c:v>
                </c:pt>
                <c:pt idx="7">
                  <c:v>3.2</c:v>
                </c:pt>
                <c:pt idx="8">
                  <c:v>2.5</c:v>
                </c:pt>
                <c:pt idx="9">
                  <c:v>3.6</c:v>
                </c:pt>
                <c:pt idx="10">
                  <c:v>2.2000000000000002</c:v>
                </c:pt>
                <c:pt idx="11">
                  <c:v>2.7</c:v>
                </c:pt>
                <c:pt idx="12">
                  <c:v>2.6</c:v>
                </c:pt>
                <c:pt idx="13">
                  <c:v>2.2999999999999998</c:v>
                </c:pt>
              </c:numCache>
            </c:numRef>
          </c:val>
          <c:smooth val="0"/>
          <c:extLst>
            <c:ext xmlns:c16="http://schemas.microsoft.com/office/drawing/2014/chart" uri="{C3380CC4-5D6E-409C-BE32-E72D297353CC}">
              <c16:uniqueId val="{00000001-44D6-463F-9C41-2A54766BAFF9}"/>
            </c:ext>
          </c:extLst>
        </c:ser>
        <c:ser>
          <c:idx val="2"/>
          <c:order val="2"/>
          <c:tx>
            <c:strRef>
              <c:f>'zrnje in sadje'!$C$5</c:f>
              <c:strCache>
                <c:ptCount val="1"/>
                <c:pt idx="0">
                  <c:v>Sončnice</c:v>
                </c:pt>
              </c:strCache>
            </c:strRef>
          </c:tx>
          <c:spPr>
            <a:ln w="28575" cap="rnd">
              <a:solidFill>
                <a:schemeClr val="accent3"/>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sadje'!$D$5:$Q$5</c:f>
              <c:numCache>
                <c:formatCode>General</c:formatCode>
                <c:ptCount val="14"/>
                <c:pt idx="0">
                  <c:v>2.2000000000000002</c:v>
                </c:pt>
                <c:pt idx="1">
                  <c:v>1.2</c:v>
                </c:pt>
                <c:pt idx="2">
                  <c:v>1.7</c:v>
                </c:pt>
                <c:pt idx="3">
                  <c:v>1.6</c:v>
                </c:pt>
                <c:pt idx="4">
                  <c:v>1.5</c:v>
                </c:pt>
                <c:pt idx="5">
                  <c:v>2.2999999999999998</c:v>
                </c:pt>
                <c:pt idx="6">
                  <c:v>2.6</c:v>
                </c:pt>
                <c:pt idx="7">
                  <c:v>2.4</c:v>
                </c:pt>
                <c:pt idx="8">
                  <c:v>1.9</c:v>
                </c:pt>
                <c:pt idx="9">
                  <c:v>2.1</c:v>
                </c:pt>
                <c:pt idx="10">
                  <c:v>2.5</c:v>
                </c:pt>
                <c:pt idx="11">
                  <c:v>2.5</c:v>
                </c:pt>
                <c:pt idx="12">
                  <c:v>1.8</c:v>
                </c:pt>
                <c:pt idx="13">
                  <c:v>2.8</c:v>
                </c:pt>
              </c:numCache>
            </c:numRef>
          </c:val>
          <c:smooth val="0"/>
          <c:extLst>
            <c:ext xmlns:c16="http://schemas.microsoft.com/office/drawing/2014/chart" uri="{C3380CC4-5D6E-409C-BE32-E72D297353CC}">
              <c16:uniqueId val="{00000002-44D6-463F-9C41-2A54766BAFF9}"/>
            </c:ext>
          </c:extLst>
        </c:ser>
        <c:ser>
          <c:idx val="3"/>
          <c:order val="3"/>
          <c:tx>
            <c:strRef>
              <c:f>'zrnje in sadje'!$C$6</c:f>
              <c:strCache>
                <c:ptCount val="1"/>
                <c:pt idx="0">
                  <c:v>Koruza za zrnje</c:v>
                </c:pt>
              </c:strCache>
            </c:strRef>
          </c:tx>
          <c:spPr>
            <a:ln w="28575" cap="rnd">
              <a:solidFill>
                <a:schemeClr val="accent4"/>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sadje'!$D$6:$Q$6</c:f>
              <c:numCache>
                <c:formatCode>General</c:formatCode>
                <c:ptCount val="14"/>
                <c:pt idx="0">
                  <c:v>8.3000000000000007</c:v>
                </c:pt>
                <c:pt idx="1">
                  <c:v>6.9</c:v>
                </c:pt>
                <c:pt idx="2">
                  <c:v>7.5</c:v>
                </c:pt>
                <c:pt idx="3">
                  <c:v>7.3</c:v>
                </c:pt>
                <c:pt idx="4">
                  <c:v>7.8</c:v>
                </c:pt>
                <c:pt idx="5">
                  <c:v>8.5</c:v>
                </c:pt>
                <c:pt idx="6">
                  <c:v>8.6999999999999993</c:v>
                </c:pt>
                <c:pt idx="7">
                  <c:v>7.1</c:v>
                </c:pt>
                <c:pt idx="8">
                  <c:v>5.4</c:v>
                </c:pt>
                <c:pt idx="9">
                  <c:v>9.1</c:v>
                </c:pt>
                <c:pt idx="10">
                  <c:v>9</c:v>
                </c:pt>
                <c:pt idx="11">
                  <c:v>9.5</c:v>
                </c:pt>
                <c:pt idx="12">
                  <c:v>7.1</c:v>
                </c:pt>
                <c:pt idx="13">
                  <c:v>9.5</c:v>
                </c:pt>
              </c:numCache>
            </c:numRef>
          </c:val>
          <c:smooth val="0"/>
          <c:extLst>
            <c:ext xmlns:c16="http://schemas.microsoft.com/office/drawing/2014/chart" uri="{C3380CC4-5D6E-409C-BE32-E72D297353CC}">
              <c16:uniqueId val="{00000003-44D6-463F-9C41-2A54766BAFF9}"/>
            </c:ext>
          </c:extLst>
        </c:ser>
        <c:dLbls>
          <c:showLegendKey val="0"/>
          <c:showVal val="0"/>
          <c:showCatName val="0"/>
          <c:showSerName val="0"/>
          <c:showPercent val="0"/>
          <c:showBubbleSize val="0"/>
        </c:dLbls>
        <c:smooth val="0"/>
        <c:axId val="180038272"/>
        <c:axId val="180040064"/>
      </c:lineChart>
      <c:catAx>
        <c:axId val="180038272"/>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40064"/>
        <c:crosses val="autoZero"/>
        <c:auto val="1"/>
        <c:lblAlgn val="ctr"/>
        <c:lblOffset val="100"/>
        <c:noMultiLvlLbl val="0"/>
      </c:catAx>
      <c:valAx>
        <c:axId val="18004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003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Hektarski donos jabolk, breskev in nektarin, oljk in grozdja, Slovenija, 2005-2018</a:t>
            </a:r>
          </a:p>
          <a:p>
            <a:pPr>
              <a:defRPr/>
            </a:pPr>
            <a:endParaRPr lang="sl-SI"/>
          </a:p>
        </c:rich>
      </c:tx>
      <c:layout>
        <c:manualLayout>
          <c:xMode val="edge"/>
          <c:yMode val="edge"/>
          <c:x val="0.18199899404526565"/>
          <c:y val="4.6846860139564489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0754873793642036"/>
          <c:y val="0.23043826470331691"/>
          <c:w val="0.87312728015438124"/>
          <c:h val="0.47568332659323931"/>
        </c:manualLayout>
      </c:layout>
      <c:lineChart>
        <c:grouping val="standard"/>
        <c:varyColors val="0"/>
        <c:ser>
          <c:idx val="0"/>
          <c:order val="0"/>
          <c:tx>
            <c:strRef>
              <c:f>'zrnje in sadje'!$C$30</c:f>
              <c:strCache>
                <c:ptCount val="1"/>
                <c:pt idx="0">
                  <c:v>Jabolka v intenzivnih sadovnjakih</c:v>
                </c:pt>
              </c:strCache>
            </c:strRef>
          </c:tx>
          <c:spPr>
            <a:ln w="28575" cap="rnd">
              <a:solidFill>
                <a:schemeClr val="accent1"/>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sadje'!$D$30:$Q$30</c:f>
              <c:numCache>
                <c:formatCode>General</c:formatCode>
                <c:ptCount val="14"/>
                <c:pt idx="0">
                  <c:v>27.3</c:v>
                </c:pt>
                <c:pt idx="1">
                  <c:v>25.8</c:v>
                </c:pt>
                <c:pt idx="2">
                  <c:v>30.3</c:v>
                </c:pt>
                <c:pt idx="3">
                  <c:v>24.9</c:v>
                </c:pt>
                <c:pt idx="4">
                  <c:v>26.7</c:v>
                </c:pt>
                <c:pt idx="5">
                  <c:v>28</c:v>
                </c:pt>
                <c:pt idx="6">
                  <c:v>29.7</c:v>
                </c:pt>
                <c:pt idx="7">
                  <c:v>20.5</c:v>
                </c:pt>
                <c:pt idx="8">
                  <c:v>26.3</c:v>
                </c:pt>
                <c:pt idx="9">
                  <c:v>27.9</c:v>
                </c:pt>
                <c:pt idx="10">
                  <c:v>34</c:v>
                </c:pt>
                <c:pt idx="11">
                  <c:v>17.7</c:v>
                </c:pt>
                <c:pt idx="12">
                  <c:v>5.8</c:v>
                </c:pt>
                <c:pt idx="13">
                  <c:v>37.200000000000003</c:v>
                </c:pt>
              </c:numCache>
            </c:numRef>
          </c:val>
          <c:smooth val="0"/>
          <c:extLst>
            <c:ext xmlns:c16="http://schemas.microsoft.com/office/drawing/2014/chart" uri="{C3380CC4-5D6E-409C-BE32-E72D297353CC}">
              <c16:uniqueId val="{00000000-669E-4FB7-9897-6E74A7D3CFC7}"/>
            </c:ext>
          </c:extLst>
        </c:ser>
        <c:ser>
          <c:idx val="1"/>
          <c:order val="1"/>
          <c:tx>
            <c:strRef>
              <c:f>'zrnje in sadje'!$C$31</c:f>
              <c:strCache>
                <c:ptCount val="1"/>
                <c:pt idx="0">
                  <c:v>Breskve in nektarine</c:v>
                </c:pt>
              </c:strCache>
            </c:strRef>
          </c:tx>
          <c:spPr>
            <a:ln w="28575" cap="rnd">
              <a:solidFill>
                <a:schemeClr val="accent2"/>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sadje'!$D$31:$Q$31</c:f>
              <c:numCache>
                <c:formatCode>General</c:formatCode>
                <c:ptCount val="14"/>
                <c:pt idx="0">
                  <c:v>19.399999999999999</c:v>
                </c:pt>
                <c:pt idx="1">
                  <c:v>15.8</c:v>
                </c:pt>
                <c:pt idx="2">
                  <c:v>15.8</c:v>
                </c:pt>
                <c:pt idx="3">
                  <c:v>11.3</c:v>
                </c:pt>
                <c:pt idx="4">
                  <c:v>17.399999999999999</c:v>
                </c:pt>
                <c:pt idx="5">
                  <c:v>15.7</c:v>
                </c:pt>
                <c:pt idx="6">
                  <c:v>16.3</c:v>
                </c:pt>
                <c:pt idx="7">
                  <c:v>13.6</c:v>
                </c:pt>
                <c:pt idx="8">
                  <c:v>14.2</c:v>
                </c:pt>
                <c:pt idx="9">
                  <c:v>11.7</c:v>
                </c:pt>
                <c:pt idx="10">
                  <c:v>17.5</c:v>
                </c:pt>
                <c:pt idx="11">
                  <c:v>15.7</c:v>
                </c:pt>
                <c:pt idx="12">
                  <c:v>8.6999999999999993</c:v>
                </c:pt>
                <c:pt idx="13">
                  <c:v>16.899999999999999</c:v>
                </c:pt>
              </c:numCache>
            </c:numRef>
          </c:val>
          <c:smooth val="0"/>
          <c:extLst>
            <c:ext xmlns:c16="http://schemas.microsoft.com/office/drawing/2014/chart" uri="{C3380CC4-5D6E-409C-BE32-E72D297353CC}">
              <c16:uniqueId val="{00000001-669E-4FB7-9897-6E74A7D3CFC7}"/>
            </c:ext>
          </c:extLst>
        </c:ser>
        <c:ser>
          <c:idx val="2"/>
          <c:order val="2"/>
          <c:tx>
            <c:strRef>
              <c:f>'zrnje in sadje'!$C$32</c:f>
              <c:strCache>
                <c:ptCount val="1"/>
                <c:pt idx="0">
                  <c:v>Oljke</c:v>
                </c:pt>
              </c:strCache>
            </c:strRef>
          </c:tx>
          <c:spPr>
            <a:ln w="28575" cap="rnd">
              <a:solidFill>
                <a:schemeClr val="accent3"/>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sadje'!$D$32:$Q$32</c:f>
              <c:numCache>
                <c:formatCode>General</c:formatCode>
                <c:ptCount val="14"/>
                <c:pt idx="0">
                  <c:v>3.4</c:v>
                </c:pt>
                <c:pt idx="1">
                  <c:v>2.2999999999999998</c:v>
                </c:pt>
                <c:pt idx="2">
                  <c:v>1.8</c:v>
                </c:pt>
                <c:pt idx="3">
                  <c:v>2.7</c:v>
                </c:pt>
                <c:pt idx="4">
                  <c:v>2</c:v>
                </c:pt>
                <c:pt idx="5">
                  <c:v>2.1</c:v>
                </c:pt>
                <c:pt idx="6">
                  <c:v>1.9</c:v>
                </c:pt>
                <c:pt idx="7">
                  <c:v>0.8</c:v>
                </c:pt>
                <c:pt idx="8">
                  <c:v>1.6</c:v>
                </c:pt>
                <c:pt idx="9">
                  <c:v>0.8</c:v>
                </c:pt>
                <c:pt idx="10">
                  <c:v>1.5</c:v>
                </c:pt>
                <c:pt idx="11">
                  <c:v>1.4</c:v>
                </c:pt>
                <c:pt idx="12">
                  <c:v>1.4</c:v>
                </c:pt>
                <c:pt idx="13">
                  <c:v>3</c:v>
                </c:pt>
              </c:numCache>
            </c:numRef>
          </c:val>
          <c:smooth val="0"/>
          <c:extLst>
            <c:ext xmlns:c16="http://schemas.microsoft.com/office/drawing/2014/chart" uri="{C3380CC4-5D6E-409C-BE32-E72D297353CC}">
              <c16:uniqueId val="{00000002-669E-4FB7-9897-6E74A7D3CFC7}"/>
            </c:ext>
          </c:extLst>
        </c:ser>
        <c:ser>
          <c:idx val="3"/>
          <c:order val="3"/>
          <c:tx>
            <c:strRef>
              <c:f>'zrnje in sadje'!$C$33</c:f>
              <c:strCache>
                <c:ptCount val="1"/>
                <c:pt idx="0">
                  <c:v>Grozdje v vinogradih</c:v>
                </c:pt>
              </c:strCache>
            </c:strRef>
          </c:tx>
          <c:spPr>
            <a:ln w="28575" cap="rnd">
              <a:solidFill>
                <a:schemeClr val="accent4"/>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sadje'!$D$33:$Q$33</c:f>
              <c:numCache>
                <c:formatCode>General</c:formatCode>
                <c:ptCount val="14"/>
                <c:pt idx="0">
                  <c:v>7.4</c:v>
                </c:pt>
                <c:pt idx="1">
                  <c:v>6.4</c:v>
                </c:pt>
                <c:pt idx="2">
                  <c:v>7.6</c:v>
                </c:pt>
                <c:pt idx="3">
                  <c:v>6.6</c:v>
                </c:pt>
                <c:pt idx="4">
                  <c:v>7</c:v>
                </c:pt>
                <c:pt idx="5">
                  <c:v>6.6</c:v>
                </c:pt>
                <c:pt idx="6">
                  <c:v>7.4</c:v>
                </c:pt>
                <c:pt idx="7">
                  <c:v>5.6</c:v>
                </c:pt>
                <c:pt idx="8">
                  <c:v>6.2</c:v>
                </c:pt>
                <c:pt idx="9">
                  <c:v>5.9</c:v>
                </c:pt>
                <c:pt idx="10">
                  <c:v>7.5</c:v>
                </c:pt>
                <c:pt idx="11">
                  <c:v>6</c:v>
                </c:pt>
                <c:pt idx="12">
                  <c:v>5.6</c:v>
                </c:pt>
                <c:pt idx="13">
                  <c:v>8.1</c:v>
                </c:pt>
              </c:numCache>
            </c:numRef>
          </c:val>
          <c:smooth val="0"/>
          <c:extLst>
            <c:ext xmlns:c16="http://schemas.microsoft.com/office/drawing/2014/chart" uri="{C3380CC4-5D6E-409C-BE32-E72D297353CC}">
              <c16:uniqueId val="{00000003-669E-4FB7-9897-6E74A7D3CFC7}"/>
            </c:ext>
          </c:extLst>
        </c:ser>
        <c:dLbls>
          <c:showLegendKey val="0"/>
          <c:showVal val="0"/>
          <c:showCatName val="0"/>
          <c:showSerName val="0"/>
          <c:showPercent val="0"/>
          <c:showBubbleSize val="0"/>
        </c:dLbls>
        <c:smooth val="0"/>
        <c:axId val="180085504"/>
        <c:axId val="180087040"/>
      </c:lineChart>
      <c:catAx>
        <c:axId val="18008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87040"/>
        <c:crosses val="autoZero"/>
        <c:auto val="1"/>
        <c:lblAlgn val="ctr"/>
        <c:lblOffset val="100"/>
        <c:noMultiLvlLbl val="0"/>
      </c:catAx>
      <c:valAx>
        <c:axId val="18008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85504"/>
        <c:crosses val="autoZero"/>
        <c:crossBetween val="between"/>
      </c:valAx>
      <c:spPr>
        <a:noFill/>
        <a:ln>
          <a:noFill/>
        </a:ln>
        <a:effectLst/>
      </c:spPr>
    </c:plotArea>
    <c:legend>
      <c:legendPos val="b"/>
      <c:layout>
        <c:manualLayout>
          <c:xMode val="edge"/>
          <c:yMode val="edge"/>
          <c:x val="0.10850630136201128"/>
          <c:y val="0.80192449508766084"/>
          <c:w val="0.84213207425504921"/>
          <c:h val="0.198075504912339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b="0"/>
            </a:pPr>
            <a:r>
              <a:rPr lang="sl-SI" sz="800" b="0"/>
              <a:t>Bruto dodana vrednost</a:t>
            </a:r>
            <a:r>
              <a:rPr lang="en-US" sz="800" b="0"/>
              <a:t> / hektar </a:t>
            </a:r>
            <a:r>
              <a:rPr lang="sl-SI" sz="800" b="0"/>
              <a:t>KZU, v EUR, 2016</a:t>
            </a:r>
            <a:endParaRPr lang="en-US" sz="800" b="0"/>
          </a:p>
        </c:rich>
      </c:tx>
      <c:overlay val="0"/>
      <c:spPr>
        <a:noFill/>
        <a:ln w="25400">
          <a:noFill/>
        </a:ln>
      </c:spPr>
    </c:title>
    <c:autoTitleDeleted val="0"/>
    <c:plotArea>
      <c:layout>
        <c:manualLayout>
          <c:layoutTarget val="inner"/>
          <c:xMode val="edge"/>
          <c:yMode val="edge"/>
          <c:x val="8.1685969809329392E-2"/>
          <c:y val="0.14579242636746143"/>
          <c:w val="0.90067734588731951"/>
          <c:h val="0.76560336164150589"/>
        </c:manualLayout>
      </c:layout>
      <c:barChart>
        <c:barDir val="col"/>
        <c:grouping val="clustered"/>
        <c:varyColors val="0"/>
        <c:ser>
          <c:idx val="3"/>
          <c:order val="0"/>
          <c:tx>
            <c:strRef>
              <c:f>'2016'!$E$13</c:f>
              <c:strCache>
                <c:ptCount val="1"/>
                <c:pt idx="0">
                  <c:v>GVA / hektar UAA</c:v>
                </c:pt>
              </c:strCache>
            </c:strRef>
          </c:tx>
          <c:spPr>
            <a:solidFill>
              <a:srgbClr val="92D050"/>
            </a:solidFill>
            <a:ln w="25400">
              <a:noFill/>
            </a:ln>
          </c:spPr>
          <c:invertIfNegative val="0"/>
          <c:dPt>
            <c:idx val="18"/>
            <c:invertIfNegative val="0"/>
            <c:bubble3D val="0"/>
            <c:spPr>
              <a:solidFill>
                <a:srgbClr val="FFC000"/>
              </a:solidFill>
              <a:ln w="25400">
                <a:noFill/>
              </a:ln>
            </c:spPr>
            <c:extLst>
              <c:ext xmlns:c16="http://schemas.microsoft.com/office/drawing/2014/chart" uri="{C3380CC4-5D6E-409C-BE32-E72D297353CC}">
                <c16:uniqueId val="{00000001-825A-41B1-9982-03F57D84670A}"/>
              </c:ext>
            </c:extLst>
          </c:dPt>
          <c:dLbls>
            <c:dLbl>
              <c:idx val="0"/>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5A-41B1-9982-03F57D84670A}"/>
                </c:ext>
              </c:extLst>
            </c:dLbl>
            <c:dLbl>
              <c:idx val="1"/>
              <c:layout>
                <c:manualLayout>
                  <c:x val="0"/>
                  <c:y val="-1.9569471624266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A-41B1-9982-03F57D84670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5A-41B1-9982-03F57D84670A}"/>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5A-41B1-9982-03F57D84670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5A-41B1-9982-03F57D84670A}"/>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5A-41B1-9982-03F57D84670A}"/>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5A-41B1-9982-03F57D84670A}"/>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5A-41B1-9982-03F57D84670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5A-41B1-9982-03F57D84670A}"/>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5A-41B1-9982-03F57D84670A}"/>
                </c:ext>
              </c:extLst>
            </c:dLbl>
            <c:dLbl>
              <c:idx val="17"/>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5A-41B1-9982-03F57D84670A}"/>
                </c:ext>
              </c:extLst>
            </c:dLbl>
            <c:dLbl>
              <c:idx val="18"/>
              <c:layout>
                <c:manualLayout>
                  <c:x val="-8.9342697600140304E-17"/>
                  <c:y val="-1.937984496124031E-2"/>
                </c:manualLayout>
              </c:layout>
              <c:numFmt formatCode="###,000" sourceLinked="0"/>
              <c:spPr>
                <a:noFill/>
                <a:ln w="25400">
                  <a:noFill/>
                </a:ln>
              </c:spPr>
              <c:txPr>
                <a:bodyPr rot="0" vert="horz"/>
                <a:lstStyle/>
                <a:p>
                  <a:pPr>
                    <a:defRPr>
                      <a:solidFill>
                        <a:srgbClr val="FF0000"/>
                      </a:solidFill>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A-41B1-9982-03F57D84670A}"/>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5A-41B1-9982-03F57D84670A}"/>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5A-41B1-9982-03F57D84670A}"/>
                </c:ext>
              </c:extLst>
            </c:dLbl>
            <c:dLbl>
              <c:idx val="24"/>
              <c:layout>
                <c:manualLayout>
                  <c:x val="0"/>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5A-41B1-9982-03F57D84670A}"/>
                </c:ext>
              </c:extLst>
            </c:dLbl>
            <c:dLbl>
              <c:idx val="25"/>
              <c:layout>
                <c:manualLayout>
                  <c:x val="-8.52826510721247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5A-41B1-9982-03F57D84670A}"/>
                </c:ext>
              </c:extLst>
            </c:dLbl>
            <c:numFmt formatCode="###,000" sourceLinked="0"/>
            <c:spPr>
              <a:noFill/>
              <a:ln w="25400">
                <a:noFill/>
              </a:ln>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'2016'!$A$14:$A$40</c:f>
              <c:strCache>
                <c:ptCount val="27"/>
                <c:pt idx="0">
                  <c:v>EE</c:v>
                </c:pt>
                <c:pt idx="1">
                  <c:v>LV</c:v>
                </c:pt>
                <c:pt idx="2">
                  <c:v>SK</c:v>
                </c:pt>
                <c:pt idx="3">
                  <c:v>LT</c:v>
                </c:pt>
                <c:pt idx="4">
                  <c:v>BG</c:v>
                </c:pt>
                <c:pt idx="5">
                  <c:v>IE</c:v>
                </c:pt>
                <c:pt idx="6">
                  <c:v>CZ</c:v>
                </c:pt>
                <c:pt idx="7">
                  <c:v>RO</c:v>
                </c:pt>
                <c:pt idx="8">
                  <c:v>FI</c:v>
                </c:pt>
                <c:pt idx="9">
                  <c:v>SE</c:v>
                </c:pt>
                <c:pt idx="10">
                  <c:v>PL</c:v>
                </c:pt>
                <c:pt idx="11">
                  <c:v>HR</c:v>
                </c:pt>
                <c:pt idx="12">
                  <c:v>PT</c:v>
                </c:pt>
                <c:pt idx="13">
                  <c:v>HU</c:v>
                </c:pt>
                <c:pt idx="14">
                  <c:v>LU</c:v>
                </c:pt>
                <c:pt idx="15">
                  <c:v>DK</c:v>
                </c:pt>
                <c:pt idx="16">
                  <c:v>FR</c:v>
                </c:pt>
                <c:pt idx="17">
                  <c:v>DE</c:v>
                </c:pt>
                <c:pt idx="18">
                  <c:v>SI</c:v>
                </c:pt>
                <c:pt idx="19">
                  <c:v>AT</c:v>
                </c:pt>
                <c:pt idx="20">
                  <c:v>ES</c:v>
                </c:pt>
                <c:pt idx="21">
                  <c:v>EL</c:v>
                </c:pt>
                <c:pt idx="22">
                  <c:v>BE</c:v>
                </c:pt>
                <c:pt idx="23">
                  <c:v>IT</c:v>
                </c:pt>
                <c:pt idx="24">
                  <c:v>CY</c:v>
                </c:pt>
                <c:pt idx="25">
                  <c:v>MT</c:v>
                </c:pt>
                <c:pt idx="26">
                  <c:v>NL</c:v>
                </c:pt>
              </c:strCache>
            </c:strRef>
          </c:cat>
          <c:val>
            <c:numRef>
              <c:f>'2016'!$E$14:$E$40</c:f>
              <c:numCache>
                <c:formatCode>_-* ##,#00\ _z_ł_-;\-* ##,#00\ _z_ł_-;_-* "-"??\ _z_ł_-;_-@_-</c:formatCode>
                <c:ptCount val="27"/>
                <c:pt idx="0">
                  <c:v>151.84403577529898</c:v>
                </c:pt>
                <c:pt idx="1">
                  <c:v>172.62077394763008</c:v>
                </c:pt>
                <c:pt idx="2">
                  <c:v>331.17439756167255</c:v>
                </c:pt>
                <c:pt idx="3">
                  <c:v>341.07228338918145</c:v>
                </c:pt>
                <c:pt idx="4">
                  <c:v>395.50876474333575</c:v>
                </c:pt>
                <c:pt idx="5">
                  <c:v>483.22972209253754</c:v>
                </c:pt>
                <c:pt idx="6">
                  <c:v>489.17205194173772</c:v>
                </c:pt>
                <c:pt idx="7">
                  <c:v>522.92974067669445</c:v>
                </c:pt>
                <c:pt idx="8">
                  <c:v>524.59883055860655</c:v>
                </c:pt>
                <c:pt idx="9">
                  <c:v>543.40609330266273</c:v>
                </c:pt>
                <c:pt idx="10">
                  <c:v>596.25355329332592</c:v>
                </c:pt>
                <c:pt idx="11">
                  <c:v>619.31054779971589</c:v>
                </c:pt>
                <c:pt idx="12">
                  <c:v>733.68134025685879</c:v>
                </c:pt>
                <c:pt idx="13">
                  <c:v>736.02094823747041</c:v>
                </c:pt>
                <c:pt idx="14">
                  <c:v>769.15422885572139</c:v>
                </c:pt>
                <c:pt idx="15">
                  <c:v>804.31806012391939</c:v>
                </c:pt>
                <c:pt idx="16">
                  <c:v>944.99132815803171</c:v>
                </c:pt>
                <c:pt idx="17">
                  <c:v>948.16431872079022</c:v>
                </c:pt>
                <c:pt idx="18">
                  <c:v>986.93693693693695</c:v>
                </c:pt>
                <c:pt idx="19">
                  <c:v>1080.4045322595748</c:v>
                </c:pt>
                <c:pt idx="20">
                  <c:v>1176.4246279017209</c:v>
                </c:pt>
                <c:pt idx="21">
                  <c:v>1201.3667616050666</c:v>
                </c:pt>
                <c:pt idx="22">
                  <c:v>1591.4860623961602</c:v>
                </c:pt>
                <c:pt idx="23">
                  <c:v>2463.4438679934215</c:v>
                </c:pt>
                <c:pt idx="24">
                  <c:v>2848.4767265255068</c:v>
                </c:pt>
                <c:pt idx="25">
                  <c:v>5689.6243291592127</c:v>
                </c:pt>
                <c:pt idx="26">
                  <c:v>5930.7282910046433</c:v>
                </c:pt>
              </c:numCache>
            </c:numRef>
          </c:val>
          <c:extLst>
            <c:ext xmlns:c16="http://schemas.microsoft.com/office/drawing/2014/chart" uri="{C3380CC4-5D6E-409C-BE32-E72D297353CC}">
              <c16:uniqueId val="{00000011-825A-41B1-9982-03F57D84670A}"/>
            </c:ext>
          </c:extLst>
        </c:ser>
        <c:dLbls>
          <c:showLegendKey val="0"/>
          <c:showVal val="0"/>
          <c:showCatName val="0"/>
          <c:showSerName val="0"/>
          <c:showPercent val="0"/>
          <c:showBubbleSize val="0"/>
        </c:dLbls>
        <c:gapWidth val="75"/>
        <c:axId val="179936256"/>
        <c:axId val="179950336"/>
      </c:barChart>
      <c:catAx>
        <c:axId val="1799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79950336"/>
        <c:crosses val="autoZero"/>
        <c:auto val="1"/>
        <c:lblAlgn val="ctr"/>
        <c:lblOffset val="100"/>
        <c:noMultiLvlLbl val="0"/>
      </c:catAx>
      <c:valAx>
        <c:axId val="179950336"/>
        <c:scaling>
          <c:orientation val="minMax"/>
        </c:scaling>
        <c:delete val="0"/>
        <c:axPos val="l"/>
        <c:numFmt formatCode="#,##0" sourceLinked="0"/>
        <c:majorTickMark val="none"/>
        <c:minorTickMark val="none"/>
        <c:tickLblPos val="nextTo"/>
        <c:spPr>
          <a:ln w="6350">
            <a:noFill/>
          </a:ln>
        </c:spPr>
        <c:txPr>
          <a:bodyPr rot="-60000000" vert="horz"/>
          <a:lstStyle/>
          <a:p>
            <a:pPr>
              <a:defRPr/>
            </a:pPr>
            <a:endParaRPr lang="sl-SI"/>
          </a:p>
        </c:txPr>
        <c:crossAx val="179936256"/>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60" b="1">
                <a:solidFill>
                  <a:sysClr val="windowText" lastClr="000000"/>
                </a:solidFill>
              </a:rPr>
              <a:t>Prihodkovno-stroškovna s</a:t>
            </a:r>
            <a:r>
              <a:rPr lang="en-US" sz="960" b="1">
                <a:solidFill>
                  <a:sysClr val="windowText" lastClr="000000"/>
                </a:solidFill>
              </a:rPr>
              <a:t>truktura </a:t>
            </a:r>
            <a:r>
              <a:rPr lang="sl-SI" sz="960" b="1">
                <a:solidFill>
                  <a:sysClr val="windowText" lastClr="000000"/>
                </a:solidFill>
              </a:rPr>
              <a:t>podjetniškega dohodka,</a:t>
            </a:r>
            <a:r>
              <a:rPr lang="sl-SI" sz="960" b="1" baseline="0">
                <a:solidFill>
                  <a:sysClr val="windowText" lastClr="000000"/>
                </a:solidFill>
              </a:rPr>
              <a:t> 2005-2018, Slovenija, (realne cene), v mio EUR</a:t>
            </a:r>
            <a:endParaRPr lang="en-US" sz="96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7.6732357607841389E-2"/>
          <c:y val="5.2772402820158167E-2"/>
          <c:w val="0.92272247125639706"/>
          <c:h val="0.61288033440264411"/>
        </c:manualLayout>
      </c:layout>
      <c:barChart>
        <c:barDir val="col"/>
        <c:grouping val="stacked"/>
        <c:varyColors val="0"/>
        <c:ser>
          <c:idx val="0"/>
          <c:order val="0"/>
          <c:tx>
            <c:strRef>
              <c:f>'[podjetniški dohodek po stroških in prihodkih.xlsx]List1'!$B$4</c:f>
              <c:strCache>
                <c:ptCount val="1"/>
                <c:pt idx="0">
                  <c:v>Rastlinska pridelava</c:v>
                </c:pt>
              </c:strCache>
            </c:strRef>
          </c:tx>
          <c:spPr>
            <a:solidFill>
              <a:srgbClr val="0066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prihodkih.xlsx]List1'!$C$4:$P$4</c:f>
              <c:numCache>
                <c:formatCode>#.#00</c:formatCode>
                <c:ptCount val="14"/>
                <c:pt idx="0">
                  <c:v>489.7</c:v>
                </c:pt>
                <c:pt idx="1">
                  <c:v>470.1</c:v>
                </c:pt>
                <c:pt idx="2">
                  <c:v>588.1</c:v>
                </c:pt>
                <c:pt idx="3">
                  <c:v>589.5</c:v>
                </c:pt>
                <c:pt idx="4">
                  <c:v>536.1</c:v>
                </c:pt>
                <c:pt idx="5">
                  <c:v>586.20000000000005</c:v>
                </c:pt>
                <c:pt idx="6">
                  <c:v>669</c:v>
                </c:pt>
                <c:pt idx="7">
                  <c:v>595.4</c:v>
                </c:pt>
                <c:pt idx="8">
                  <c:v>598.6</c:v>
                </c:pt>
                <c:pt idx="9">
                  <c:v>655.1</c:v>
                </c:pt>
                <c:pt idx="10">
                  <c:v>727.4</c:v>
                </c:pt>
                <c:pt idx="11">
                  <c:v>676.8</c:v>
                </c:pt>
                <c:pt idx="12">
                  <c:v>585.70000000000005</c:v>
                </c:pt>
                <c:pt idx="13">
                  <c:v>793.6</c:v>
                </c:pt>
              </c:numCache>
            </c:numRef>
          </c:val>
          <c:extLst>
            <c:ext xmlns:c16="http://schemas.microsoft.com/office/drawing/2014/chart" uri="{C3380CC4-5D6E-409C-BE32-E72D297353CC}">
              <c16:uniqueId val="{00000000-6A27-4AD4-A6DB-E1A0826964F8}"/>
            </c:ext>
          </c:extLst>
        </c:ser>
        <c:ser>
          <c:idx val="1"/>
          <c:order val="1"/>
          <c:tx>
            <c:strRef>
              <c:f>'[podjetniški dohodek po stroških in prihodkih.xlsx]List1'!$B$5</c:f>
              <c:strCache>
                <c:ptCount val="1"/>
                <c:pt idx="0">
                  <c:v>Živinoreja</c:v>
                </c:pt>
              </c:strCache>
            </c:strRef>
          </c:tx>
          <c:spPr>
            <a:solidFill>
              <a:schemeClr val="accent2"/>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prihodkih.xlsx]List1'!$C$5:$P$5</c:f>
              <c:numCache>
                <c:formatCode>#.#00</c:formatCode>
                <c:ptCount val="14"/>
                <c:pt idx="0">
                  <c:v>467.8</c:v>
                </c:pt>
                <c:pt idx="1">
                  <c:v>468</c:v>
                </c:pt>
                <c:pt idx="2">
                  <c:v>498.9</c:v>
                </c:pt>
                <c:pt idx="3">
                  <c:v>545.79999999999995</c:v>
                </c:pt>
                <c:pt idx="4">
                  <c:v>484.8</c:v>
                </c:pt>
                <c:pt idx="5">
                  <c:v>485.9</c:v>
                </c:pt>
                <c:pt idx="6">
                  <c:v>533.70000000000005</c:v>
                </c:pt>
                <c:pt idx="7">
                  <c:v>535.4</c:v>
                </c:pt>
                <c:pt idx="8">
                  <c:v>542.4</c:v>
                </c:pt>
                <c:pt idx="9">
                  <c:v>551.9</c:v>
                </c:pt>
                <c:pt idx="10">
                  <c:v>532.29999999999995</c:v>
                </c:pt>
                <c:pt idx="11">
                  <c:v>524.9</c:v>
                </c:pt>
                <c:pt idx="12">
                  <c:v>559.5</c:v>
                </c:pt>
                <c:pt idx="13">
                  <c:v>559.29999999999995</c:v>
                </c:pt>
              </c:numCache>
            </c:numRef>
          </c:val>
          <c:extLst>
            <c:ext xmlns:c16="http://schemas.microsoft.com/office/drawing/2014/chart" uri="{C3380CC4-5D6E-409C-BE32-E72D297353CC}">
              <c16:uniqueId val="{00000001-6A27-4AD4-A6DB-E1A0826964F8}"/>
            </c:ext>
          </c:extLst>
        </c:ser>
        <c:ser>
          <c:idx val="2"/>
          <c:order val="2"/>
          <c:tx>
            <c:strRef>
              <c:f>'[podjetniški dohodek po stroških in prihodkih.xlsx]List1'!$B$6</c:f>
              <c:strCache>
                <c:ptCount val="1"/>
                <c:pt idx="0">
                  <c:v>Kmetijske storitve</c:v>
                </c:pt>
              </c:strCache>
            </c:strRef>
          </c:tx>
          <c:spPr>
            <a:solidFill>
              <a:schemeClr val="accent3"/>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prihodkih.xlsx]List1'!$C$6:$P$6</c:f>
              <c:numCache>
                <c:formatCode>#.#00</c:formatCode>
                <c:ptCount val="14"/>
                <c:pt idx="0">
                  <c:v>18.7</c:v>
                </c:pt>
                <c:pt idx="1">
                  <c:v>19.399999999999999</c:v>
                </c:pt>
                <c:pt idx="2">
                  <c:v>18.8</c:v>
                </c:pt>
                <c:pt idx="3">
                  <c:v>20.7</c:v>
                </c:pt>
                <c:pt idx="4">
                  <c:v>20.5</c:v>
                </c:pt>
                <c:pt idx="5">
                  <c:v>20.6</c:v>
                </c:pt>
                <c:pt idx="6">
                  <c:v>20</c:v>
                </c:pt>
                <c:pt idx="7">
                  <c:v>20.3</c:v>
                </c:pt>
                <c:pt idx="8">
                  <c:v>19.2</c:v>
                </c:pt>
                <c:pt idx="9">
                  <c:v>19.7</c:v>
                </c:pt>
                <c:pt idx="10">
                  <c:v>19.899999999999999</c:v>
                </c:pt>
                <c:pt idx="11">
                  <c:v>17.7</c:v>
                </c:pt>
                <c:pt idx="12">
                  <c:v>18</c:v>
                </c:pt>
                <c:pt idx="13">
                  <c:v>18.399999999999999</c:v>
                </c:pt>
              </c:numCache>
            </c:numRef>
          </c:val>
          <c:extLst>
            <c:ext xmlns:c16="http://schemas.microsoft.com/office/drawing/2014/chart" uri="{C3380CC4-5D6E-409C-BE32-E72D297353CC}">
              <c16:uniqueId val="{00000002-6A27-4AD4-A6DB-E1A0826964F8}"/>
            </c:ext>
          </c:extLst>
        </c:ser>
        <c:ser>
          <c:idx val="3"/>
          <c:order val="3"/>
          <c:tx>
            <c:strRef>
              <c:f>'[podjetniški dohodek po stroških in prihodkih.xlsx]List1'!$B$7</c:f>
              <c:strCache>
                <c:ptCount val="1"/>
                <c:pt idx="0">
                  <c:v>Subvencije na proizvode</c:v>
                </c:pt>
              </c:strCache>
            </c:strRef>
          </c:tx>
          <c:spPr>
            <a:solidFill>
              <a:schemeClr val="accent4"/>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prihodkih.xlsx]List1'!$C$7:$P$7</c:f>
              <c:numCache>
                <c:formatCode>#.#00</c:formatCode>
                <c:ptCount val="14"/>
                <c:pt idx="0">
                  <c:v>82.4</c:v>
                </c:pt>
                <c:pt idx="1">
                  <c:v>100.3</c:v>
                </c:pt>
                <c:pt idx="2">
                  <c:v>10.7</c:v>
                </c:pt>
                <c:pt idx="3">
                  <c:v>11.2</c:v>
                </c:pt>
                <c:pt idx="4">
                  <c:v>10.8</c:v>
                </c:pt>
                <c:pt idx="5">
                  <c:v>10.9</c:v>
                </c:pt>
                <c:pt idx="6">
                  <c:v>11.2</c:v>
                </c:pt>
                <c:pt idx="7" formatCode="General">
                  <c:v>0</c:v>
                </c:pt>
                <c:pt idx="8" formatCode="General">
                  <c:v>0</c:v>
                </c:pt>
                <c:pt idx="9" formatCode="General">
                  <c:v>0</c:v>
                </c:pt>
                <c:pt idx="10" formatCode="General">
                  <c:v>0</c:v>
                </c:pt>
                <c:pt idx="11" formatCode="General">
                  <c:v>0</c:v>
                </c:pt>
                <c:pt idx="12" formatCode="General">
                  <c:v>0</c:v>
                </c:pt>
                <c:pt idx="13" formatCode="General">
                  <c:v>0</c:v>
                </c:pt>
              </c:numCache>
            </c:numRef>
          </c:val>
          <c:extLst>
            <c:ext xmlns:c16="http://schemas.microsoft.com/office/drawing/2014/chart" uri="{C3380CC4-5D6E-409C-BE32-E72D297353CC}">
              <c16:uniqueId val="{00000003-6A27-4AD4-A6DB-E1A0826964F8}"/>
            </c:ext>
          </c:extLst>
        </c:ser>
        <c:ser>
          <c:idx val="4"/>
          <c:order val="4"/>
          <c:tx>
            <c:strRef>
              <c:f>'[podjetniški dohodek po stroških in prihodkih.xlsx]List1'!$B$8</c:f>
              <c:strCache>
                <c:ptCount val="1"/>
                <c:pt idx="0">
                  <c:v>Druge subvencije na proizvodnjo</c:v>
                </c:pt>
              </c:strCache>
            </c:strRef>
          </c:tx>
          <c:spPr>
            <a:solidFill>
              <a:schemeClr val="accent5"/>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prihodkih.xlsx]List1'!$C$8:$P$8</c:f>
              <c:numCache>
                <c:formatCode>#.#00</c:formatCode>
                <c:ptCount val="14"/>
                <c:pt idx="0">
                  <c:v>133</c:v>
                </c:pt>
                <c:pt idx="1">
                  <c:v>146.80000000000001</c:v>
                </c:pt>
                <c:pt idx="2">
                  <c:v>236.3</c:v>
                </c:pt>
                <c:pt idx="3">
                  <c:v>236</c:v>
                </c:pt>
                <c:pt idx="4">
                  <c:v>234.6</c:v>
                </c:pt>
                <c:pt idx="5">
                  <c:v>238.8</c:v>
                </c:pt>
                <c:pt idx="6">
                  <c:v>235.5</c:v>
                </c:pt>
                <c:pt idx="7">
                  <c:v>250.7</c:v>
                </c:pt>
                <c:pt idx="8">
                  <c:v>254.5</c:v>
                </c:pt>
                <c:pt idx="9">
                  <c:v>246</c:v>
                </c:pt>
                <c:pt idx="10">
                  <c:v>238.5</c:v>
                </c:pt>
                <c:pt idx="11">
                  <c:v>246.9</c:v>
                </c:pt>
                <c:pt idx="12">
                  <c:v>259.89999999999998</c:v>
                </c:pt>
                <c:pt idx="13">
                  <c:v>247.4</c:v>
                </c:pt>
              </c:numCache>
            </c:numRef>
          </c:val>
          <c:extLst>
            <c:ext xmlns:c16="http://schemas.microsoft.com/office/drawing/2014/chart" uri="{C3380CC4-5D6E-409C-BE32-E72D297353CC}">
              <c16:uniqueId val="{00000004-6A27-4AD4-A6DB-E1A0826964F8}"/>
            </c:ext>
          </c:extLst>
        </c:ser>
        <c:ser>
          <c:idx val="5"/>
          <c:order val="5"/>
          <c:tx>
            <c:strRef>
              <c:f>'[podjetniški dohodek po stroških in prihodkih.xlsx]List1'!$B$9</c:f>
              <c:strCache>
                <c:ptCount val="1"/>
                <c:pt idx="0">
                  <c:v>Dobljene obresti</c:v>
                </c:pt>
              </c:strCache>
            </c:strRef>
          </c:tx>
          <c:spPr>
            <a:solidFill>
              <a:schemeClr val="accent6"/>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prihodkih.xlsx]List1'!$C$9:$P$9</c:f>
              <c:numCache>
                <c:formatCode>#.#00</c:formatCode>
                <c:ptCount val="14"/>
                <c:pt idx="0">
                  <c:v>2.4</c:v>
                </c:pt>
                <c:pt idx="1">
                  <c:v>2.4</c:v>
                </c:pt>
                <c:pt idx="2">
                  <c:v>2.2000000000000002</c:v>
                </c:pt>
                <c:pt idx="3">
                  <c:v>3.7</c:v>
                </c:pt>
                <c:pt idx="4">
                  <c:v>2.5</c:v>
                </c:pt>
                <c:pt idx="5">
                  <c:v>2</c:v>
                </c:pt>
                <c:pt idx="6">
                  <c:v>1.2</c:v>
                </c:pt>
                <c:pt idx="7">
                  <c:v>0.9</c:v>
                </c:pt>
                <c:pt idx="8">
                  <c:v>0.7</c:v>
                </c:pt>
                <c:pt idx="9">
                  <c:v>1</c:v>
                </c:pt>
                <c:pt idx="10">
                  <c:v>0.7</c:v>
                </c:pt>
                <c:pt idx="11">
                  <c:v>0.5</c:v>
                </c:pt>
                <c:pt idx="12">
                  <c:v>0.7</c:v>
                </c:pt>
                <c:pt idx="13">
                  <c:v>0.7</c:v>
                </c:pt>
              </c:numCache>
            </c:numRef>
          </c:val>
          <c:extLst>
            <c:ext xmlns:c16="http://schemas.microsoft.com/office/drawing/2014/chart" uri="{C3380CC4-5D6E-409C-BE32-E72D297353CC}">
              <c16:uniqueId val="{00000005-6A27-4AD4-A6DB-E1A0826964F8}"/>
            </c:ext>
          </c:extLst>
        </c:ser>
        <c:ser>
          <c:idx val="6"/>
          <c:order val="6"/>
          <c:tx>
            <c:strRef>
              <c:f>'[podjetniški dohodek po stroških in prihodkih.xlsx]List1'!$B$10</c:f>
              <c:strCache>
                <c:ptCount val="1"/>
                <c:pt idx="0">
                  <c:v>Seme in sadike</c:v>
                </c:pt>
              </c:strCache>
            </c:strRef>
          </c:tx>
          <c:spPr>
            <a:solidFill>
              <a:schemeClr val="bg2">
                <a:lumMod val="50000"/>
              </a:schemeClr>
            </a:solid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prihodkih.xlsx]List1'!$C$10:$P$10</c:f>
              <c:numCache>
                <c:formatCode>#.#00</c:formatCode>
                <c:ptCount val="14"/>
                <c:pt idx="0">
                  <c:v>-29</c:v>
                </c:pt>
                <c:pt idx="1">
                  <c:v>-27.9</c:v>
                </c:pt>
                <c:pt idx="2">
                  <c:v>-29.9</c:v>
                </c:pt>
                <c:pt idx="3">
                  <c:v>-31.1</c:v>
                </c:pt>
                <c:pt idx="4">
                  <c:v>-31</c:v>
                </c:pt>
                <c:pt idx="5">
                  <c:v>-29.8</c:v>
                </c:pt>
                <c:pt idx="6">
                  <c:v>-31.6</c:v>
                </c:pt>
                <c:pt idx="7">
                  <c:v>-32.4</c:v>
                </c:pt>
                <c:pt idx="8">
                  <c:v>-35.700000000000003</c:v>
                </c:pt>
                <c:pt idx="9">
                  <c:v>-35.4</c:v>
                </c:pt>
                <c:pt idx="10">
                  <c:v>-36.299999999999997</c:v>
                </c:pt>
                <c:pt idx="11">
                  <c:v>-34.700000000000003</c:v>
                </c:pt>
                <c:pt idx="12">
                  <c:v>-34.700000000000003</c:v>
                </c:pt>
                <c:pt idx="13">
                  <c:v>-33.4</c:v>
                </c:pt>
              </c:numCache>
            </c:numRef>
          </c:val>
          <c:extLst>
            <c:ext xmlns:c16="http://schemas.microsoft.com/office/drawing/2014/chart" uri="{C3380CC4-5D6E-409C-BE32-E72D297353CC}">
              <c16:uniqueId val="{00000006-6A27-4AD4-A6DB-E1A0826964F8}"/>
            </c:ext>
          </c:extLst>
        </c:ser>
        <c:ser>
          <c:idx val="7"/>
          <c:order val="7"/>
          <c:tx>
            <c:strRef>
              <c:f>'[podjetniški dohodek po stroških in prihodkih.xlsx]List1'!$B$11</c:f>
              <c:strCache>
                <c:ptCount val="1"/>
                <c:pt idx="0">
                  <c:v>Energija, maziva</c:v>
                </c:pt>
              </c:strCache>
            </c:strRef>
          </c:tx>
          <c:spPr>
            <a:pattFill prst="ltUpDiag">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prihodkih.xlsx]List1'!$C$11:$P$11</c:f>
              <c:numCache>
                <c:formatCode>#.#00</c:formatCode>
                <c:ptCount val="14"/>
                <c:pt idx="0">
                  <c:v>-80.2</c:v>
                </c:pt>
                <c:pt idx="1">
                  <c:v>-83.3</c:v>
                </c:pt>
                <c:pt idx="2">
                  <c:v>-86.8</c:v>
                </c:pt>
                <c:pt idx="3">
                  <c:v>-101.1</c:v>
                </c:pt>
                <c:pt idx="4">
                  <c:v>-88.6</c:v>
                </c:pt>
                <c:pt idx="5">
                  <c:v>-101.4</c:v>
                </c:pt>
                <c:pt idx="6">
                  <c:v>-110.1</c:v>
                </c:pt>
                <c:pt idx="7">
                  <c:v>-117.5</c:v>
                </c:pt>
                <c:pt idx="8">
                  <c:v>-118.6</c:v>
                </c:pt>
                <c:pt idx="9">
                  <c:v>-115.8</c:v>
                </c:pt>
                <c:pt idx="10">
                  <c:v>-99.9</c:v>
                </c:pt>
                <c:pt idx="11">
                  <c:v>-91.9</c:v>
                </c:pt>
                <c:pt idx="12">
                  <c:v>-101.1</c:v>
                </c:pt>
                <c:pt idx="13">
                  <c:v>-109.7</c:v>
                </c:pt>
              </c:numCache>
            </c:numRef>
          </c:val>
          <c:extLst>
            <c:ext xmlns:c16="http://schemas.microsoft.com/office/drawing/2014/chart" uri="{C3380CC4-5D6E-409C-BE32-E72D297353CC}">
              <c16:uniqueId val="{00000007-6A27-4AD4-A6DB-E1A0826964F8}"/>
            </c:ext>
          </c:extLst>
        </c:ser>
        <c:ser>
          <c:idx val="8"/>
          <c:order val="8"/>
          <c:tx>
            <c:strRef>
              <c:f>'[podjetniški dohodek po stroških in prihodkih.xlsx]List1'!$B$12</c:f>
              <c:strCache>
                <c:ptCount val="1"/>
                <c:pt idx="0">
                  <c:v>Gnojila in sredstva za izboljšavo tal</c:v>
                </c:pt>
              </c:strCache>
            </c:strRef>
          </c:tx>
          <c:spPr>
            <a:solidFill>
              <a:schemeClr val="accent3">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prihodkih.xlsx]List1'!$C$12:$P$12</c:f>
              <c:numCache>
                <c:formatCode>#.#00</c:formatCode>
                <c:ptCount val="14"/>
                <c:pt idx="0">
                  <c:v>-32.700000000000003</c:v>
                </c:pt>
                <c:pt idx="1">
                  <c:v>-34.200000000000003</c:v>
                </c:pt>
                <c:pt idx="2">
                  <c:v>-35.1</c:v>
                </c:pt>
                <c:pt idx="3">
                  <c:v>-68.7</c:v>
                </c:pt>
                <c:pt idx="4">
                  <c:v>-43.8</c:v>
                </c:pt>
                <c:pt idx="5">
                  <c:v>-49.3</c:v>
                </c:pt>
                <c:pt idx="6">
                  <c:v>-57.1</c:v>
                </c:pt>
                <c:pt idx="7">
                  <c:v>-58.9</c:v>
                </c:pt>
                <c:pt idx="8">
                  <c:v>-54.6</c:v>
                </c:pt>
                <c:pt idx="9">
                  <c:v>-52.9</c:v>
                </c:pt>
                <c:pt idx="10">
                  <c:v>-57.2</c:v>
                </c:pt>
                <c:pt idx="11">
                  <c:v>-48.6</c:v>
                </c:pt>
                <c:pt idx="12">
                  <c:v>-42.8</c:v>
                </c:pt>
                <c:pt idx="13">
                  <c:v>-45.1</c:v>
                </c:pt>
              </c:numCache>
            </c:numRef>
          </c:val>
          <c:extLst>
            <c:ext xmlns:c16="http://schemas.microsoft.com/office/drawing/2014/chart" uri="{C3380CC4-5D6E-409C-BE32-E72D297353CC}">
              <c16:uniqueId val="{00000008-6A27-4AD4-A6DB-E1A0826964F8}"/>
            </c:ext>
          </c:extLst>
        </c:ser>
        <c:ser>
          <c:idx val="9"/>
          <c:order val="9"/>
          <c:tx>
            <c:strRef>
              <c:f>'[podjetniški dohodek po stroških in prihodkih.xlsx]List1'!$B$13</c:f>
              <c:strCache>
                <c:ptCount val="1"/>
                <c:pt idx="0">
                  <c:v>Varstvo rastlin in živali</c:v>
                </c:pt>
              </c:strCache>
            </c:strRef>
          </c:tx>
          <c:spPr>
            <a:solidFill>
              <a:schemeClr val="accent4">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prihodkih.xlsx]List1'!$C$13:$P$13</c:f>
              <c:numCache>
                <c:formatCode>#.#00</c:formatCode>
                <c:ptCount val="14"/>
                <c:pt idx="0">
                  <c:v>-44.4</c:v>
                </c:pt>
                <c:pt idx="1">
                  <c:v>-47.1</c:v>
                </c:pt>
                <c:pt idx="2">
                  <c:v>-47.4</c:v>
                </c:pt>
                <c:pt idx="3">
                  <c:v>-50.6</c:v>
                </c:pt>
                <c:pt idx="4">
                  <c:v>-51.6</c:v>
                </c:pt>
                <c:pt idx="5">
                  <c:v>-50.2</c:v>
                </c:pt>
                <c:pt idx="6">
                  <c:v>-47.2</c:v>
                </c:pt>
                <c:pt idx="7">
                  <c:v>-48</c:v>
                </c:pt>
                <c:pt idx="8">
                  <c:v>-48</c:v>
                </c:pt>
                <c:pt idx="9">
                  <c:v>-50.3</c:v>
                </c:pt>
                <c:pt idx="10">
                  <c:v>-50.4</c:v>
                </c:pt>
                <c:pt idx="11">
                  <c:v>-53.3</c:v>
                </c:pt>
                <c:pt idx="12">
                  <c:v>-55.9</c:v>
                </c:pt>
                <c:pt idx="13">
                  <c:v>-55.8</c:v>
                </c:pt>
              </c:numCache>
            </c:numRef>
          </c:val>
          <c:extLst>
            <c:ext xmlns:c16="http://schemas.microsoft.com/office/drawing/2014/chart" uri="{C3380CC4-5D6E-409C-BE32-E72D297353CC}">
              <c16:uniqueId val="{00000009-6A27-4AD4-A6DB-E1A0826964F8}"/>
            </c:ext>
          </c:extLst>
        </c:ser>
        <c:ser>
          <c:idx val="10"/>
          <c:order val="10"/>
          <c:tx>
            <c:strRef>
              <c:f>'[podjetniški dohodek po stroških in prihodkih.xlsx]List1'!$B$14</c:f>
              <c:strCache>
                <c:ptCount val="1"/>
                <c:pt idx="0">
                  <c:v>Krma</c:v>
                </c:pt>
              </c:strCache>
            </c:strRef>
          </c:tx>
          <c:spPr>
            <a:pattFill prst="pct75">
              <a:fgClr>
                <a:schemeClr val="accent1">
                  <a:lumMod val="50000"/>
                </a:schemeClr>
              </a:fgClr>
              <a:bgClr>
                <a:schemeClr val="bg1"/>
              </a:bgClr>
            </a:patt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prihodkih.xlsx]List1'!$C$14:$P$14</c:f>
              <c:numCache>
                <c:formatCode>#.#00</c:formatCode>
                <c:ptCount val="14"/>
                <c:pt idx="0">
                  <c:v>-306.60000000000002</c:v>
                </c:pt>
                <c:pt idx="1">
                  <c:v>-315</c:v>
                </c:pt>
                <c:pt idx="2">
                  <c:v>-399.7</c:v>
                </c:pt>
                <c:pt idx="3">
                  <c:v>-420.4</c:v>
                </c:pt>
                <c:pt idx="4">
                  <c:v>-343.9</c:v>
                </c:pt>
                <c:pt idx="5">
                  <c:v>-359.4</c:v>
                </c:pt>
                <c:pt idx="6">
                  <c:v>-400.7</c:v>
                </c:pt>
                <c:pt idx="7">
                  <c:v>-397.1</c:v>
                </c:pt>
                <c:pt idx="8">
                  <c:v>-386.7</c:v>
                </c:pt>
                <c:pt idx="9">
                  <c:v>-383.6</c:v>
                </c:pt>
                <c:pt idx="10">
                  <c:v>-385.9</c:v>
                </c:pt>
                <c:pt idx="11">
                  <c:v>-394.5</c:v>
                </c:pt>
                <c:pt idx="12">
                  <c:v>-373.4</c:v>
                </c:pt>
                <c:pt idx="13">
                  <c:v>-382.9</c:v>
                </c:pt>
              </c:numCache>
            </c:numRef>
          </c:val>
          <c:extLst>
            <c:ext xmlns:c16="http://schemas.microsoft.com/office/drawing/2014/chart" uri="{C3380CC4-5D6E-409C-BE32-E72D297353CC}">
              <c16:uniqueId val="{0000000A-6A27-4AD4-A6DB-E1A0826964F8}"/>
            </c:ext>
          </c:extLst>
        </c:ser>
        <c:ser>
          <c:idx val="11"/>
          <c:order val="11"/>
          <c:tx>
            <c:strRef>
              <c:f>'[podjetniški dohodek po stroških in prihodkih.xlsx]List1'!$B$15</c:f>
              <c:strCache>
                <c:ptCount val="1"/>
                <c:pt idx="0">
                  <c:v>Vzdrževanje zgradb, strojev in opreme</c:v>
                </c:pt>
              </c:strCache>
            </c:strRef>
          </c:tx>
          <c:spPr>
            <a:solidFill>
              <a:schemeClr val="accent6">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prihodkih.xlsx]List1'!$C$15:$P$15</c:f>
              <c:numCache>
                <c:formatCode>#.#00</c:formatCode>
                <c:ptCount val="14"/>
                <c:pt idx="0">
                  <c:v>-35.299999999999997</c:v>
                </c:pt>
                <c:pt idx="1">
                  <c:v>-36.700000000000003</c:v>
                </c:pt>
                <c:pt idx="2">
                  <c:v>-42.8</c:v>
                </c:pt>
                <c:pt idx="3">
                  <c:v>-44.9</c:v>
                </c:pt>
                <c:pt idx="4">
                  <c:v>-47.3</c:v>
                </c:pt>
                <c:pt idx="5">
                  <c:v>-47.1</c:v>
                </c:pt>
                <c:pt idx="6">
                  <c:v>-47.2</c:v>
                </c:pt>
                <c:pt idx="7">
                  <c:v>-48.4</c:v>
                </c:pt>
                <c:pt idx="8">
                  <c:v>-49.5</c:v>
                </c:pt>
                <c:pt idx="9">
                  <c:v>-50.5</c:v>
                </c:pt>
                <c:pt idx="10">
                  <c:v>-52</c:v>
                </c:pt>
                <c:pt idx="11">
                  <c:v>-52.9</c:v>
                </c:pt>
                <c:pt idx="12">
                  <c:v>-54.4</c:v>
                </c:pt>
                <c:pt idx="13">
                  <c:v>-57.4</c:v>
                </c:pt>
              </c:numCache>
            </c:numRef>
          </c:val>
          <c:extLst>
            <c:ext xmlns:c16="http://schemas.microsoft.com/office/drawing/2014/chart" uri="{C3380CC4-5D6E-409C-BE32-E72D297353CC}">
              <c16:uniqueId val="{0000000B-6A27-4AD4-A6DB-E1A0826964F8}"/>
            </c:ext>
          </c:extLst>
        </c:ser>
        <c:ser>
          <c:idx val="12"/>
          <c:order val="12"/>
          <c:tx>
            <c:strRef>
              <c:f>'[podjetniški dohodek po stroških in prihodkih.xlsx]List1'!$B$16</c:f>
              <c:strCache>
                <c:ptCount val="1"/>
                <c:pt idx="0">
                  <c:v>Drugi proizvodi in storitve</c:v>
                </c:pt>
              </c:strCache>
            </c:strRef>
          </c:tx>
          <c:spPr>
            <a:solidFill>
              <a:schemeClr val="accent1">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prihodkih.xlsx]List1'!$C$16:$P$16</c:f>
              <c:numCache>
                <c:formatCode>#.#00</c:formatCode>
                <c:ptCount val="14"/>
                <c:pt idx="0">
                  <c:v>-57.3</c:v>
                </c:pt>
                <c:pt idx="1">
                  <c:v>-55</c:v>
                </c:pt>
                <c:pt idx="2">
                  <c:v>-55.9</c:v>
                </c:pt>
                <c:pt idx="3">
                  <c:v>-57.7</c:v>
                </c:pt>
                <c:pt idx="4">
                  <c:v>-60.5</c:v>
                </c:pt>
                <c:pt idx="5">
                  <c:v>-62.2</c:v>
                </c:pt>
                <c:pt idx="6">
                  <c:v>-62.8</c:v>
                </c:pt>
                <c:pt idx="7">
                  <c:v>-60.8</c:v>
                </c:pt>
                <c:pt idx="8">
                  <c:v>-59.8</c:v>
                </c:pt>
                <c:pt idx="9">
                  <c:v>-62.8</c:v>
                </c:pt>
                <c:pt idx="10">
                  <c:v>-64.099999999999994</c:v>
                </c:pt>
                <c:pt idx="11">
                  <c:v>-61.5</c:v>
                </c:pt>
                <c:pt idx="12">
                  <c:v>-60.6</c:v>
                </c:pt>
                <c:pt idx="13">
                  <c:v>-66</c:v>
                </c:pt>
              </c:numCache>
            </c:numRef>
          </c:val>
          <c:extLst>
            <c:ext xmlns:c16="http://schemas.microsoft.com/office/drawing/2014/chart" uri="{C3380CC4-5D6E-409C-BE32-E72D297353CC}">
              <c16:uniqueId val="{0000000C-6A27-4AD4-A6DB-E1A0826964F8}"/>
            </c:ext>
          </c:extLst>
        </c:ser>
        <c:ser>
          <c:idx val="13"/>
          <c:order val="13"/>
          <c:tx>
            <c:strRef>
              <c:f>'[podjetniški dohodek po stroških in prihodkih.xlsx]List1'!$B$17</c:f>
              <c:strCache>
                <c:ptCount val="1"/>
                <c:pt idx="0">
                  <c:v>Potrošnja stalnega kapitala</c:v>
                </c:pt>
              </c:strCache>
            </c:strRef>
          </c:tx>
          <c:spPr>
            <a:solidFill>
              <a:schemeClr val="accent2">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prihodkih.xlsx]List1'!$C$17:$P$17</c:f>
              <c:numCache>
                <c:formatCode>#.#00</c:formatCode>
                <c:ptCount val="14"/>
                <c:pt idx="0">
                  <c:v>-205.1</c:v>
                </c:pt>
                <c:pt idx="1">
                  <c:v>-213</c:v>
                </c:pt>
                <c:pt idx="2">
                  <c:v>-224.3</c:v>
                </c:pt>
                <c:pt idx="3">
                  <c:v>-237</c:v>
                </c:pt>
                <c:pt idx="4">
                  <c:v>-245.5</c:v>
                </c:pt>
                <c:pt idx="5">
                  <c:v>-241.5</c:v>
                </c:pt>
                <c:pt idx="6">
                  <c:v>-243.1</c:v>
                </c:pt>
                <c:pt idx="7">
                  <c:v>-245.6</c:v>
                </c:pt>
                <c:pt idx="8">
                  <c:v>-250.5</c:v>
                </c:pt>
                <c:pt idx="9">
                  <c:v>-256.5</c:v>
                </c:pt>
                <c:pt idx="10">
                  <c:v>-258.10000000000002</c:v>
                </c:pt>
                <c:pt idx="11">
                  <c:v>-259.7</c:v>
                </c:pt>
                <c:pt idx="12">
                  <c:v>-262.10000000000002</c:v>
                </c:pt>
                <c:pt idx="13">
                  <c:v>-267.3</c:v>
                </c:pt>
              </c:numCache>
            </c:numRef>
          </c:val>
          <c:extLst>
            <c:ext xmlns:c16="http://schemas.microsoft.com/office/drawing/2014/chart" uri="{C3380CC4-5D6E-409C-BE32-E72D297353CC}">
              <c16:uniqueId val="{0000000D-6A27-4AD4-A6DB-E1A0826964F8}"/>
            </c:ext>
          </c:extLst>
        </c:ser>
        <c:ser>
          <c:idx val="14"/>
          <c:order val="14"/>
          <c:tx>
            <c:strRef>
              <c:f>'[podjetniški dohodek po stroških in prihodkih.xlsx]List1'!$B$18</c:f>
              <c:strCache>
                <c:ptCount val="1"/>
                <c:pt idx="0">
                  <c:v>Sredstva za zaposlene</c:v>
                </c:pt>
              </c:strCache>
            </c:strRef>
          </c:tx>
          <c:spPr>
            <a:solidFill>
              <a:schemeClr val="accent3">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prihodkih.xlsx]List1'!$C$18:$P$18</c:f>
              <c:numCache>
                <c:formatCode>#.#00</c:formatCode>
                <c:ptCount val="14"/>
                <c:pt idx="0">
                  <c:v>-78</c:v>
                </c:pt>
                <c:pt idx="1">
                  <c:v>-78.599999999999994</c:v>
                </c:pt>
                <c:pt idx="2">
                  <c:v>-73.5</c:v>
                </c:pt>
                <c:pt idx="3">
                  <c:v>-75.5</c:v>
                </c:pt>
                <c:pt idx="4">
                  <c:v>-76.400000000000006</c:v>
                </c:pt>
                <c:pt idx="5">
                  <c:v>-88.2</c:v>
                </c:pt>
                <c:pt idx="6">
                  <c:v>-83.3</c:v>
                </c:pt>
                <c:pt idx="7">
                  <c:v>-74.599999999999994</c:v>
                </c:pt>
                <c:pt idx="8">
                  <c:v>-71.3</c:v>
                </c:pt>
                <c:pt idx="9">
                  <c:v>-74</c:v>
                </c:pt>
                <c:pt idx="10">
                  <c:v>-74.099999999999994</c:v>
                </c:pt>
                <c:pt idx="11">
                  <c:v>-86.2</c:v>
                </c:pt>
                <c:pt idx="12">
                  <c:v>-91</c:v>
                </c:pt>
                <c:pt idx="13">
                  <c:v>-94.2</c:v>
                </c:pt>
              </c:numCache>
            </c:numRef>
          </c:val>
          <c:extLst>
            <c:ext xmlns:c16="http://schemas.microsoft.com/office/drawing/2014/chart" uri="{C3380CC4-5D6E-409C-BE32-E72D297353CC}">
              <c16:uniqueId val="{0000000E-6A27-4AD4-A6DB-E1A0826964F8}"/>
            </c:ext>
          </c:extLst>
        </c:ser>
        <c:ser>
          <c:idx val="15"/>
          <c:order val="15"/>
          <c:tx>
            <c:strRef>
              <c:f>'[podjetniški dohodek po stroških in prihodkih.xlsx]List1'!$B$19</c:f>
              <c:strCache>
                <c:ptCount val="1"/>
                <c:pt idx="0">
                  <c:v>Drugi davki na proizvodnjo</c:v>
                </c:pt>
              </c:strCache>
            </c:strRef>
          </c:tx>
          <c:spPr>
            <a:solidFill>
              <a:schemeClr val="accent4">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prihodkih.xlsx]List1'!$C$19:$P$19</c:f>
              <c:numCache>
                <c:formatCode>#.#00</c:formatCode>
                <c:ptCount val="14"/>
                <c:pt idx="0">
                  <c:v>-20.7</c:v>
                </c:pt>
                <c:pt idx="1">
                  <c:v>-18.3</c:v>
                </c:pt>
                <c:pt idx="2">
                  <c:v>-21.4</c:v>
                </c:pt>
                <c:pt idx="3">
                  <c:v>-21.1</c:v>
                </c:pt>
                <c:pt idx="4">
                  <c:v>-14.8</c:v>
                </c:pt>
                <c:pt idx="5">
                  <c:v>-4.4000000000000004</c:v>
                </c:pt>
                <c:pt idx="6">
                  <c:v>-2.9</c:v>
                </c:pt>
                <c:pt idx="7">
                  <c:v>-4.5</c:v>
                </c:pt>
                <c:pt idx="8">
                  <c:v>-5.7</c:v>
                </c:pt>
                <c:pt idx="9">
                  <c:v>-6.6</c:v>
                </c:pt>
                <c:pt idx="10">
                  <c:v>-5.8</c:v>
                </c:pt>
                <c:pt idx="11">
                  <c:v>-4.3</c:v>
                </c:pt>
                <c:pt idx="12">
                  <c:v>-5.4</c:v>
                </c:pt>
                <c:pt idx="13">
                  <c:v>-5.5</c:v>
                </c:pt>
              </c:numCache>
            </c:numRef>
          </c:val>
          <c:extLst>
            <c:ext xmlns:c16="http://schemas.microsoft.com/office/drawing/2014/chart" uri="{C3380CC4-5D6E-409C-BE32-E72D297353CC}">
              <c16:uniqueId val="{0000000F-6A27-4AD4-A6DB-E1A0826964F8}"/>
            </c:ext>
          </c:extLst>
        </c:ser>
        <c:ser>
          <c:idx val="16"/>
          <c:order val="16"/>
          <c:tx>
            <c:strRef>
              <c:f>'[podjetniški dohodek po stroških in prihodkih.xlsx]List1'!$B$20</c:f>
              <c:strCache>
                <c:ptCount val="1"/>
                <c:pt idx="0">
                  <c:v>Plačane rente</c:v>
                </c:pt>
              </c:strCache>
            </c:strRef>
          </c:tx>
          <c:spPr>
            <a:pattFill prst="pct30">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prihodkih.xlsx]List1'!$C$20:$P$20</c:f>
              <c:numCache>
                <c:formatCode>#.#00</c:formatCode>
                <c:ptCount val="14"/>
                <c:pt idx="0">
                  <c:v>-8.1</c:v>
                </c:pt>
                <c:pt idx="1">
                  <c:v>-7.9</c:v>
                </c:pt>
                <c:pt idx="2">
                  <c:v>-9.1999999999999993</c:v>
                </c:pt>
                <c:pt idx="3">
                  <c:v>-11.1</c:v>
                </c:pt>
                <c:pt idx="4">
                  <c:v>-11.6</c:v>
                </c:pt>
                <c:pt idx="5">
                  <c:v>-13.5</c:v>
                </c:pt>
                <c:pt idx="6">
                  <c:v>-14.9</c:v>
                </c:pt>
                <c:pt idx="7">
                  <c:v>-15.7</c:v>
                </c:pt>
                <c:pt idx="8">
                  <c:v>-16.3</c:v>
                </c:pt>
                <c:pt idx="9">
                  <c:v>-19.7</c:v>
                </c:pt>
                <c:pt idx="10">
                  <c:v>-19.3</c:v>
                </c:pt>
                <c:pt idx="11">
                  <c:v>-20.8</c:v>
                </c:pt>
                <c:pt idx="12">
                  <c:v>-19.2</c:v>
                </c:pt>
                <c:pt idx="13">
                  <c:v>-19.5</c:v>
                </c:pt>
              </c:numCache>
            </c:numRef>
          </c:val>
          <c:extLst>
            <c:ext xmlns:c16="http://schemas.microsoft.com/office/drawing/2014/chart" uri="{C3380CC4-5D6E-409C-BE32-E72D297353CC}">
              <c16:uniqueId val="{00000010-6A27-4AD4-A6DB-E1A0826964F8}"/>
            </c:ext>
          </c:extLst>
        </c:ser>
        <c:ser>
          <c:idx val="17"/>
          <c:order val="17"/>
          <c:tx>
            <c:strRef>
              <c:f>'[podjetniški dohodek po stroških in prihodkih.xlsx]List1'!$B$21</c:f>
              <c:strCache>
                <c:ptCount val="1"/>
                <c:pt idx="0">
                  <c:v>Plačane obresti</c:v>
                </c:pt>
              </c:strCache>
            </c:strRef>
          </c:tx>
          <c:spPr>
            <a:solidFill>
              <a:srgbClr val="FFFF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prihodkih.xlsx]List1'!$C$21:$P$21</c:f>
              <c:numCache>
                <c:formatCode>#.#00</c:formatCode>
                <c:ptCount val="14"/>
                <c:pt idx="0">
                  <c:v>-13.6</c:v>
                </c:pt>
                <c:pt idx="1">
                  <c:v>-11.7</c:v>
                </c:pt>
                <c:pt idx="2">
                  <c:v>-11.3</c:v>
                </c:pt>
                <c:pt idx="3">
                  <c:v>-9.3000000000000007</c:v>
                </c:pt>
                <c:pt idx="4">
                  <c:v>-7.5</c:v>
                </c:pt>
                <c:pt idx="5">
                  <c:v>-7.6</c:v>
                </c:pt>
                <c:pt idx="6">
                  <c:v>-6.6</c:v>
                </c:pt>
                <c:pt idx="7">
                  <c:v>-8.9</c:v>
                </c:pt>
                <c:pt idx="8">
                  <c:v>-6.6</c:v>
                </c:pt>
                <c:pt idx="9">
                  <c:v>-8.9</c:v>
                </c:pt>
                <c:pt idx="10">
                  <c:v>-6.7</c:v>
                </c:pt>
                <c:pt idx="11">
                  <c:v>-3.6</c:v>
                </c:pt>
                <c:pt idx="12">
                  <c:v>-3.6</c:v>
                </c:pt>
                <c:pt idx="13">
                  <c:v>-2.7</c:v>
                </c:pt>
              </c:numCache>
            </c:numRef>
          </c:val>
          <c:extLst>
            <c:ext xmlns:c16="http://schemas.microsoft.com/office/drawing/2014/chart" uri="{C3380CC4-5D6E-409C-BE32-E72D297353CC}">
              <c16:uniqueId val="{00000011-6A27-4AD4-A6DB-E1A0826964F8}"/>
            </c:ext>
          </c:extLst>
        </c:ser>
        <c:dLbls>
          <c:showLegendKey val="0"/>
          <c:showVal val="0"/>
          <c:showCatName val="0"/>
          <c:showSerName val="0"/>
          <c:showPercent val="0"/>
          <c:showBubbleSize val="0"/>
        </c:dLbls>
        <c:gapWidth val="150"/>
        <c:overlap val="100"/>
        <c:axId val="136424064"/>
        <c:axId val="136426624"/>
      </c:barChart>
      <c:lineChart>
        <c:grouping val="standard"/>
        <c:varyColors val="0"/>
        <c:ser>
          <c:idx val="18"/>
          <c:order val="18"/>
          <c:tx>
            <c:strRef>
              <c:f>'[podjetniški dohodek po stroških in prihodkih.xlsx]List1'!$B$22</c:f>
              <c:strCache>
                <c:ptCount val="1"/>
                <c:pt idx="0">
                  <c:v>Podjetniški dohodek</c:v>
                </c:pt>
              </c:strCache>
            </c:strRef>
          </c:tx>
          <c:spPr>
            <a:ln w="28575" cap="rnd">
              <a:solidFill>
                <a:schemeClr val="accent1">
                  <a:lumMod val="80000"/>
                </a:schemeClr>
              </a:solidFill>
              <a:round/>
            </a:ln>
            <a:effectLst/>
          </c:spPr>
          <c:marker>
            <c:symbol val="circle"/>
            <c:size val="5"/>
            <c:spPr>
              <a:solidFill>
                <a:srgbClr val="FFFF00"/>
              </a:solidFill>
              <a:ln w="9525">
                <a:solidFill>
                  <a:schemeClr val="accent1">
                    <a:lumMod val="80000"/>
                  </a:schemeClr>
                </a:solidFill>
              </a:ln>
              <a:effectLst/>
            </c:spPr>
          </c:marker>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prihodkih.xlsx]List1'!$C$22:$P$22</c:f>
              <c:numCache>
                <c:formatCode>#.#00</c:formatCode>
                <c:ptCount val="14"/>
                <c:pt idx="0">
                  <c:v>282.89999999999998</c:v>
                </c:pt>
                <c:pt idx="1">
                  <c:v>278.39999999999998</c:v>
                </c:pt>
                <c:pt idx="2">
                  <c:v>317.7</c:v>
                </c:pt>
                <c:pt idx="3">
                  <c:v>278.39999999999998</c:v>
                </c:pt>
                <c:pt idx="4">
                  <c:v>266.89999999999998</c:v>
                </c:pt>
                <c:pt idx="5">
                  <c:v>289.7</c:v>
                </c:pt>
                <c:pt idx="6">
                  <c:v>363.2</c:v>
                </c:pt>
                <c:pt idx="7">
                  <c:v>290.39999999999998</c:v>
                </c:pt>
                <c:pt idx="8">
                  <c:v>312</c:v>
                </c:pt>
                <c:pt idx="9">
                  <c:v>356.8</c:v>
                </c:pt>
                <c:pt idx="10">
                  <c:v>409</c:v>
                </c:pt>
                <c:pt idx="11">
                  <c:v>354.8</c:v>
                </c:pt>
                <c:pt idx="12">
                  <c:v>319.8</c:v>
                </c:pt>
                <c:pt idx="13">
                  <c:v>479.9</c:v>
                </c:pt>
              </c:numCache>
            </c:numRef>
          </c:val>
          <c:smooth val="0"/>
          <c:extLst>
            <c:ext xmlns:c16="http://schemas.microsoft.com/office/drawing/2014/chart" uri="{C3380CC4-5D6E-409C-BE32-E72D297353CC}">
              <c16:uniqueId val="{00000012-6A27-4AD4-A6DB-E1A0826964F8}"/>
            </c:ext>
          </c:extLst>
        </c:ser>
        <c:dLbls>
          <c:showLegendKey val="0"/>
          <c:showVal val="0"/>
          <c:showCatName val="0"/>
          <c:showSerName val="0"/>
          <c:showPercent val="0"/>
          <c:showBubbleSize val="0"/>
        </c:dLbls>
        <c:marker val="1"/>
        <c:smooth val="0"/>
        <c:axId val="136434048"/>
        <c:axId val="136428160"/>
      </c:lineChart>
      <c:dateAx>
        <c:axId val="136424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sl-SI" sz="900" b="1"/>
                  <a:t>Stroški</a:t>
                </a:r>
              </a:p>
            </c:rich>
          </c:tx>
          <c:layout>
            <c:manualLayout>
              <c:xMode val="edge"/>
              <c:yMode val="edge"/>
              <c:x val="1.440525318183682E-2"/>
              <c:y val="0.568338516508965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in"/>
        <c:minorTickMark val="none"/>
        <c:tickLblPos val="low"/>
        <c:spPr>
          <a:solidFill>
            <a:schemeClr val="bg1"/>
          </a:solid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crossAx val="136426624"/>
        <c:crosses val="autoZero"/>
        <c:auto val="0"/>
        <c:lblOffset val="100"/>
        <c:baseTimeUnit val="days"/>
      </c:dateAx>
      <c:valAx>
        <c:axId val="136426624"/>
        <c:scaling>
          <c:orientation val="minMax"/>
          <c:max val="1700"/>
          <c:min val="-1200"/>
        </c:scaling>
        <c:delete val="0"/>
        <c:axPos val="l"/>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6424064"/>
        <c:crosses val="autoZero"/>
        <c:crossBetween val="between"/>
      </c:valAx>
      <c:valAx>
        <c:axId val="136428160"/>
        <c:scaling>
          <c:orientation val="minMax"/>
          <c:max val="1500"/>
          <c:min val="-1500"/>
        </c:scaling>
        <c:delete val="1"/>
        <c:axPos val="r"/>
        <c:numFmt formatCode="General" sourceLinked="0"/>
        <c:majorTickMark val="out"/>
        <c:minorTickMark val="none"/>
        <c:tickLblPos val="nextTo"/>
        <c:crossAx val="136434048"/>
        <c:crosses val="max"/>
        <c:crossBetween val="between"/>
      </c:valAx>
      <c:dateAx>
        <c:axId val="1364340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Prihodki</a:t>
                </a:r>
              </a:p>
            </c:rich>
          </c:tx>
          <c:layout>
            <c:manualLayout>
              <c:xMode val="edge"/>
              <c:yMode val="edge"/>
              <c:x val="9.4142768544759441E-3"/>
              <c:y val="0.168466221134122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crossAx val="136428160"/>
        <c:crosses val="autoZero"/>
        <c:auto val="0"/>
        <c:lblOffset val="100"/>
        <c:baseTimeUnit val="days"/>
      </c:dateAx>
      <c:spPr>
        <a:noFill/>
        <a:ln>
          <a:noFill/>
        </a:ln>
        <a:effectLst/>
      </c:spPr>
    </c:plotArea>
    <c:legend>
      <c:legendPos val="b"/>
      <c:layout>
        <c:manualLayout>
          <c:xMode val="edge"/>
          <c:yMode val="edge"/>
          <c:x val="1.7608766002953521E-2"/>
          <c:y val="0.71781428555998417"/>
          <c:w val="0.96765285394223466"/>
          <c:h val="0.27381255530927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pPr>
            <a:r>
              <a:rPr lang="sl-SI" sz="900" b="0"/>
              <a:t>D</a:t>
            </a:r>
            <a:r>
              <a:rPr lang="en-US" sz="900" b="0"/>
              <a:t>elež</a:t>
            </a:r>
            <a:r>
              <a:rPr lang="sl-SI" sz="900" b="0"/>
              <a:t> vmesne potrošnje v kmetijski proizvodnji, Slovenija in EU-28, v %, v stalnih cenah (2005=100)</a:t>
            </a:r>
            <a:endParaRPr lang="en-US" sz="900" b="0"/>
          </a:p>
        </c:rich>
      </c:tx>
      <c:overlay val="0"/>
      <c:spPr>
        <a:noFill/>
        <a:ln w="25400">
          <a:noFill/>
        </a:ln>
      </c:spPr>
    </c:title>
    <c:autoTitleDeleted val="0"/>
    <c:plotArea>
      <c:layout>
        <c:manualLayout>
          <c:layoutTarget val="inner"/>
          <c:xMode val="edge"/>
          <c:yMode val="edge"/>
          <c:x val="6.1854329392376603E-2"/>
          <c:y val="0.23641084824004616"/>
          <c:w val="0.76850288398002409"/>
          <c:h val="0.63466975023967354"/>
        </c:manualLayout>
      </c:layout>
      <c:lineChart>
        <c:grouping val="standard"/>
        <c:varyColors val="0"/>
        <c:ser>
          <c:idx val="0"/>
          <c:order val="0"/>
          <c:tx>
            <c:strRef>
              <c:f>'po stalnih cenah (2005=100)'!$A$84</c:f>
              <c:strCache>
                <c:ptCount val="1"/>
                <c:pt idx="0">
                  <c:v>EU-28</c:v>
                </c:pt>
              </c:strCache>
            </c:strRef>
          </c:tx>
          <c:spPr>
            <a:ln w="28575" cap="rnd">
              <a:solidFill>
                <a:schemeClr val="accent1"/>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(2005=100)'!$B$84:$M$84</c:f>
              <c:numCache>
                <c:formatCode>0%</c:formatCode>
                <c:ptCount val="12"/>
                <c:pt idx="0">
                  <c:v>0.54152505852305022</c:v>
                </c:pt>
                <c:pt idx="1">
                  <c:v>0.5451432194426219</c:v>
                </c:pt>
                <c:pt idx="2">
                  <c:v>0.5478963647317775</c:v>
                </c:pt>
                <c:pt idx="3">
                  <c:v>0.53430157835890024</c:v>
                </c:pt>
                <c:pt idx="4">
                  <c:v>0.53159960194907052</c:v>
                </c:pt>
                <c:pt idx="5">
                  <c:v>0.53783951398094443</c:v>
                </c:pt>
                <c:pt idx="6">
                  <c:v>0.53671999614124066</c:v>
                </c:pt>
                <c:pt idx="7">
                  <c:v>0.54754901472452611</c:v>
                </c:pt>
                <c:pt idx="8">
                  <c:v>0.54316667963999166</c:v>
                </c:pt>
                <c:pt idx="9">
                  <c:v>0.52965005626058226</c:v>
                </c:pt>
                <c:pt idx="10">
                  <c:v>0.53340278728762069</c:v>
                </c:pt>
                <c:pt idx="11">
                  <c:v>0.533606977264792</c:v>
                </c:pt>
              </c:numCache>
            </c:numRef>
          </c:val>
          <c:smooth val="0"/>
          <c:extLst>
            <c:ext xmlns:c16="http://schemas.microsoft.com/office/drawing/2014/chart" uri="{C3380CC4-5D6E-409C-BE32-E72D297353CC}">
              <c16:uniqueId val="{00000000-F617-4C84-97A0-7C1478545F3C}"/>
            </c:ext>
          </c:extLst>
        </c:ser>
        <c:ser>
          <c:idx val="1"/>
          <c:order val="1"/>
          <c:tx>
            <c:strRef>
              <c:f>'po stalnih cenah (2005=100)'!$A$108</c:f>
              <c:strCache>
                <c:ptCount val="1"/>
                <c:pt idx="0">
                  <c:v>Slovenija</c:v>
                </c:pt>
              </c:strCache>
            </c:strRef>
          </c:tx>
          <c:spPr>
            <a:ln w="28575" cap="rnd">
              <a:solidFill>
                <a:schemeClr val="accent2"/>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(2005=100)'!$B$108:$M$108</c:f>
              <c:numCache>
                <c:formatCode>0%</c:formatCode>
                <c:ptCount val="12"/>
                <c:pt idx="0">
                  <c:v>0.5530793782696557</c:v>
                </c:pt>
                <c:pt idx="1">
                  <c:v>0.59149096385542166</c:v>
                </c:pt>
                <c:pt idx="2">
                  <c:v>0.59413090339016261</c:v>
                </c:pt>
                <c:pt idx="3">
                  <c:v>0.61888984251811341</c:v>
                </c:pt>
                <c:pt idx="4">
                  <c:v>0.57526356697291581</c:v>
                </c:pt>
                <c:pt idx="5">
                  <c:v>0.56197349013551912</c:v>
                </c:pt>
                <c:pt idx="6">
                  <c:v>0.52928625507605476</c:v>
                </c:pt>
                <c:pt idx="7">
                  <c:v>0.56179602083172764</c:v>
                </c:pt>
                <c:pt idx="8">
                  <c:v>0.5529806526911164</c:v>
                </c:pt>
                <c:pt idx="9">
                  <c:v>0.53390575281579866</c:v>
                </c:pt>
                <c:pt idx="10">
                  <c:v>0.53805247677113976</c:v>
                </c:pt>
                <c:pt idx="11">
                  <c:v>0.5642649375833233</c:v>
                </c:pt>
              </c:numCache>
            </c:numRef>
          </c:val>
          <c:smooth val="0"/>
          <c:extLst>
            <c:ext xmlns:c16="http://schemas.microsoft.com/office/drawing/2014/chart" uri="{C3380CC4-5D6E-409C-BE32-E72D297353CC}">
              <c16:uniqueId val="{00000001-F617-4C84-97A0-7C1478545F3C}"/>
            </c:ext>
          </c:extLst>
        </c:ser>
        <c:dLbls>
          <c:showLegendKey val="0"/>
          <c:showVal val="0"/>
          <c:showCatName val="0"/>
          <c:showSerName val="0"/>
          <c:showPercent val="0"/>
          <c:showBubbleSize val="0"/>
        </c:dLbls>
        <c:smooth val="0"/>
        <c:axId val="136465024"/>
        <c:axId val="136466816"/>
      </c:lineChart>
      <c:catAx>
        <c:axId val="136465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36466816"/>
        <c:crosses val="autoZero"/>
        <c:auto val="1"/>
        <c:lblAlgn val="ctr"/>
        <c:lblOffset val="100"/>
        <c:noMultiLvlLbl val="0"/>
      </c:catAx>
      <c:valAx>
        <c:axId val="13646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36465024"/>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r"/>
      <c:layout>
        <c:manualLayout>
          <c:xMode val="edge"/>
          <c:yMode val="edge"/>
          <c:x val="0.2817899016384236"/>
          <c:y val="0.77709356584321942"/>
          <c:w val="0.33401221995926678"/>
          <c:h val="7.4074427565241185E-2"/>
        </c:manualLayout>
      </c:layout>
      <c:overlay val="0"/>
      <c:spPr>
        <a:noFill/>
        <a:ln w="25400">
          <a:noFill/>
        </a:ln>
      </c:spPr>
      <c:txPr>
        <a:bodyPr rot="0" vert="horz"/>
        <a:lstStyle/>
        <a:p>
          <a:pPr>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sl-SI" sz="900" b="0" i="0" baseline="0">
                <a:effectLst/>
              </a:rPr>
              <a:t>Delež vmesne potrošnje v kmetijski proizvodnji, EU, leto </a:t>
            </a:r>
            <a:r>
              <a:rPr lang="en-US" sz="900" b="0" i="0" baseline="0">
                <a:effectLst/>
              </a:rPr>
              <a:t>201</a:t>
            </a:r>
            <a:r>
              <a:rPr lang="sl-SI" sz="900" b="0" i="0" baseline="0">
                <a:effectLst/>
              </a:rPr>
              <a:t>9, v tekočih cenah</a:t>
            </a:r>
            <a:endParaRPr lang="sl-SI" sz="900">
              <a:effectLst/>
            </a:endParaRPr>
          </a:p>
        </c:rich>
      </c:tx>
      <c:layout>
        <c:manualLayout>
          <c:xMode val="edge"/>
          <c:yMode val="edge"/>
          <c:x val="0.10536659352007227"/>
          <c:y val="7.7300324896573862E-3"/>
        </c:manualLayout>
      </c:layout>
      <c:overlay val="0"/>
    </c:title>
    <c:autoTitleDeleted val="0"/>
    <c:plotArea>
      <c:layout>
        <c:manualLayout>
          <c:layoutTarget val="inner"/>
          <c:xMode val="edge"/>
          <c:yMode val="edge"/>
          <c:x val="0.20256658491459059"/>
          <c:y val="6.7793919377099138E-2"/>
          <c:w val="0.74612882406092684"/>
          <c:h val="0.88104532146247672"/>
        </c:manualLayout>
      </c:layout>
      <c:barChart>
        <c:barDir val="bar"/>
        <c:grouping val="clustered"/>
        <c:varyColors val="0"/>
        <c:ser>
          <c:idx val="0"/>
          <c:order val="0"/>
          <c:tx>
            <c:strRef>
              <c:f>'[vmesna potrošnja_EU države_tekoče cene aact_eaa01.xls]po tekočih cenah'!$B$148</c:f>
              <c:strCache>
                <c:ptCount val="1"/>
                <c:pt idx="0">
                  <c:v>2019</c:v>
                </c:pt>
              </c:strCache>
            </c:strRef>
          </c:tx>
          <c:spPr>
            <a:solidFill>
              <a:srgbClr val="0070C0"/>
            </a:solidFill>
            <a:ln w="25400">
              <a:noFill/>
            </a:ln>
          </c:spPr>
          <c:invertIfNegative val="0"/>
          <c:dPt>
            <c:idx val="9"/>
            <c:invertIfNegative val="0"/>
            <c:bubble3D val="0"/>
            <c:spPr>
              <a:solidFill>
                <a:srgbClr val="C00000"/>
              </a:solidFill>
              <a:ln w="25400">
                <a:noFill/>
              </a:ln>
            </c:spPr>
            <c:extLst>
              <c:ext xmlns:c16="http://schemas.microsoft.com/office/drawing/2014/chart" uri="{C3380CC4-5D6E-409C-BE32-E72D297353CC}">
                <c16:uniqueId val="{00000001-56F2-468F-B71A-8EC570C7651A}"/>
              </c:ext>
            </c:extLst>
          </c:dPt>
          <c:dPt>
            <c:idx val="10"/>
            <c:invertIfNegative val="0"/>
            <c:bubble3D val="0"/>
            <c:spPr>
              <a:solidFill>
                <a:srgbClr val="FFC000"/>
              </a:solidFill>
              <a:ln w="25400">
                <a:noFill/>
              </a:ln>
            </c:spPr>
            <c:extLst>
              <c:ext xmlns:c16="http://schemas.microsoft.com/office/drawing/2014/chart" uri="{C3380CC4-5D6E-409C-BE32-E72D297353CC}">
                <c16:uniqueId val="{00000003-56F2-468F-B71A-8EC570C7651A}"/>
              </c:ext>
            </c:extLst>
          </c:dPt>
          <c:dPt>
            <c:idx val="11"/>
            <c:invertIfNegative val="0"/>
            <c:bubble3D val="0"/>
            <c:spPr>
              <a:solidFill>
                <a:srgbClr val="FFC000"/>
              </a:solidFill>
              <a:ln w="25400">
                <a:noFill/>
              </a:ln>
            </c:spPr>
            <c:extLst>
              <c:ext xmlns:c16="http://schemas.microsoft.com/office/drawing/2014/chart" uri="{C3380CC4-5D6E-409C-BE32-E72D297353CC}">
                <c16:uniqueId val="{00000005-56F2-468F-B71A-8EC570C7651A}"/>
              </c:ext>
            </c:extLst>
          </c:dPt>
          <c:cat>
            <c:strRef>
              <c:f>'[vmesna potrošnja_EU države_tekoče cene aact_eaa01.xls]po tekočih cenah'!$A$149:$A$178</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Latvija</c:v>
                </c:pt>
                <c:pt idx="22">
                  <c:v>Irska</c:v>
                </c:pt>
                <c:pt idx="23">
                  <c:v>Ćeška</c:v>
                </c:pt>
                <c:pt idx="24">
                  <c:v>Danska</c:v>
                </c:pt>
                <c:pt idx="25">
                  <c:v>Švedska</c:v>
                </c:pt>
                <c:pt idx="26">
                  <c:v>Finska</c:v>
                </c:pt>
                <c:pt idx="27">
                  <c:v>Luksemburg</c:v>
                </c:pt>
                <c:pt idx="28">
                  <c:v>Belgija</c:v>
                </c:pt>
                <c:pt idx="29">
                  <c:v>Slovaška</c:v>
                </c:pt>
              </c:strCache>
            </c:strRef>
          </c:cat>
          <c:val>
            <c:numRef>
              <c:f>'[vmesna potrošnja_EU države_tekoče cene aact_eaa01.xls]po tekočih cenah'!$B$149:$B$178</c:f>
              <c:numCache>
                <c:formatCode>0%</c:formatCode>
                <c:ptCount val="30"/>
                <c:pt idx="0">
                  <c:v>0.43775287507436073</c:v>
                </c:pt>
                <c:pt idx="1">
                  <c:v>0.47576636214719986</c:v>
                </c:pt>
                <c:pt idx="2">
                  <c:v>0.4987374071117549</c:v>
                </c:pt>
                <c:pt idx="3">
                  <c:v>0.5125997808733761</c:v>
                </c:pt>
                <c:pt idx="4">
                  <c:v>0.51576008524068351</c:v>
                </c:pt>
                <c:pt idx="5">
                  <c:v>0.53052150278204868</c:v>
                </c:pt>
                <c:pt idx="6">
                  <c:v>0.53916925348518929</c:v>
                </c:pt>
                <c:pt idx="7">
                  <c:v>0.55029990665390704</c:v>
                </c:pt>
                <c:pt idx="8">
                  <c:v>0.56460191204387533</c:v>
                </c:pt>
                <c:pt idx="9">
                  <c:v>0.56734733581257524</c:v>
                </c:pt>
                <c:pt idx="10">
                  <c:v>0.57003377673647615</c:v>
                </c:pt>
                <c:pt idx="11">
                  <c:v>0.57403355020913382</c:v>
                </c:pt>
                <c:pt idx="12">
                  <c:v>0.58671102826426214</c:v>
                </c:pt>
                <c:pt idx="13">
                  <c:v>0.58680758128808586</c:v>
                </c:pt>
                <c:pt idx="14">
                  <c:v>0.59192128430864843</c:v>
                </c:pt>
                <c:pt idx="15">
                  <c:v>0.60307481239423033</c:v>
                </c:pt>
                <c:pt idx="16">
                  <c:v>0.60572825214860615</c:v>
                </c:pt>
                <c:pt idx="17">
                  <c:v>0.60993499993400646</c:v>
                </c:pt>
                <c:pt idx="18">
                  <c:v>0.62670490466988216</c:v>
                </c:pt>
                <c:pt idx="19">
                  <c:v>0.62945492800847946</c:v>
                </c:pt>
                <c:pt idx="20">
                  <c:v>0.66158018685815778</c:v>
                </c:pt>
                <c:pt idx="21">
                  <c:v>0.6639118630829024</c:v>
                </c:pt>
                <c:pt idx="22">
                  <c:v>0.66397337581775018</c:v>
                </c:pt>
                <c:pt idx="23">
                  <c:v>0.6910344776294236</c:v>
                </c:pt>
                <c:pt idx="24">
                  <c:v>0.69911936662501839</c:v>
                </c:pt>
                <c:pt idx="25">
                  <c:v>0.72306902289571251</c:v>
                </c:pt>
                <c:pt idx="26">
                  <c:v>0.72445453127368675</c:v>
                </c:pt>
                <c:pt idx="27">
                  <c:v>0.72769430532368762</c:v>
                </c:pt>
                <c:pt idx="28">
                  <c:v>0.73773010017512808</c:v>
                </c:pt>
                <c:pt idx="29">
                  <c:v>0.77477785828269674</c:v>
                </c:pt>
              </c:numCache>
            </c:numRef>
          </c:val>
          <c:extLst>
            <c:ext xmlns:c16="http://schemas.microsoft.com/office/drawing/2014/chart" uri="{C3380CC4-5D6E-409C-BE32-E72D297353CC}">
              <c16:uniqueId val="{00000006-56F2-468F-B71A-8EC570C7651A}"/>
            </c:ext>
          </c:extLst>
        </c:ser>
        <c:dLbls>
          <c:showLegendKey val="0"/>
          <c:showVal val="0"/>
          <c:showCatName val="0"/>
          <c:showSerName val="0"/>
          <c:showPercent val="0"/>
          <c:showBubbleSize val="0"/>
        </c:dLbls>
        <c:gapWidth val="182"/>
        <c:axId val="136498176"/>
        <c:axId val="136499968"/>
      </c:barChart>
      <c:catAx>
        <c:axId val="13649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36499968"/>
        <c:crosses val="autoZero"/>
        <c:auto val="1"/>
        <c:lblAlgn val="ctr"/>
        <c:lblOffset val="100"/>
        <c:noMultiLvlLbl val="0"/>
      </c:catAx>
      <c:valAx>
        <c:axId val="136499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364981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7A4E-475B-9842-B57EE346BC72}"/>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7A4E-475B-9842-B57EE346BC7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44583680"/>
        <c:axId val="144597760"/>
      </c:lineChart>
      <c:catAx>
        <c:axId val="1445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44597760"/>
        <c:crosses val="autoZero"/>
        <c:auto val="1"/>
        <c:lblAlgn val="ctr"/>
        <c:lblOffset val="100"/>
        <c:noMultiLvlLbl val="0"/>
      </c:catAx>
      <c:valAx>
        <c:axId val="14459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44583680"/>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sl-SI" sz="900" b="0">
                <a:solidFill>
                  <a:sysClr val="windowText" lastClr="000000"/>
                </a:solidFill>
              </a:rPr>
              <a:t>Indeksi</a:t>
            </a:r>
            <a:r>
              <a:rPr lang="sl-SI" sz="900" b="0" baseline="0">
                <a:solidFill>
                  <a:sysClr val="windowText" lastClr="000000"/>
                </a:solidFill>
              </a:rPr>
              <a:t> obsega kmetijske proizvodnje in vmesne potrošnje v Sloveniji in EU-28, 2005-2019 (2005=100)</a:t>
            </a:r>
            <a:endParaRPr lang="en-US" sz="900" b="0">
              <a:solidFill>
                <a:sysClr val="windowText" lastClr="000000"/>
              </a:solidFill>
            </a:endParaRPr>
          </a:p>
        </c:rich>
      </c:tx>
      <c:layout>
        <c:manualLayout>
          <c:xMode val="edge"/>
          <c:yMode val="edge"/>
          <c:x val="0.11713535808023999"/>
          <c:y val="2.5196850393700784E-2"/>
        </c:manualLayout>
      </c:layout>
      <c:overlay val="0"/>
      <c:spPr>
        <a:noFill/>
        <a:ln w="25400">
          <a:noFill/>
        </a:ln>
      </c:spPr>
    </c:title>
    <c:autoTitleDeleted val="0"/>
    <c:plotArea>
      <c:layout>
        <c:manualLayout>
          <c:layoutTarget val="inner"/>
          <c:xMode val="edge"/>
          <c:yMode val="edge"/>
          <c:x val="8.1383462318128222E-2"/>
          <c:y val="0.14954954954954952"/>
          <c:w val="0.89617671720043568"/>
          <c:h val="0.60975909151191598"/>
        </c:manualLayout>
      </c:layout>
      <c:lineChart>
        <c:grouping val="standard"/>
        <c:varyColors val="0"/>
        <c:ser>
          <c:idx val="0"/>
          <c:order val="0"/>
          <c:tx>
            <c:strRef>
              <c:f>'[vmesna potrošnja_EU države_tekoče cene aact_eaa01.xls]indeksi obseg vmesne potrošnje'!$A$80</c:f>
              <c:strCache>
                <c:ptCount val="1"/>
                <c:pt idx="0">
                  <c:v>Indeks obsega kmetijske proizvodnje EU-28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potrošnje'!$B$80:$P$80</c:f>
              <c:numCache>
                <c:formatCode>###,000</c:formatCode>
                <c:ptCount val="15"/>
                <c:pt idx="0">
                  <c:v>100</c:v>
                </c:pt>
                <c:pt idx="1">
                  <c:v>98.93</c:v>
                </c:pt>
                <c:pt idx="2">
                  <c:v>99.69</c:v>
                </c:pt>
                <c:pt idx="3">
                  <c:v>102.67</c:v>
                </c:pt>
                <c:pt idx="4">
                  <c:v>102.81</c:v>
                </c:pt>
                <c:pt idx="5">
                  <c:v>102.07</c:v>
                </c:pt>
                <c:pt idx="6">
                  <c:v>104.45</c:v>
                </c:pt>
                <c:pt idx="7">
                  <c:v>101.3</c:v>
                </c:pt>
                <c:pt idx="8">
                  <c:v>103.62</c:v>
                </c:pt>
                <c:pt idx="9">
                  <c:v>108.34</c:v>
                </c:pt>
                <c:pt idx="10">
                  <c:v>107.78</c:v>
                </c:pt>
                <c:pt idx="11">
                  <c:v>108.38</c:v>
                </c:pt>
                <c:pt idx="12">
                  <c:v>109.43</c:v>
                </c:pt>
                <c:pt idx="13">
                  <c:v>110.13</c:v>
                </c:pt>
                <c:pt idx="14">
                  <c:v>110.62</c:v>
                </c:pt>
              </c:numCache>
            </c:numRef>
          </c:val>
          <c:smooth val="0"/>
          <c:extLst>
            <c:ext xmlns:c16="http://schemas.microsoft.com/office/drawing/2014/chart" uri="{C3380CC4-5D6E-409C-BE32-E72D297353CC}">
              <c16:uniqueId val="{00000000-D291-468D-96CB-C362E8D5B290}"/>
            </c:ext>
          </c:extLst>
        </c:ser>
        <c:ser>
          <c:idx val="1"/>
          <c:order val="1"/>
          <c:tx>
            <c:strRef>
              <c:f>'[vmesna potrošnja_EU države_tekoče cene aact_eaa01.xls]indeksi obseg vmesne potrošnje'!$A$82</c:f>
              <c:strCache>
                <c:ptCount val="1"/>
                <c:pt idx="0">
                  <c:v>Indeks obsega kmetijske proizvodnje Slovenija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potrošnje'!$B$82:$P$82</c:f>
              <c:numCache>
                <c:formatCode>###,000</c:formatCode>
                <c:ptCount val="15"/>
                <c:pt idx="0">
                  <c:v>100</c:v>
                </c:pt>
                <c:pt idx="1">
                  <c:v>92.8</c:v>
                </c:pt>
                <c:pt idx="2">
                  <c:v>96.38</c:v>
                </c:pt>
                <c:pt idx="3">
                  <c:v>94.62</c:v>
                </c:pt>
                <c:pt idx="4">
                  <c:v>94.77</c:v>
                </c:pt>
                <c:pt idx="5">
                  <c:v>95.39</c:v>
                </c:pt>
                <c:pt idx="6">
                  <c:v>96.04</c:v>
                </c:pt>
                <c:pt idx="7">
                  <c:v>85.76</c:v>
                </c:pt>
                <c:pt idx="8">
                  <c:v>84.13</c:v>
                </c:pt>
                <c:pt idx="9">
                  <c:v>93.42</c:v>
                </c:pt>
                <c:pt idx="10">
                  <c:v>99.39</c:v>
                </c:pt>
                <c:pt idx="11">
                  <c:v>96.25</c:v>
                </c:pt>
                <c:pt idx="12">
                  <c:v>87.12</c:v>
                </c:pt>
                <c:pt idx="13">
                  <c:v>110.54</c:v>
                </c:pt>
                <c:pt idx="14">
                  <c:v>103.69</c:v>
                </c:pt>
              </c:numCache>
            </c:numRef>
          </c:val>
          <c:smooth val="0"/>
          <c:extLst>
            <c:ext xmlns:c16="http://schemas.microsoft.com/office/drawing/2014/chart" uri="{C3380CC4-5D6E-409C-BE32-E72D297353CC}">
              <c16:uniqueId val="{00000001-D291-468D-96CB-C362E8D5B290}"/>
            </c:ext>
          </c:extLst>
        </c:ser>
        <c:ser>
          <c:idx val="2"/>
          <c:order val="2"/>
          <c:tx>
            <c:strRef>
              <c:f>'[vmesna potrošnja_EU države_tekoče cene aact_eaa01.xls]indeksi obseg vmesne potrošnje'!$A$81</c:f>
              <c:strCache>
                <c:ptCount val="1"/>
                <c:pt idx="0">
                  <c:v>Indeks obsega vmesne potrošnja EU-28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potrošnje'!$B$81:$P$81</c:f>
              <c:numCache>
                <c:formatCode>###,000</c:formatCode>
                <c:ptCount val="15"/>
                <c:pt idx="0">
                  <c:v>100</c:v>
                </c:pt>
                <c:pt idx="1">
                  <c:v>99.6</c:v>
                </c:pt>
                <c:pt idx="2">
                  <c:v>100.93</c:v>
                </c:pt>
                <c:pt idx="3">
                  <c:v>101.33</c:v>
                </c:pt>
                <c:pt idx="4">
                  <c:v>100.94</c:v>
                </c:pt>
                <c:pt idx="5">
                  <c:v>101.46</c:v>
                </c:pt>
                <c:pt idx="6">
                  <c:v>103.11</c:v>
                </c:pt>
                <c:pt idx="7">
                  <c:v>101.81</c:v>
                </c:pt>
                <c:pt idx="8">
                  <c:v>103.06</c:v>
                </c:pt>
                <c:pt idx="9">
                  <c:v>104.66</c:v>
                </c:pt>
                <c:pt idx="10">
                  <c:v>104.56</c:v>
                </c:pt>
                <c:pt idx="11">
                  <c:v>105.39</c:v>
                </c:pt>
                <c:pt idx="12">
                  <c:v>106.5</c:v>
                </c:pt>
                <c:pt idx="13">
                  <c:v>107.65</c:v>
                </c:pt>
                <c:pt idx="14">
                  <c:v>106.76</c:v>
                </c:pt>
              </c:numCache>
            </c:numRef>
          </c:val>
          <c:smooth val="0"/>
          <c:extLst>
            <c:ext xmlns:c16="http://schemas.microsoft.com/office/drawing/2014/chart" uri="{C3380CC4-5D6E-409C-BE32-E72D297353CC}">
              <c16:uniqueId val="{00000002-D291-468D-96CB-C362E8D5B290}"/>
            </c:ext>
          </c:extLst>
        </c:ser>
        <c:ser>
          <c:idx val="3"/>
          <c:order val="3"/>
          <c:tx>
            <c:strRef>
              <c:f>'[vmesna potrošnja_EU države_tekoče cene aact_eaa01.xls]indeksi obseg vmesne potrošnje'!$A$83</c:f>
              <c:strCache>
                <c:ptCount val="1"/>
                <c:pt idx="0">
                  <c:v>Indeks obsega vmesne potrošnje Slovenija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potrošnje'!$B$83:$P$83</c:f>
              <c:numCache>
                <c:formatCode>###,000</c:formatCode>
                <c:ptCount val="15"/>
                <c:pt idx="0">
                  <c:v>100</c:v>
                </c:pt>
                <c:pt idx="1">
                  <c:v>99.24</c:v>
                </c:pt>
                <c:pt idx="2">
                  <c:v>103.53</c:v>
                </c:pt>
                <c:pt idx="3">
                  <c:v>105.89</c:v>
                </c:pt>
                <c:pt idx="4">
                  <c:v>98.58</c:v>
                </c:pt>
                <c:pt idx="5">
                  <c:v>96.94</c:v>
                </c:pt>
                <c:pt idx="6">
                  <c:v>91.92</c:v>
                </c:pt>
                <c:pt idx="7">
                  <c:v>87.13</c:v>
                </c:pt>
                <c:pt idx="8">
                  <c:v>84.14</c:v>
                </c:pt>
                <c:pt idx="9">
                  <c:v>90.25</c:v>
                </c:pt>
                <c:pt idx="10">
                  <c:v>94.76</c:v>
                </c:pt>
                <c:pt idx="11">
                  <c:v>92.92</c:v>
                </c:pt>
                <c:pt idx="12">
                  <c:v>90.79</c:v>
                </c:pt>
                <c:pt idx="13">
                  <c:v>90.38</c:v>
                </c:pt>
                <c:pt idx="14">
                  <c:v>90.51</c:v>
                </c:pt>
              </c:numCache>
            </c:numRef>
          </c:val>
          <c:smooth val="0"/>
          <c:extLst>
            <c:ext xmlns:c16="http://schemas.microsoft.com/office/drawing/2014/chart" uri="{C3380CC4-5D6E-409C-BE32-E72D297353CC}">
              <c16:uniqueId val="{00000003-D291-468D-96CB-C362E8D5B290}"/>
            </c:ext>
          </c:extLst>
        </c:ser>
        <c:dLbls>
          <c:showLegendKey val="0"/>
          <c:showVal val="0"/>
          <c:showCatName val="0"/>
          <c:showSerName val="0"/>
          <c:showPercent val="0"/>
          <c:showBubbleSize val="0"/>
        </c:dLbls>
        <c:marker val="1"/>
        <c:smooth val="0"/>
        <c:axId val="159997952"/>
        <c:axId val="159999872"/>
      </c:lineChart>
      <c:catAx>
        <c:axId val="159997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99872"/>
        <c:crossesAt val="80"/>
        <c:auto val="1"/>
        <c:lblAlgn val="ctr"/>
        <c:lblOffset val="100"/>
        <c:noMultiLvlLbl val="0"/>
      </c:catAx>
      <c:valAx>
        <c:axId val="159999872"/>
        <c:scaling>
          <c:orientation val="minMax"/>
          <c:max val="120"/>
          <c:min val="8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97952"/>
        <c:crosses val="autoZero"/>
        <c:crossBetween val="between"/>
        <c:majorUnit val="20"/>
        <c:minorUnit val="10"/>
      </c:valAx>
      <c:spPr>
        <a:noFill/>
        <a:ln w="25400">
          <a:noFill/>
        </a:ln>
      </c:spPr>
    </c:plotArea>
    <c:legend>
      <c:legendPos val="r"/>
      <c:layout>
        <c:manualLayout>
          <c:xMode val="edge"/>
          <c:yMode val="edge"/>
          <c:x val="9.3552542043355627E-3"/>
          <c:y val="0.84706160259379337"/>
          <c:w val="0.97565825105195181"/>
          <c:h val="0.1247061911378725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900" b="0" i="0" baseline="0">
                <a:solidFill>
                  <a:sysClr val="windowText" lastClr="000000"/>
                </a:solidFill>
                <a:effectLst/>
              </a:rPr>
              <a:t>Razmerje med</a:t>
            </a:r>
            <a:r>
              <a:rPr lang="sl-SI" sz="900" b="0" i="0" baseline="0">
                <a:solidFill>
                  <a:sysClr val="windowText" lastClr="000000"/>
                </a:solidFill>
                <a:effectLst/>
              </a:rPr>
              <a:t> bruto dodano vrednostjo in vmesno potrošnjo, EU, 2019,  v EUR, v tekočih cenah</a:t>
            </a:r>
            <a:endParaRPr lang="sl-SI" sz="9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20594269466316711"/>
          <c:y val="9.060880829015544E-2"/>
          <c:w val="0.74138363954505682"/>
          <c:h val="0.84748875417121527"/>
        </c:manualLayout>
      </c:layout>
      <c:barChart>
        <c:barDir val="bar"/>
        <c:grouping val="clustered"/>
        <c:varyColors val="0"/>
        <c:ser>
          <c:idx val="0"/>
          <c:order val="0"/>
          <c:tx>
            <c:strRef>
              <c:f>'[vmesna potrošnja_EU države_tekoče cene aact_eaa01.xls]po tekočih cenah'!$B$220</c:f>
              <c:strCache>
                <c:ptCount val="1"/>
                <c:pt idx="0">
                  <c:v>bruto dodana vrednost / vmesna potrošnja v €</c:v>
                </c:pt>
              </c:strCache>
            </c:strRef>
          </c:tx>
          <c:spPr>
            <a:solidFill>
              <a:schemeClr val="accent1"/>
            </a:solidFill>
            <a:ln>
              <a:noFill/>
            </a:ln>
            <a:effectLst/>
          </c:spPr>
          <c:invertIfNegative val="0"/>
          <c:dPt>
            <c:idx val="9"/>
            <c:invertIfNegative val="0"/>
            <c:bubble3D val="0"/>
            <c:spPr>
              <a:solidFill>
                <a:schemeClr val="accent2"/>
              </a:solidFill>
              <a:ln>
                <a:noFill/>
              </a:ln>
              <a:effectLst/>
            </c:spPr>
            <c:extLst>
              <c:ext xmlns:c16="http://schemas.microsoft.com/office/drawing/2014/chart" uri="{C3380CC4-5D6E-409C-BE32-E72D297353CC}">
                <c16:uniqueId val="{00000001-47B4-44CD-8882-1B370B0553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'[vmesna potrošnja_EU države_tekoče cene aact_eaa01.xls]po tekočih cenah'!$A$221:$A$250</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Irska</c:v>
                </c:pt>
                <c:pt idx="22">
                  <c:v>Latvija</c:v>
                </c:pt>
                <c:pt idx="23">
                  <c:v>Češka</c:v>
                </c:pt>
                <c:pt idx="24">
                  <c:v>Danska</c:v>
                </c:pt>
                <c:pt idx="25">
                  <c:v>Finska</c:v>
                </c:pt>
                <c:pt idx="26">
                  <c:v>Švedska</c:v>
                </c:pt>
                <c:pt idx="27">
                  <c:v>Luksemburg</c:v>
                </c:pt>
                <c:pt idx="28">
                  <c:v>Belgija</c:v>
                </c:pt>
                <c:pt idx="29">
                  <c:v>Slovaška</c:v>
                </c:pt>
              </c:strCache>
            </c:strRef>
          </c:cat>
          <c:val>
            <c:numRef>
              <c:f>'[vmesna potrošnja_EU države_tekoče cene aact_eaa01.xls]po tekočih cenah'!$B$221:$B$250</c:f>
              <c:numCache>
                <c:formatCode>#.000</c:formatCode>
                <c:ptCount val="30"/>
                <c:pt idx="0">
                  <c:v>1.2843943098583122</c:v>
                </c:pt>
                <c:pt idx="1">
                  <c:v>1.1018720102170754</c:v>
                </c:pt>
                <c:pt idx="2">
                  <c:v>1.0050631569649324</c:v>
                </c:pt>
                <c:pt idx="3">
                  <c:v>0.95068702290076346</c:v>
                </c:pt>
                <c:pt idx="4">
                  <c:v>0.93888598326359829</c:v>
                </c:pt>
                <c:pt idx="5">
                  <c:v>0.88493773533402786</c:v>
                </c:pt>
                <c:pt idx="6">
                  <c:v>0.85470516639441418</c:v>
                </c:pt>
                <c:pt idx="7">
                  <c:v>0.81719093154220179</c:v>
                </c:pt>
                <c:pt idx="8">
                  <c:v>0.77115942873797727</c:v>
                </c:pt>
                <c:pt idx="9">
                  <c:v>0.76258869457413414</c:v>
                </c:pt>
                <c:pt idx="10">
                  <c:v>0.75428201066459821</c:v>
                </c:pt>
                <c:pt idx="11">
                  <c:v>0.74205845570468232</c:v>
                </c:pt>
                <c:pt idx="12">
                  <c:v>0.70441657276908587</c:v>
                </c:pt>
                <c:pt idx="13">
                  <c:v>0.70413612892479394</c:v>
                </c:pt>
                <c:pt idx="14">
                  <c:v>0.68941382327209089</c:v>
                </c:pt>
                <c:pt idx="15">
                  <c:v>0.65816906865992519</c:v>
                </c:pt>
                <c:pt idx="16">
                  <c:v>0.65090532999386208</c:v>
                </c:pt>
                <c:pt idx="17">
                  <c:v>0.6395189653130211</c:v>
                </c:pt>
                <c:pt idx="18">
                  <c:v>0.5956473174990573</c:v>
                </c:pt>
                <c:pt idx="19">
                  <c:v>0.58867609975487989</c:v>
                </c:pt>
                <c:pt idx="20">
                  <c:v>0.51153256984462758</c:v>
                </c:pt>
                <c:pt idx="21">
                  <c:v>0.50608448534310457</c:v>
                </c:pt>
                <c:pt idx="22">
                  <c:v>0.50621453917531634</c:v>
                </c:pt>
                <c:pt idx="23">
                  <c:v>0.44710579916428317</c:v>
                </c:pt>
                <c:pt idx="24">
                  <c:v>0.43037213335547314</c:v>
                </c:pt>
                <c:pt idx="25">
                  <c:v>0.38035191149444114</c:v>
                </c:pt>
                <c:pt idx="26">
                  <c:v>0.38299383369411572</c:v>
                </c:pt>
                <c:pt idx="27">
                  <c:v>0.37420341575325011</c:v>
                </c:pt>
                <c:pt idx="28">
                  <c:v>0.3555092841712873</c:v>
                </c:pt>
                <c:pt idx="29">
                  <c:v>0.29069253762170039</c:v>
                </c:pt>
              </c:numCache>
            </c:numRef>
          </c:val>
          <c:extLst>
            <c:ext xmlns:c16="http://schemas.microsoft.com/office/drawing/2014/chart" uri="{C3380CC4-5D6E-409C-BE32-E72D297353CC}">
              <c16:uniqueId val="{00000002-47B4-44CD-8882-1B370B0553B1}"/>
            </c:ext>
          </c:extLst>
        </c:ser>
        <c:dLbls>
          <c:showLegendKey val="0"/>
          <c:showVal val="0"/>
          <c:showCatName val="0"/>
          <c:showSerName val="0"/>
          <c:showPercent val="0"/>
          <c:showBubbleSize val="0"/>
        </c:dLbls>
        <c:gapWidth val="182"/>
        <c:axId val="181666176"/>
        <c:axId val="181667712"/>
      </c:barChart>
      <c:catAx>
        <c:axId val="18166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667712"/>
        <c:crosses val="autoZero"/>
        <c:auto val="1"/>
        <c:lblAlgn val="ctr"/>
        <c:lblOffset val="100"/>
        <c:noMultiLvlLbl val="0"/>
      </c:catAx>
      <c:valAx>
        <c:axId val="1816677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66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OMD!$B$1</c:f>
              <c:strCache>
                <c:ptCount val="1"/>
                <c:pt idx="0">
                  <c:v>Povprečje</c:v>
                </c:pt>
              </c:strCache>
            </c:strRef>
          </c:tx>
          <c:spPr>
            <a:ln w="50800" cap="rnd">
              <a:solidFill>
                <a:srgbClr val="00B050"/>
              </a:solidFill>
              <a:prstDash val="sysDash"/>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OMD!$B$2:$B$16</c:f>
              <c:numCache>
                <c:formatCode>"€"#,##0_);[Red]\("€"#,##0\)</c:formatCode>
                <c:ptCount val="15"/>
                <c:pt idx="0">
                  <c:v>2565.71</c:v>
                </c:pt>
                <c:pt idx="1">
                  <c:v>2827.05</c:v>
                </c:pt>
                <c:pt idx="2">
                  <c:v>2248.08</c:v>
                </c:pt>
                <c:pt idx="3">
                  <c:v>4444.66</c:v>
                </c:pt>
                <c:pt idx="4">
                  <c:v>3482.73</c:v>
                </c:pt>
                <c:pt idx="5">
                  <c:v>4291.2</c:v>
                </c:pt>
                <c:pt idx="6">
                  <c:v>3888.01</c:v>
                </c:pt>
                <c:pt idx="7">
                  <c:v>4952.8599999999997</c:v>
                </c:pt>
                <c:pt idx="8">
                  <c:v>3822.2</c:v>
                </c:pt>
                <c:pt idx="9">
                  <c:v>3809.53</c:v>
                </c:pt>
                <c:pt idx="10">
                  <c:v>3584.91</c:v>
                </c:pt>
                <c:pt idx="11">
                  <c:v>3692.35</c:v>
                </c:pt>
                <c:pt idx="12">
                  <c:v>5136.1000000000004</c:v>
                </c:pt>
                <c:pt idx="13">
                  <c:v>6294.96</c:v>
                </c:pt>
                <c:pt idx="14">
                  <c:v>6336.15</c:v>
                </c:pt>
              </c:numCache>
            </c:numRef>
          </c:val>
          <c:smooth val="0"/>
          <c:extLst>
            <c:ext xmlns:c16="http://schemas.microsoft.com/office/drawing/2014/chart" uri="{C3380CC4-5D6E-409C-BE32-E72D297353CC}">
              <c16:uniqueId val="{00000000-772F-40AA-A288-7A507852C529}"/>
            </c:ext>
          </c:extLst>
        </c:ser>
        <c:ser>
          <c:idx val="1"/>
          <c:order val="1"/>
          <c:tx>
            <c:strRef>
              <c:f>OMD!$C$1</c:f>
              <c:strCache>
                <c:ptCount val="1"/>
                <c:pt idx="0">
                  <c:v>OMD ne gorsko območje</c:v>
                </c:pt>
              </c:strCache>
            </c:strRef>
          </c:tx>
          <c:spPr>
            <a:ln w="28575" cap="rnd">
              <a:solidFill>
                <a:schemeClr val="accent2"/>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OMD!$C$2:$C$16</c:f>
              <c:numCache>
                <c:formatCode>"€"#,##0_);[Red]\("€"#,##0\)</c:formatCode>
                <c:ptCount val="15"/>
                <c:pt idx="0">
                  <c:v>1502.84</c:v>
                </c:pt>
                <c:pt idx="1">
                  <c:v>2085.21</c:v>
                </c:pt>
                <c:pt idx="2">
                  <c:v>1757.45</c:v>
                </c:pt>
                <c:pt idx="3">
                  <c:v>5035.78</c:v>
                </c:pt>
                <c:pt idx="4">
                  <c:v>1464.58</c:v>
                </c:pt>
                <c:pt idx="5">
                  <c:v>3753.74</c:v>
                </c:pt>
                <c:pt idx="6">
                  <c:v>4080.66</c:v>
                </c:pt>
                <c:pt idx="7">
                  <c:v>4761.3900000000003</c:v>
                </c:pt>
                <c:pt idx="8">
                  <c:v>3578.73</c:v>
                </c:pt>
                <c:pt idx="9">
                  <c:v>3675.81</c:v>
                </c:pt>
                <c:pt idx="10">
                  <c:v>1518.89</c:v>
                </c:pt>
                <c:pt idx="11">
                  <c:v>956.35</c:v>
                </c:pt>
                <c:pt idx="12">
                  <c:v>3057.18</c:v>
                </c:pt>
                <c:pt idx="13">
                  <c:v>4662.1899999999996</c:v>
                </c:pt>
                <c:pt idx="14">
                  <c:v>4460.16</c:v>
                </c:pt>
              </c:numCache>
            </c:numRef>
          </c:val>
          <c:smooth val="0"/>
          <c:extLst>
            <c:ext xmlns:c16="http://schemas.microsoft.com/office/drawing/2014/chart" uri="{C3380CC4-5D6E-409C-BE32-E72D297353CC}">
              <c16:uniqueId val="{00000001-772F-40AA-A288-7A507852C529}"/>
            </c:ext>
          </c:extLst>
        </c:ser>
        <c:ser>
          <c:idx val="2"/>
          <c:order val="2"/>
          <c:tx>
            <c:strRef>
              <c:f>OMD!$D$1</c:f>
              <c:strCache>
                <c:ptCount val="1"/>
                <c:pt idx="0">
                  <c:v>OMD gorsko območje</c:v>
                </c:pt>
              </c:strCache>
            </c:strRef>
          </c:tx>
          <c:spPr>
            <a:ln w="28575" cap="rnd">
              <a:solidFill>
                <a:srgbClr val="00B0F0"/>
              </a:solidFill>
              <a:prstDash val="solid"/>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OMD!$D$2:$D$16</c:f>
              <c:numCache>
                <c:formatCode>"€"#,##0_);[Red]\("€"#,##0\)</c:formatCode>
                <c:ptCount val="15"/>
                <c:pt idx="0">
                  <c:v>2586.63</c:v>
                </c:pt>
                <c:pt idx="1">
                  <c:v>2696.37</c:v>
                </c:pt>
                <c:pt idx="2">
                  <c:v>2102.85</c:v>
                </c:pt>
                <c:pt idx="3">
                  <c:v>3318.92</c:v>
                </c:pt>
                <c:pt idx="4">
                  <c:v>4327.5</c:v>
                </c:pt>
                <c:pt idx="5">
                  <c:v>3431.98</c:v>
                </c:pt>
                <c:pt idx="6">
                  <c:v>2285.2800000000002</c:v>
                </c:pt>
                <c:pt idx="7">
                  <c:v>3551.1</c:v>
                </c:pt>
                <c:pt idx="8">
                  <c:v>3344.54</c:v>
                </c:pt>
                <c:pt idx="9">
                  <c:v>3602.27</c:v>
                </c:pt>
                <c:pt idx="10">
                  <c:v>3147.1</c:v>
                </c:pt>
                <c:pt idx="11">
                  <c:v>3264.14</c:v>
                </c:pt>
                <c:pt idx="12">
                  <c:v>4396.82</c:v>
                </c:pt>
                <c:pt idx="13">
                  <c:v>4892.71</c:v>
                </c:pt>
                <c:pt idx="14">
                  <c:v>5559.77</c:v>
                </c:pt>
              </c:numCache>
            </c:numRef>
          </c:val>
          <c:smooth val="0"/>
          <c:extLst>
            <c:ext xmlns:c16="http://schemas.microsoft.com/office/drawing/2014/chart" uri="{C3380CC4-5D6E-409C-BE32-E72D297353CC}">
              <c16:uniqueId val="{00000002-772F-40AA-A288-7A507852C529}"/>
            </c:ext>
          </c:extLst>
        </c:ser>
        <c:ser>
          <c:idx val="3"/>
          <c:order val="3"/>
          <c:tx>
            <c:strRef>
              <c:f>OMD!$E$1</c:f>
              <c:strCache>
                <c:ptCount val="1"/>
                <c:pt idx="0">
                  <c:v>Ne OMD</c:v>
                </c:pt>
              </c:strCache>
            </c:strRef>
          </c:tx>
          <c:spPr>
            <a:ln w="28575" cap="rnd">
              <a:solidFill>
                <a:schemeClr val="accent4"/>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OMD!$E$2:$E$16</c:f>
              <c:numCache>
                <c:formatCode>"€"#,##0_);[Red]\("€"#,##0\)</c:formatCode>
                <c:ptCount val="15"/>
                <c:pt idx="0">
                  <c:v>3430.69</c:v>
                </c:pt>
                <c:pt idx="1">
                  <c:v>4007.22</c:v>
                </c:pt>
                <c:pt idx="2">
                  <c:v>3184.42</c:v>
                </c:pt>
                <c:pt idx="3">
                  <c:v>6700.41</c:v>
                </c:pt>
                <c:pt idx="4">
                  <c:v>12221.26</c:v>
                </c:pt>
                <c:pt idx="5">
                  <c:v>8089.95</c:v>
                </c:pt>
                <c:pt idx="6">
                  <c:v>6386.22</c:v>
                </c:pt>
                <c:pt idx="7">
                  <c:v>7764.99</c:v>
                </c:pt>
                <c:pt idx="8">
                  <c:v>5719.41</c:v>
                </c:pt>
                <c:pt idx="9">
                  <c:v>4761.7700000000004</c:v>
                </c:pt>
                <c:pt idx="10">
                  <c:v>7254.31</c:v>
                </c:pt>
                <c:pt idx="11">
                  <c:v>7275.52</c:v>
                </c:pt>
                <c:pt idx="12">
                  <c:v>10208.049999999999</c:v>
                </c:pt>
                <c:pt idx="13">
                  <c:v>12804.81</c:v>
                </c:pt>
                <c:pt idx="14">
                  <c:v>10559.52</c:v>
                </c:pt>
              </c:numCache>
            </c:numRef>
          </c:val>
          <c:smooth val="0"/>
          <c:extLst>
            <c:ext xmlns:c16="http://schemas.microsoft.com/office/drawing/2014/chart" uri="{C3380CC4-5D6E-409C-BE32-E72D297353CC}">
              <c16:uniqueId val="{00000003-772F-40AA-A288-7A507852C529}"/>
            </c:ext>
          </c:extLst>
        </c:ser>
        <c:dLbls>
          <c:showLegendKey val="0"/>
          <c:showVal val="0"/>
          <c:showCatName val="0"/>
          <c:showSerName val="0"/>
          <c:showPercent val="0"/>
          <c:showBubbleSize val="0"/>
        </c:dLbls>
        <c:smooth val="0"/>
        <c:axId val="91194496"/>
        <c:axId val="91196032"/>
      </c:lineChart>
      <c:catAx>
        <c:axId val="911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1196032"/>
        <c:crosses val="autoZero"/>
        <c:auto val="1"/>
        <c:lblAlgn val="ctr"/>
        <c:lblOffset val="100"/>
        <c:noMultiLvlLbl val="0"/>
      </c:catAx>
      <c:valAx>
        <c:axId val="911960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119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Število</a:t>
            </a:r>
            <a:r>
              <a:rPr lang="sl-SI" sz="900" baseline="0"/>
              <a:t> odobrenih vlog in celotna vrednost naložb (EUR) po točkah OMD </a:t>
            </a:r>
            <a:endParaRPr lang="sl-SI" sz="900"/>
          </a:p>
        </c:rich>
      </c:tx>
      <c:overlay val="0"/>
      <c:spPr>
        <a:noFill/>
        <a:ln w="25400">
          <a:noFill/>
        </a:ln>
      </c:sp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 2'!$B$131</c:f>
              <c:strCache>
                <c:ptCount val="1"/>
                <c:pt idx="0">
                  <c:v>Št. odobrenih vlog </c:v>
                </c:pt>
              </c:strCache>
            </c:strRef>
          </c:tx>
          <c:spPr>
            <a:solidFill>
              <a:srgbClr val="5B9BD5"/>
            </a:solidFill>
            <a:ln w="25400">
              <a:noFill/>
            </a:ln>
          </c:spPr>
          <c:invertIfNegative val="0"/>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2'!$B$132:$B$138</c:f>
              <c:numCache>
                <c:formatCode>General</c:formatCode>
                <c:ptCount val="7"/>
                <c:pt idx="0">
                  <c:v>215</c:v>
                </c:pt>
                <c:pt idx="1">
                  <c:v>73</c:v>
                </c:pt>
                <c:pt idx="2">
                  <c:v>175</c:v>
                </c:pt>
                <c:pt idx="3">
                  <c:v>290</c:v>
                </c:pt>
                <c:pt idx="4">
                  <c:v>293</c:v>
                </c:pt>
                <c:pt idx="5">
                  <c:v>201</c:v>
                </c:pt>
                <c:pt idx="6">
                  <c:v>188</c:v>
                </c:pt>
              </c:numCache>
            </c:numRef>
          </c:val>
          <c:extLst>
            <c:ext xmlns:c16="http://schemas.microsoft.com/office/drawing/2014/chart" uri="{C3380CC4-5D6E-409C-BE32-E72D297353CC}">
              <c16:uniqueId val="{00000000-B5EB-4D96-8CF7-4879DB308F95}"/>
            </c:ext>
          </c:extLst>
        </c:ser>
        <c:dLbls>
          <c:showLegendKey val="0"/>
          <c:showVal val="0"/>
          <c:showCatName val="0"/>
          <c:showSerName val="0"/>
          <c:showPercent val="0"/>
          <c:showBubbleSize val="0"/>
        </c:dLbls>
        <c:gapWidth val="219"/>
        <c:axId val="181707904"/>
        <c:axId val="181709440"/>
      </c:barChart>
      <c:lineChart>
        <c:grouping val="standard"/>
        <c:varyColors val="0"/>
        <c:ser>
          <c:idx val="1"/>
          <c:order val="1"/>
          <c:tx>
            <c:strRef>
              <c:f>'N:\INTERNO\PROJEKTI\PREJEMNIKI_PRP\ANALIZA IZVAJANJA PRP 2014-2020\Analiza 2020\30.4.2020\4.1\Oddano_20200515\Excel\[! Select_PRPO(V)1420_M041_OsnovniPodatki.xls]analiza za SC 2'!$C$131</c:f>
              <c:strCache>
                <c:ptCount val="1"/>
                <c:pt idx="0">
                  <c:v>Celotna vrednost naložb (EUR)</c:v>
                </c:pt>
              </c:strCache>
            </c:strRef>
          </c:tx>
          <c:spPr>
            <a:ln w="28575" cap="rnd">
              <a:solidFill>
                <a:srgbClr val="92D050"/>
              </a:solidFill>
              <a:round/>
            </a:ln>
            <a:effectLst/>
          </c:spPr>
          <c:marker>
            <c:symbol val="none"/>
          </c:marker>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2'!$C$132:$C$138</c:f>
              <c:numCache>
                <c:formatCode>General</c:formatCode>
                <c:ptCount val="7"/>
                <c:pt idx="0">
                  <c:v>55932565.730000004</c:v>
                </c:pt>
                <c:pt idx="1">
                  <c:v>15813113.800000001</c:v>
                </c:pt>
                <c:pt idx="2">
                  <c:v>30112280.170000006</c:v>
                </c:pt>
                <c:pt idx="3">
                  <c:v>51886690.63000001</c:v>
                </c:pt>
                <c:pt idx="4">
                  <c:v>48585608.670000024</c:v>
                </c:pt>
                <c:pt idx="5">
                  <c:v>34190021.899999999</c:v>
                </c:pt>
                <c:pt idx="6">
                  <c:v>23051706.800000008</c:v>
                </c:pt>
              </c:numCache>
            </c:numRef>
          </c:val>
          <c:smooth val="0"/>
          <c:extLst>
            <c:ext xmlns:c16="http://schemas.microsoft.com/office/drawing/2014/chart" uri="{C3380CC4-5D6E-409C-BE32-E72D297353CC}">
              <c16:uniqueId val="{00000001-B5EB-4D96-8CF7-4879DB308F95}"/>
            </c:ext>
          </c:extLst>
        </c:ser>
        <c:dLbls>
          <c:showLegendKey val="0"/>
          <c:showVal val="0"/>
          <c:showCatName val="0"/>
          <c:showSerName val="0"/>
          <c:showPercent val="0"/>
          <c:showBubbleSize val="0"/>
        </c:dLbls>
        <c:marker val="1"/>
        <c:smooth val="0"/>
        <c:axId val="181727616"/>
        <c:axId val="181729152"/>
      </c:lineChart>
      <c:catAx>
        <c:axId val="1817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09440"/>
        <c:crosses val="autoZero"/>
        <c:auto val="1"/>
        <c:lblAlgn val="ctr"/>
        <c:lblOffset val="100"/>
        <c:noMultiLvlLbl val="0"/>
      </c:catAx>
      <c:valAx>
        <c:axId val="18170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07904"/>
        <c:crosses val="autoZero"/>
        <c:crossBetween val="between"/>
      </c:valAx>
      <c:catAx>
        <c:axId val="181727616"/>
        <c:scaling>
          <c:orientation val="minMax"/>
        </c:scaling>
        <c:delete val="1"/>
        <c:axPos val="b"/>
        <c:numFmt formatCode="General" sourceLinked="1"/>
        <c:majorTickMark val="out"/>
        <c:minorTickMark val="none"/>
        <c:tickLblPos val="nextTo"/>
        <c:crossAx val="181729152"/>
        <c:crosses val="autoZero"/>
        <c:auto val="1"/>
        <c:lblAlgn val="ctr"/>
        <c:lblOffset val="100"/>
        <c:noMultiLvlLbl val="0"/>
      </c:catAx>
      <c:valAx>
        <c:axId val="181729152"/>
        <c:scaling>
          <c:orientation val="minMax"/>
        </c:scaling>
        <c:delete val="0"/>
        <c:axPos val="r"/>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27616"/>
        <c:crosses val="max"/>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sl-SI"/>
              <a:t>Sektor govedoreja: povprečno št. ha KZU, </a:t>
            </a:r>
            <a:r>
              <a:rPr lang="sl-SI" sz="900"/>
              <a:t>povprečno</a:t>
            </a:r>
            <a:r>
              <a:rPr lang="sl-SI"/>
              <a:t> št. GVŽ, povprečno št. PDM in povprečno št. PDM/ha KZU glede na OMD</a:t>
            </a:r>
          </a:p>
        </c:rich>
      </c:tx>
      <c:layout>
        <c:manualLayout>
          <c:xMode val="edge"/>
          <c:yMode val="edge"/>
          <c:x val="0.11923958281280117"/>
          <c:y val="6.1026720574786246E-2"/>
        </c:manualLayout>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SC2_2'!$G$190</c:f>
              <c:strCache>
                <c:ptCount val="1"/>
                <c:pt idx="0">
                  <c:v>KZU (ha): POVPREČJE</c:v>
                </c:pt>
              </c:strCache>
            </c:strRef>
          </c:tx>
          <c:spPr>
            <a:solidFill>
              <a:schemeClr val="accent1"/>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SC2_2'!$H$190:$J$190</c:f>
              <c:numCache>
                <c:formatCode>General</c:formatCode>
                <c:ptCount val="3"/>
                <c:pt idx="0">
                  <c:v>38.687054166666648</c:v>
                </c:pt>
                <c:pt idx="1">
                  <c:v>50.782395890410967</c:v>
                </c:pt>
                <c:pt idx="2">
                  <c:v>60.723134210526318</c:v>
                </c:pt>
              </c:numCache>
            </c:numRef>
          </c:val>
          <c:extLst>
            <c:ext xmlns:c16="http://schemas.microsoft.com/office/drawing/2014/chart" uri="{C3380CC4-5D6E-409C-BE32-E72D297353CC}">
              <c16:uniqueId val="{00000000-6CD1-4C53-A7F0-5E9F291109DD}"/>
            </c:ext>
          </c:extLst>
        </c:ser>
        <c:ser>
          <c:idx val="1"/>
          <c:order val="1"/>
          <c:tx>
            <c:strRef>
              <c:f>'N:\INTERNO\PROJEKTI\PREJEMNIKI_PRP\ANALIZA IZVAJANJA PRP 2014-2020\Analiza 2020\30.4.2020\4.1\Oddano_20200515\Excel\[! Select_PRPO(V)1420_M041_OsnovniPodatki.xls]analiza za SC2_2'!$G$191</c:f>
              <c:strCache>
                <c:ptCount val="1"/>
                <c:pt idx="0">
                  <c:v>GVŽ: POVPREČJE</c:v>
                </c:pt>
              </c:strCache>
            </c:strRef>
          </c:tx>
          <c:spPr>
            <a:solidFill>
              <a:srgbClr val="92D050"/>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SC2_2'!$H$191:$J$191</c:f>
              <c:numCache>
                <c:formatCode>General</c:formatCode>
                <c:ptCount val="3"/>
                <c:pt idx="0">
                  <c:v>37.445626822916687</c:v>
                </c:pt>
                <c:pt idx="1">
                  <c:v>69.990032876712334</c:v>
                </c:pt>
                <c:pt idx="2">
                  <c:v>84.149673684210512</c:v>
                </c:pt>
              </c:numCache>
            </c:numRef>
          </c:val>
          <c:extLst>
            <c:ext xmlns:c16="http://schemas.microsoft.com/office/drawing/2014/chart" uri="{C3380CC4-5D6E-409C-BE32-E72D297353CC}">
              <c16:uniqueId val="{00000001-6CD1-4C53-A7F0-5E9F291109DD}"/>
            </c:ext>
          </c:extLst>
        </c:ser>
        <c:dLbls>
          <c:showLegendKey val="0"/>
          <c:showVal val="0"/>
          <c:showCatName val="0"/>
          <c:showSerName val="0"/>
          <c:showPercent val="0"/>
          <c:showBubbleSize val="0"/>
        </c:dLbls>
        <c:gapWidth val="219"/>
        <c:axId val="182161408"/>
        <c:axId val="182162944"/>
      </c:barChart>
      <c:lineChart>
        <c:grouping val="standard"/>
        <c:varyColors val="0"/>
        <c:ser>
          <c:idx val="2"/>
          <c:order val="2"/>
          <c:tx>
            <c:strRef>
              <c:f>'N:\INTERNO\PROJEKTI\PREJEMNIKI_PRP\ANALIZA IZVAJANJA PRP 2014-2020\Analiza 2020\30.4.2020\4.1\Oddano_20200515\Excel\[! Select_PRPO(V)1420_M041_OsnovniPodatki.xls]analiza za SC2_2'!$G$192</c:f>
              <c:strCache>
                <c:ptCount val="1"/>
                <c:pt idx="0">
                  <c:v>PDM: POVPREČJE</c:v>
                </c:pt>
              </c:strCache>
            </c:strRef>
          </c:tx>
          <c:spPr>
            <a:ln w="28575" cap="rnd">
              <a:solidFill>
                <a:srgbClr val="FFC000"/>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SC2_2'!$H$192:$J$192</c:f>
              <c:numCache>
                <c:formatCode>General</c:formatCode>
                <c:ptCount val="3"/>
                <c:pt idx="0">
                  <c:v>1.9804687500000018</c:v>
                </c:pt>
                <c:pt idx="1">
                  <c:v>2.1505479452054792</c:v>
                </c:pt>
                <c:pt idx="2">
                  <c:v>2.4315789473684215</c:v>
                </c:pt>
              </c:numCache>
            </c:numRef>
          </c:val>
          <c:smooth val="0"/>
          <c:extLst>
            <c:ext xmlns:c16="http://schemas.microsoft.com/office/drawing/2014/chart" uri="{C3380CC4-5D6E-409C-BE32-E72D297353CC}">
              <c16:uniqueId val="{00000002-6CD1-4C53-A7F0-5E9F291109DD}"/>
            </c:ext>
          </c:extLst>
        </c:ser>
        <c:ser>
          <c:idx val="3"/>
          <c:order val="3"/>
          <c:tx>
            <c:strRef>
              <c:f>'N:\INTERNO\PROJEKTI\PREJEMNIKI_PRP\ANALIZA IZVAJANJA PRP 2014-2020\Analiza 2020\30.4.2020\4.1\Oddano_20200515\Excel\[! Select_PRPO(V)1420_M041_OsnovniPodatki.xls]analiza za SC2_2'!$G$193</c:f>
              <c:strCache>
                <c:ptCount val="1"/>
                <c:pt idx="0">
                  <c:v>PDM/ha: POVPREČJE</c:v>
                </c:pt>
              </c:strCache>
            </c:strRef>
          </c:tx>
          <c:spPr>
            <a:ln w="28575" cap="rnd">
              <a:solidFill>
                <a:schemeClr val="accent4"/>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SC2_2'!$H$193:$J$193</c:f>
              <c:numCache>
                <c:formatCode>General</c:formatCode>
                <c:ptCount val="3"/>
                <c:pt idx="0">
                  <c:v>7.0740195820138671E-2</c:v>
                </c:pt>
                <c:pt idx="1">
                  <c:v>5.4629986601525286E-2</c:v>
                </c:pt>
                <c:pt idx="2">
                  <c:v>5.3078839300565263E-2</c:v>
                </c:pt>
              </c:numCache>
            </c:numRef>
          </c:val>
          <c:smooth val="0"/>
          <c:extLst>
            <c:ext xmlns:c16="http://schemas.microsoft.com/office/drawing/2014/chart" uri="{C3380CC4-5D6E-409C-BE32-E72D297353CC}">
              <c16:uniqueId val="{00000003-6CD1-4C53-A7F0-5E9F291109DD}"/>
            </c:ext>
          </c:extLst>
        </c:ser>
        <c:dLbls>
          <c:showLegendKey val="0"/>
          <c:showVal val="0"/>
          <c:showCatName val="0"/>
          <c:showSerName val="0"/>
          <c:showPercent val="0"/>
          <c:showBubbleSize val="0"/>
        </c:dLbls>
        <c:marker val="1"/>
        <c:smooth val="0"/>
        <c:axId val="182170368"/>
        <c:axId val="182164480"/>
      </c:lineChart>
      <c:catAx>
        <c:axId val="1821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62944"/>
        <c:crosses val="autoZero"/>
        <c:auto val="1"/>
        <c:lblAlgn val="ctr"/>
        <c:lblOffset val="100"/>
        <c:noMultiLvlLbl val="0"/>
      </c:catAx>
      <c:valAx>
        <c:axId val="18216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61408"/>
        <c:crosses val="autoZero"/>
        <c:crossBetween val="between"/>
      </c:valAx>
      <c:valAx>
        <c:axId val="1821644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70368"/>
        <c:crosses val="max"/>
        <c:crossBetween val="between"/>
      </c:valAx>
      <c:catAx>
        <c:axId val="182170368"/>
        <c:scaling>
          <c:orientation val="minMax"/>
        </c:scaling>
        <c:delete val="1"/>
        <c:axPos val="b"/>
        <c:numFmt formatCode="General" sourceLinked="1"/>
        <c:majorTickMark val="out"/>
        <c:minorTickMark val="none"/>
        <c:tickLblPos val="nextTo"/>
        <c:crossAx val="182164480"/>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Primerjava za podprte naložbe v sektorju govedoreja: povprečno št. ha KZU, povprečno število GVŽ, povprečno št. PDM in povprečno št. PDM/ha KZU glede na OMD</a:t>
            </a:r>
          </a:p>
        </c:rich>
      </c:tx>
      <c:layout>
        <c:manualLayout>
          <c:xMode val="edge"/>
          <c:yMode val="edge"/>
          <c:x val="0.10841815924962123"/>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443132826315977E-2"/>
          <c:y val="0.16393518518518516"/>
          <c:w val="0.87024765980392915"/>
          <c:h val="0.6227621026538348"/>
        </c:manualLayout>
      </c:layout>
      <c:barChart>
        <c:barDir val="col"/>
        <c:grouping val="clustered"/>
        <c:varyColors val="0"/>
        <c:ser>
          <c:idx val="0"/>
          <c:order val="0"/>
          <c:tx>
            <c:strRef>
              <c:f>List1!$C$12</c:f>
              <c:strCache>
                <c:ptCount val="1"/>
                <c:pt idx="0">
                  <c:v>KZU (ha): POVPREČJE</c:v>
                </c:pt>
              </c:strCache>
            </c:strRef>
          </c:tx>
          <c:spPr>
            <a:solidFill>
              <a:schemeClr val="accent1"/>
            </a:solidFill>
            <a:ln>
              <a:noFill/>
            </a:ln>
            <a:effectLst/>
          </c:spPr>
          <c:invertIfNegative val="0"/>
          <c:cat>
            <c:strRef>
              <c:f>List1!$D$11:$F$11</c:f>
              <c:strCache>
                <c:ptCount val="3"/>
                <c:pt idx="0">
                  <c:v>gorsko (13.1)</c:v>
                </c:pt>
                <c:pt idx="1">
                  <c:v>ne-gorsko (13.2 in 13.3)</c:v>
                </c:pt>
                <c:pt idx="2">
                  <c:v>ravnina</c:v>
                </c:pt>
              </c:strCache>
            </c:strRef>
          </c:cat>
          <c:val>
            <c:numRef>
              <c:f>List1!$D$12:$F$12</c:f>
              <c:numCache>
                <c:formatCode>#,##0</c:formatCode>
                <c:ptCount val="3"/>
                <c:pt idx="0">
                  <c:v>41.062713333333335</c:v>
                </c:pt>
                <c:pt idx="1">
                  <c:v>26.582139999999999</c:v>
                </c:pt>
                <c:pt idx="2">
                  <c:v>30.722022222222222</c:v>
                </c:pt>
              </c:numCache>
            </c:numRef>
          </c:val>
          <c:extLst>
            <c:ext xmlns:c16="http://schemas.microsoft.com/office/drawing/2014/chart" uri="{C3380CC4-5D6E-409C-BE32-E72D297353CC}">
              <c16:uniqueId val="{00000000-8916-4A2E-BFD6-024278F0ECA1}"/>
            </c:ext>
          </c:extLst>
        </c:ser>
        <c:ser>
          <c:idx val="1"/>
          <c:order val="1"/>
          <c:tx>
            <c:strRef>
              <c:f>List1!$C$13</c:f>
              <c:strCache>
                <c:ptCount val="1"/>
                <c:pt idx="0">
                  <c:v>PDM: POVPREČJE</c:v>
                </c:pt>
              </c:strCache>
            </c:strRef>
          </c:tx>
          <c:spPr>
            <a:solidFill>
              <a:srgbClr val="92D050"/>
            </a:solidFill>
            <a:ln>
              <a:noFill/>
            </a:ln>
            <a:effectLst/>
          </c:spPr>
          <c:invertIfNegative val="0"/>
          <c:cat>
            <c:strRef>
              <c:f>List1!$D$11:$F$11</c:f>
              <c:strCache>
                <c:ptCount val="3"/>
                <c:pt idx="0">
                  <c:v>gorsko (13.1)</c:v>
                </c:pt>
                <c:pt idx="1">
                  <c:v>ne-gorsko (13.2 in 13.3)</c:v>
                </c:pt>
                <c:pt idx="2">
                  <c:v>ravnina</c:v>
                </c:pt>
              </c:strCache>
            </c:strRef>
          </c:cat>
          <c:val>
            <c:numRef>
              <c:f>List1!$D$13:$F$13</c:f>
              <c:numCache>
                <c:formatCode>##,#00</c:formatCode>
                <c:ptCount val="3"/>
                <c:pt idx="0">
                  <c:v>2.4506666666666672</c:v>
                </c:pt>
                <c:pt idx="1">
                  <c:v>2.1500000000000004</c:v>
                </c:pt>
                <c:pt idx="2">
                  <c:v>1.9922222222222221</c:v>
                </c:pt>
              </c:numCache>
            </c:numRef>
          </c:val>
          <c:extLst>
            <c:ext xmlns:c16="http://schemas.microsoft.com/office/drawing/2014/chart" uri="{C3380CC4-5D6E-409C-BE32-E72D297353CC}">
              <c16:uniqueId val="{00000001-8916-4A2E-BFD6-024278F0ECA1}"/>
            </c:ext>
          </c:extLst>
        </c:ser>
        <c:dLbls>
          <c:showLegendKey val="0"/>
          <c:showVal val="0"/>
          <c:showCatName val="0"/>
          <c:showSerName val="0"/>
          <c:showPercent val="0"/>
          <c:showBubbleSize val="0"/>
        </c:dLbls>
        <c:gapWidth val="219"/>
        <c:axId val="183665408"/>
        <c:axId val="183666944"/>
      </c:barChart>
      <c:lineChart>
        <c:grouping val="standard"/>
        <c:varyColors val="0"/>
        <c:ser>
          <c:idx val="2"/>
          <c:order val="2"/>
          <c:tx>
            <c:strRef>
              <c:f>List1!$C$14</c:f>
              <c:strCache>
                <c:ptCount val="1"/>
                <c:pt idx="0">
                  <c:v>PDM/HA: POVPREČJE</c:v>
                </c:pt>
              </c:strCache>
            </c:strRef>
          </c:tx>
          <c:spPr>
            <a:ln w="28575" cap="rnd">
              <a:solidFill>
                <a:srgbClr val="FFC000"/>
              </a:solidFill>
              <a:round/>
            </a:ln>
            <a:effectLst/>
          </c:spPr>
          <c:marker>
            <c:symbol val="none"/>
          </c:marker>
          <c:cat>
            <c:strRef>
              <c:f>List1!$D$11:$F$11</c:f>
              <c:strCache>
                <c:ptCount val="3"/>
                <c:pt idx="0">
                  <c:v>gorsko (13.1)</c:v>
                </c:pt>
                <c:pt idx="1">
                  <c:v>ne-gorsko (13.2 in 13.3)</c:v>
                </c:pt>
                <c:pt idx="2">
                  <c:v>ravnina</c:v>
                </c:pt>
              </c:strCache>
            </c:strRef>
          </c:cat>
          <c:val>
            <c:numRef>
              <c:f>List1!$D$14:$F$14</c:f>
              <c:numCache>
                <c:formatCode>#.000</c:formatCode>
                <c:ptCount val="3"/>
                <c:pt idx="0">
                  <c:v>9.326845019986553E-2</c:v>
                </c:pt>
                <c:pt idx="1">
                  <c:v>8.8941926343492406E-2</c:v>
                </c:pt>
                <c:pt idx="2">
                  <c:v>0.12879464125671652</c:v>
                </c:pt>
              </c:numCache>
            </c:numRef>
          </c:val>
          <c:smooth val="0"/>
          <c:extLst>
            <c:ext xmlns:c16="http://schemas.microsoft.com/office/drawing/2014/chart" uri="{C3380CC4-5D6E-409C-BE32-E72D297353CC}">
              <c16:uniqueId val="{00000002-8916-4A2E-BFD6-024278F0ECA1}"/>
            </c:ext>
          </c:extLst>
        </c:ser>
        <c:ser>
          <c:idx val="3"/>
          <c:order val="3"/>
          <c:tx>
            <c:strRef>
              <c:f>List1!$C$15</c:f>
              <c:strCache>
                <c:ptCount val="1"/>
                <c:pt idx="0">
                  <c:v>GVŽ: POVPREČJE</c:v>
                </c:pt>
              </c:strCache>
            </c:strRef>
          </c:tx>
          <c:spPr>
            <a:ln w="28575" cap="rnd">
              <a:solidFill>
                <a:srgbClr val="FFFF00"/>
              </a:solidFill>
              <a:round/>
            </a:ln>
            <a:effectLst/>
          </c:spPr>
          <c:marker>
            <c:symbol val="none"/>
          </c:marker>
          <c:cat>
            <c:strRef>
              <c:f>List1!$D$11:$F$11</c:f>
              <c:strCache>
                <c:ptCount val="3"/>
                <c:pt idx="0">
                  <c:v>gorsko (13.1)</c:v>
                </c:pt>
                <c:pt idx="1">
                  <c:v>ne-gorsko (13.2 in 13.3)</c:v>
                </c:pt>
                <c:pt idx="2">
                  <c:v>ravnina</c:v>
                </c:pt>
              </c:strCache>
            </c:strRef>
          </c:cat>
          <c:val>
            <c:numRef>
              <c:f>List1!$D$15:$F$15</c:f>
              <c:numCache>
                <c:formatCode>#.#00</c:formatCode>
                <c:ptCount val="3"/>
                <c:pt idx="0">
                  <c:v>57.168573333333327</c:v>
                </c:pt>
                <c:pt idx="1">
                  <c:v>27.490475</c:v>
                </c:pt>
                <c:pt idx="2">
                  <c:v>36.031255555555553</c:v>
                </c:pt>
              </c:numCache>
            </c:numRef>
          </c:val>
          <c:smooth val="0"/>
          <c:extLst>
            <c:ext xmlns:c16="http://schemas.microsoft.com/office/drawing/2014/chart" uri="{C3380CC4-5D6E-409C-BE32-E72D297353CC}">
              <c16:uniqueId val="{00000003-8916-4A2E-BFD6-024278F0ECA1}"/>
            </c:ext>
          </c:extLst>
        </c:ser>
        <c:dLbls>
          <c:showLegendKey val="0"/>
          <c:showVal val="0"/>
          <c:showCatName val="0"/>
          <c:showSerName val="0"/>
          <c:showPercent val="0"/>
          <c:showBubbleSize val="0"/>
        </c:dLbls>
        <c:marker val="1"/>
        <c:smooth val="0"/>
        <c:axId val="183678464"/>
        <c:axId val="183676928"/>
      </c:lineChart>
      <c:catAx>
        <c:axId val="1836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66944"/>
        <c:crosses val="autoZero"/>
        <c:auto val="1"/>
        <c:lblAlgn val="ctr"/>
        <c:lblOffset val="100"/>
        <c:noMultiLvlLbl val="0"/>
      </c:catAx>
      <c:valAx>
        <c:axId val="1836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65408"/>
        <c:crosses val="autoZero"/>
        <c:crossBetween val="between"/>
      </c:valAx>
      <c:valAx>
        <c:axId val="18367692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78464"/>
        <c:crosses val="max"/>
        <c:crossBetween val="between"/>
      </c:valAx>
      <c:catAx>
        <c:axId val="183678464"/>
        <c:scaling>
          <c:orientation val="minMax"/>
        </c:scaling>
        <c:delete val="1"/>
        <c:axPos val="b"/>
        <c:numFmt formatCode="General" sourceLinked="1"/>
        <c:majorTickMark val="out"/>
        <c:minorTickMark val="none"/>
        <c:tickLblPos val="nextTo"/>
        <c:crossAx val="183676928"/>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solidFill>
                  <a:schemeClr val="tx1"/>
                </a:solidFill>
              </a:defRPr>
            </a:pPr>
            <a:r>
              <a:rPr lang="sl-SI" sz="900" b="0">
                <a:solidFill>
                  <a:schemeClr val="tx1"/>
                </a:solidFill>
              </a:rPr>
              <a:t>Ekonomski kazalniki za podprte naložbe</a:t>
            </a:r>
            <a:r>
              <a:rPr lang="sl-SI" sz="900" b="0" baseline="0">
                <a:solidFill>
                  <a:schemeClr val="tx1"/>
                </a:solidFill>
              </a:rPr>
              <a:t> v okviru podukrepa M04.2 </a:t>
            </a:r>
            <a:r>
              <a:rPr lang="sl-SI" sz="900" b="0">
                <a:solidFill>
                  <a:schemeClr val="tx1"/>
                </a:solidFill>
              </a:rPr>
              <a:t>- povprečje (EUR)</a:t>
            </a:r>
          </a:p>
        </c:rich>
      </c:tx>
      <c:overlay val="0"/>
      <c:spPr>
        <a:noFill/>
        <a:ln w="25400">
          <a:noFill/>
        </a:ln>
      </c:spPr>
    </c:title>
    <c:autoTitleDeleted val="0"/>
    <c:plotArea>
      <c:layout>
        <c:manualLayout>
          <c:layoutTarget val="inner"/>
          <c:xMode val="edge"/>
          <c:yMode val="edge"/>
          <c:x val="0.10310655612492883"/>
          <c:y val="0.14005970521848574"/>
          <c:w val="0.87043841742004469"/>
          <c:h val="0.51619270015290353"/>
        </c:manualLayout>
      </c:layout>
      <c:barChart>
        <c:barDir val="col"/>
        <c:grouping val="clustered"/>
        <c:varyColors val="0"/>
        <c:ser>
          <c:idx val="0"/>
          <c:order val="0"/>
          <c:tx>
            <c:strRef>
              <c:f>'[2]Analiza SC 2_2'!$K$169</c:f>
              <c:strCache>
                <c:ptCount val="1"/>
                <c:pt idx="0">
                  <c:v>gorsko (13.1)</c:v>
                </c:pt>
              </c:strCache>
            </c:strRef>
          </c:tx>
          <c:spPr>
            <a:solidFill>
              <a:srgbClr val="5B9BD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2_2'!$L$169:$O$169</c:f>
              <c:numCache>
                <c:formatCode>General</c:formatCode>
                <c:ptCount val="4"/>
                <c:pt idx="0">
                  <c:v>518625.96839999995</c:v>
                </c:pt>
                <c:pt idx="1">
                  <c:v>372645.3569999999</c:v>
                </c:pt>
                <c:pt idx="2">
                  <c:v>345730.83326530596</c:v>
                </c:pt>
                <c:pt idx="3">
                  <c:v>183111.96950000001</c:v>
                </c:pt>
              </c:numCache>
            </c:numRef>
          </c:val>
          <c:extLst>
            <c:ext xmlns:c16="http://schemas.microsoft.com/office/drawing/2014/chart" uri="{C3380CC4-5D6E-409C-BE32-E72D297353CC}">
              <c16:uniqueId val="{00000000-B6C8-4EF9-BD0B-6F67932B85F2}"/>
            </c:ext>
          </c:extLst>
        </c:ser>
        <c:ser>
          <c:idx val="1"/>
          <c:order val="1"/>
          <c:tx>
            <c:strRef>
              <c:f>'[2]Analiza SC 2_2'!$K$170</c:f>
              <c:strCache>
                <c:ptCount val="1"/>
                <c:pt idx="0">
                  <c:v>ne-gorsko (13.2 in 13.3)</c:v>
                </c:pt>
              </c:strCache>
            </c:strRef>
          </c:tx>
          <c:spPr>
            <a:solidFill>
              <a:srgbClr val="ED7D31"/>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2_2'!$L$170:$O$170</c:f>
              <c:numCache>
                <c:formatCode>General</c:formatCode>
                <c:ptCount val="4"/>
                <c:pt idx="0">
                  <c:v>1861905.5973684208</c:v>
                </c:pt>
                <c:pt idx="1">
                  <c:v>371433.23162162158</c:v>
                </c:pt>
                <c:pt idx="2">
                  <c:v>362750.69432432431</c:v>
                </c:pt>
                <c:pt idx="3">
                  <c:v>40396.800000000003</c:v>
                </c:pt>
              </c:numCache>
            </c:numRef>
          </c:val>
          <c:extLst>
            <c:ext xmlns:c16="http://schemas.microsoft.com/office/drawing/2014/chart" uri="{C3380CC4-5D6E-409C-BE32-E72D297353CC}">
              <c16:uniqueId val="{00000001-B6C8-4EF9-BD0B-6F67932B85F2}"/>
            </c:ext>
          </c:extLst>
        </c:ser>
        <c:ser>
          <c:idx val="2"/>
          <c:order val="2"/>
          <c:tx>
            <c:strRef>
              <c:f>'[2]Analiza SC 2_2'!$K$171</c:f>
              <c:strCache>
                <c:ptCount val="1"/>
                <c:pt idx="0">
                  <c:v>ravnina</c:v>
                </c:pt>
              </c:strCache>
            </c:strRef>
          </c:tx>
          <c:spPr>
            <a:solidFill>
              <a:srgbClr val="A5A5A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2_2'!$L$171:$O$171</c:f>
              <c:numCache>
                <c:formatCode>General</c:formatCode>
                <c:ptCount val="4"/>
                <c:pt idx="0">
                  <c:v>1420008.2882978723</c:v>
                </c:pt>
                <c:pt idx="1">
                  <c:v>473529.7717777777</c:v>
                </c:pt>
                <c:pt idx="2">
                  <c:v>455980.71644444432</c:v>
                </c:pt>
                <c:pt idx="3">
                  <c:v>329259.99199999997</c:v>
                </c:pt>
              </c:numCache>
            </c:numRef>
          </c:val>
          <c:extLst>
            <c:ext xmlns:c16="http://schemas.microsoft.com/office/drawing/2014/chart" uri="{C3380CC4-5D6E-409C-BE32-E72D297353CC}">
              <c16:uniqueId val="{00000002-B6C8-4EF9-BD0B-6F67932B85F2}"/>
            </c:ext>
          </c:extLst>
        </c:ser>
        <c:dLbls>
          <c:showLegendKey val="0"/>
          <c:showVal val="0"/>
          <c:showCatName val="0"/>
          <c:showSerName val="0"/>
          <c:showPercent val="0"/>
          <c:showBubbleSize val="0"/>
        </c:dLbls>
        <c:gapWidth val="219"/>
        <c:overlap val="-27"/>
        <c:axId val="166216064"/>
        <c:axId val="166217600"/>
      </c:barChart>
      <c:catAx>
        <c:axId val="1662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6217600"/>
        <c:crosses val="autoZero"/>
        <c:auto val="1"/>
        <c:lblAlgn val="ctr"/>
        <c:lblOffset val="100"/>
        <c:noMultiLvlLbl val="0"/>
      </c:catAx>
      <c:valAx>
        <c:axId val="16621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a:pPr>
            <a:endParaRPr lang="sl-SI"/>
          </a:p>
        </c:txPr>
        <c:crossAx val="166216064"/>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List1!$B$14</c:f>
              <c:strCache>
                <c:ptCount val="1"/>
                <c:pt idx="0">
                  <c:v>Delež od vseh izbranih razvojnih ciljev v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7A-43E0-B1A9-E280053CC9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7A-43E0-B1A9-E280053CC9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7A-43E0-B1A9-E280053CC9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7A-43E0-B1A9-E280053CC9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7A-43E0-B1A9-E280053CC9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7A-43E0-B1A9-E280053CC9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7A-43E0-B1A9-E280053CC93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7A-43E0-B1A9-E280053CC931}"/>
              </c:ext>
            </c:extLst>
          </c:dPt>
          <c:cat>
            <c:strRef>
              <c:f>List1!$A$15:$A$22</c:f>
              <c:strCache>
                <c:ptCount val="8"/>
                <c:pt idx="0">
                  <c:v>Nakup kmetijske mehanizacije</c:v>
                </c:pt>
                <c:pt idx="1">
                  <c:v>Nakup IKT opreme</c:v>
                </c:pt>
                <c:pt idx="2">
                  <c:v>Nakup rastlinjaka</c:v>
                </c:pt>
                <c:pt idx="3">
                  <c:v>Vzdrževanje objektov</c:v>
                </c:pt>
                <c:pt idx="4">
                  <c:v>Ureditev pašnikov</c:v>
                </c:pt>
                <c:pt idx="5">
                  <c:v>Nakup opreme</c:v>
                </c:pt>
                <c:pt idx="6">
                  <c:v>Izboljšanje infrastrukture</c:v>
                </c:pt>
                <c:pt idx="7">
                  <c:v>Ostalo</c:v>
                </c:pt>
              </c:strCache>
            </c:strRef>
          </c:cat>
          <c:val>
            <c:numRef>
              <c:f>List1!$B$15:$B$22</c:f>
              <c:numCache>
                <c:formatCode>General</c:formatCode>
                <c:ptCount val="8"/>
                <c:pt idx="0">
                  <c:v>43</c:v>
                </c:pt>
                <c:pt idx="1">
                  <c:v>24</c:v>
                </c:pt>
                <c:pt idx="2">
                  <c:v>10</c:v>
                </c:pt>
                <c:pt idx="3">
                  <c:v>8</c:v>
                </c:pt>
                <c:pt idx="4">
                  <c:v>6</c:v>
                </c:pt>
                <c:pt idx="5">
                  <c:v>2</c:v>
                </c:pt>
                <c:pt idx="6">
                  <c:v>2</c:v>
                </c:pt>
                <c:pt idx="7">
                  <c:v>5</c:v>
                </c:pt>
              </c:numCache>
            </c:numRef>
          </c:val>
          <c:extLst>
            <c:ext xmlns:c16="http://schemas.microsoft.com/office/drawing/2014/chart" uri="{C3380CC4-5D6E-409C-BE32-E72D297353CC}">
              <c16:uniqueId val="{00000010-5B7A-43E0-B1A9-E280053CC93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5095642878355984"/>
          <c:y val="0.66047121726851354"/>
          <c:w val="0.61219711114352937"/>
          <c:h val="0.29323562888615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en-US">
                <a:solidFill>
                  <a:schemeClr val="tx1"/>
                </a:solidFill>
              </a:rPr>
              <a:t>Povprečna velikost KZU</a:t>
            </a:r>
            <a:r>
              <a:rPr lang="sl-SI">
                <a:solidFill>
                  <a:schemeClr val="tx1"/>
                </a:solidFill>
              </a:rPr>
              <a:t> v ha</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2"/>
          <c:order val="0"/>
          <c:tx>
            <c:strRef>
              <c:f>'ZbirnaVloga Skupaj'!$D$2</c:f>
              <c:strCache>
                <c:ptCount val="1"/>
                <c:pt idx="0">
                  <c:v>Povprečna velikost KZU</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Skupaj'!$D$3:$D$10</c:f>
              <c:numCache>
                <c:formatCode>##,#00</c:formatCode>
                <c:ptCount val="3"/>
                <c:pt idx="0">
                  <c:v>8.2170570000000005</c:v>
                </c:pt>
                <c:pt idx="1">
                  <c:v>20.93</c:v>
                </c:pt>
                <c:pt idx="2">
                  <c:v>90.770883999999995</c:v>
                </c:pt>
              </c:numCache>
              <c:extLst/>
            </c:numRef>
          </c:val>
          <c:extLst>
            <c:ext xmlns:c16="http://schemas.microsoft.com/office/drawing/2014/chart" uri="{C3380CC4-5D6E-409C-BE32-E72D297353CC}">
              <c16:uniqueId val="{00000000-1542-418E-A349-03B7D1AF103E}"/>
            </c:ext>
          </c:extLst>
        </c:ser>
        <c:dLbls>
          <c:dLblPos val="outEnd"/>
          <c:showLegendKey val="0"/>
          <c:showVal val="1"/>
          <c:showCatName val="0"/>
          <c:showSerName val="0"/>
          <c:showPercent val="0"/>
          <c:showBubbleSize val="0"/>
        </c:dLbls>
        <c:gapWidth val="182"/>
        <c:axId val="185212928"/>
        <c:axId val="185247616"/>
        <c:extLst>
          <c:ext xmlns:c15="http://schemas.microsoft.com/office/drawing/2012/chart" uri="{02D57815-91ED-43cb-92C2-25804820EDAC}">
            <c15:filteredBarSeries>
              <c15:ser>
                <c:idx val="6"/>
                <c:order val="1"/>
                <c:tx>
                  <c:strRef>
                    <c:extLst>
                      <c:ext uri="{02D57815-91ED-43cb-92C2-25804820EDAC}">
                        <c15:formulaRef>
                          <c15:sqref>'ZbirnaVloga Skupaj'!$H$2</c15:sqref>
                        </c15:formulaRef>
                      </c:ext>
                    </c:extLst>
                    <c:strCache>
                      <c:ptCount val="1"/>
                      <c:pt idx="0">
                        <c:v>%KZU_njive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c:ext xmlns:c16="http://schemas.microsoft.com/office/drawing/2014/chart" uri="{C3380CC4-5D6E-409C-BE32-E72D297353CC}">
                    <c16:uniqueId val="{00000001-1542-418E-A349-03B7D1AF103E}"/>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1542-418E-A349-03B7D1AF103E}"/>
                  </c:ext>
                </c:extLst>
              </c15:ser>
            </c15:filteredBarSeries>
          </c:ext>
        </c:extLst>
      </c:barChart>
      <c:catAx>
        <c:axId val="18521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85247616"/>
        <c:crosses val="autoZero"/>
        <c:auto val="1"/>
        <c:lblAlgn val="ctr"/>
        <c:lblOffset val="100"/>
        <c:noMultiLvlLbl val="0"/>
      </c:catAx>
      <c:valAx>
        <c:axId val="1852476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85212928"/>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2"/>
          </a:solidFill>
        </a:defRPr>
      </a:pPr>
      <a:endParaRPr lang="sl-SI"/>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0"/>
              <a:t>%</a:t>
            </a:r>
            <a:r>
              <a:rPr lang="sl-SI" sz="1000" b="0"/>
              <a:t> </a:t>
            </a:r>
            <a:r>
              <a:rPr lang="en-US" sz="1000" b="0"/>
              <a:t>KZU_njive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6"/>
          <c:order val="1"/>
          <c:tx>
            <c:strRef>
              <c:f>'ZbirnaVloga Skupaj'!$H$2</c:f>
              <c:strCache>
                <c:ptCount val="1"/>
                <c:pt idx="0">
                  <c:v>%KZU_njive</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Skupaj'!$H$3:$H$10</c:f>
              <c:numCache>
                <c:formatCode>0%</c:formatCode>
                <c:ptCount val="3"/>
                <c:pt idx="0">
                  <c:v>0.35845553880572362</c:v>
                </c:pt>
                <c:pt idx="1">
                  <c:v>0.47810771383689282</c:v>
                </c:pt>
                <c:pt idx="2">
                  <c:v>0.61502422185782846</c:v>
                </c:pt>
              </c:numCache>
              <c:extLst/>
            </c:numRef>
          </c:val>
          <c:extLst>
            <c:ext xmlns:c16="http://schemas.microsoft.com/office/drawing/2014/chart" uri="{C3380CC4-5D6E-409C-BE32-E72D297353CC}">
              <c16:uniqueId val="{00000000-CD6B-4F17-92F6-4915279C3D4D}"/>
            </c:ext>
          </c:extLst>
        </c:ser>
        <c:dLbls>
          <c:showLegendKey val="0"/>
          <c:showVal val="0"/>
          <c:showCatName val="0"/>
          <c:showSerName val="0"/>
          <c:showPercent val="0"/>
          <c:showBubbleSize val="0"/>
        </c:dLbls>
        <c:gapWidth val="182"/>
        <c:axId val="186263808"/>
        <c:axId val="186281984"/>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CD6B-4F17-92F6-4915279C3D4D}"/>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CD6B-4F17-92F6-4915279C3D4D}"/>
                  </c:ext>
                </c:extLst>
              </c15:ser>
            </c15:filteredBarSeries>
          </c:ext>
        </c:extLst>
      </c:barChart>
      <c:catAx>
        <c:axId val="18626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281984"/>
        <c:crosses val="autoZero"/>
        <c:auto val="1"/>
        <c:lblAlgn val="ctr"/>
        <c:lblOffset val="100"/>
        <c:noMultiLvlLbl val="0"/>
      </c:catAx>
      <c:valAx>
        <c:axId val="186281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263808"/>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277C-4B59-8CE6-8BD606B7B98E}"/>
            </c:ext>
          </c:extLst>
        </c:ser>
        <c:dLbls>
          <c:showLegendKey val="0"/>
          <c:showVal val="0"/>
          <c:showCatName val="0"/>
          <c:showSerName val="0"/>
          <c:showPercent val="0"/>
          <c:showBubbleSize val="0"/>
        </c:dLbls>
        <c:marker val="1"/>
        <c:smooth val="0"/>
        <c:axId val="144630144"/>
        <c:axId val="144631680"/>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277C-4B59-8CE6-8BD606B7B98E}"/>
            </c:ext>
          </c:extLst>
        </c:ser>
        <c:dLbls>
          <c:showLegendKey val="0"/>
          <c:showVal val="0"/>
          <c:showCatName val="0"/>
          <c:showSerName val="0"/>
          <c:showPercent val="0"/>
          <c:showBubbleSize val="0"/>
        </c:dLbls>
        <c:marker val="1"/>
        <c:smooth val="0"/>
        <c:axId val="144633856"/>
        <c:axId val="144635392"/>
      </c:lineChart>
      <c:catAx>
        <c:axId val="1446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44631680"/>
        <c:crossesAt val="0"/>
        <c:auto val="1"/>
        <c:lblAlgn val="ctr"/>
        <c:lblOffset val="100"/>
        <c:noMultiLvlLbl val="0"/>
      </c:catAx>
      <c:valAx>
        <c:axId val="14463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144630144"/>
        <c:crosses val="autoZero"/>
        <c:crossBetween val="between"/>
      </c:valAx>
      <c:catAx>
        <c:axId val="144633856"/>
        <c:scaling>
          <c:orientation val="minMax"/>
        </c:scaling>
        <c:delete val="1"/>
        <c:axPos val="b"/>
        <c:numFmt formatCode="General" sourceLinked="1"/>
        <c:majorTickMark val="out"/>
        <c:minorTickMark val="none"/>
        <c:tickLblPos val="nextTo"/>
        <c:crossAx val="144635392"/>
        <c:crosses val="autoZero"/>
        <c:auto val="1"/>
        <c:lblAlgn val="ctr"/>
        <c:lblOffset val="100"/>
        <c:noMultiLvlLbl val="0"/>
      </c:catAx>
      <c:valAx>
        <c:axId val="144635392"/>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144633856"/>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sl-SI" sz="1000"/>
              <a:t>Obtežba GVŽ / KZU</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9"/>
          <c:order val="2"/>
          <c:tx>
            <c:strRef>
              <c:f>'ZbirnaVloga Skupaj'!$K$2</c:f>
              <c:strCache>
                <c:ptCount val="1"/>
                <c:pt idx="0">
                  <c:v>Obtežba GVŽ/KZU</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Skupaj'!$K$3:$K$10</c:f>
              <c:numCache>
                <c:formatCode>##,#00</c:formatCode>
                <c:ptCount val="3"/>
                <c:pt idx="0">
                  <c:v>0.7203649170870392</c:v>
                </c:pt>
                <c:pt idx="1">
                  <c:v>0.98747942493015195</c:v>
                </c:pt>
                <c:pt idx="2">
                  <c:v>0.16542884379599679</c:v>
                </c:pt>
              </c:numCache>
              <c:extLst/>
            </c:numRef>
          </c:val>
          <c:extLst>
            <c:ext xmlns:c16="http://schemas.microsoft.com/office/drawing/2014/chart" uri="{C3380CC4-5D6E-409C-BE32-E72D297353CC}">
              <c16:uniqueId val="{00000000-62E5-4D0A-B5DF-7FFA6DAAA2A4}"/>
            </c:ext>
          </c:extLst>
        </c:ser>
        <c:dLbls>
          <c:showLegendKey val="0"/>
          <c:showVal val="0"/>
          <c:showCatName val="0"/>
          <c:showSerName val="0"/>
          <c:showPercent val="0"/>
          <c:showBubbleSize val="0"/>
        </c:dLbls>
        <c:gapWidth val="182"/>
        <c:axId val="186311040"/>
        <c:axId val="186312576"/>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62E5-4D0A-B5DF-7FFA6DAAA2A4}"/>
                  </c:ext>
                </c:extLst>
              </c15:ser>
            </c15:filteredBarSeries>
            <c15:filteredBarSeries>
              <c15:ser>
                <c:idx val="6"/>
                <c:order val="1"/>
                <c:tx>
                  <c:strRef>
                    <c:extLst xmlns:c15="http://schemas.microsoft.com/office/drawing/2012/chart">
                      <c:ext xmlns:c15="http://schemas.microsoft.com/office/drawing/2012/chart" uri="{02D57815-91ED-43cb-92C2-25804820EDAC}">
                        <c15:formulaRef>
                          <c15:sqref>'ZbirnaVloga Skupaj'!$H$2</c15:sqref>
                        </c15:formulaRef>
                      </c:ext>
                    </c:extLst>
                    <c:strCache>
                      <c:ptCount val="1"/>
                      <c:pt idx="0">
                        <c:v>%KZU_njive</c:v>
                      </c:pt>
                    </c:strCache>
                  </c:strRef>
                </c:tx>
                <c:spPr>
                  <a:solidFill>
                    <a:srgbClr val="92D050"/>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xmlns:c15="http://schemas.microsoft.com/office/drawing/2012/chart">
                  <c:ext xmlns:c16="http://schemas.microsoft.com/office/drawing/2014/chart" uri="{C3380CC4-5D6E-409C-BE32-E72D297353CC}">
                    <c16:uniqueId val="{00000002-62E5-4D0A-B5DF-7FFA6DAAA2A4}"/>
                  </c:ext>
                </c:extLst>
              </c15:ser>
            </c15:filteredBarSeries>
          </c:ext>
        </c:extLst>
      </c:barChart>
      <c:catAx>
        <c:axId val="1863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312576"/>
        <c:crosses val="autoZero"/>
        <c:auto val="1"/>
        <c:lblAlgn val="ctr"/>
        <c:lblOffset val="100"/>
        <c:noMultiLvlLbl val="0"/>
      </c:catAx>
      <c:valAx>
        <c:axId val="1863125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311040"/>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sl-SI"/>
        </a:p>
      </c:txPr>
    </c:title>
    <c:autoTitleDeleted val="0"/>
    <c:plotArea>
      <c:layout/>
      <c:barChart>
        <c:barDir val="bar"/>
        <c:grouping val="clustered"/>
        <c:varyColors val="0"/>
        <c:ser>
          <c:idx val="1"/>
          <c:order val="1"/>
          <c:tx>
            <c:strRef>
              <c:f>'ZbirnaVloga Skupaj'!$C$2</c:f>
              <c:strCache>
                <c:ptCount val="1"/>
                <c:pt idx="0">
                  <c:v>Starost nosilca 2019</c:v>
                </c:pt>
              </c:strCache>
            </c:strRef>
          </c:tx>
          <c:spPr>
            <a:solidFill>
              <a:srgbClr val="92D050"/>
            </a:solidFill>
            <a:ln>
              <a:noFill/>
            </a:ln>
            <a:effectLst/>
          </c:spPr>
          <c:invertIfNegative val="0"/>
          <c:cat>
            <c:strRef>
              <c:f>'ZbirnaVloga Skupaj'!$A$3:$A$10</c:f>
              <c:strCache>
                <c:ptCount val="2"/>
                <c:pt idx="0">
                  <c:v>Zbirna vloga</c:v>
                </c:pt>
                <c:pt idx="1">
                  <c:v>V evidenci FURS - Fizična oseba (Nosilec KMG)</c:v>
                </c:pt>
              </c:strCache>
              <c:extLst/>
            </c:strRef>
          </c:cat>
          <c:val>
            <c:numRef>
              <c:f>'ZbirnaVloga Skupaj'!$C$3:$C$10</c:f>
              <c:numCache>
                <c:formatCode>##,#00</c:formatCode>
                <c:ptCount val="2"/>
                <c:pt idx="0">
                  <c:v>58.913999712973599</c:v>
                </c:pt>
                <c:pt idx="1">
                  <c:v>49.2</c:v>
                </c:pt>
              </c:numCache>
              <c:extLst/>
            </c:numRef>
          </c:val>
          <c:extLst>
            <c:ext xmlns:c16="http://schemas.microsoft.com/office/drawing/2014/chart" uri="{C3380CC4-5D6E-409C-BE32-E72D297353CC}">
              <c16:uniqueId val="{00000000-1A6D-4E47-808F-C0C9236E0CC8}"/>
            </c:ext>
          </c:extLst>
        </c:ser>
        <c:dLbls>
          <c:showLegendKey val="0"/>
          <c:showVal val="0"/>
          <c:showCatName val="0"/>
          <c:showSerName val="0"/>
          <c:showPercent val="0"/>
          <c:showBubbleSize val="0"/>
        </c:dLbls>
        <c:gapWidth val="219"/>
        <c:axId val="186788096"/>
        <c:axId val="186806272"/>
        <c:extLst>
          <c:ext xmlns:c15="http://schemas.microsoft.com/office/drawing/2012/chart" uri="{02D57815-91ED-43cb-92C2-25804820EDAC}">
            <c15:filteredBarSeries>
              <c15:ser>
                <c:idx val="0"/>
                <c:order val="0"/>
                <c:tx>
                  <c:strRef>
                    <c:extLst>
                      <c:ext uri="{02D57815-91ED-43cb-92C2-25804820EDAC}">
                        <c15:formulaRef>
                          <c15:sqref>'ZbirnaVloga Skupaj'!$B$2</c15:sqref>
                        </c15:formulaRef>
                      </c:ext>
                    </c:extLst>
                    <c:strCache>
                      <c:ptCount val="1"/>
                      <c:pt idx="0">
                        <c:v>Št. KMG</c:v>
                      </c:pt>
                    </c:strCache>
                  </c:strRef>
                </c:tx>
                <c:spPr>
                  <a:solidFill>
                    <a:schemeClr val="accent1"/>
                  </a:solidFill>
                  <a:ln>
                    <a:noFill/>
                  </a:ln>
                  <a:effectLst/>
                </c:spPr>
                <c:invertIfNegative val="0"/>
                <c:cat>
                  <c:strRef>
                    <c:extLst>
                      <c:ext uri="{02D57815-91ED-43cb-92C2-25804820EDAC}">
                        <c15:formulaRef>
                          <c15:sqref>'ZbirnaVloga Skupaj'!$A$3:$A$10</c15:sqref>
                        </c15:formulaRef>
                      </c:ext>
                    </c:extLst>
                    <c:strCache>
                      <c:ptCount val="2"/>
                      <c:pt idx="0">
                        <c:v>Zbirna vloga</c:v>
                      </c:pt>
                      <c:pt idx="1">
                        <c:v>V evidenci FURS - Fizična oseba (Nosilec KMG)</c:v>
                      </c:pt>
                    </c:strCache>
                  </c:strRef>
                </c:cat>
                <c:val>
                  <c:numRef>
                    <c:extLst>
                      <c:ext uri="{02D57815-91ED-43cb-92C2-25804820EDAC}">
                        <c15:formulaRef>
                          <c15:sqref>'ZbirnaVloga Skupaj'!$B$3:$B$10</c15:sqref>
                        </c15:formulaRef>
                      </c:ext>
                    </c:extLst>
                    <c:numCache>
                      <c:formatCode>#,##0</c:formatCode>
                      <c:ptCount val="2"/>
                      <c:pt idx="0">
                        <c:v>56483</c:v>
                      </c:pt>
                      <c:pt idx="1">
                        <c:v>7655</c:v>
                      </c:pt>
                    </c:numCache>
                  </c:numRef>
                </c:val>
                <c:extLst>
                  <c:ext xmlns:c16="http://schemas.microsoft.com/office/drawing/2014/chart" uri="{C3380CC4-5D6E-409C-BE32-E72D297353CC}">
                    <c16:uniqueId val="{00000001-1A6D-4E47-808F-C0C9236E0CC8}"/>
                  </c:ext>
                </c:extLst>
              </c15:ser>
            </c15:filteredBarSeries>
          </c:ext>
        </c:extLst>
      </c:barChart>
      <c:catAx>
        <c:axId val="18678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806272"/>
        <c:crosses val="autoZero"/>
        <c:auto val="1"/>
        <c:lblAlgn val="ctr"/>
        <c:lblOffset val="100"/>
        <c:noMultiLvlLbl val="0"/>
      </c:catAx>
      <c:valAx>
        <c:axId val="1868062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788096"/>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t>Kmetijska</a:t>
            </a:r>
            <a:r>
              <a:rPr lang="sl-SI" sz="1100" baseline="0"/>
              <a:t> gospodarstva, vključena v podukrep 16.4, po velikosti in OMD</a:t>
            </a:r>
            <a:endParaRPr lang="sl-SI"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842005860378564E-2"/>
          <c:y val="0.18292754473452624"/>
          <c:w val="0.92070296768459503"/>
          <c:h val="0.54685582166705549"/>
        </c:manualLayout>
      </c:layout>
      <c:barChart>
        <c:barDir val="col"/>
        <c:grouping val="clustered"/>
        <c:varyColors val="0"/>
        <c:ser>
          <c:idx val="0"/>
          <c:order val="0"/>
          <c:tx>
            <c:strRef>
              <c:f>'31.12.2019'!$H$7</c:f>
              <c:strCache>
                <c:ptCount val="1"/>
                <c:pt idx="0">
                  <c:v>št. KMG</c:v>
                </c:pt>
              </c:strCache>
            </c:strRef>
          </c:tx>
          <c:spPr>
            <a:solidFill>
              <a:srgbClr val="92D050"/>
            </a:solidFill>
            <a:ln>
              <a:noFill/>
            </a:ln>
            <a:effectLst/>
          </c:spPr>
          <c:invertIfNegative val="0"/>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'31.12.2019'!$H$9:$H$16</c:f>
              <c:numCache>
                <c:formatCode>General</c:formatCode>
                <c:ptCount val="7"/>
                <c:pt idx="0">
                  <c:v>12</c:v>
                </c:pt>
                <c:pt idx="1">
                  <c:v>30</c:v>
                </c:pt>
                <c:pt idx="2">
                  <c:v>36</c:v>
                </c:pt>
                <c:pt idx="3">
                  <c:v>46</c:v>
                </c:pt>
                <c:pt idx="4">
                  <c:v>23</c:v>
                </c:pt>
                <c:pt idx="5">
                  <c:v>24</c:v>
                </c:pt>
                <c:pt idx="6">
                  <c:v>10</c:v>
                </c:pt>
              </c:numCache>
              <c:extLst/>
            </c:numRef>
          </c:val>
          <c:extLst>
            <c:ext xmlns:c16="http://schemas.microsoft.com/office/drawing/2014/chart" uri="{C3380CC4-5D6E-409C-BE32-E72D297353CC}">
              <c16:uniqueId val="{00000000-15AF-4358-853E-A4CD52138CB0}"/>
            </c:ext>
          </c:extLst>
        </c:ser>
        <c:dLbls>
          <c:showLegendKey val="0"/>
          <c:showVal val="0"/>
          <c:showCatName val="0"/>
          <c:showSerName val="0"/>
          <c:showPercent val="0"/>
          <c:showBubbleSize val="0"/>
        </c:dLbls>
        <c:gapWidth val="219"/>
        <c:overlap val="-27"/>
        <c:axId val="187640832"/>
        <c:axId val="187650816"/>
      </c:barChart>
      <c:lineChart>
        <c:grouping val="standard"/>
        <c:varyColors val="0"/>
        <c:ser>
          <c:idx val="1"/>
          <c:order val="1"/>
          <c:tx>
            <c:strRef>
              <c:f>'31.12.2019'!$L$7</c:f>
              <c:strCache>
                <c:ptCount val="1"/>
                <c:pt idx="0">
                  <c:v>JE OMD</c:v>
                </c:pt>
              </c:strCache>
            </c:strRef>
          </c:tx>
          <c:spPr>
            <a:ln w="28575" cap="rnd">
              <a:solidFill>
                <a:srgbClr val="FFC000"/>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'31.12.2019'!$L$9:$L$16</c:f>
              <c:numCache>
                <c:formatCode>General</c:formatCode>
                <c:ptCount val="7"/>
                <c:pt idx="0">
                  <c:v>10</c:v>
                </c:pt>
                <c:pt idx="1">
                  <c:v>19</c:v>
                </c:pt>
                <c:pt idx="2">
                  <c:v>23</c:v>
                </c:pt>
                <c:pt idx="3">
                  <c:v>34</c:v>
                </c:pt>
                <c:pt idx="4">
                  <c:v>13</c:v>
                </c:pt>
                <c:pt idx="5">
                  <c:v>11</c:v>
                </c:pt>
                <c:pt idx="6">
                  <c:v>6</c:v>
                </c:pt>
              </c:numCache>
              <c:extLst/>
            </c:numRef>
          </c:val>
          <c:smooth val="0"/>
          <c:extLst>
            <c:ext xmlns:c16="http://schemas.microsoft.com/office/drawing/2014/chart" uri="{C3380CC4-5D6E-409C-BE32-E72D297353CC}">
              <c16:uniqueId val="{00000001-15AF-4358-853E-A4CD52138CB0}"/>
            </c:ext>
          </c:extLst>
        </c:ser>
        <c:ser>
          <c:idx val="2"/>
          <c:order val="2"/>
          <c:tx>
            <c:strRef>
              <c:f>'31.12.2019'!$M$7</c:f>
              <c:strCache>
                <c:ptCount val="1"/>
                <c:pt idx="0">
                  <c:v>NI OMD</c:v>
                </c:pt>
              </c:strCache>
            </c:strRef>
          </c:tx>
          <c:spPr>
            <a:ln w="28575" cap="rnd">
              <a:solidFill>
                <a:schemeClr val="accent3"/>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'31.12.2019'!$M$9:$M$16</c:f>
              <c:numCache>
                <c:formatCode>General</c:formatCode>
                <c:ptCount val="7"/>
                <c:pt idx="0">
                  <c:v>2</c:v>
                </c:pt>
                <c:pt idx="1">
                  <c:v>11</c:v>
                </c:pt>
                <c:pt idx="2">
                  <c:v>13</c:v>
                </c:pt>
                <c:pt idx="3">
                  <c:v>12</c:v>
                </c:pt>
                <c:pt idx="4">
                  <c:v>10</c:v>
                </c:pt>
                <c:pt idx="5">
                  <c:v>13</c:v>
                </c:pt>
                <c:pt idx="6">
                  <c:v>4</c:v>
                </c:pt>
              </c:numCache>
              <c:extLst/>
            </c:numRef>
          </c:val>
          <c:smooth val="0"/>
          <c:extLst>
            <c:ext xmlns:c16="http://schemas.microsoft.com/office/drawing/2014/chart" uri="{C3380CC4-5D6E-409C-BE32-E72D297353CC}">
              <c16:uniqueId val="{00000002-15AF-4358-853E-A4CD52138CB0}"/>
            </c:ext>
          </c:extLst>
        </c:ser>
        <c:dLbls>
          <c:showLegendKey val="0"/>
          <c:showVal val="0"/>
          <c:showCatName val="0"/>
          <c:showSerName val="0"/>
          <c:showPercent val="0"/>
          <c:showBubbleSize val="0"/>
        </c:dLbls>
        <c:marker val="1"/>
        <c:smooth val="0"/>
        <c:axId val="187640832"/>
        <c:axId val="187650816"/>
      </c:lineChart>
      <c:catAx>
        <c:axId val="1876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650816"/>
        <c:crosses val="autoZero"/>
        <c:auto val="1"/>
        <c:lblAlgn val="ctr"/>
        <c:lblOffset val="100"/>
        <c:noMultiLvlLbl val="0"/>
      </c:catAx>
      <c:valAx>
        <c:axId val="1876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640832"/>
        <c:crosses val="autoZero"/>
        <c:crossBetween val="between"/>
      </c:valAx>
      <c:spPr>
        <a:gradFill>
          <a:gsLst>
            <a:gs pos="28000">
              <a:sysClr val="window" lastClr="FFFFFF">
                <a:lumMod val="95000"/>
              </a:sysClr>
            </a:gs>
            <a:gs pos="72000">
              <a:sysClr val="window" lastClr="FFFFFF">
                <a:lumMod val="85000"/>
              </a:sysClr>
            </a:gs>
            <a:gs pos="100000">
              <a:srgbClr val="4F81BD">
                <a:lumMod val="20000"/>
                <a:lumOff val="80000"/>
              </a:srgb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zelenjadnice!$J$270</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zelenjadnice!$K$270:$W$270</c:f>
              <c:numCache>
                <c:formatCode>#,##0</c:formatCode>
                <c:ptCount val="13"/>
                <c:pt idx="0">
                  <c:v>1630</c:v>
                </c:pt>
                <c:pt idx="1">
                  <c:v>1630</c:v>
                </c:pt>
                <c:pt idx="2">
                  <c:v>1630</c:v>
                </c:pt>
                <c:pt idx="3">
                  <c:v>1496</c:v>
                </c:pt>
                <c:pt idx="4">
                  <c:v>1496</c:v>
                </c:pt>
                <c:pt idx="5">
                  <c:v>1497</c:v>
                </c:pt>
                <c:pt idx="6">
                  <c:v>1982</c:v>
                </c:pt>
                <c:pt idx="7">
                  <c:v>1982</c:v>
                </c:pt>
                <c:pt idx="8">
                  <c:v>1982</c:v>
                </c:pt>
                <c:pt idx="9">
                  <c:v>2251</c:v>
                </c:pt>
                <c:pt idx="10">
                  <c:v>2251</c:v>
                </c:pt>
                <c:pt idx="11">
                  <c:v>2251</c:v>
                </c:pt>
                <c:pt idx="12">
                  <c:v>3487</c:v>
                </c:pt>
              </c:numCache>
            </c:numRef>
          </c:val>
          <c:extLst>
            <c:ext xmlns:c16="http://schemas.microsoft.com/office/drawing/2014/chart" uri="{C3380CC4-5D6E-409C-BE32-E72D297353CC}">
              <c16:uniqueId val="{00000000-22AF-44E9-BA57-65541878E95A}"/>
            </c:ext>
          </c:extLst>
        </c:ser>
        <c:ser>
          <c:idx val="1"/>
          <c:order val="1"/>
          <c:tx>
            <c:strRef>
              <c:f>zelenjadnice!$J$271</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zelenjadnice!$K$271:$W$271</c:f>
              <c:numCache>
                <c:formatCode>#,##0</c:formatCode>
                <c:ptCount val="13"/>
                <c:pt idx="0">
                  <c:v>1920</c:v>
                </c:pt>
                <c:pt idx="1">
                  <c:v>2664</c:v>
                </c:pt>
                <c:pt idx="2">
                  <c:v>2645</c:v>
                </c:pt>
                <c:pt idx="3">
                  <c:v>1307</c:v>
                </c:pt>
                <c:pt idx="4">
                  <c:v>2550</c:v>
                </c:pt>
                <c:pt idx="5">
                  <c:v>2876</c:v>
                </c:pt>
                <c:pt idx="6">
                  <c:v>2862</c:v>
                </c:pt>
                <c:pt idx="7">
                  <c:v>3075</c:v>
                </c:pt>
                <c:pt idx="8">
                  <c:v>3020</c:v>
                </c:pt>
                <c:pt idx="9">
                  <c:v>3266</c:v>
                </c:pt>
                <c:pt idx="10">
                  <c:v>3183</c:v>
                </c:pt>
                <c:pt idx="11">
                  <c:v>3000</c:v>
                </c:pt>
                <c:pt idx="12">
                  <c:v>2938</c:v>
                </c:pt>
              </c:numCache>
            </c:numRef>
          </c:val>
          <c:extLst>
            <c:ext xmlns:c16="http://schemas.microsoft.com/office/drawing/2014/chart" uri="{C3380CC4-5D6E-409C-BE32-E72D297353CC}">
              <c16:uniqueId val="{00000001-22AF-44E9-BA57-65541878E95A}"/>
            </c:ext>
          </c:extLst>
        </c:ser>
        <c:dLbls>
          <c:showLegendKey val="0"/>
          <c:showVal val="0"/>
          <c:showCatName val="0"/>
          <c:showSerName val="0"/>
          <c:showPercent val="0"/>
          <c:showBubbleSize val="0"/>
        </c:dLbls>
        <c:gapWidth val="150"/>
        <c:overlap val="100"/>
        <c:axId val="183720576"/>
        <c:axId val="183738752"/>
      </c:barChart>
      <c:catAx>
        <c:axId val="18372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738752"/>
        <c:crosses val="autoZero"/>
        <c:auto val="1"/>
        <c:lblAlgn val="ctr"/>
        <c:lblOffset val="100"/>
        <c:noMultiLvlLbl val="0"/>
      </c:catAx>
      <c:valAx>
        <c:axId val="18373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7205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zelenjadnice!$J$272</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zelenjadnice!$K$272:$W$272</c:f>
              <c:numCache>
                <c:formatCode>#,##0</c:formatCode>
                <c:ptCount val="13"/>
                <c:pt idx="0">
                  <c:v>38644</c:v>
                </c:pt>
                <c:pt idx="1">
                  <c:v>43219</c:v>
                </c:pt>
                <c:pt idx="2">
                  <c:v>47830</c:v>
                </c:pt>
                <c:pt idx="3">
                  <c:v>41324</c:v>
                </c:pt>
                <c:pt idx="4">
                  <c:v>42534</c:v>
                </c:pt>
                <c:pt idx="5">
                  <c:v>37589</c:v>
                </c:pt>
                <c:pt idx="6">
                  <c:v>41813</c:v>
                </c:pt>
                <c:pt idx="7">
                  <c:v>48569</c:v>
                </c:pt>
                <c:pt idx="8">
                  <c:v>53391</c:v>
                </c:pt>
                <c:pt idx="9">
                  <c:v>60943</c:v>
                </c:pt>
                <c:pt idx="10">
                  <c:v>57328</c:v>
                </c:pt>
                <c:pt idx="11">
                  <c:v>59763</c:v>
                </c:pt>
                <c:pt idx="12">
                  <c:v>80359</c:v>
                </c:pt>
              </c:numCache>
            </c:numRef>
          </c:val>
          <c:extLst>
            <c:ext xmlns:c16="http://schemas.microsoft.com/office/drawing/2014/chart" uri="{C3380CC4-5D6E-409C-BE32-E72D297353CC}">
              <c16:uniqueId val="{00000000-9717-4CDA-96CF-778A8C71C346}"/>
            </c:ext>
          </c:extLst>
        </c:ser>
        <c:ser>
          <c:idx val="1"/>
          <c:order val="1"/>
          <c:tx>
            <c:strRef>
              <c:f>zelenjadnice!$J$273</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zelenjadnice!$K$273:$W$273</c:f>
              <c:numCache>
                <c:formatCode>#,##0</c:formatCode>
                <c:ptCount val="13"/>
                <c:pt idx="0">
                  <c:v>26579</c:v>
                </c:pt>
                <c:pt idx="1">
                  <c:v>34976</c:v>
                </c:pt>
                <c:pt idx="2">
                  <c:v>36036</c:v>
                </c:pt>
                <c:pt idx="3">
                  <c:v>18662</c:v>
                </c:pt>
                <c:pt idx="4">
                  <c:v>34758</c:v>
                </c:pt>
                <c:pt idx="5">
                  <c:v>33169</c:v>
                </c:pt>
                <c:pt idx="6">
                  <c:v>29459</c:v>
                </c:pt>
                <c:pt idx="7">
                  <c:v>37639</c:v>
                </c:pt>
                <c:pt idx="8">
                  <c:v>42156</c:v>
                </c:pt>
                <c:pt idx="9">
                  <c:v>44562</c:v>
                </c:pt>
                <c:pt idx="10">
                  <c:v>39026</c:v>
                </c:pt>
                <c:pt idx="11">
                  <c:v>40811</c:v>
                </c:pt>
                <c:pt idx="12">
                  <c:v>39761</c:v>
                </c:pt>
              </c:numCache>
            </c:numRef>
          </c:val>
          <c:extLst>
            <c:ext xmlns:c16="http://schemas.microsoft.com/office/drawing/2014/chart" uri="{C3380CC4-5D6E-409C-BE32-E72D297353CC}">
              <c16:uniqueId val="{00000001-9717-4CDA-96CF-778A8C71C346}"/>
            </c:ext>
          </c:extLst>
        </c:ser>
        <c:dLbls>
          <c:showLegendKey val="0"/>
          <c:showVal val="0"/>
          <c:showCatName val="0"/>
          <c:showSerName val="0"/>
          <c:showPercent val="0"/>
          <c:showBubbleSize val="0"/>
        </c:dLbls>
        <c:gapWidth val="150"/>
        <c:overlap val="100"/>
        <c:axId val="189236736"/>
        <c:axId val="189238272"/>
      </c:barChart>
      <c:catAx>
        <c:axId val="1892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9238272"/>
        <c:crosses val="autoZero"/>
        <c:auto val="1"/>
        <c:lblAlgn val="ctr"/>
        <c:lblOffset val="100"/>
        <c:noMultiLvlLbl val="0"/>
      </c:catAx>
      <c:valAx>
        <c:axId val="18923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923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List2!$B$1:$K$1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List2!$B$2:$K$2</c:f>
              <c:numCache>
                <c:formatCode>General</c:formatCode>
                <c:ptCount val="10"/>
                <c:pt idx="0">
                  <c:v>122.11</c:v>
                </c:pt>
                <c:pt idx="1">
                  <c:v>147.69</c:v>
                </c:pt>
                <c:pt idx="2">
                  <c:v>180.68</c:v>
                </c:pt>
                <c:pt idx="3">
                  <c:v>228</c:v>
                </c:pt>
                <c:pt idx="4">
                  <c:v>228.76</c:v>
                </c:pt>
                <c:pt idx="5">
                  <c:v>289.37</c:v>
                </c:pt>
                <c:pt idx="6">
                  <c:v>293.33999999999997</c:v>
                </c:pt>
                <c:pt idx="7">
                  <c:v>317.12</c:v>
                </c:pt>
                <c:pt idx="8">
                  <c:v>282.25203000000056</c:v>
                </c:pt>
                <c:pt idx="9">
                  <c:v>327.40039999999823</c:v>
                </c:pt>
              </c:numCache>
            </c:numRef>
          </c:val>
          <c:extLst>
            <c:ext xmlns:c16="http://schemas.microsoft.com/office/drawing/2014/chart" uri="{C3380CC4-5D6E-409C-BE32-E72D297353CC}">
              <c16:uniqueId val="{00000000-77FB-4853-A61B-9A67F615BDDC}"/>
            </c:ext>
          </c:extLst>
        </c:ser>
        <c:dLbls>
          <c:showLegendKey val="0"/>
          <c:showVal val="0"/>
          <c:showCatName val="0"/>
          <c:showSerName val="0"/>
          <c:showPercent val="0"/>
          <c:showBubbleSize val="0"/>
        </c:dLbls>
        <c:gapWidth val="219"/>
        <c:overlap val="-27"/>
        <c:axId val="187558912"/>
        <c:axId val="190071552"/>
      </c:barChart>
      <c:catAx>
        <c:axId val="1875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071552"/>
        <c:crosses val="autoZero"/>
        <c:auto val="1"/>
        <c:lblAlgn val="ctr"/>
        <c:lblOffset val="100"/>
        <c:noMultiLvlLbl val="0"/>
      </c:catAx>
      <c:valAx>
        <c:axId val="19007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55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'[15P6004 (1).xlsx]List1'!$B$8</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(1).xlsx]List1'!$C$8:$H$8</c:f>
              <c:numCache>
                <c:formatCode>General</c:formatCode>
                <c:ptCount val="6"/>
                <c:pt idx="0">
                  <c:v>13.2</c:v>
                </c:pt>
                <c:pt idx="1">
                  <c:v>13.3</c:v>
                </c:pt>
                <c:pt idx="2">
                  <c:v>11.8</c:v>
                </c:pt>
                <c:pt idx="3">
                  <c:v>49.4</c:v>
                </c:pt>
                <c:pt idx="4">
                  <c:v>96.8</c:v>
                </c:pt>
                <c:pt idx="5">
                  <c:v>146.6</c:v>
                </c:pt>
              </c:numCache>
            </c:numRef>
          </c:val>
          <c:extLst>
            <c:ext xmlns:c16="http://schemas.microsoft.com/office/drawing/2014/chart" uri="{C3380CC4-5D6E-409C-BE32-E72D297353CC}">
              <c16:uniqueId val="{00000000-0E1F-419C-AB8C-77FD0B9CF48A}"/>
            </c:ext>
          </c:extLst>
        </c:ser>
        <c:ser>
          <c:idx val="1"/>
          <c:order val="1"/>
          <c:tx>
            <c:strRef>
              <c:f>'[15P6004 (1).xlsx]List1'!$B$9</c:f>
              <c:strCache>
                <c:ptCount val="1"/>
                <c:pt idx="0">
                  <c:v>Pridelava v zaščitenem prostoru</c:v>
                </c:pt>
              </c:strCache>
            </c:strRef>
          </c:tx>
          <c:spPr>
            <a:solidFill>
              <a:schemeClr val="accent2"/>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(1).xlsx]List1'!$C$9:$H$9</c:f>
              <c:numCache>
                <c:formatCode>General</c:formatCode>
                <c:ptCount val="6"/>
                <c:pt idx="0">
                  <c:v>0.1</c:v>
                </c:pt>
                <c:pt idx="1">
                  <c:v>0.1</c:v>
                </c:pt>
                <c:pt idx="2">
                  <c:v>0.3</c:v>
                </c:pt>
                <c:pt idx="3">
                  <c:v>7.2</c:v>
                </c:pt>
                <c:pt idx="4">
                  <c:v>1.6</c:v>
                </c:pt>
                <c:pt idx="5">
                  <c:v>3.3</c:v>
                </c:pt>
              </c:numCache>
            </c:numRef>
          </c:val>
          <c:extLst>
            <c:ext xmlns:c16="http://schemas.microsoft.com/office/drawing/2014/chart" uri="{C3380CC4-5D6E-409C-BE32-E72D297353CC}">
              <c16:uniqueId val="{00000001-0E1F-419C-AB8C-77FD0B9CF48A}"/>
            </c:ext>
          </c:extLst>
        </c:ser>
        <c:ser>
          <c:idx val="2"/>
          <c:order val="2"/>
          <c:spPr>
            <a:solidFill>
              <a:schemeClr val="accent3"/>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(1).xlsx]List1'!$C$6</c:f>
              <c:numCache>
                <c:formatCode>General</c:formatCode>
                <c:ptCount val="1"/>
                <c:pt idx="0">
                  <c:v>0</c:v>
                </c:pt>
              </c:numCache>
            </c:numRef>
          </c:val>
          <c:extLst>
            <c:ext xmlns:c16="http://schemas.microsoft.com/office/drawing/2014/chart" uri="{C3380CC4-5D6E-409C-BE32-E72D297353CC}">
              <c16:uniqueId val="{00000002-0E1F-419C-AB8C-77FD0B9CF48A}"/>
            </c:ext>
          </c:extLst>
        </c:ser>
        <c:dLbls>
          <c:showLegendKey val="0"/>
          <c:showVal val="0"/>
          <c:showCatName val="0"/>
          <c:showSerName val="0"/>
          <c:showPercent val="0"/>
          <c:showBubbleSize val="0"/>
        </c:dLbls>
        <c:gapWidth val="150"/>
        <c:axId val="190860288"/>
        <c:axId val="190870272"/>
      </c:barChart>
      <c:catAx>
        <c:axId val="1908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70272"/>
        <c:crosses val="autoZero"/>
        <c:auto val="1"/>
        <c:lblAlgn val="ctr"/>
        <c:lblOffset val="100"/>
        <c:noMultiLvlLbl val="0"/>
      </c:catAx>
      <c:valAx>
        <c:axId val="19087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800" b="0" i="0" u="none" strike="noStrike" baseline="0">
                    <a:effectLst/>
                    <a:latin typeface="Arial" panose="020B0604020202020204" pitchFamily="34" charset="0"/>
                    <a:cs typeface="Arial" panose="020B0604020202020204" pitchFamily="34" charset="0"/>
                  </a:rPr>
                  <a:t>Pridelovalna površina (ha)</a:t>
                </a:r>
                <a:r>
                  <a:rPr lang="sl-SI" sz="800" b="0" i="0" u="none" strike="noStrike" baseline="0">
                    <a:latin typeface="Arial" panose="020B0604020202020204" pitchFamily="34" charset="0"/>
                    <a:cs typeface="Arial" panose="020B0604020202020204" pitchFamily="34" charset="0"/>
                  </a:rPr>
                  <a:t> </a:t>
                </a:r>
                <a:endParaRPr lang="sl-SI" sz="800">
                  <a:latin typeface="Arial" panose="020B0604020202020204" pitchFamily="34" charset="0"/>
                  <a:cs typeface="Arial" panose="020B0604020202020204" pitchFamily="34" charset="0"/>
                </a:endParaRPr>
              </a:p>
            </c:rich>
          </c:tx>
          <c:layout>
            <c:manualLayout>
              <c:xMode val="edge"/>
              <c:yMode val="edge"/>
              <c:x val="3.3794162826420893E-2"/>
              <c:y val="0.118525073746312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602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List1!$B$32</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List1!$C$32:$H$32</c:f>
              <c:numCache>
                <c:formatCode>General</c:formatCode>
                <c:ptCount val="6"/>
                <c:pt idx="0">
                  <c:v>60</c:v>
                </c:pt>
                <c:pt idx="1">
                  <c:v>46</c:v>
                </c:pt>
                <c:pt idx="2">
                  <c:v>39</c:v>
                </c:pt>
                <c:pt idx="3">
                  <c:v>164</c:v>
                </c:pt>
                <c:pt idx="4">
                  <c:v>200</c:v>
                </c:pt>
                <c:pt idx="5">
                  <c:v>311</c:v>
                </c:pt>
              </c:numCache>
            </c:numRef>
          </c:val>
          <c:extLst>
            <c:ext xmlns:c16="http://schemas.microsoft.com/office/drawing/2014/chart" uri="{C3380CC4-5D6E-409C-BE32-E72D297353CC}">
              <c16:uniqueId val="{00000000-E254-409D-9B9F-CCBD40576578}"/>
            </c:ext>
          </c:extLst>
        </c:ser>
        <c:ser>
          <c:idx val="1"/>
          <c:order val="1"/>
          <c:tx>
            <c:strRef>
              <c:f>List1!$B$33</c:f>
              <c:strCache>
                <c:ptCount val="1"/>
                <c:pt idx="0">
                  <c:v>Pridelava v zaščitenem prostoru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List1!$C$33:$H$33</c:f>
              <c:numCache>
                <c:formatCode>General</c:formatCode>
                <c:ptCount val="6"/>
                <c:pt idx="0">
                  <c:v>7</c:v>
                </c:pt>
                <c:pt idx="1">
                  <c:v>20</c:v>
                </c:pt>
                <c:pt idx="2">
                  <c:v>26</c:v>
                </c:pt>
                <c:pt idx="3">
                  <c:v>100</c:v>
                </c:pt>
                <c:pt idx="4">
                  <c:v>74</c:v>
                </c:pt>
                <c:pt idx="5">
                  <c:v>71</c:v>
                </c:pt>
              </c:numCache>
            </c:numRef>
          </c:val>
          <c:extLst>
            <c:ext xmlns:c16="http://schemas.microsoft.com/office/drawing/2014/chart" uri="{C3380CC4-5D6E-409C-BE32-E72D297353CC}">
              <c16:uniqueId val="{00000001-E254-409D-9B9F-CCBD40576578}"/>
            </c:ext>
          </c:extLst>
        </c:ser>
        <c:dLbls>
          <c:showLegendKey val="0"/>
          <c:showVal val="0"/>
          <c:showCatName val="0"/>
          <c:showSerName val="0"/>
          <c:showPercent val="0"/>
          <c:showBubbleSize val="0"/>
        </c:dLbls>
        <c:gapWidth val="219"/>
        <c:overlap val="-27"/>
        <c:axId val="190984192"/>
        <c:axId val="190985728"/>
      </c:barChart>
      <c:catAx>
        <c:axId val="1909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985728"/>
        <c:crosses val="autoZero"/>
        <c:auto val="1"/>
        <c:lblAlgn val="ctr"/>
        <c:lblOffset val="100"/>
        <c:noMultiLvlLbl val="0"/>
      </c:catAx>
      <c:valAx>
        <c:axId val="19098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a:t>
                </a:r>
                <a:r>
                  <a:rPr lang="sl-SI" baseline="0"/>
                  <a:t> KMG</a:t>
                </a:r>
                <a:endParaRPr lang="sl-SI"/>
              </a:p>
            </c:rich>
          </c:tx>
          <c:layout>
            <c:manualLayout>
              <c:xMode val="edge"/>
              <c:yMode val="edge"/>
              <c:x val="2.3756495916852263E-2"/>
              <c:y val="0.320155038759689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9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4705939783859E-2"/>
          <c:y val="4.218282555106144E-2"/>
          <c:w val="0.59194625977740212"/>
          <c:h val="0.72095011287924682"/>
        </c:manualLayout>
      </c:layout>
      <c:barChart>
        <c:barDir val="col"/>
        <c:grouping val="clustered"/>
        <c:varyColors val="0"/>
        <c:ser>
          <c:idx val="0"/>
          <c:order val="0"/>
          <c:tx>
            <c:v>Delež pokritosti z mrežami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IZBIRNIK!$T$54:$T$62</c:f>
              <c:numCache>
                <c:formatCode>#,##0</c:formatCode>
                <c:ptCount val="9"/>
                <c:pt idx="0">
                  <c:v>52.253881741261054</c:v>
                </c:pt>
                <c:pt idx="1">
                  <c:v>17.173539474176156</c:v>
                </c:pt>
                <c:pt idx="2">
                  <c:v>7.8552071684314457</c:v>
                </c:pt>
                <c:pt idx="3">
                  <c:v>5.1634764649966831</c:v>
                </c:pt>
                <c:pt idx="4">
                  <c:v>9.2018795759221781E-5</c:v>
                </c:pt>
                <c:pt idx="5">
                  <c:v>0.16954454080524692</c:v>
                </c:pt>
                <c:pt idx="6">
                  <c:v>1.3977564177522082</c:v>
                </c:pt>
                <c:pt idx="7">
                  <c:v>2.9757384790186845</c:v>
                </c:pt>
                <c:pt idx="8">
                  <c:v>2.6970156675080523</c:v>
                </c:pt>
              </c:numCache>
            </c:numRef>
          </c:val>
          <c:extLst>
            <c:ext xmlns:c16="http://schemas.microsoft.com/office/drawing/2014/chart" uri="{C3380CC4-5D6E-409C-BE32-E72D297353CC}">
              <c16:uniqueId val="{00000000-02B9-47EC-A113-C44078CF9E52}"/>
            </c:ext>
          </c:extLst>
        </c:ser>
        <c:ser>
          <c:idx val="1"/>
          <c:order val="1"/>
          <c:tx>
            <c:v>Delež namakanih površin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IZBIRNIK!$U$54:$U$62</c:f>
              <c:numCache>
                <c:formatCode>#,##0</c:formatCode>
                <c:ptCount val="9"/>
                <c:pt idx="0">
                  <c:v>16.053659608663136</c:v>
                </c:pt>
                <c:pt idx="1">
                  <c:v>37.018602557798459</c:v>
                </c:pt>
                <c:pt idx="2">
                  <c:v>42.004362138757791</c:v>
                </c:pt>
                <c:pt idx="3">
                  <c:v>18.76528302476644</c:v>
                </c:pt>
                <c:pt idx="4">
                  <c:v>1.1603340098248469</c:v>
                </c:pt>
                <c:pt idx="5">
                  <c:v>6.398596359806322</c:v>
                </c:pt>
                <c:pt idx="6">
                  <c:v>16.637519673137906</c:v>
                </c:pt>
                <c:pt idx="7">
                  <c:v>76.426569220102706</c:v>
                </c:pt>
                <c:pt idx="8">
                  <c:v>3.8986030042850492</c:v>
                </c:pt>
              </c:numCache>
            </c:numRef>
          </c:val>
          <c:extLst>
            <c:ext xmlns:c16="http://schemas.microsoft.com/office/drawing/2014/chart" uri="{C3380CC4-5D6E-409C-BE32-E72D297353CC}">
              <c16:uniqueId val="{00000001-02B9-47EC-A113-C44078CF9E52}"/>
            </c:ext>
          </c:extLst>
        </c:ser>
        <c:dLbls>
          <c:showLegendKey val="0"/>
          <c:showVal val="0"/>
          <c:showCatName val="0"/>
          <c:showSerName val="0"/>
          <c:showPercent val="0"/>
          <c:showBubbleSize val="0"/>
        </c:dLbls>
        <c:gapWidth val="150"/>
        <c:axId val="191015936"/>
        <c:axId val="190927616"/>
      </c:barChart>
      <c:catAx>
        <c:axId val="191015936"/>
        <c:scaling>
          <c:orientation val="minMax"/>
        </c:scaling>
        <c:delete val="0"/>
        <c:axPos val="b"/>
        <c:numFmt formatCode="General" sourceLinked="0"/>
        <c:majorTickMark val="out"/>
        <c:minorTickMark val="none"/>
        <c:tickLblPos val="nextTo"/>
        <c:crossAx val="190927616"/>
        <c:crosses val="autoZero"/>
        <c:auto val="1"/>
        <c:lblAlgn val="ctr"/>
        <c:lblOffset val="100"/>
        <c:noMultiLvlLbl val="0"/>
      </c:catAx>
      <c:valAx>
        <c:axId val="190927616"/>
        <c:scaling>
          <c:orientation val="minMax"/>
        </c:scaling>
        <c:delete val="0"/>
        <c:axPos val="l"/>
        <c:majorGridlines/>
        <c:numFmt formatCode="#,##0" sourceLinked="1"/>
        <c:majorTickMark val="out"/>
        <c:minorTickMark val="none"/>
        <c:tickLblPos val="nextTo"/>
        <c:crossAx val="191015936"/>
        <c:crosses val="autoZero"/>
        <c:crossBetween val="between"/>
      </c:valAx>
    </c:plotArea>
    <c:legend>
      <c:legendPos val="r"/>
      <c:layout>
        <c:manualLayout>
          <c:xMode val="edge"/>
          <c:yMode val="edge"/>
          <c:x val="0.70418080803081895"/>
          <c:y val="0.32871641154121467"/>
          <c:w val="0.28047975147664927"/>
          <c:h val="0.3425671769175706"/>
        </c:manualLayout>
      </c:layout>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5.1400554097404488E-2"/>
          <c:w val="0.65056014873140855"/>
          <c:h val="0.8326195683872849"/>
        </c:manualLayout>
      </c:layout>
      <c:barChart>
        <c:barDir val="col"/>
        <c:grouping val="clustered"/>
        <c:varyColors val="0"/>
        <c:ser>
          <c:idx val="0"/>
          <c:order val="0"/>
          <c:tx>
            <c:strRef>
              <c:f>ISAD_leto_sajenja!$DW$33</c:f>
              <c:strCache>
                <c:ptCount val="1"/>
                <c:pt idx="0">
                  <c:v>nad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ISAD_leto_sajenja!$DW$34:$DW$37</c:f>
              <c:numCache>
                <c:formatCode>#,##0</c:formatCode>
                <c:ptCount val="4"/>
                <c:pt idx="0">
                  <c:v>19.2257</c:v>
                </c:pt>
                <c:pt idx="1">
                  <c:v>8.4443000000000001</c:v>
                </c:pt>
                <c:pt idx="2">
                  <c:v>4.3509000000000002</c:v>
                </c:pt>
                <c:pt idx="3">
                  <c:v>1.8442000000000001</c:v>
                </c:pt>
              </c:numCache>
            </c:numRef>
          </c:val>
          <c:extLst>
            <c:ext xmlns:c16="http://schemas.microsoft.com/office/drawing/2014/chart" uri="{C3380CC4-5D6E-409C-BE32-E72D297353CC}">
              <c16:uniqueId val="{00000000-9A3B-4287-8996-579D22A4C074}"/>
            </c:ext>
          </c:extLst>
        </c:ser>
        <c:ser>
          <c:idx val="1"/>
          <c:order val="1"/>
          <c:tx>
            <c:strRef>
              <c:f>ISAD_leto_sajenja!$DX$33</c:f>
              <c:strCache>
                <c:ptCount val="1"/>
                <c:pt idx="0">
                  <c:v>od 31 do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ISAD_leto_sajenja!$DX$34:$DX$37</c:f>
              <c:numCache>
                <c:formatCode>#,##0</c:formatCode>
                <c:ptCount val="4"/>
                <c:pt idx="0">
                  <c:v>165.5643</c:v>
                </c:pt>
                <c:pt idx="1">
                  <c:v>47.536700000000003</c:v>
                </c:pt>
                <c:pt idx="2">
                  <c:v>16.928100000000001</c:v>
                </c:pt>
                <c:pt idx="3">
                  <c:v>7.4733999999999998</c:v>
                </c:pt>
              </c:numCache>
            </c:numRef>
          </c:val>
          <c:extLst>
            <c:ext xmlns:c16="http://schemas.microsoft.com/office/drawing/2014/chart" uri="{C3380CC4-5D6E-409C-BE32-E72D297353CC}">
              <c16:uniqueId val="{00000001-9A3B-4287-8996-579D22A4C074}"/>
            </c:ext>
          </c:extLst>
        </c:ser>
        <c:ser>
          <c:idx val="2"/>
          <c:order val="2"/>
          <c:tx>
            <c:strRef>
              <c:f>ISAD_leto_sajenja!$DY$33</c:f>
              <c:strCache>
                <c:ptCount val="1"/>
                <c:pt idx="0">
                  <c:v>od 21 do 30 let</c:v>
                </c:pt>
              </c:strCache>
            </c:strRef>
          </c:tx>
          <c:invertIfNegative val="0"/>
          <c:cat>
            <c:strRef>
              <c:f>ISAD_leto_sajenja!$DV$34:$DV$37</c:f>
              <c:strCache>
                <c:ptCount val="4"/>
                <c:pt idx="0">
                  <c:v>JABLANA</c:v>
                </c:pt>
                <c:pt idx="1">
                  <c:v>HRUŠKA</c:v>
                </c:pt>
                <c:pt idx="2">
                  <c:v>OREH</c:v>
                </c:pt>
                <c:pt idx="3">
                  <c:v>ČEŠNJA</c:v>
                </c:pt>
              </c:strCache>
            </c:strRef>
          </c:cat>
          <c:val>
            <c:numRef>
              <c:f>ISAD_leto_sajenja!$DY$34:$DY$37</c:f>
              <c:numCache>
                <c:formatCode>#,##0</c:formatCode>
                <c:ptCount val="4"/>
                <c:pt idx="0">
                  <c:v>368.31540000000001</c:v>
                </c:pt>
                <c:pt idx="1">
                  <c:v>50.032200000000003</c:v>
                </c:pt>
                <c:pt idx="2">
                  <c:v>30.007000000000001</c:v>
                </c:pt>
                <c:pt idx="3">
                  <c:v>25.417200000000001</c:v>
                </c:pt>
              </c:numCache>
            </c:numRef>
          </c:val>
          <c:extLst>
            <c:ext xmlns:c16="http://schemas.microsoft.com/office/drawing/2014/chart" uri="{C3380CC4-5D6E-409C-BE32-E72D297353CC}">
              <c16:uniqueId val="{00000002-9A3B-4287-8996-579D22A4C074}"/>
            </c:ext>
          </c:extLst>
        </c:ser>
        <c:ser>
          <c:idx val="3"/>
          <c:order val="3"/>
          <c:tx>
            <c:strRef>
              <c:f>ISAD_leto_sajenja!$DZ$33</c:f>
              <c:strCache>
                <c:ptCount val="1"/>
                <c:pt idx="0">
                  <c:v>od 11 do 20</c:v>
                </c:pt>
              </c:strCache>
            </c:strRef>
          </c:tx>
          <c:invertIfNegative val="0"/>
          <c:cat>
            <c:strRef>
              <c:f>ISAD_leto_sajenja!$DV$34:$DV$37</c:f>
              <c:strCache>
                <c:ptCount val="4"/>
                <c:pt idx="0">
                  <c:v>JABLANA</c:v>
                </c:pt>
                <c:pt idx="1">
                  <c:v>HRUŠKA</c:v>
                </c:pt>
                <c:pt idx="2">
                  <c:v>OREH</c:v>
                </c:pt>
                <c:pt idx="3">
                  <c:v>ČEŠNJA</c:v>
                </c:pt>
              </c:strCache>
            </c:strRef>
          </c:cat>
          <c:val>
            <c:numRef>
              <c:f>ISAD_leto_sajenja!$DZ$34:$DZ$37</c:f>
              <c:numCache>
                <c:formatCode>#,##0</c:formatCode>
                <c:ptCount val="4"/>
                <c:pt idx="0">
                  <c:v>883.54139999999995</c:v>
                </c:pt>
                <c:pt idx="1">
                  <c:v>45.2331</c:v>
                </c:pt>
                <c:pt idx="2">
                  <c:v>65.017499999999998</c:v>
                </c:pt>
                <c:pt idx="3">
                  <c:v>75.910300000000007</c:v>
                </c:pt>
              </c:numCache>
            </c:numRef>
          </c:val>
          <c:extLst>
            <c:ext xmlns:c16="http://schemas.microsoft.com/office/drawing/2014/chart" uri="{C3380CC4-5D6E-409C-BE32-E72D297353CC}">
              <c16:uniqueId val="{00000003-9A3B-4287-8996-579D22A4C074}"/>
            </c:ext>
          </c:extLst>
        </c:ser>
        <c:ser>
          <c:idx val="4"/>
          <c:order val="4"/>
          <c:tx>
            <c:strRef>
              <c:f>ISAD_leto_sajenja!$EA$33</c:f>
              <c:strCache>
                <c:ptCount val="1"/>
                <c:pt idx="0">
                  <c:v>od 6 do 10 let</c:v>
                </c:pt>
              </c:strCache>
            </c:strRef>
          </c:tx>
          <c:invertIfNegative val="0"/>
          <c:cat>
            <c:strRef>
              <c:f>ISAD_leto_sajenja!$DV$34:$DV$37</c:f>
              <c:strCache>
                <c:ptCount val="4"/>
                <c:pt idx="0">
                  <c:v>JABLANA</c:v>
                </c:pt>
                <c:pt idx="1">
                  <c:v>HRUŠKA</c:v>
                </c:pt>
                <c:pt idx="2">
                  <c:v>OREH</c:v>
                </c:pt>
                <c:pt idx="3">
                  <c:v>ČEŠNJA</c:v>
                </c:pt>
              </c:strCache>
            </c:strRef>
          </c:cat>
          <c:val>
            <c:numRef>
              <c:f>ISAD_leto_sajenja!$EA$34:$EA$37</c:f>
              <c:numCache>
                <c:formatCode>#,##0</c:formatCode>
                <c:ptCount val="4"/>
                <c:pt idx="0">
                  <c:v>427.33069999999998</c:v>
                </c:pt>
                <c:pt idx="1">
                  <c:v>26.705500000000001</c:v>
                </c:pt>
                <c:pt idx="2">
                  <c:v>93.887</c:v>
                </c:pt>
                <c:pt idx="3">
                  <c:v>42.454799999999999</c:v>
                </c:pt>
              </c:numCache>
            </c:numRef>
          </c:val>
          <c:extLst>
            <c:ext xmlns:c16="http://schemas.microsoft.com/office/drawing/2014/chart" uri="{C3380CC4-5D6E-409C-BE32-E72D297353CC}">
              <c16:uniqueId val="{00000004-9A3B-4287-8996-579D22A4C074}"/>
            </c:ext>
          </c:extLst>
        </c:ser>
        <c:ser>
          <c:idx val="5"/>
          <c:order val="5"/>
          <c:tx>
            <c:strRef>
              <c:f>ISAD_leto_sajenja!$EB$33</c:f>
              <c:strCache>
                <c:ptCount val="1"/>
                <c:pt idx="0">
                  <c:v>do 5 let</c:v>
                </c:pt>
              </c:strCache>
            </c:strRef>
          </c:tx>
          <c:invertIfNegative val="0"/>
          <c:cat>
            <c:strRef>
              <c:f>ISAD_leto_sajenja!$DV$34:$DV$37</c:f>
              <c:strCache>
                <c:ptCount val="4"/>
                <c:pt idx="0">
                  <c:v>JABLANA</c:v>
                </c:pt>
                <c:pt idx="1">
                  <c:v>HRUŠKA</c:v>
                </c:pt>
                <c:pt idx="2">
                  <c:v>OREH</c:v>
                </c:pt>
                <c:pt idx="3">
                  <c:v>ČEŠNJA</c:v>
                </c:pt>
              </c:strCache>
            </c:strRef>
          </c:cat>
          <c:val>
            <c:numRef>
              <c:f>ISAD_leto_sajenja!$EB$34:$EB$37</c:f>
              <c:numCache>
                <c:formatCode>#,##0</c:formatCode>
                <c:ptCount val="4"/>
                <c:pt idx="0">
                  <c:v>376.48660000000001</c:v>
                </c:pt>
                <c:pt idx="1">
                  <c:v>33.3474</c:v>
                </c:pt>
                <c:pt idx="2">
                  <c:v>224.50360000000001</c:v>
                </c:pt>
                <c:pt idx="3">
                  <c:v>51.620399999999997</c:v>
                </c:pt>
              </c:numCache>
            </c:numRef>
          </c:val>
          <c:extLst>
            <c:ext xmlns:c16="http://schemas.microsoft.com/office/drawing/2014/chart" uri="{C3380CC4-5D6E-409C-BE32-E72D297353CC}">
              <c16:uniqueId val="{00000005-9A3B-4287-8996-579D22A4C074}"/>
            </c:ext>
          </c:extLst>
        </c:ser>
        <c:dLbls>
          <c:showLegendKey val="0"/>
          <c:showVal val="0"/>
          <c:showCatName val="0"/>
          <c:showSerName val="0"/>
          <c:showPercent val="0"/>
          <c:showBubbleSize val="0"/>
        </c:dLbls>
        <c:gapWidth val="150"/>
        <c:axId val="190945920"/>
        <c:axId val="190964096"/>
      </c:barChart>
      <c:catAx>
        <c:axId val="190945920"/>
        <c:scaling>
          <c:orientation val="minMax"/>
        </c:scaling>
        <c:delete val="0"/>
        <c:axPos val="b"/>
        <c:numFmt formatCode="General" sourceLinked="0"/>
        <c:majorTickMark val="out"/>
        <c:minorTickMark val="none"/>
        <c:tickLblPos val="nextTo"/>
        <c:crossAx val="190964096"/>
        <c:crosses val="autoZero"/>
        <c:auto val="1"/>
        <c:lblAlgn val="ctr"/>
        <c:lblOffset val="100"/>
        <c:noMultiLvlLbl val="0"/>
      </c:catAx>
      <c:valAx>
        <c:axId val="190964096"/>
        <c:scaling>
          <c:orientation val="minMax"/>
        </c:scaling>
        <c:delete val="0"/>
        <c:axPos val="l"/>
        <c:majorGridlines/>
        <c:numFmt formatCode="#,##0" sourceLinked="1"/>
        <c:majorTickMark val="out"/>
        <c:minorTickMark val="none"/>
        <c:tickLblPos val="nextTo"/>
        <c:crossAx val="190945920"/>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l-SI" sz="800" b="1"/>
              <a:t>Povprečje </a:t>
            </a:r>
            <a:r>
              <a:rPr lang="en-US" sz="800" b="1"/>
              <a:t>PDM/KMG</a:t>
            </a:r>
            <a:r>
              <a:rPr lang="sl-SI" sz="800" b="1"/>
              <a:t>, 2016</a:t>
            </a:r>
            <a:endParaRPr lang="en-US" sz="800" b="1"/>
          </a:p>
        </c:rich>
      </c:tx>
      <c:layout>
        <c:manualLayout>
          <c:xMode val="edge"/>
          <c:yMode val="edge"/>
          <c:x val="0.39659775148427295"/>
          <c:y val="8.9085508189661496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3466593050908838E-2"/>
          <c:y val="5.7532794034649656E-2"/>
          <c:w val="0.90929086582092966"/>
          <c:h val="0.90747175560359516"/>
        </c:manualLayout>
      </c:layout>
      <c:barChart>
        <c:barDir val="col"/>
        <c:grouping val="clustered"/>
        <c:varyColors val="0"/>
        <c:ser>
          <c:idx val="2"/>
          <c:order val="0"/>
          <c:tx>
            <c:strRef>
              <c:f>'\Users\tanja.gorisek\Downloads\[ef_m_farmleg.xls]Data'!$D$13</c:f>
              <c:strCache>
                <c:ptCount val="1"/>
                <c:pt idx="0">
                  <c:v>PDM / KMG</c:v>
                </c:pt>
              </c:strCache>
            </c:strRef>
          </c:tx>
          <c:spPr>
            <a:solidFill>
              <a:schemeClr val="accent6"/>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1-4DA0-430E-8812-3EED6D21D543}"/>
              </c:ext>
            </c:extLst>
          </c:dPt>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'\Users\tanja.gorisek\Downloads\[ef_m_farmleg.xls]Data'!$A$14:$A$40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'\Users\tanja.gorisek\Downloads\[ef_m_farmleg.xls]Data'!$D$14:$D$40</c:f>
              <c:numCache>
                <c:formatCode>General</c:formatCode>
                <c:ptCount val="27"/>
                <c:pt idx="0">
                  <c:v>1.5004066142586068</c:v>
                </c:pt>
                <c:pt idx="1">
                  <c:v>1.2524664561957379</c:v>
                </c:pt>
                <c:pt idx="2">
                  <c:v>3.9381831888428196</c:v>
                </c:pt>
                <c:pt idx="3">
                  <c:v>1.5686162624821682</c:v>
                </c:pt>
                <c:pt idx="4">
                  <c:v>1.7383746197305519</c:v>
                </c:pt>
                <c:pt idx="5">
                  <c:v>1.215568862275449</c:v>
                </c:pt>
                <c:pt idx="6">
                  <c:v>1.1682175050886885</c:v>
                </c:pt>
                <c:pt idx="7">
                  <c:v>0.65931819840864292</c:v>
                </c:pt>
                <c:pt idx="8">
                  <c:v>0.87776978265010264</c:v>
                </c:pt>
                <c:pt idx="9">
                  <c:v>1.6492377113817576</c:v>
                </c:pt>
                <c:pt idx="10">
                  <c:v>1.2940651494868363</c:v>
                </c:pt>
                <c:pt idx="11">
                  <c:v>0.99196131656352826</c:v>
                </c:pt>
                <c:pt idx="12">
                  <c:v>0.6353749284487693</c:v>
                </c:pt>
                <c:pt idx="13">
                  <c:v>1.0903760903760904</c:v>
                </c:pt>
                <c:pt idx="14">
                  <c:v>0.98988823842469398</c:v>
                </c:pt>
                <c:pt idx="15">
                  <c:v>1.751269035532995</c:v>
                </c:pt>
                <c:pt idx="16">
                  <c:v>1.0099534883720931</c:v>
                </c:pt>
                <c:pt idx="17">
                  <c:v>0.54723127035830621</c:v>
                </c:pt>
                <c:pt idx="18">
                  <c:v>2.679058908045977</c:v>
                </c:pt>
                <c:pt idx="19">
                  <c:v>0.90241509433962264</c:v>
                </c:pt>
                <c:pt idx="20">
                  <c:v>1.18792089033813</c:v>
                </c:pt>
                <c:pt idx="21">
                  <c:v>0.96930264885319328</c:v>
                </c:pt>
                <c:pt idx="22">
                  <c:v>0.46142202143172328</c:v>
                </c:pt>
                <c:pt idx="23">
                  <c:v>1.144062947067239</c:v>
                </c:pt>
                <c:pt idx="24">
                  <c:v>1.8978955572876071</c:v>
                </c:pt>
                <c:pt idx="25">
                  <c:v>1.3478173405753369</c:v>
                </c:pt>
                <c:pt idx="26">
                  <c:v>0.92675564029234192</c:v>
                </c:pt>
              </c:numCache>
            </c:numRef>
          </c:val>
          <c:extLst>
            <c:ext xmlns:c16="http://schemas.microsoft.com/office/drawing/2014/chart" uri="{C3380CC4-5D6E-409C-BE32-E72D297353CC}">
              <c16:uniqueId val="{00000002-4DA0-430E-8812-3EED6D21D543}"/>
            </c:ext>
          </c:extLst>
        </c:ser>
        <c:dLbls>
          <c:showLegendKey val="0"/>
          <c:showVal val="1"/>
          <c:showCatName val="0"/>
          <c:showSerName val="0"/>
          <c:showPercent val="0"/>
          <c:showBubbleSize val="0"/>
        </c:dLbls>
        <c:gapWidth val="75"/>
        <c:axId val="154089344"/>
        <c:axId val="154125440"/>
      </c:barChart>
      <c:catAx>
        <c:axId val="1540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54125440"/>
        <c:crosses val="autoZero"/>
        <c:auto val="1"/>
        <c:lblAlgn val="ctr"/>
        <c:lblOffset val="100"/>
        <c:noMultiLvlLbl val="0"/>
      </c:catAx>
      <c:valAx>
        <c:axId val="15412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089344"/>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'oljke-površina'!$E$10</c:f>
              <c:strCache>
                <c:ptCount val="1"/>
                <c:pt idx="0">
                  <c:v>ST_KMG-RKG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'oljke-površina'!$E$11:$E$20</c:f>
              <c:numCache>
                <c:formatCode>General</c:formatCode>
                <c:ptCount val="10"/>
                <c:pt idx="0">
                  <c:v>1312</c:v>
                </c:pt>
                <c:pt idx="1">
                  <c:v>1437</c:v>
                </c:pt>
                <c:pt idx="2">
                  <c:v>1720</c:v>
                </c:pt>
                <c:pt idx="3">
                  <c:v>1979</c:v>
                </c:pt>
                <c:pt idx="4">
                  <c:v>2168</c:v>
                </c:pt>
                <c:pt idx="5">
                  <c:v>2327</c:v>
                </c:pt>
                <c:pt idx="6">
                  <c:v>2534</c:v>
                </c:pt>
                <c:pt idx="7">
                  <c:v>2665</c:v>
                </c:pt>
                <c:pt idx="8">
                  <c:v>2808</c:v>
                </c:pt>
                <c:pt idx="9">
                  <c:v>3030</c:v>
                </c:pt>
              </c:numCache>
            </c:numRef>
          </c:val>
          <c:smooth val="0"/>
          <c:extLst>
            <c:ext xmlns:c16="http://schemas.microsoft.com/office/drawing/2014/chart" uri="{C3380CC4-5D6E-409C-BE32-E72D297353CC}">
              <c16:uniqueId val="{00000000-FF15-40FA-A3E4-932E0FC4B9C0}"/>
            </c:ext>
          </c:extLst>
        </c:ser>
        <c:ser>
          <c:idx val="1"/>
          <c:order val="1"/>
          <c:tx>
            <c:strRef>
              <c:f>'oljke-površina'!$F$10</c:f>
              <c:strCache>
                <c:ptCount val="1"/>
                <c:pt idx="0">
                  <c:v>POV_HA-RKG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'oljke-površina'!$F$11:$F$20</c:f>
              <c:numCache>
                <c:formatCode>General</c:formatCode>
                <c:ptCount val="10"/>
                <c:pt idx="0">
                  <c:v>682</c:v>
                </c:pt>
                <c:pt idx="1">
                  <c:v>752</c:v>
                </c:pt>
                <c:pt idx="2">
                  <c:v>852</c:v>
                </c:pt>
                <c:pt idx="3" formatCode="0">
                  <c:v>951.2</c:v>
                </c:pt>
                <c:pt idx="4" formatCode="0">
                  <c:v>1020.27</c:v>
                </c:pt>
                <c:pt idx="5" formatCode="0">
                  <c:v>1097.94</c:v>
                </c:pt>
                <c:pt idx="6" formatCode="0">
                  <c:v>1193.53</c:v>
                </c:pt>
                <c:pt idx="7" formatCode="0">
                  <c:v>1264.74</c:v>
                </c:pt>
                <c:pt idx="8" formatCode="0">
                  <c:v>1320.95</c:v>
                </c:pt>
                <c:pt idx="9" formatCode="0">
                  <c:v>1415</c:v>
                </c:pt>
              </c:numCache>
            </c:numRef>
          </c:val>
          <c:smooth val="0"/>
          <c:extLst>
            <c:ext xmlns:c16="http://schemas.microsoft.com/office/drawing/2014/chart" uri="{C3380CC4-5D6E-409C-BE32-E72D297353CC}">
              <c16:uniqueId val="{00000001-FF15-40FA-A3E4-932E0FC4B9C0}"/>
            </c:ext>
          </c:extLst>
        </c:ser>
        <c:ser>
          <c:idx val="2"/>
          <c:order val="2"/>
          <c:tx>
            <c:strRef>
              <c:f>'oljke-površina'!$G$10</c:f>
              <c:strCache>
                <c:ptCount val="1"/>
                <c:pt idx="0">
                  <c:v>POV_HA-RABA</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'oljke-površina'!$G$11:$G$20</c:f>
              <c:numCache>
                <c:formatCode>General</c:formatCode>
                <c:ptCount val="10"/>
                <c:pt idx="0">
                  <c:v>1805</c:v>
                </c:pt>
                <c:pt idx="1">
                  <c:v>1821</c:v>
                </c:pt>
                <c:pt idx="2">
                  <c:v>1889</c:v>
                </c:pt>
                <c:pt idx="3" formatCode="0">
                  <c:v>1911</c:v>
                </c:pt>
                <c:pt idx="4" formatCode="0">
                  <c:v>1981</c:v>
                </c:pt>
                <c:pt idx="5" formatCode="0">
                  <c:v>2077</c:v>
                </c:pt>
                <c:pt idx="6" formatCode="0">
                  <c:v>2132</c:v>
                </c:pt>
                <c:pt idx="7" formatCode="0">
                  <c:v>2333</c:v>
                </c:pt>
                <c:pt idx="8" formatCode="0">
                  <c:v>2357</c:v>
                </c:pt>
                <c:pt idx="9" formatCode="0">
                  <c:v>2381</c:v>
                </c:pt>
              </c:numCache>
            </c:numRef>
          </c:val>
          <c:smooth val="0"/>
          <c:extLst>
            <c:ext xmlns:c16="http://schemas.microsoft.com/office/drawing/2014/chart" uri="{C3380CC4-5D6E-409C-BE32-E72D297353CC}">
              <c16:uniqueId val="{00000002-FF15-40FA-A3E4-932E0FC4B9C0}"/>
            </c:ext>
          </c:extLst>
        </c:ser>
        <c:ser>
          <c:idx val="3"/>
          <c:order val="3"/>
          <c:tx>
            <c:strRef>
              <c:f>'oljke-površina'!$H$10</c:f>
              <c:strCache>
                <c:ptCount val="1"/>
                <c:pt idx="0">
                  <c:v>POV_HA-SURS</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'oljke-površina'!$H$11:$H$20</c:f>
              <c:numCache>
                <c:formatCode>General</c:formatCode>
                <c:ptCount val="10"/>
                <c:pt idx="0">
                  <c:v>892</c:v>
                </c:pt>
                <c:pt idx="1">
                  <c:v>892</c:v>
                </c:pt>
                <c:pt idx="2">
                  <c:v>892</c:v>
                </c:pt>
                <c:pt idx="3">
                  <c:v>925</c:v>
                </c:pt>
                <c:pt idx="4">
                  <c:v>996</c:v>
                </c:pt>
                <c:pt idx="5">
                  <c:v>1076</c:v>
                </c:pt>
                <c:pt idx="6">
                  <c:v>1173</c:v>
                </c:pt>
                <c:pt idx="7">
                  <c:v>1243</c:v>
                </c:pt>
                <c:pt idx="8">
                  <c:v>1302</c:v>
                </c:pt>
                <c:pt idx="9">
                  <c:v>1374</c:v>
                </c:pt>
              </c:numCache>
            </c:numRef>
          </c:val>
          <c:smooth val="0"/>
          <c:extLst>
            <c:ext xmlns:c16="http://schemas.microsoft.com/office/drawing/2014/chart" uri="{C3380CC4-5D6E-409C-BE32-E72D297353CC}">
              <c16:uniqueId val="{00000003-FF15-40FA-A3E4-932E0FC4B9C0}"/>
            </c:ext>
          </c:extLst>
        </c:ser>
        <c:dLbls>
          <c:showLegendKey val="0"/>
          <c:showVal val="0"/>
          <c:showCatName val="0"/>
          <c:showSerName val="0"/>
          <c:showPercent val="0"/>
          <c:showBubbleSize val="0"/>
        </c:dLbls>
        <c:smooth val="0"/>
        <c:axId val="191991808"/>
        <c:axId val="191993344"/>
      </c:lineChart>
      <c:catAx>
        <c:axId val="191991808"/>
        <c:scaling>
          <c:orientation val="minMax"/>
        </c:scaling>
        <c:delete val="0"/>
        <c:axPos val="b"/>
        <c:numFmt formatCode="General" sourceLinked="1"/>
        <c:majorTickMark val="none"/>
        <c:minorTickMark val="none"/>
        <c:tickLblPos val="nextTo"/>
        <c:crossAx val="191993344"/>
        <c:crosses val="autoZero"/>
        <c:auto val="1"/>
        <c:lblAlgn val="ctr"/>
        <c:lblOffset val="100"/>
        <c:noMultiLvlLbl val="0"/>
      </c:catAx>
      <c:valAx>
        <c:axId val="191993344"/>
        <c:scaling>
          <c:orientation val="minMax"/>
        </c:scaling>
        <c:delete val="0"/>
        <c:axPos val="l"/>
        <c:majorGridlines/>
        <c:title>
          <c:tx>
            <c:rich>
              <a:bodyPr/>
              <a:lstStyle/>
              <a:p>
                <a:pPr>
                  <a:defRPr sz="800" b="0">
                    <a:latin typeface="Arial" panose="020B0604020202020204" pitchFamily="34" charset="0"/>
                    <a:cs typeface="Arial" panose="020B0604020202020204" pitchFamily="34" charset="0"/>
                  </a:defRPr>
                </a:pPr>
                <a:r>
                  <a:rPr lang="sl-SI" sz="800" b="0">
                    <a:latin typeface="Arial" panose="020B0604020202020204" pitchFamily="34" charset="0"/>
                    <a:cs typeface="Arial" panose="020B0604020202020204" pitchFamily="34" charset="0"/>
                  </a:rPr>
                  <a:t>Površina (ha) in št. KMG</a:t>
                </a:r>
              </a:p>
              <a:p>
                <a:pPr>
                  <a:defRPr sz="800" b="0">
                    <a:latin typeface="Arial" panose="020B0604020202020204" pitchFamily="34" charset="0"/>
                    <a:cs typeface="Arial" panose="020B0604020202020204" pitchFamily="34" charset="0"/>
                  </a:defRPr>
                </a:pPr>
                <a:endParaRPr lang="sl-SI" sz="800" b="0">
                  <a:latin typeface="Arial" panose="020B0604020202020204" pitchFamily="34" charset="0"/>
                  <a:cs typeface="Arial" panose="020B0604020202020204" pitchFamily="34" charset="0"/>
                </a:endParaRPr>
              </a:p>
            </c:rich>
          </c:tx>
          <c:layout>
            <c:manualLayout>
              <c:xMode val="edge"/>
              <c:yMode val="edge"/>
              <c:x val="0.11223591549295775"/>
              <c:y val="5.2014398200224972E-2"/>
            </c:manualLayout>
          </c:layout>
          <c:overlay val="0"/>
        </c:title>
        <c:numFmt formatCode="General" sourceLinked="1"/>
        <c:majorTickMark val="none"/>
        <c:minorTickMark val="none"/>
        <c:tickLblPos val="nextTo"/>
        <c:crossAx val="19199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'Pridelek oljk'!$C$2</c:f>
              <c:strCache>
                <c:ptCount val="1"/>
                <c:pt idx="0">
                  <c:v>RKG</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oljk'!$C$3:$C$12</c:f>
              <c:numCache>
                <c:formatCode>General</c:formatCode>
                <c:ptCount val="10"/>
                <c:pt idx="0">
                  <c:v>661</c:v>
                </c:pt>
                <c:pt idx="1">
                  <c:v>997</c:v>
                </c:pt>
                <c:pt idx="2">
                  <c:v>368</c:v>
                </c:pt>
                <c:pt idx="3">
                  <c:v>2086</c:v>
                </c:pt>
                <c:pt idx="4">
                  <c:v>346</c:v>
                </c:pt>
                <c:pt idx="5">
                  <c:v>1726</c:v>
                </c:pt>
                <c:pt idx="6">
                  <c:v>1488</c:v>
                </c:pt>
                <c:pt idx="7">
                  <c:v>1910</c:v>
                </c:pt>
                <c:pt idx="8">
                  <c:v>2199</c:v>
                </c:pt>
                <c:pt idx="9">
                  <c:v>1041</c:v>
                </c:pt>
              </c:numCache>
            </c:numRef>
          </c:val>
          <c:smooth val="0"/>
          <c:extLst>
            <c:ext xmlns:c16="http://schemas.microsoft.com/office/drawing/2014/chart" uri="{C3380CC4-5D6E-409C-BE32-E72D297353CC}">
              <c16:uniqueId val="{00000000-46B1-4C51-A5E8-0225FFD9B25C}"/>
            </c:ext>
          </c:extLst>
        </c:ser>
        <c:ser>
          <c:idx val="1"/>
          <c:order val="1"/>
          <c:tx>
            <c:strRef>
              <c:f>'Pridelek oljk'!$D$2</c:f>
              <c:strCache>
                <c:ptCount val="1"/>
                <c:pt idx="0">
                  <c:v>SURS</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oljk'!$D$3:$D$12</c:f>
              <c:numCache>
                <c:formatCode>General</c:formatCode>
                <c:ptCount val="10"/>
                <c:pt idx="0">
                  <c:v>1895</c:v>
                </c:pt>
                <c:pt idx="1">
                  <c:v>1704</c:v>
                </c:pt>
                <c:pt idx="2">
                  <c:v>740</c:v>
                </c:pt>
                <c:pt idx="3">
                  <c:v>1479</c:v>
                </c:pt>
                <c:pt idx="4">
                  <c:v>814</c:v>
                </c:pt>
                <c:pt idx="5">
                  <c:v>1578</c:v>
                </c:pt>
                <c:pt idx="6">
                  <c:v>1662</c:v>
                </c:pt>
                <c:pt idx="7">
                  <c:v>1685</c:v>
                </c:pt>
                <c:pt idx="8">
                  <c:v>3958</c:v>
                </c:pt>
                <c:pt idx="9">
                  <c:v>1976</c:v>
                </c:pt>
              </c:numCache>
            </c:numRef>
          </c:val>
          <c:smooth val="0"/>
          <c:extLst>
            <c:ext xmlns:c16="http://schemas.microsoft.com/office/drawing/2014/chart" uri="{C3380CC4-5D6E-409C-BE32-E72D297353CC}">
              <c16:uniqueId val="{00000001-46B1-4C51-A5E8-0225FFD9B25C}"/>
            </c:ext>
          </c:extLst>
        </c:ser>
        <c:dLbls>
          <c:showLegendKey val="0"/>
          <c:showVal val="0"/>
          <c:showCatName val="0"/>
          <c:showSerName val="0"/>
          <c:showPercent val="0"/>
          <c:showBubbleSize val="0"/>
        </c:dLbls>
        <c:smooth val="0"/>
        <c:axId val="193274240"/>
        <c:axId val="193275776"/>
      </c:lineChart>
      <c:catAx>
        <c:axId val="193274240"/>
        <c:scaling>
          <c:orientation val="minMax"/>
        </c:scaling>
        <c:delete val="0"/>
        <c:axPos val="b"/>
        <c:numFmt formatCode="General" sourceLinked="1"/>
        <c:majorTickMark val="none"/>
        <c:minorTickMark val="none"/>
        <c:tickLblPos val="nextTo"/>
        <c:crossAx val="193275776"/>
        <c:crosses val="autoZero"/>
        <c:auto val="1"/>
        <c:lblAlgn val="ctr"/>
        <c:lblOffset val="100"/>
        <c:noMultiLvlLbl val="0"/>
      </c:catAx>
      <c:valAx>
        <c:axId val="193275776"/>
        <c:scaling>
          <c:orientation val="minMax"/>
        </c:scaling>
        <c:delete val="0"/>
        <c:axPos val="l"/>
        <c:majorGridlines/>
        <c:title>
          <c:tx>
            <c:rich>
              <a:bodyPr/>
              <a:lstStyle/>
              <a:p>
                <a:pPr>
                  <a:defRPr b="0"/>
                </a:pPr>
                <a:r>
                  <a:rPr lang="sl-SI" b="0"/>
                  <a:t>Količina (t)</a:t>
                </a:r>
              </a:p>
            </c:rich>
          </c:tx>
          <c:layout>
            <c:manualLayout>
              <c:xMode val="edge"/>
              <c:yMode val="edge"/>
              <c:x val="5.2987930526935532E-2"/>
              <c:y val="0.23735389477699373"/>
            </c:manualLayout>
          </c:layout>
          <c:overlay val="0"/>
        </c:title>
        <c:numFmt formatCode="General" sourceLinked="1"/>
        <c:majorTickMark val="none"/>
        <c:minorTickMark val="none"/>
        <c:tickLblPos val="nextTo"/>
        <c:crossAx val="19327424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O.olje!$B$15</c:f>
              <c:strCache>
                <c:ptCount val="1"/>
                <c:pt idx="0">
                  <c:v>RKG</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O.olje!$B$16:$B$25</c:f>
              <c:numCache>
                <c:formatCode>General</c:formatCode>
                <c:ptCount val="10"/>
                <c:pt idx="0">
                  <c:v>103</c:v>
                </c:pt>
                <c:pt idx="1">
                  <c:v>169</c:v>
                </c:pt>
                <c:pt idx="2">
                  <c:v>60</c:v>
                </c:pt>
                <c:pt idx="3">
                  <c:v>236</c:v>
                </c:pt>
                <c:pt idx="4">
                  <c:v>76.5</c:v>
                </c:pt>
                <c:pt idx="5">
                  <c:v>263</c:v>
                </c:pt>
                <c:pt idx="6">
                  <c:v>225</c:v>
                </c:pt>
                <c:pt idx="7">
                  <c:v>270</c:v>
                </c:pt>
                <c:pt idx="8">
                  <c:v>350</c:v>
                </c:pt>
                <c:pt idx="9">
                  <c:v>155</c:v>
                </c:pt>
              </c:numCache>
            </c:numRef>
          </c:val>
          <c:smooth val="0"/>
          <c:extLst>
            <c:ext xmlns:c16="http://schemas.microsoft.com/office/drawing/2014/chart" uri="{C3380CC4-5D6E-409C-BE32-E72D297353CC}">
              <c16:uniqueId val="{00000000-7BBA-4FBC-A1CD-D98ECE609259}"/>
            </c:ext>
          </c:extLst>
        </c:ser>
        <c:ser>
          <c:idx val="1"/>
          <c:order val="1"/>
          <c:tx>
            <c:strRef>
              <c:f>O.olje!$C$15</c:f>
              <c:strCache>
                <c:ptCount val="1"/>
                <c:pt idx="0">
                  <c:v>ocena</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O.olje!$C$16:$C$25</c:f>
              <c:numCache>
                <c:formatCode>General</c:formatCode>
                <c:ptCount val="10"/>
                <c:pt idx="0">
                  <c:v>630</c:v>
                </c:pt>
                <c:pt idx="1">
                  <c:v>500</c:v>
                </c:pt>
                <c:pt idx="2">
                  <c:v>236</c:v>
                </c:pt>
                <c:pt idx="3">
                  <c:v>600</c:v>
                </c:pt>
                <c:pt idx="4">
                  <c:v>210</c:v>
                </c:pt>
                <c:pt idx="5">
                  <c:v>490</c:v>
                </c:pt>
                <c:pt idx="6">
                  <c:v>350</c:v>
                </c:pt>
                <c:pt idx="7">
                  <c:v>350</c:v>
                </c:pt>
                <c:pt idx="8">
                  <c:v>900</c:v>
                </c:pt>
                <c:pt idx="9">
                  <c:v>300</c:v>
                </c:pt>
              </c:numCache>
            </c:numRef>
          </c:val>
          <c:smooth val="0"/>
          <c:extLst>
            <c:ext xmlns:c16="http://schemas.microsoft.com/office/drawing/2014/chart" uri="{C3380CC4-5D6E-409C-BE32-E72D297353CC}">
              <c16:uniqueId val="{00000001-7BBA-4FBC-A1CD-D98ECE609259}"/>
            </c:ext>
          </c:extLst>
        </c:ser>
        <c:dLbls>
          <c:showLegendKey val="0"/>
          <c:showVal val="0"/>
          <c:showCatName val="0"/>
          <c:showSerName val="0"/>
          <c:showPercent val="0"/>
          <c:showBubbleSize val="0"/>
        </c:dLbls>
        <c:smooth val="0"/>
        <c:axId val="193323776"/>
        <c:axId val="193325312"/>
      </c:lineChart>
      <c:catAx>
        <c:axId val="193323776"/>
        <c:scaling>
          <c:orientation val="minMax"/>
        </c:scaling>
        <c:delete val="0"/>
        <c:axPos val="b"/>
        <c:numFmt formatCode="General" sourceLinked="1"/>
        <c:majorTickMark val="none"/>
        <c:minorTickMark val="none"/>
        <c:tickLblPos val="nextTo"/>
        <c:crossAx val="193325312"/>
        <c:crosses val="autoZero"/>
        <c:auto val="1"/>
        <c:lblAlgn val="ctr"/>
        <c:lblOffset val="100"/>
        <c:noMultiLvlLbl val="0"/>
      </c:catAx>
      <c:valAx>
        <c:axId val="193325312"/>
        <c:scaling>
          <c:orientation val="minMax"/>
        </c:scaling>
        <c:delete val="0"/>
        <c:axPos val="l"/>
        <c:majorGridlines/>
        <c:title>
          <c:tx>
            <c:rich>
              <a:bodyPr/>
              <a:lstStyle/>
              <a:p>
                <a:pPr>
                  <a:defRPr b="0"/>
                </a:pPr>
                <a:r>
                  <a:rPr lang="en-US" b="0"/>
                  <a:t>Količina (t)</a:t>
                </a:r>
              </a:p>
            </c:rich>
          </c:tx>
          <c:layout>
            <c:manualLayout>
              <c:xMode val="edge"/>
              <c:yMode val="edge"/>
              <c:x val="7.3507791825933547E-2"/>
              <c:y val="0.26430325307142077"/>
            </c:manualLayout>
          </c:layout>
          <c:overlay val="0"/>
        </c:title>
        <c:numFmt formatCode="General" sourceLinked="1"/>
        <c:majorTickMark val="none"/>
        <c:minorTickMark val="none"/>
        <c:tickLblPos val="nextTo"/>
        <c:crossAx val="1933237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8441188545359"/>
          <c:y val="0.17396404012874481"/>
          <c:w val="0.76061558811454644"/>
          <c:h val="0.67737131133959005"/>
        </c:manualLayout>
      </c:layout>
      <c:lineChart>
        <c:grouping val="standard"/>
        <c:varyColors val="0"/>
        <c:ser>
          <c:idx val="0"/>
          <c:order val="0"/>
          <c:tx>
            <c:strRef>
              <c:f>EKO!$C$4</c:f>
              <c:strCache>
                <c:ptCount val="1"/>
                <c:pt idx="0">
                  <c:v>Površina (ha)</c:v>
                </c:pt>
              </c:strCache>
            </c:strRef>
          </c:tx>
          <c:marker>
            <c:symbol val="none"/>
          </c:marker>
          <c:cat>
            <c:numRef>
              <c:f>EKO!$B$5:$B$14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EKO!$C$5:$C$14</c:f>
              <c:numCache>
                <c:formatCode>General</c:formatCode>
                <c:ptCount val="10"/>
                <c:pt idx="0">
                  <c:v>76.599999999999994</c:v>
                </c:pt>
                <c:pt idx="1">
                  <c:v>91.62</c:v>
                </c:pt>
                <c:pt idx="2">
                  <c:v>184.53</c:v>
                </c:pt>
                <c:pt idx="3">
                  <c:v>208.33</c:v>
                </c:pt>
                <c:pt idx="4">
                  <c:v>226.17</c:v>
                </c:pt>
                <c:pt idx="5">
                  <c:v>214.11</c:v>
                </c:pt>
                <c:pt idx="6">
                  <c:v>240.05</c:v>
                </c:pt>
                <c:pt idx="7">
                  <c:v>242.55</c:v>
                </c:pt>
                <c:pt idx="8">
                  <c:v>258.66000000000003</c:v>
                </c:pt>
                <c:pt idx="9">
                  <c:v>278.27</c:v>
                </c:pt>
              </c:numCache>
            </c:numRef>
          </c:val>
          <c:smooth val="0"/>
          <c:extLst>
            <c:ext xmlns:c16="http://schemas.microsoft.com/office/drawing/2014/chart" uri="{C3380CC4-5D6E-409C-BE32-E72D297353CC}">
              <c16:uniqueId val="{00000000-A3CA-4357-8E89-8B2E4C540EB1}"/>
            </c:ext>
          </c:extLst>
        </c:ser>
        <c:dLbls>
          <c:showLegendKey val="0"/>
          <c:showVal val="0"/>
          <c:showCatName val="0"/>
          <c:showSerName val="0"/>
          <c:showPercent val="0"/>
          <c:showBubbleSize val="0"/>
        </c:dLbls>
        <c:smooth val="0"/>
        <c:axId val="193376256"/>
        <c:axId val="193377792"/>
      </c:lineChart>
      <c:catAx>
        <c:axId val="193376256"/>
        <c:scaling>
          <c:orientation val="minMax"/>
        </c:scaling>
        <c:delete val="0"/>
        <c:axPos val="b"/>
        <c:numFmt formatCode="General" sourceLinked="1"/>
        <c:majorTickMark val="none"/>
        <c:minorTickMark val="none"/>
        <c:tickLblPos val="nextTo"/>
        <c:crossAx val="193377792"/>
        <c:crosses val="autoZero"/>
        <c:auto val="1"/>
        <c:lblAlgn val="ctr"/>
        <c:lblOffset val="100"/>
        <c:noMultiLvlLbl val="0"/>
      </c:catAx>
      <c:valAx>
        <c:axId val="193377792"/>
        <c:scaling>
          <c:orientation val="minMax"/>
        </c:scaling>
        <c:delete val="0"/>
        <c:axPos val="l"/>
        <c:majorGridlines/>
        <c:numFmt formatCode="General" sourceLinked="1"/>
        <c:majorTickMark val="none"/>
        <c:minorTickMark val="none"/>
        <c:tickLblPos val="nextTo"/>
        <c:crossAx val="1933762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poljščine!$A$144:$C$144</c:f>
              <c:strCache>
                <c:ptCount val="3"/>
                <c:pt idx="0">
                  <c:v>PŠENICA</c:v>
                </c:pt>
              </c:strCache>
            </c:strRef>
          </c:tx>
          <c:spPr>
            <a:solidFill>
              <a:schemeClr val="accent1"/>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poljščine!$D$144:$I$144</c:f>
              <c:numCache>
                <c:formatCode>0</c:formatCode>
                <c:ptCount val="6"/>
                <c:pt idx="0">
                  <c:v>640.85</c:v>
                </c:pt>
                <c:pt idx="1">
                  <c:v>550.19999999999993</c:v>
                </c:pt>
                <c:pt idx="2">
                  <c:v>502.53000000000003</c:v>
                </c:pt>
                <c:pt idx="3">
                  <c:v>338.45</c:v>
                </c:pt>
                <c:pt idx="4">
                  <c:v>363.94000000000005</c:v>
                </c:pt>
                <c:pt idx="5">
                  <c:v>419.60010700000009</c:v>
                </c:pt>
              </c:numCache>
            </c:numRef>
          </c:val>
          <c:extLst>
            <c:ext xmlns:c16="http://schemas.microsoft.com/office/drawing/2014/chart" uri="{C3380CC4-5D6E-409C-BE32-E72D297353CC}">
              <c16:uniqueId val="{00000000-901A-495B-9755-C4F8650AA540}"/>
            </c:ext>
          </c:extLst>
        </c:ser>
        <c:ser>
          <c:idx val="1"/>
          <c:order val="1"/>
          <c:tx>
            <c:strRef>
              <c:f>poljščine!$A$145:$C$145</c:f>
              <c:strCache>
                <c:ptCount val="3"/>
                <c:pt idx="0">
                  <c:v>KORUZA</c:v>
                </c:pt>
              </c:strCache>
            </c:strRef>
          </c:tx>
          <c:spPr>
            <a:solidFill>
              <a:schemeClr val="accent2"/>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poljščine!$D$145:$I$145</c:f>
              <c:numCache>
                <c:formatCode>0</c:formatCode>
                <c:ptCount val="6"/>
                <c:pt idx="0">
                  <c:v>22.77</c:v>
                </c:pt>
                <c:pt idx="1">
                  <c:v>8.9500000000000011</c:v>
                </c:pt>
                <c:pt idx="2">
                  <c:v>20.7</c:v>
                </c:pt>
                <c:pt idx="3">
                  <c:v>17</c:v>
                </c:pt>
                <c:pt idx="4">
                  <c:v>15.23</c:v>
                </c:pt>
                <c:pt idx="5">
                  <c:v>18.809999999999999</c:v>
                </c:pt>
              </c:numCache>
            </c:numRef>
          </c:val>
          <c:extLst>
            <c:ext xmlns:c16="http://schemas.microsoft.com/office/drawing/2014/chart" uri="{C3380CC4-5D6E-409C-BE32-E72D297353CC}">
              <c16:uniqueId val="{00000001-901A-495B-9755-C4F8650AA540}"/>
            </c:ext>
          </c:extLst>
        </c:ser>
        <c:ser>
          <c:idx val="2"/>
          <c:order val="2"/>
          <c:tx>
            <c:strRef>
              <c:f>poljščine!$A$146:$C$146</c:f>
              <c:strCache>
                <c:ptCount val="3"/>
                <c:pt idx="0">
                  <c:v>OVES</c:v>
                </c:pt>
              </c:strCache>
            </c:strRef>
          </c:tx>
          <c:spPr>
            <a:solidFill>
              <a:schemeClr val="accent3"/>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poljščine!$D$146:$I$146</c:f>
              <c:numCache>
                <c:formatCode>0</c:formatCode>
                <c:ptCount val="6"/>
                <c:pt idx="0">
                  <c:v>17.170000000000002</c:v>
                </c:pt>
                <c:pt idx="1">
                  <c:v>11.1</c:v>
                </c:pt>
                <c:pt idx="2">
                  <c:v>25.67</c:v>
                </c:pt>
                <c:pt idx="3">
                  <c:v>37.020000000000003</c:v>
                </c:pt>
                <c:pt idx="4">
                  <c:v>34.56</c:v>
                </c:pt>
                <c:pt idx="5">
                  <c:v>44.22</c:v>
                </c:pt>
              </c:numCache>
            </c:numRef>
          </c:val>
          <c:extLst>
            <c:ext xmlns:c16="http://schemas.microsoft.com/office/drawing/2014/chart" uri="{C3380CC4-5D6E-409C-BE32-E72D297353CC}">
              <c16:uniqueId val="{00000002-901A-495B-9755-C4F8650AA540}"/>
            </c:ext>
          </c:extLst>
        </c:ser>
        <c:ser>
          <c:idx val="3"/>
          <c:order val="3"/>
          <c:tx>
            <c:strRef>
              <c:f>poljščine!$A$147:$C$147</c:f>
              <c:strCache>
                <c:ptCount val="3"/>
                <c:pt idx="0">
                  <c:v>AJDA</c:v>
                </c:pt>
              </c:strCache>
            </c:strRef>
          </c:tx>
          <c:spPr>
            <a:solidFill>
              <a:schemeClr val="accent4"/>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poljščine!$D$147:$I$147</c:f>
              <c:numCache>
                <c:formatCode>0</c:formatCode>
                <c:ptCount val="6"/>
                <c:pt idx="0">
                  <c:v>46.6</c:v>
                </c:pt>
                <c:pt idx="1">
                  <c:v>96.44</c:v>
                </c:pt>
                <c:pt idx="2">
                  <c:v>92.907999999999987</c:v>
                </c:pt>
                <c:pt idx="3">
                  <c:v>129.51</c:v>
                </c:pt>
                <c:pt idx="4">
                  <c:v>89.52</c:v>
                </c:pt>
                <c:pt idx="5">
                  <c:v>59.87</c:v>
                </c:pt>
              </c:numCache>
            </c:numRef>
          </c:val>
          <c:extLst>
            <c:ext xmlns:c16="http://schemas.microsoft.com/office/drawing/2014/chart" uri="{C3380CC4-5D6E-409C-BE32-E72D297353CC}">
              <c16:uniqueId val="{00000003-901A-495B-9755-C4F8650AA540}"/>
            </c:ext>
          </c:extLst>
        </c:ser>
        <c:ser>
          <c:idx val="4"/>
          <c:order val="4"/>
          <c:tx>
            <c:strRef>
              <c:f>poljščine!$A$148:$C$148</c:f>
              <c:strCache>
                <c:ptCount val="3"/>
                <c:pt idx="0">
                  <c:v>JEČMEN</c:v>
                </c:pt>
              </c:strCache>
            </c:strRef>
          </c:tx>
          <c:spPr>
            <a:solidFill>
              <a:schemeClr val="accent5"/>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poljščine!$D$148:$I$148</c:f>
              <c:numCache>
                <c:formatCode>0</c:formatCode>
                <c:ptCount val="6"/>
                <c:pt idx="0">
                  <c:v>303.03000000000003</c:v>
                </c:pt>
                <c:pt idx="1">
                  <c:v>241.81</c:v>
                </c:pt>
                <c:pt idx="2">
                  <c:v>245.26</c:v>
                </c:pt>
                <c:pt idx="3">
                  <c:v>219.89000000000001</c:v>
                </c:pt>
                <c:pt idx="4">
                  <c:v>264.93</c:v>
                </c:pt>
                <c:pt idx="5">
                  <c:v>306.87999999999994</c:v>
                </c:pt>
              </c:numCache>
            </c:numRef>
          </c:val>
          <c:extLst>
            <c:ext xmlns:c16="http://schemas.microsoft.com/office/drawing/2014/chart" uri="{C3380CC4-5D6E-409C-BE32-E72D297353CC}">
              <c16:uniqueId val="{00000004-901A-495B-9755-C4F8650AA540}"/>
            </c:ext>
          </c:extLst>
        </c:ser>
        <c:ser>
          <c:idx val="5"/>
          <c:order val="5"/>
          <c:tx>
            <c:strRef>
              <c:f>poljščine!$A$149:$C$149</c:f>
              <c:strCache>
                <c:ptCount val="3"/>
                <c:pt idx="0">
                  <c:v>TRITIKALA</c:v>
                </c:pt>
              </c:strCache>
            </c:strRef>
          </c:tx>
          <c:spPr>
            <a:solidFill>
              <a:schemeClr val="accent6"/>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poljščine!$D$149:$I$149</c:f>
              <c:numCache>
                <c:formatCode>0</c:formatCode>
                <c:ptCount val="6"/>
                <c:pt idx="0">
                  <c:v>152.91</c:v>
                </c:pt>
                <c:pt idx="1">
                  <c:v>189.29</c:v>
                </c:pt>
                <c:pt idx="2">
                  <c:v>67.47999999999999</c:v>
                </c:pt>
                <c:pt idx="3">
                  <c:v>55.900000000000006</c:v>
                </c:pt>
                <c:pt idx="4">
                  <c:v>168.32999999999998</c:v>
                </c:pt>
                <c:pt idx="5">
                  <c:v>95.16</c:v>
                </c:pt>
              </c:numCache>
            </c:numRef>
          </c:val>
          <c:extLst>
            <c:ext xmlns:c16="http://schemas.microsoft.com/office/drawing/2014/chart" uri="{C3380CC4-5D6E-409C-BE32-E72D297353CC}">
              <c16:uniqueId val="{00000005-901A-495B-9755-C4F8650AA540}"/>
            </c:ext>
          </c:extLst>
        </c:ser>
        <c:ser>
          <c:idx val="6"/>
          <c:order val="6"/>
          <c:tx>
            <c:strRef>
              <c:f>poljščine!$A$150:$C$150</c:f>
              <c:strCache>
                <c:ptCount val="3"/>
                <c:pt idx="0">
                  <c:v>DRUGA ŽITA</c:v>
                </c:pt>
              </c:strCache>
            </c:strRef>
          </c:tx>
          <c:spPr>
            <a:solidFill>
              <a:schemeClr val="accent1">
                <a:lumMod val="60000"/>
              </a:schemeClr>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poljščine!$D$150:$I$150</c:f>
              <c:numCache>
                <c:formatCode>0</c:formatCode>
                <c:ptCount val="6"/>
                <c:pt idx="0">
                  <c:v>51.879999999999995</c:v>
                </c:pt>
                <c:pt idx="1">
                  <c:v>61.809999999999995</c:v>
                </c:pt>
                <c:pt idx="2">
                  <c:v>4</c:v>
                </c:pt>
                <c:pt idx="3">
                  <c:v>9.39</c:v>
                </c:pt>
                <c:pt idx="4">
                  <c:v>55.199999999999996</c:v>
                </c:pt>
                <c:pt idx="5">
                  <c:v>20.29</c:v>
                </c:pt>
              </c:numCache>
            </c:numRef>
          </c:val>
          <c:extLst>
            <c:ext xmlns:c16="http://schemas.microsoft.com/office/drawing/2014/chart" uri="{C3380CC4-5D6E-409C-BE32-E72D297353CC}">
              <c16:uniqueId val="{00000006-901A-495B-9755-C4F8650AA540}"/>
            </c:ext>
          </c:extLst>
        </c:ser>
        <c:dLbls>
          <c:showLegendKey val="0"/>
          <c:showVal val="0"/>
          <c:showCatName val="0"/>
          <c:showSerName val="0"/>
          <c:showPercent val="0"/>
          <c:showBubbleSize val="0"/>
        </c:dLbls>
        <c:gapWidth val="269"/>
        <c:axId val="183821440"/>
        <c:axId val="183822976"/>
      </c:barChart>
      <c:lineChart>
        <c:grouping val="standard"/>
        <c:varyColors val="0"/>
        <c:ser>
          <c:idx val="7"/>
          <c:order val="7"/>
          <c:tx>
            <c:strRef>
              <c:f>poljščine!$A$151:$C$151</c:f>
              <c:strCache>
                <c:ptCount val="3"/>
                <c:pt idx="0">
                  <c:v>skupaj</c:v>
                </c:pt>
              </c:strCache>
            </c:strRef>
          </c:tx>
          <c:spPr>
            <a:ln w="28575" cap="rnd">
              <a:solidFill>
                <a:schemeClr val="accent2">
                  <a:lumMod val="60000"/>
                </a:schemeClr>
              </a:solidFill>
              <a:round/>
            </a:ln>
            <a:effectLst/>
          </c:spPr>
          <c:marker>
            <c:symbol val="none"/>
          </c:marker>
          <c:cat>
            <c:numRef>
              <c:f>poljščine!$D$143:$I$143</c:f>
              <c:numCache>
                <c:formatCode>General</c:formatCode>
                <c:ptCount val="6"/>
                <c:pt idx="0">
                  <c:v>2014</c:v>
                </c:pt>
                <c:pt idx="1">
                  <c:v>2015</c:v>
                </c:pt>
                <c:pt idx="2">
                  <c:v>2016</c:v>
                </c:pt>
                <c:pt idx="3">
                  <c:v>2017</c:v>
                </c:pt>
                <c:pt idx="4">
                  <c:v>2018</c:v>
                </c:pt>
                <c:pt idx="5">
                  <c:v>2019</c:v>
                </c:pt>
              </c:numCache>
            </c:numRef>
          </c:cat>
          <c:val>
            <c:numRef>
              <c:f>poljščine!$D$151:$I$151</c:f>
              <c:numCache>
                <c:formatCode>0</c:formatCode>
                <c:ptCount val="6"/>
                <c:pt idx="0">
                  <c:v>1235.21</c:v>
                </c:pt>
                <c:pt idx="1">
                  <c:v>1159.5999999999999</c:v>
                </c:pt>
                <c:pt idx="2">
                  <c:v>958.548</c:v>
                </c:pt>
                <c:pt idx="3">
                  <c:v>807.16</c:v>
                </c:pt>
                <c:pt idx="4">
                  <c:v>991.71</c:v>
                </c:pt>
                <c:pt idx="5">
                  <c:v>964.83010699999988</c:v>
                </c:pt>
              </c:numCache>
            </c:numRef>
          </c:val>
          <c:smooth val="0"/>
          <c:extLst>
            <c:ext xmlns:c16="http://schemas.microsoft.com/office/drawing/2014/chart" uri="{C3380CC4-5D6E-409C-BE32-E72D297353CC}">
              <c16:uniqueId val="{00000007-901A-495B-9755-C4F8650AA540}"/>
            </c:ext>
          </c:extLst>
        </c:ser>
        <c:dLbls>
          <c:showLegendKey val="0"/>
          <c:showVal val="0"/>
          <c:showCatName val="0"/>
          <c:showSerName val="0"/>
          <c:showPercent val="0"/>
          <c:showBubbleSize val="0"/>
        </c:dLbls>
        <c:marker val="1"/>
        <c:smooth val="0"/>
        <c:axId val="183821440"/>
        <c:axId val="183822976"/>
      </c:lineChart>
      <c:catAx>
        <c:axId val="1838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822976"/>
        <c:crosses val="autoZero"/>
        <c:auto val="1"/>
        <c:lblAlgn val="ctr"/>
        <c:lblOffset val="100"/>
        <c:noMultiLvlLbl val="0"/>
      </c:catAx>
      <c:valAx>
        <c:axId val="18382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Površina</a:t>
                </a:r>
                <a:r>
                  <a:rPr lang="sl-SI" baseline="0"/>
                  <a:t> (ha)</a:t>
                </a:r>
                <a:endParaRPr lang="sl-SI"/>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8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seme!$J$14</c:f>
              <c:strCache>
                <c:ptCount val="1"/>
                <c:pt idx="0">
                  <c:v>Detelje in lucerna</c:v>
                </c:pt>
              </c:strCache>
            </c:strRef>
          </c:tx>
          <c:spPr>
            <a:solidFill>
              <a:schemeClr val="accent1"/>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seme!$K$14:$W$14</c:f>
              <c:numCache>
                <c:formatCode>General</c:formatCode>
                <c:ptCount val="13"/>
                <c:pt idx="0">
                  <c:v>25.3</c:v>
                </c:pt>
                <c:pt idx="1">
                  <c:v>36.9</c:v>
                </c:pt>
                <c:pt idx="2">
                  <c:v>40.1</c:v>
                </c:pt>
                <c:pt idx="3">
                  <c:v>28</c:v>
                </c:pt>
                <c:pt idx="4">
                  <c:v>19.399999999999999</c:v>
                </c:pt>
                <c:pt idx="5">
                  <c:v>7.8</c:v>
                </c:pt>
                <c:pt idx="6">
                  <c:v>4.0999999999999996</c:v>
                </c:pt>
                <c:pt idx="7">
                  <c:v>10.3</c:v>
                </c:pt>
                <c:pt idx="8">
                  <c:v>2.2000000000000002</c:v>
                </c:pt>
                <c:pt idx="9">
                  <c:v>32.299999999999997</c:v>
                </c:pt>
                <c:pt idx="10">
                  <c:v>13</c:v>
                </c:pt>
                <c:pt idx="11">
                  <c:v>12.1</c:v>
                </c:pt>
                <c:pt idx="12">
                  <c:v>44.8</c:v>
                </c:pt>
              </c:numCache>
            </c:numRef>
          </c:val>
          <c:extLst>
            <c:ext xmlns:c16="http://schemas.microsoft.com/office/drawing/2014/chart" uri="{C3380CC4-5D6E-409C-BE32-E72D297353CC}">
              <c16:uniqueId val="{00000000-5D86-450A-909C-E60D8C43F773}"/>
            </c:ext>
          </c:extLst>
        </c:ser>
        <c:ser>
          <c:idx val="1"/>
          <c:order val="1"/>
          <c:tx>
            <c:strRef>
              <c:f>seme!$J$15</c:f>
              <c:strCache>
                <c:ptCount val="1"/>
                <c:pt idx="0">
                  <c:v>Trave</c:v>
                </c:pt>
              </c:strCache>
            </c:strRef>
          </c:tx>
          <c:spPr>
            <a:solidFill>
              <a:schemeClr val="accent2"/>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seme!$K$15:$W$15</c:f>
              <c:numCache>
                <c:formatCode>General</c:formatCode>
                <c:ptCount val="13"/>
                <c:pt idx="0">
                  <c:v>72.5</c:v>
                </c:pt>
                <c:pt idx="1">
                  <c:v>58.1</c:v>
                </c:pt>
                <c:pt idx="2">
                  <c:v>83.8</c:v>
                </c:pt>
                <c:pt idx="3">
                  <c:v>77.400000000000006</c:v>
                </c:pt>
                <c:pt idx="4">
                  <c:v>94.7</c:v>
                </c:pt>
                <c:pt idx="5">
                  <c:v>94.5</c:v>
                </c:pt>
                <c:pt idx="6">
                  <c:v>46.2</c:v>
                </c:pt>
                <c:pt idx="7">
                  <c:v>66.5</c:v>
                </c:pt>
                <c:pt idx="8">
                  <c:v>13.2</c:v>
                </c:pt>
                <c:pt idx="9">
                  <c:v>45.9</c:v>
                </c:pt>
                <c:pt idx="10">
                  <c:v>59.6</c:v>
                </c:pt>
                <c:pt idx="11">
                  <c:v>61.2</c:v>
                </c:pt>
                <c:pt idx="12">
                  <c:v>69.599999999999994</c:v>
                </c:pt>
              </c:numCache>
            </c:numRef>
          </c:val>
          <c:extLst>
            <c:ext xmlns:c16="http://schemas.microsoft.com/office/drawing/2014/chart" uri="{C3380CC4-5D6E-409C-BE32-E72D297353CC}">
              <c16:uniqueId val="{00000001-5D86-450A-909C-E60D8C43F773}"/>
            </c:ext>
          </c:extLst>
        </c:ser>
        <c:ser>
          <c:idx val="2"/>
          <c:order val="2"/>
          <c:tx>
            <c:strRef>
              <c:f>seme!$J$16</c:f>
              <c:strCache>
                <c:ptCount val="1"/>
                <c:pt idx="0">
                  <c:v>Druge krmne rastline</c:v>
                </c:pt>
              </c:strCache>
            </c:strRef>
          </c:tx>
          <c:spPr>
            <a:solidFill>
              <a:schemeClr val="accent3"/>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seme!$K$16:$W$16</c:f>
              <c:numCache>
                <c:formatCode>General</c:formatCode>
                <c:ptCount val="13"/>
                <c:pt idx="0">
                  <c:v>198.2</c:v>
                </c:pt>
                <c:pt idx="1">
                  <c:v>62.5</c:v>
                </c:pt>
                <c:pt idx="2">
                  <c:v>75.400000000000006</c:v>
                </c:pt>
                <c:pt idx="3">
                  <c:v>125.7</c:v>
                </c:pt>
                <c:pt idx="4">
                  <c:v>123.9</c:v>
                </c:pt>
                <c:pt idx="5">
                  <c:v>117.5</c:v>
                </c:pt>
                <c:pt idx="6">
                  <c:v>52.9</c:v>
                </c:pt>
                <c:pt idx="7">
                  <c:v>69.900000000000006</c:v>
                </c:pt>
                <c:pt idx="8">
                  <c:v>75.5</c:v>
                </c:pt>
                <c:pt idx="9">
                  <c:v>129.69999999999999</c:v>
                </c:pt>
                <c:pt idx="10">
                  <c:v>108.6</c:v>
                </c:pt>
                <c:pt idx="11">
                  <c:v>94.9</c:v>
                </c:pt>
                <c:pt idx="12">
                  <c:v>176.3</c:v>
                </c:pt>
              </c:numCache>
            </c:numRef>
          </c:val>
          <c:extLst>
            <c:ext xmlns:c16="http://schemas.microsoft.com/office/drawing/2014/chart" uri="{C3380CC4-5D6E-409C-BE32-E72D297353CC}">
              <c16:uniqueId val="{00000002-5D86-450A-909C-E60D8C43F773}"/>
            </c:ext>
          </c:extLst>
        </c:ser>
        <c:ser>
          <c:idx val="3"/>
          <c:order val="3"/>
          <c:tx>
            <c:strRef>
              <c:f>seme!$J$17</c:f>
              <c:strCache>
                <c:ptCount val="1"/>
                <c:pt idx="0">
                  <c:v>Vrtnine*</c:v>
                </c:pt>
              </c:strCache>
            </c:strRef>
          </c:tx>
          <c:spPr>
            <a:solidFill>
              <a:schemeClr val="accent4"/>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seme!$K$17:$W$17</c:f>
              <c:numCache>
                <c:formatCode>General</c:formatCode>
                <c:ptCount val="13"/>
                <c:pt idx="0">
                  <c:v>0.08</c:v>
                </c:pt>
                <c:pt idx="1">
                  <c:v>0.09</c:v>
                </c:pt>
                <c:pt idx="2">
                  <c:v>0.14000000000000001</c:v>
                </c:pt>
                <c:pt idx="3">
                  <c:v>0.21</c:v>
                </c:pt>
                <c:pt idx="4">
                  <c:v>0.12</c:v>
                </c:pt>
                <c:pt idx="5">
                  <c:v>0.35</c:v>
                </c:pt>
                <c:pt idx="6">
                  <c:v>0.27</c:v>
                </c:pt>
                <c:pt idx="7">
                  <c:v>0.11</c:v>
                </c:pt>
                <c:pt idx="8">
                  <c:v>0.18</c:v>
                </c:pt>
                <c:pt idx="9">
                  <c:v>0.11</c:v>
                </c:pt>
                <c:pt idx="10">
                  <c:v>0.09</c:v>
                </c:pt>
                <c:pt idx="11">
                  <c:v>0.02</c:v>
                </c:pt>
                <c:pt idx="12">
                  <c:v>0.17</c:v>
                </c:pt>
              </c:numCache>
            </c:numRef>
          </c:val>
          <c:extLst>
            <c:ext xmlns:c16="http://schemas.microsoft.com/office/drawing/2014/chart" uri="{C3380CC4-5D6E-409C-BE32-E72D297353CC}">
              <c16:uniqueId val="{00000003-5D86-450A-909C-E60D8C43F773}"/>
            </c:ext>
          </c:extLst>
        </c:ser>
        <c:dLbls>
          <c:showLegendKey val="0"/>
          <c:showVal val="0"/>
          <c:showCatName val="0"/>
          <c:showSerName val="0"/>
          <c:showPercent val="0"/>
          <c:showBubbleSize val="0"/>
        </c:dLbls>
        <c:gapWidth val="219"/>
        <c:overlap val="-27"/>
        <c:axId val="196061824"/>
        <c:axId val="196067712"/>
      </c:barChart>
      <c:catAx>
        <c:axId val="1960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67712"/>
        <c:crosses val="autoZero"/>
        <c:auto val="1"/>
        <c:lblAlgn val="ctr"/>
        <c:lblOffset val="100"/>
        <c:noMultiLvlLbl val="0"/>
      </c:catAx>
      <c:valAx>
        <c:axId val="19606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60C4-4649-A3E6-B54A9BB68C8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60C4-4649-A3E6-B54A9BB68C8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60C4-4649-A3E6-B54A9BB68C8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60C4-4649-A3E6-B54A9BB68C80}"/>
              </c:ext>
            </c:extLst>
          </c:dPt>
          <c:dLbls>
            <c:dLbl>
              <c:idx val="0"/>
              <c:layout>
                <c:manualLayout>
                  <c:x val="8.611111111111111E-2"/>
                  <c:y val="-0.1851851851851851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0C4-4649-A3E6-B54A9BB68C80}"/>
                </c:ext>
              </c:extLst>
            </c:dLbl>
            <c:dLbl>
              <c:idx val="1"/>
              <c:layout>
                <c:manualLayout>
                  <c:x val="0.13055555555555556"/>
                  <c:y val="-6.481481481481485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0C4-4649-A3E6-B54A9BB68C80}"/>
                </c:ext>
              </c:extLst>
            </c:dLbl>
            <c:dLbl>
              <c:idx val="2"/>
              <c:layout>
                <c:manualLayout>
                  <c:x val="-0.21388888888888893"/>
                  <c:y val="1.38888888888888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0C4-4649-A3E6-B54A9BB68C80}"/>
                </c:ext>
              </c:extLst>
            </c:dLbl>
            <c:dLbl>
              <c:idx val="3"/>
              <c:layout>
                <c:manualLayout>
                  <c:x val="-0.11388888888888891"/>
                  <c:y val="-0.1388888888888889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0C4-4649-A3E6-B54A9BB68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eparator>
</c:separator>
            <c:showLeaderLines val="1"/>
            <c:leaderLines>
              <c:spPr>
                <a:ln>
                  <a:noFill/>
                </a:ln>
                <a:effectLst/>
              </c:spPr>
            </c:leaderLines>
            <c:extLst>
              <c:ext xmlns:c15="http://schemas.microsoft.com/office/drawing/2012/chart" uri="{CE6537A1-D6FC-4f65-9D91-7224C49458BB}"/>
            </c:extLst>
          </c:dLbls>
          <c:cat>
            <c:strRef>
              <c:f>List1!$D$23:$G$23</c:f>
              <c:strCache>
                <c:ptCount val="4"/>
                <c:pt idx="0">
                  <c:v>kratkoročna posojila</c:v>
                </c:pt>
                <c:pt idx="1">
                  <c:v>srednjeročna posojila</c:v>
                </c:pt>
                <c:pt idx="2">
                  <c:v>dolgoročna posojila</c:v>
                </c:pt>
                <c:pt idx="3">
                  <c:v>kreditna linija / limit</c:v>
                </c:pt>
              </c:strCache>
            </c:strRef>
          </c:cat>
          <c:val>
            <c:numRef>
              <c:f>List1!$D$24:$G$24</c:f>
              <c:numCache>
                <c:formatCode>General</c:formatCode>
                <c:ptCount val="4"/>
                <c:pt idx="0">
                  <c:v>18</c:v>
                </c:pt>
                <c:pt idx="1">
                  <c:v>18</c:v>
                </c:pt>
                <c:pt idx="2">
                  <c:v>71</c:v>
                </c:pt>
                <c:pt idx="3">
                  <c:v>21</c:v>
                </c:pt>
              </c:numCache>
            </c:numRef>
          </c:val>
          <c:extLst>
            <c:ext xmlns:c16="http://schemas.microsoft.com/office/drawing/2014/chart" uri="{C3380CC4-5D6E-409C-BE32-E72D297353CC}">
              <c16:uniqueId val="{00000008-60C4-4649-A3E6-B54A9BB68C80}"/>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Delež odobrenih sredstev</a:t>
            </a:r>
            <a:r>
              <a:rPr lang="sl-SI" sz="900"/>
              <a:t> glede na vrsto </a:t>
            </a:r>
            <a:r>
              <a:rPr lang="sl-SI" sz="900" baseline="0"/>
              <a:t>naložbe v okviru podukrepa M04.2 PRP 2014-2020, stanje 30.4.2020 </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3389253426655004"/>
          <c:y val="0.20916018549828511"/>
          <c:w val="0.47785979877515311"/>
          <c:h val="0.74550925925925926"/>
        </c:manualLayout>
      </c:layout>
      <c:pieChart>
        <c:varyColors val="1"/>
        <c:ser>
          <c:idx val="0"/>
          <c:order val="0"/>
          <c:tx>
            <c:strRef>
              <c:f>List1!$E$36</c:f>
              <c:strCache>
                <c:ptCount val="1"/>
                <c:pt idx="0">
                  <c:v>Delež odobrenih sredstev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7B-490A-A57C-CA037088D9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7B-490A-A57C-CA037088D9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7B-490A-A57C-CA037088D9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7B-490A-A57C-CA037088D9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7B-490A-A57C-CA037088D9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7B-490A-A57C-CA037088D95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7B-490A-A57C-CA037088D959}"/>
              </c:ext>
            </c:extLst>
          </c:dPt>
          <c:dLbls>
            <c:dLbl>
              <c:idx val="0"/>
              <c:layout>
                <c:manualLayout>
                  <c:x val="-4.5565398075240592E-2"/>
                  <c:y val="-0.38003900554097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B-490A-A57C-CA037088D959}"/>
                </c:ext>
              </c:extLst>
            </c:dLbl>
            <c:dLbl>
              <c:idx val="1"/>
              <c:layout>
                <c:manualLayout>
                  <c:x val="2.4249562554680665E-2"/>
                  <c:y val="8.8887795275590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B-490A-A57C-CA037088D9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List1!$A$37:$A$43</c:f>
              <c:strCache>
                <c:ptCount val="7"/>
                <c:pt idx="0">
                  <c:v>Nakup opreme</c:v>
                </c:pt>
                <c:pt idx="1">
                  <c:v>Novogradnja objektov</c:v>
                </c:pt>
                <c:pt idx="2">
                  <c:v>Rekonstrukcija objektov</c:v>
                </c:pt>
                <c:pt idx="3">
                  <c:v>Ostali splošni stroški</c:v>
                </c:pt>
                <c:pt idx="4">
                  <c:v>Investicijsko vzdrževanje objektov</c:v>
                </c:pt>
                <c:pt idx="5">
                  <c:v>Ureditev dovoznih površin</c:v>
                </c:pt>
                <c:pt idx="6">
                  <c:v>OVE</c:v>
                </c:pt>
              </c:strCache>
            </c:strRef>
          </c:cat>
          <c:val>
            <c:numRef>
              <c:f>List1!$E$37:$E$43</c:f>
              <c:numCache>
                <c:formatCode>#.000%</c:formatCode>
                <c:ptCount val="7"/>
                <c:pt idx="0">
                  <c:v>0.60699999999999998</c:v>
                </c:pt>
                <c:pt idx="1">
                  <c:v>0.32200000000000001</c:v>
                </c:pt>
                <c:pt idx="2">
                  <c:v>2.9000000000000001E-2</c:v>
                </c:pt>
                <c:pt idx="3">
                  <c:v>2.1999999999999999E-2</c:v>
                </c:pt>
                <c:pt idx="4">
                  <c:v>1.0999999999999999E-2</c:v>
                </c:pt>
                <c:pt idx="5">
                  <c:v>8.9999999999999993E-3</c:v>
                </c:pt>
                <c:pt idx="6">
                  <c:v>0</c:v>
                </c:pt>
              </c:numCache>
            </c:numRef>
          </c:val>
          <c:extLst>
            <c:ext xmlns:c16="http://schemas.microsoft.com/office/drawing/2014/chart" uri="{C3380CC4-5D6E-409C-BE32-E72D297353CC}">
              <c16:uniqueId val="{0000000E-C07B-490A-A57C-CA037088D959}"/>
            </c:ext>
          </c:extLst>
        </c:ser>
        <c:dLbls>
          <c:showLegendKey val="0"/>
          <c:showVal val="0"/>
          <c:showCatName val="0"/>
          <c:showSerName val="0"/>
          <c:showPercent val="0"/>
          <c:showBubbleSize val="0"/>
          <c:showLeaderLines val="1"/>
        </c:dLbls>
        <c:firstSliceAng val="121"/>
      </c:pieChart>
      <c:spPr>
        <a:noFill/>
        <a:ln>
          <a:noFill/>
        </a:ln>
        <a:effectLst/>
      </c:spPr>
    </c:plotArea>
    <c:legend>
      <c:legendPos val="b"/>
      <c:layout>
        <c:manualLayout>
          <c:xMode val="edge"/>
          <c:yMode val="edge"/>
          <c:x val="0.66452136191309408"/>
          <c:y val="0.18981248892968133"/>
          <c:w val="0.32373490813648292"/>
          <c:h val="0.78240959463400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sl-SI"/>
              <a:t> Zunanjetrgovinska bilanca agroživilstva po tarifnih skupinah (mio EUR); 2007-2019</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4363475503062117"/>
          <c:y val="0.14438929818543511"/>
          <c:w val="0.49827755905511811"/>
          <c:h val="0.74233684549232459"/>
        </c:manualLayout>
      </c:layout>
      <c:barChart>
        <c:barDir val="bar"/>
        <c:grouping val="clustered"/>
        <c:varyColors val="0"/>
        <c:ser>
          <c:idx val="0"/>
          <c:order val="0"/>
          <c:tx>
            <c:strRef>
              <c:f>Bilanca!$Q$64</c:f>
              <c:strCache>
                <c:ptCount val="1"/>
                <c:pt idx="0">
                  <c:v>2007-2013</c:v>
                </c:pt>
              </c:strCache>
            </c:strRef>
          </c:tx>
          <c:spPr>
            <a:solidFill>
              <a:schemeClr val="accent1"/>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Bilanca!$Q$65:$Q$80</c:f>
              <c:numCache>
                <c:formatCode>#,##0</c:formatCode>
                <c:ptCount val="16"/>
                <c:pt idx="0">
                  <c:v>-103357.57142857143</c:v>
                </c:pt>
                <c:pt idx="1">
                  <c:v>-98704.857142857145</c:v>
                </c:pt>
                <c:pt idx="2">
                  <c:v>-84724</c:v>
                </c:pt>
                <c:pt idx="3">
                  <c:v>-81132.428571428565</c:v>
                </c:pt>
                <c:pt idx="4">
                  <c:v>-59172.285714285717</c:v>
                </c:pt>
                <c:pt idx="5">
                  <c:v>-61235.857142857145</c:v>
                </c:pt>
                <c:pt idx="6">
                  <c:v>-51514.857142857145</c:v>
                </c:pt>
                <c:pt idx="7">
                  <c:v>-52367.857142857145</c:v>
                </c:pt>
                <c:pt idx="8">
                  <c:v>-45919.142857142855</c:v>
                </c:pt>
                <c:pt idx="9">
                  <c:v>-22628.857142857141</c:v>
                </c:pt>
                <c:pt idx="10">
                  <c:v>-26415</c:v>
                </c:pt>
                <c:pt idx="11">
                  <c:v>-4954</c:v>
                </c:pt>
                <c:pt idx="12">
                  <c:v>1816.5714285714287</c:v>
                </c:pt>
                <c:pt idx="13">
                  <c:v>1288.2857142857142</c:v>
                </c:pt>
                <c:pt idx="14">
                  <c:v>7719.4285714285716</c:v>
                </c:pt>
                <c:pt idx="15">
                  <c:v>16697.142857142859</c:v>
                </c:pt>
              </c:numCache>
            </c:numRef>
          </c:val>
          <c:extLst>
            <c:ext xmlns:c16="http://schemas.microsoft.com/office/drawing/2014/chart" uri="{C3380CC4-5D6E-409C-BE32-E72D297353CC}">
              <c16:uniqueId val="{00000000-8EA9-44B1-91BB-F199E44A8681}"/>
            </c:ext>
          </c:extLst>
        </c:ser>
        <c:ser>
          <c:idx val="1"/>
          <c:order val="1"/>
          <c:tx>
            <c:strRef>
              <c:f>Bilanca!$R$64</c:f>
              <c:strCache>
                <c:ptCount val="1"/>
                <c:pt idx="0">
                  <c:v>2014-2019</c:v>
                </c:pt>
              </c:strCache>
            </c:strRef>
          </c:tx>
          <c:spPr>
            <a:solidFill>
              <a:schemeClr val="accent2"/>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Bilanca!$R$65:$R$80</c:f>
              <c:numCache>
                <c:formatCode>#,##0</c:formatCode>
                <c:ptCount val="16"/>
                <c:pt idx="0">
                  <c:v>-131386.66666666666</c:v>
                </c:pt>
                <c:pt idx="1">
                  <c:v>-127534.66666666667</c:v>
                </c:pt>
                <c:pt idx="2">
                  <c:v>-94134.5</c:v>
                </c:pt>
                <c:pt idx="3">
                  <c:v>-93567</c:v>
                </c:pt>
                <c:pt idx="4">
                  <c:v>-97787</c:v>
                </c:pt>
                <c:pt idx="5">
                  <c:v>-77344.166666666672</c:v>
                </c:pt>
                <c:pt idx="6">
                  <c:v>-48040.333333333336</c:v>
                </c:pt>
                <c:pt idx="7">
                  <c:v>-34754.833333333336</c:v>
                </c:pt>
                <c:pt idx="8">
                  <c:v>-41086.5</c:v>
                </c:pt>
                <c:pt idx="9">
                  <c:v>-29082.666666666668</c:v>
                </c:pt>
                <c:pt idx="10">
                  <c:v>-23980.166666666668</c:v>
                </c:pt>
                <c:pt idx="11">
                  <c:v>-4542.166666666667</c:v>
                </c:pt>
                <c:pt idx="12">
                  <c:v>-6979.666666666667</c:v>
                </c:pt>
                <c:pt idx="13">
                  <c:v>4625.666666666667</c:v>
                </c:pt>
                <c:pt idx="14">
                  <c:v>18787.666666666668</c:v>
                </c:pt>
                <c:pt idx="15">
                  <c:v>22266.166666666668</c:v>
                </c:pt>
              </c:numCache>
            </c:numRef>
          </c:val>
          <c:extLst>
            <c:ext xmlns:c16="http://schemas.microsoft.com/office/drawing/2014/chart" uri="{C3380CC4-5D6E-409C-BE32-E72D297353CC}">
              <c16:uniqueId val="{00000001-8EA9-44B1-91BB-F199E44A8681}"/>
            </c:ext>
          </c:extLst>
        </c:ser>
        <c:dLbls>
          <c:showLegendKey val="0"/>
          <c:showVal val="0"/>
          <c:showCatName val="0"/>
          <c:showSerName val="0"/>
          <c:showPercent val="0"/>
          <c:showBubbleSize val="0"/>
        </c:dLbls>
        <c:gapWidth val="182"/>
        <c:axId val="192307200"/>
        <c:axId val="192308736"/>
      </c:barChart>
      <c:catAx>
        <c:axId val="1923072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2308736"/>
        <c:crosses val="autoZero"/>
        <c:auto val="1"/>
        <c:lblAlgn val="ctr"/>
        <c:lblOffset val="100"/>
        <c:noMultiLvlLbl val="0"/>
      </c:catAx>
      <c:valAx>
        <c:axId val="19230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230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Sadje v tisoč tonah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'Sadje, zelenjva'!$C$20</c:f>
              <c:strCache>
                <c:ptCount val="1"/>
                <c:pt idx="0">
                  <c:v>2007-2013</c:v>
                </c:pt>
              </c:strCache>
            </c:strRef>
          </c:tx>
          <c:spPr>
            <a:solidFill>
              <a:schemeClr val="accent1"/>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zelenjva'!$C$21:$C$26</c:f>
              <c:numCache>
                <c:formatCode>##,#00</c:formatCode>
                <c:ptCount val="6"/>
                <c:pt idx="0">
                  <c:v>167.85</c:v>
                </c:pt>
                <c:pt idx="1">
                  <c:v>278.47714285714284</c:v>
                </c:pt>
                <c:pt idx="2">
                  <c:v>79.032857142857139</c:v>
                </c:pt>
                <c:pt idx="3">
                  <c:v>96.69285714285715</c:v>
                </c:pt>
                <c:pt idx="4">
                  <c:v>135.01000000000002</c:v>
                </c:pt>
                <c:pt idx="5">
                  <c:v>316.79428571428576</c:v>
                </c:pt>
              </c:numCache>
            </c:numRef>
          </c:val>
          <c:extLst>
            <c:ext xmlns:c16="http://schemas.microsoft.com/office/drawing/2014/chart" uri="{C3380CC4-5D6E-409C-BE32-E72D297353CC}">
              <c16:uniqueId val="{00000000-D8F7-40EC-A61A-72A4F55CA7A8}"/>
            </c:ext>
          </c:extLst>
        </c:ser>
        <c:ser>
          <c:idx val="1"/>
          <c:order val="1"/>
          <c:tx>
            <c:strRef>
              <c:f>'Sadje, zelenjva'!$D$20</c:f>
              <c:strCache>
                <c:ptCount val="1"/>
                <c:pt idx="0">
                  <c:v>2014-2019</c:v>
                </c:pt>
              </c:strCache>
            </c:strRef>
          </c:tx>
          <c:spPr>
            <a:solidFill>
              <a:schemeClr val="accent2"/>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zelenjva'!$D$21:$D$26</c:f>
              <c:numCache>
                <c:formatCode>##,#00</c:formatCode>
                <c:ptCount val="6"/>
                <c:pt idx="0">
                  <c:v>220.97166666666669</c:v>
                </c:pt>
                <c:pt idx="1">
                  <c:v>324.77499999999998</c:v>
                </c:pt>
                <c:pt idx="2">
                  <c:v>102.98666666666666</c:v>
                </c:pt>
                <c:pt idx="3">
                  <c:v>122.02666666666666</c:v>
                </c:pt>
                <c:pt idx="4">
                  <c:v>116.94833333333332</c:v>
                </c:pt>
                <c:pt idx="5">
                  <c:v>319.69333333333333</c:v>
                </c:pt>
              </c:numCache>
            </c:numRef>
          </c:val>
          <c:extLst>
            <c:ext xmlns:c16="http://schemas.microsoft.com/office/drawing/2014/chart" uri="{C3380CC4-5D6E-409C-BE32-E72D297353CC}">
              <c16:uniqueId val="{00000001-D8F7-40EC-A61A-72A4F55CA7A8}"/>
            </c:ext>
          </c:extLst>
        </c:ser>
        <c:dLbls>
          <c:showLegendKey val="0"/>
          <c:showVal val="0"/>
          <c:showCatName val="0"/>
          <c:showSerName val="0"/>
          <c:showPercent val="0"/>
          <c:showBubbleSize val="0"/>
        </c:dLbls>
        <c:gapWidth val="182"/>
        <c:axId val="198253952"/>
        <c:axId val="198255744"/>
      </c:barChart>
      <c:catAx>
        <c:axId val="1982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55744"/>
        <c:crosses val="autoZero"/>
        <c:auto val="1"/>
        <c:lblAlgn val="ctr"/>
        <c:lblOffset val="100"/>
        <c:noMultiLvlLbl val="0"/>
      </c:catAx>
      <c:valAx>
        <c:axId val="198255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595164240833533E-2"/>
          <c:y val="4.8991653821050148E-2"/>
          <c:w val="0.90424050866881078"/>
          <c:h val="0.92506408921107086"/>
        </c:manualLayout>
      </c:layout>
      <c:barChart>
        <c:barDir val="col"/>
        <c:grouping val="stacked"/>
        <c:varyColors val="0"/>
        <c:ser>
          <c:idx val="5"/>
          <c:order val="0"/>
          <c:tx>
            <c:strRef>
              <c:f>[1]Data!$G$13</c:f>
              <c:strCache>
                <c:ptCount val="1"/>
                <c:pt idx="0">
                  <c:v>Povprečje ha na KMG</c:v>
                </c:pt>
              </c:strCache>
            </c:strRef>
          </c:tx>
          <c:spPr>
            <a:solidFill>
              <a:schemeClr val="accent6"/>
            </a:solidFill>
            <a:ln>
              <a:noFill/>
            </a:ln>
            <a:effectLst/>
          </c:spPr>
          <c:invertIfNegative val="0"/>
          <c:dLbls>
            <c:numFmt formatCode="#,##0.00" sourceLinked="0"/>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[1]Data!$G$14:$G$40</c:f>
              <c:numCache>
                <c:formatCode>General</c:formatCode>
                <c:ptCount val="27"/>
                <c:pt idx="0">
                  <c:v>36.710490647872049</c:v>
                </c:pt>
                <c:pt idx="1">
                  <c:v>22.04271902131018</c:v>
                </c:pt>
                <c:pt idx="2">
                  <c:v>130.24538258575197</c:v>
                </c:pt>
                <c:pt idx="3">
                  <c:v>74.596291012838805</c:v>
                </c:pt>
                <c:pt idx="4">
                  <c:v>60.53643343473852</c:v>
                </c:pt>
                <c:pt idx="5">
                  <c:v>59.58682634730539</c:v>
                </c:pt>
                <c:pt idx="6">
                  <c:v>35.501962779877871</c:v>
                </c:pt>
                <c:pt idx="7">
                  <c:v>6.6484122928680929</c:v>
                </c:pt>
                <c:pt idx="8">
                  <c:v>24.581225794163085</c:v>
                </c:pt>
                <c:pt idx="9">
                  <c:v>60.926487338999387</c:v>
                </c:pt>
                <c:pt idx="10">
                  <c:v>11.624126134166294</c:v>
                </c:pt>
                <c:pt idx="11">
                  <c:v>10.995941381326864</c:v>
                </c:pt>
                <c:pt idx="12">
                  <c:v>3.2034917000572412</c:v>
                </c:pt>
                <c:pt idx="13">
                  <c:v>27.611611611611611</c:v>
                </c:pt>
                <c:pt idx="14">
                  <c:v>19.455827567855241</c:v>
                </c:pt>
                <c:pt idx="15">
                  <c:v>66.319796954314725</c:v>
                </c:pt>
                <c:pt idx="16">
                  <c:v>10.861767441860465</c:v>
                </c:pt>
                <c:pt idx="17">
                  <c:v>1.2073832790445169</c:v>
                </c:pt>
                <c:pt idx="18">
                  <c:v>32.260416666666664</c:v>
                </c:pt>
                <c:pt idx="19">
                  <c:v>20.149056603773584</c:v>
                </c:pt>
                <c:pt idx="20">
                  <c:v>10.211703409654781</c:v>
                </c:pt>
                <c:pt idx="21">
                  <c:v>14.061664993435787</c:v>
                </c:pt>
                <c:pt idx="22">
                  <c:v>3.6535448257320948</c:v>
                </c:pt>
                <c:pt idx="23">
                  <c:v>6.9871244635193133</c:v>
                </c:pt>
                <c:pt idx="24">
                  <c:v>73.648480124707717</c:v>
                </c:pt>
                <c:pt idx="25">
                  <c:v>44.922148461074229</c:v>
                </c:pt>
                <c:pt idx="26">
                  <c:v>47.865268509691766</c:v>
                </c:pt>
              </c:numCache>
            </c:numRef>
          </c:val>
          <c:extLst>
            <c:ext xmlns:c16="http://schemas.microsoft.com/office/drawing/2014/chart" uri="{C3380CC4-5D6E-409C-BE32-E72D297353CC}">
              <c16:uniqueId val="{00000000-B4F9-4E9D-A0DB-113752DFC95D}"/>
            </c:ext>
          </c:extLst>
        </c:ser>
        <c:ser>
          <c:idx val="6"/>
          <c:order val="1"/>
          <c:tx>
            <c:strRef>
              <c:f>PDM_kmg_ha!$H$13</c:f>
              <c:strCache>
                <c:ptCount val="1"/>
                <c:pt idx="0">
                  <c:v>Št. ha v obdelavi z 1 PDM</c:v>
                </c:pt>
              </c:strCache>
            </c:strRef>
          </c:tx>
          <c:spPr>
            <a:solidFill>
              <a:schemeClr val="accent1">
                <a:lumMod val="60000"/>
              </a:schemeClr>
            </a:solidFill>
            <a:ln>
              <a:noFill/>
            </a:ln>
            <a:effectLst/>
          </c:spPr>
          <c:invertIfNegative val="0"/>
          <c:dLbls>
            <c:dLbl>
              <c:idx val="17"/>
              <c:layout>
                <c:manualLayout>
                  <c:x val="1.0598834128245894E-3"/>
                  <c:y val="-3.751803751803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F9-4E9D-A0DB-113752DFC95D}"/>
                </c:ext>
              </c:extLst>
            </c:dLbl>
            <c:dLbl>
              <c:idx val="21"/>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F9-4E9D-A0DB-113752DFC95D}"/>
                </c:ext>
              </c:extLst>
            </c:dLbl>
            <c:numFmt formatCode="#,##0.00" sourceLinked="0"/>
            <c:spPr>
              <a:noFill/>
              <a:ln>
                <a:noFill/>
              </a:ln>
              <a:effectLst/>
            </c:spPr>
            <c:txPr>
              <a:bodyPr rot="0" vert="horz"/>
              <a:lstStyle/>
              <a:p>
                <a:pPr>
                  <a:defRPr b="1">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[1]Data!$H$14:$H$40</c:f>
              <c:numCache>
                <c:formatCode>General</c:formatCode>
                <c:ptCount val="27"/>
                <c:pt idx="0">
                  <c:v>24.467028003613368</c:v>
                </c:pt>
                <c:pt idx="1">
                  <c:v>17.599448601811737</c:v>
                </c:pt>
                <c:pt idx="2">
                  <c:v>33.072454058192953</c:v>
                </c:pt>
                <c:pt idx="3">
                  <c:v>47.555474718079303</c:v>
                </c:pt>
                <c:pt idx="4">
                  <c:v>34.823583333333332</c:v>
                </c:pt>
                <c:pt idx="5">
                  <c:v>49.019704433497537</c:v>
                </c:pt>
                <c:pt idx="6">
                  <c:v>30.389856876166771</c:v>
                </c:pt>
                <c:pt idx="7">
                  <c:v>10.083768821966341</c:v>
                </c:pt>
                <c:pt idx="8">
                  <c:v>28.00418319248713</c:v>
                </c:pt>
                <c:pt idx="9">
                  <c:v>36.942210888419602</c:v>
                </c:pt>
                <c:pt idx="10">
                  <c:v>8.9826436781609189</c:v>
                </c:pt>
                <c:pt idx="11">
                  <c:v>11.085050593928729</c:v>
                </c:pt>
                <c:pt idx="12">
                  <c:v>5.0418918918918916</c:v>
                </c:pt>
                <c:pt idx="13">
                  <c:v>25.323016393442622</c:v>
                </c:pt>
                <c:pt idx="14">
                  <c:v>19.65456989247312</c:v>
                </c:pt>
                <c:pt idx="15">
                  <c:v>37.869565217391305</c:v>
                </c:pt>
                <c:pt idx="16">
                  <c:v>10.754720456848116</c:v>
                </c:pt>
                <c:pt idx="17">
                  <c:v>2.2063492063492065</c:v>
                </c:pt>
                <c:pt idx="18">
                  <c:v>12.041697392237046</c:v>
                </c:pt>
                <c:pt idx="19">
                  <c:v>22.327925064815588</c:v>
                </c:pt>
                <c:pt idx="20">
                  <c:v>8.5962823725981625</c:v>
                </c:pt>
                <c:pt idx="21">
                  <c:v>14.506991196271361</c:v>
                </c:pt>
                <c:pt idx="22">
                  <c:v>7.9180113996200125</c:v>
                </c:pt>
                <c:pt idx="23">
                  <c:v>6.1072902338376895</c:v>
                </c:pt>
                <c:pt idx="24">
                  <c:v>38.805338809034907</c:v>
                </c:pt>
                <c:pt idx="25">
                  <c:v>33.329552238805967</c:v>
                </c:pt>
                <c:pt idx="26">
                  <c:v>51.648208469055376</c:v>
                </c:pt>
              </c:numCache>
            </c:numRef>
          </c:val>
          <c:extLst>
            <c:ext xmlns:c16="http://schemas.microsoft.com/office/drawing/2014/chart" uri="{C3380CC4-5D6E-409C-BE32-E72D297353CC}">
              <c16:uniqueId val="{00000003-B4F9-4E9D-A0DB-113752DFC95D}"/>
            </c:ext>
          </c:extLst>
        </c:ser>
        <c:dLbls>
          <c:showLegendKey val="0"/>
          <c:showVal val="0"/>
          <c:showCatName val="0"/>
          <c:showSerName val="0"/>
          <c:showPercent val="0"/>
          <c:showBubbleSize val="0"/>
        </c:dLbls>
        <c:gapWidth val="75"/>
        <c:overlap val="100"/>
        <c:axId val="213697944"/>
        <c:axId val="1"/>
      </c:barChart>
      <c:catAx>
        <c:axId val="21369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sl-SI"/>
          </a:p>
        </c:txPr>
        <c:crossAx val="213697944"/>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r"/>
      <c:layout>
        <c:manualLayout>
          <c:xMode val="edge"/>
          <c:yMode val="edge"/>
          <c:x val="0.36440236637087031"/>
          <c:y val="6.2163102477465461E-2"/>
          <c:w val="0.37790154702884371"/>
          <c:h val="0.14232523591097601"/>
        </c:manualLayout>
      </c:layout>
      <c:overlay val="0"/>
      <c:txPr>
        <a:bodyPr/>
        <a:lstStyle/>
        <a:p>
          <a:pPr>
            <a:defRPr sz="700"/>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900">
                <a:latin typeface="Arial" panose="020B0604020202020204" pitchFamily="34" charset="0"/>
                <a:cs typeface="Arial" panose="020B0604020202020204" pitchFamily="34" charset="0"/>
              </a:rPr>
              <a:t>Zelenjadnice</a:t>
            </a:r>
            <a:r>
              <a:rPr lang="sl-SI" sz="900" baseline="0">
                <a:latin typeface="Arial" panose="020B0604020202020204" pitchFamily="34" charset="0"/>
                <a:cs typeface="Arial" panose="020B0604020202020204" pitchFamily="34" charset="0"/>
              </a:rPr>
              <a:t> - v tisoč tonah, ekvivalent sveže zelenjave</a:t>
            </a:r>
            <a:endParaRPr lang="sl-SI"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bar"/>
        <c:grouping val="clustered"/>
        <c:varyColors val="0"/>
        <c:ser>
          <c:idx val="0"/>
          <c:order val="0"/>
          <c:tx>
            <c:strRef>
              <c:f>'Sadje, zelenjva'!$C$43</c:f>
              <c:strCache>
                <c:ptCount val="1"/>
                <c:pt idx="0">
                  <c:v>2007-2013</c:v>
                </c:pt>
              </c:strCache>
            </c:strRef>
          </c:tx>
          <c:spPr>
            <a:solidFill>
              <a:schemeClr val="accent1"/>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zelenjva'!$C$44:$C$47</c:f>
              <c:numCache>
                <c:formatCode>##,#00</c:formatCode>
                <c:ptCount val="4"/>
                <c:pt idx="0">
                  <c:v>149.2657142857143</c:v>
                </c:pt>
                <c:pt idx="1">
                  <c:v>12.004285714285714</c:v>
                </c:pt>
                <c:pt idx="2">
                  <c:v>72.38</c:v>
                </c:pt>
                <c:pt idx="3">
                  <c:v>209.64428571428576</c:v>
                </c:pt>
              </c:numCache>
            </c:numRef>
          </c:val>
          <c:extLst>
            <c:ext xmlns:c16="http://schemas.microsoft.com/office/drawing/2014/chart" uri="{C3380CC4-5D6E-409C-BE32-E72D297353CC}">
              <c16:uniqueId val="{00000000-DF1D-45F4-A514-FF40E950BE39}"/>
            </c:ext>
          </c:extLst>
        </c:ser>
        <c:ser>
          <c:idx val="1"/>
          <c:order val="1"/>
          <c:tx>
            <c:strRef>
              <c:f>'Sadje, zelenjva'!$D$43</c:f>
              <c:strCache>
                <c:ptCount val="1"/>
                <c:pt idx="0">
                  <c:v>2014-2019</c:v>
                </c:pt>
              </c:strCache>
            </c:strRef>
          </c:tx>
          <c:spPr>
            <a:solidFill>
              <a:schemeClr val="accent2"/>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zelenjva'!$D$44:$D$47</c:f>
              <c:numCache>
                <c:formatCode>##,#00</c:formatCode>
                <c:ptCount val="4"/>
                <c:pt idx="0">
                  <c:v>166.41499999999999</c:v>
                </c:pt>
                <c:pt idx="1">
                  <c:v>18.206666666666667</c:v>
                </c:pt>
                <c:pt idx="2">
                  <c:v>100.71666666666665</c:v>
                </c:pt>
                <c:pt idx="3">
                  <c:v>248.92500000000004</c:v>
                </c:pt>
              </c:numCache>
            </c:numRef>
          </c:val>
          <c:extLst>
            <c:ext xmlns:c16="http://schemas.microsoft.com/office/drawing/2014/chart" uri="{C3380CC4-5D6E-409C-BE32-E72D297353CC}">
              <c16:uniqueId val="{00000001-DF1D-45F4-A514-FF40E950BE39}"/>
            </c:ext>
          </c:extLst>
        </c:ser>
        <c:dLbls>
          <c:showLegendKey val="0"/>
          <c:showVal val="0"/>
          <c:showCatName val="0"/>
          <c:showSerName val="0"/>
          <c:showPercent val="0"/>
          <c:showBubbleSize val="0"/>
        </c:dLbls>
        <c:gapWidth val="182"/>
        <c:axId val="198286336"/>
        <c:axId val="198296320"/>
      </c:barChart>
      <c:catAx>
        <c:axId val="1982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96320"/>
        <c:crosses val="autoZero"/>
        <c:auto val="1"/>
        <c:lblAlgn val="ctr"/>
        <c:lblOffset val="100"/>
        <c:noMultiLvlLbl val="0"/>
      </c:catAx>
      <c:valAx>
        <c:axId val="1982963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8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sz="900" b="0">
                <a:solidFill>
                  <a:sysClr val="windowText" lastClr="000000"/>
                </a:solidFill>
                <a:latin typeface="Arial" panose="020B0604020202020204" pitchFamily="34" charset="0"/>
                <a:cs typeface="Arial" panose="020B0604020202020204" pitchFamily="34" charset="0"/>
              </a:rPr>
              <a:t>Govedo - v tisoč</a:t>
            </a:r>
            <a:r>
              <a:rPr lang="sl-SI" sz="900" b="0" baseline="0">
                <a:solidFill>
                  <a:sysClr val="windowText" lastClr="000000"/>
                </a:solidFill>
                <a:latin typeface="Arial" panose="020B0604020202020204" pitchFamily="34" charset="0"/>
                <a:cs typeface="Arial" panose="020B0604020202020204" pitchFamily="34" charset="0"/>
              </a:rPr>
              <a:t> tonah, ekvivalent klavne mase</a:t>
            </a:r>
            <a:endParaRPr lang="sl-SI" sz="9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3712116180735426"/>
          <c:y val="2.337380293614228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autoTitleDeleted val="0"/>
    <c:plotArea>
      <c:layout/>
      <c:barChart>
        <c:barDir val="bar"/>
        <c:grouping val="clustered"/>
        <c:varyColors val="0"/>
        <c:ser>
          <c:idx val="0"/>
          <c:order val="0"/>
          <c:tx>
            <c:strRef>
              <c:f>zivin.!$G$31</c:f>
              <c:strCache>
                <c:ptCount val="1"/>
                <c:pt idx="0">
                  <c:v>2007-2013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zivin.!$G$32:$G$41</c:f>
              <c:numCache>
                <c:formatCode>##,#00</c:formatCode>
                <c:ptCount val="10"/>
                <c:pt idx="0">
                  <c:v>0.95114285714285718</c:v>
                </c:pt>
                <c:pt idx="1">
                  <c:v>7.5865714285714292</c:v>
                </c:pt>
                <c:pt idx="2">
                  <c:v>8.5385714285714283</c:v>
                </c:pt>
                <c:pt idx="3">
                  <c:v>2.8457142857142856</c:v>
                </c:pt>
                <c:pt idx="4">
                  <c:v>0.26385714285714285</c:v>
                </c:pt>
                <c:pt idx="5">
                  <c:v>2.8222857142857145</c:v>
                </c:pt>
                <c:pt idx="6">
                  <c:v>3.0857142857142859</c:v>
                </c:pt>
                <c:pt idx="7">
                  <c:v>10.402857142857142</c:v>
                </c:pt>
                <c:pt idx="8">
                  <c:v>43.001428571428569</c:v>
                </c:pt>
                <c:pt idx="9">
                  <c:v>40.89142857142857</c:v>
                </c:pt>
              </c:numCache>
            </c:numRef>
          </c:val>
          <c:extLst>
            <c:ext xmlns:c16="http://schemas.microsoft.com/office/drawing/2014/chart" uri="{C3380CC4-5D6E-409C-BE32-E72D297353CC}">
              <c16:uniqueId val="{00000000-581A-45E7-B8C9-3056ABF88865}"/>
            </c:ext>
          </c:extLst>
        </c:ser>
        <c:ser>
          <c:idx val="1"/>
          <c:order val="1"/>
          <c:tx>
            <c:strRef>
              <c:f>zivin.!$H$31</c:f>
              <c:strCache>
                <c:ptCount val="1"/>
                <c:pt idx="0">
                  <c:v>2014-2019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zivin.!$H$32:$H$41</c:f>
              <c:numCache>
                <c:formatCode>##,#00</c:formatCode>
                <c:ptCount val="10"/>
                <c:pt idx="0">
                  <c:v>1.349</c:v>
                </c:pt>
                <c:pt idx="1">
                  <c:v>11.764166666666666</c:v>
                </c:pt>
                <c:pt idx="2">
                  <c:v>13.115</c:v>
                </c:pt>
                <c:pt idx="3">
                  <c:v>3.93</c:v>
                </c:pt>
                <c:pt idx="4">
                  <c:v>1.2476666666666667</c:v>
                </c:pt>
                <c:pt idx="5">
                  <c:v>5.7503333333333337</c:v>
                </c:pt>
                <c:pt idx="6">
                  <c:v>7</c:v>
                </c:pt>
                <c:pt idx="7">
                  <c:v>12.438333333333333</c:v>
                </c:pt>
                <c:pt idx="8">
                  <c:v>43.01</c:v>
                </c:pt>
                <c:pt idx="9">
                  <c:v>40.566666666666663</c:v>
                </c:pt>
              </c:numCache>
            </c:numRef>
          </c:val>
          <c:extLst>
            <c:ext xmlns:c16="http://schemas.microsoft.com/office/drawing/2014/chart" uri="{C3380CC4-5D6E-409C-BE32-E72D297353CC}">
              <c16:uniqueId val="{00000001-581A-45E7-B8C9-3056ABF88865}"/>
            </c:ext>
          </c:extLst>
        </c:ser>
        <c:dLbls>
          <c:showLegendKey val="0"/>
          <c:showVal val="0"/>
          <c:showCatName val="0"/>
          <c:showSerName val="0"/>
          <c:showPercent val="0"/>
          <c:showBubbleSize val="0"/>
        </c:dLbls>
        <c:gapWidth val="100"/>
        <c:axId val="199637632"/>
        <c:axId val="199643520"/>
      </c:barChart>
      <c:catAx>
        <c:axId val="199637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99643520"/>
        <c:crosses val="autoZero"/>
        <c:auto val="1"/>
        <c:lblAlgn val="ctr"/>
        <c:lblOffset val="100"/>
        <c:noMultiLvlLbl val="0"/>
      </c:catAx>
      <c:valAx>
        <c:axId val="199643520"/>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996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Prašiči</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 v tisoč</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tonah, ekvivalent klavne mase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zivin.!$G$104</c:f>
              <c:strCache>
                <c:ptCount val="1"/>
                <c:pt idx="0">
                  <c:v>2007-2013</c:v>
                </c:pt>
              </c:strCache>
            </c:strRef>
          </c:tx>
          <c:spPr>
            <a:solidFill>
              <a:schemeClr val="accent1"/>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zivin.!$G$105:$G$114</c:f>
              <c:numCache>
                <c:formatCode>##,#00</c:formatCode>
                <c:ptCount val="10"/>
                <c:pt idx="0">
                  <c:v>1.4457142857142855</c:v>
                </c:pt>
                <c:pt idx="1">
                  <c:v>50.91142857142858</c:v>
                </c:pt>
                <c:pt idx="2">
                  <c:v>4.7742857142857149</c:v>
                </c:pt>
                <c:pt idx="3">
                  <c:v>46.136000000000003</c:v>
                </c:pt>
                <c:pt idx="4">
                  <c:v>3.5399999999999996</c:v>
                </c:pt>
                <c:pt idx="5">
                  <c:v>10.19</c:v>
                </c:pt>
                <c:pt idx="6">
                  <c:v>2.4062857142857146</c:v>
                </c:pt>
                <c:pt idx="7">
                  <c:v>12.595714285714285</c:v>
                </c:pt>
                <c:pt idx="8">
                  <c:v>45.552857142857142</c:v>
                </c:pt>
                <c:pt idx="9">
                  <c:v>81.704285714285717</c:v>
                </c:pt>
              </c:numCache>
            </c:numRef>
          </c:val>
          <c:extLst>
            <c:ext xmlns:c16="http://schemas.microsoft.com/office/drawing/2014/chart" uri="{C3380CC4-5D6E-409C-BE32-E72D297353CC}">
              <c16:uniqueId val="{00000000-4CF7-48E2-AB49-D04C518BED3E}"/>
            </c:ext>
          </c:extLst>
        </c:ser>
        <c:ser>
          <c:idx val="1"/>
          <c:order val="1"/>
          <c:tx>
            <c:strRef>
              <c:f>zivin.!$H$104</c:f>
              <c:strCache>
                <c:ptCount val="1"/>
                <c:pt idx="0">
                  <c:v>2014-2019</c:v>
                </c:pt>
              </c:strCache>
            </c:strRef>
          </c:tx>
          <c:spPr>
            <a:solidFill>
              <a:schemeClr val="accent2"/>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zivin.!$H$105:$H$114</c:f>
              <c:numCache>
                <c:formatCode>##,#00</c:formatCode>
                <c:ptCount val="10"/>
                <c:pt idx="0">
                  <c:v>1.7899999999999998</c:v>
                </c:pt>
                <c:pt idx="1">
                  <c:v>65.313333333333333</c:v>
                </c:pt>
                <c:pt idx="2">
                  <c:v>7.43</c:v>
                </c:pt>
                <c:pt idx="3">
                  <c:v>57.882499999999993</c:v>
                </c:pt>
                <c:pt idx="4">
                  <c:v>0.42166666666666669</c:v>
                </c:pt>
                <c:pt idx="5">
                  <c:v>12.534833333333333</c:v>
                </c:pt>
                <c:pt idx="6">
                  <c:v>4.7776666666666667</c:v>
                </c:pt>
                <c:pt idx="7">
                  <c:v>17.311666666666667</c:v>
                </c:pt>
                <c:pt idx="8">
                  <c:v>29.084999999999997</c:v>
                </c:pt>
                <c:pt idx="9">
                  <c:v>78.191666666666677</c:v>
                </c:pt>
              </c:numCache>
            </c:numRef>
          </c:val>
          <c:extLst>
            <c:ext xmlns:c16="http://schemas.microsoft.com/office/drawing/2014/chart" uri="{C3380CC4-5D6E-409C-BE32-E72D297353CC}">
              <c16:uniqueId val="{00000001-4CF7-48E2-AB49-D04C518BED3E}"/>
            </c:ext>
          </c:extLst>
        </c:ser>
        <c:dLbls>
          <c:showLegendKey val="0"/>
          <c:showVal val="0"/>
          <c:showCatName val="0"/>
          <c:showSerName val="0"/>
          <c:showPercent val="0"/>
          <c:showBubbleSize val="0"/>
        </c:dLbls>
        <c:gapWidth val="182"/>
        <c:axId val="199670016"/>
        <c:axId val="199684096"/>
      </c:barChart>
      <c:catAx>
        <c:axId val="19967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199684096"/>
        <c:crosses val="autoZero"/>
        <c:auto val="1"/>
        <c:lblAlgn val="ctr"/>
        <c:lblOffset val="100"/>
        <c:noMultiLvlLbl val="0"/>
      </c:catAx>
      <c:valAx>
        <c:axId val="199684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67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M</a:t>
            </a:r>
            <a:r>
              <a:rPr lang="en-US" sz="900">
                <a:latin typeface="Arial" panose="020B0604020202020204" pitchFamily="34" charset="0"/>
                <a:cs typeface="Arial" panose="020B0604020202020204" pitchFamily="34" charset="0"/>
              </a:rPr>
              <a:t>l</a:t>
            </a:r>
            <a:r>
              <a:rPr lang="sl-SI" sz="900">
                <a:latin typeface="Arial" panose="020B0604020202020204" pitchFamily="34" charset="0"/>
                <a:cs typeface="Arial" panose="020B0604020202020204" pitchFamily="34" charset="0"/>
              </a:rPr>
              <a:t>eko - v tisoč tonah, ekvivalent</a:t>
            </a:r>
            <a:r>
              <a:rPr lang="sl-SI" sz="900" baseline="0">
                <a:latin typeface="Arial" panose="020B0604020202020204" pitchFamily="34" charset="0"/>
                <a:cs typeface="Arial" panose="020B0604020202020204" pitchFamily="34" charset="0"/>
              </a:rPr>
              <a:t> surovega ml</a:t>
            </a:r>
            <a:r>
              <a:rPr lang="sl-SI" sz="1000" baseline="0"/>
              <a:t>eka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zivin.!$G$66</c:f>
              <c:strCache>
                <c:ptCount val="1"/>
                <c:pt idx="0">
                  <c:v>2007-2013</c:v>
                </c:pt>
              </c:strCache>
            </c:strRef>
          </c:tx>
          <c:spPr>
            <a:solidFill>
              <a:schemeClr val="accent1"/>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zivin.!$G$67:$G$74</c:f>
              <c:numCache>
                <c:formatCode>##,#00</c:formatCode>
                <c:ptCount val="8"/>
                <c:pt idx="0">
                  <c:v>172.3857142857143</c:v>
                </c:pt>
                <c:pt idx="1">
                  <c:v>32.742857142857147</c:v>
                </c:pt>
                <c:pt idx="2">
                  <c:v>205.14285714285714</c:v>
                </c:pt>
                <c:pt idx="3">
                  <c:v>110.65714285714286</c:v>
                </c:pt>
                <c:pt idx="4">
                  <c:v>20.871428571428574</c:v>
                </c:pt>
                <c:pt idx="5">
                  <c:v>164.97142857142856</c:v>
                </c:pt>
                <c:pt idx="6">
                  <c:v>296.5</c:v>
                </c:pt>
                <c:pt idx="7">
                  <c:v>623.94285714285718</c:v>
                </c:pt>
              </c:numCache>
            </c:numRef>
          </c:val>
          <c:extLst>
            <c:ext xmlns:c16="http://schemas.microsoft.com/office/drawing/2014/chart" uri="{C3380CC4-5D6E-409C-BE32-E72D297353CC}">
              <c16:uniqueId val="{00000000-3CF0-4FA1-A4F9-8AFEE1F40E1D}"/>
            </c:ext>
          </c:extLst>
        </c:ser>
        <c:ser>
          <c:idx val="1"/>
          <c:order val="1"/>
          <c:tx>
            <c:strRef>
              <c:f>zivin.!$H$66</c:f>
              <c:strCache>
                <c:ptCount val="1"/>
                <c:pt idx="0">
                  <c:v>2014-2019</c:v>
                </c:pt>
              </c:strCache>
            </c:strRef>
          </c:tx>
          <c:spPr>
            <a:solidFill>
              <a:schemeClr val="accent2"/>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zivin.!$H$67:$H$74</c:f>
              <c:numCache>
                <c:formatCode>##,#00</c:formatCode>
                <c:ptCount val="8"/>
                <c:pt idx="0">
                  <c:v>222.45000000000002</c:v>
                </c:pt>
                <c:pt idx="1">
                  <c:v>13.1</c:v>
                </c:pt>
                <c:pt idx="2">
                  <c:v>235.54999999999998</c:v>
                </c:pt>
                <c:pt idx="3">
                  <c:v>141.18333333333334</c:v>
                </c:pt>
                <c:pt idx="4">
                  <c:v>40.06666666666667</c:v>
                </c:pt>
                <c:pt idx="5">
                  <c:v>190.93333333333337</c:v>
                </c:pt>
                <c:pt idx="6">
                  <c:v>372.18333333333334</c:v>
                </c:pt>
                <c:pt idx="7">
                  <c:v>631.73333333333335</c:v>
                </c:pt>
              </c:numCache>
            </c:numRef>
          </c:val>
          <c:extLst>
            <c:ext xmlns:c16="http://schemas.microsoft.com/office/drawing/2014/chart" uri="{C3380CC4-5D6E-409C-BE32-E72D297353CC}">
              <c16:uniqueId val="{00000001-3CF0-4FA1-A4F9-8AFEE1F40E1D}"/>
            </c:ext>
          </c:extLst>
        </c:ser>
        <c:dLbls>
          <c:showLegendKey val="0"/>
          <c:showVal val="0"/>
          <c:showCatName val="0"/>
          <c:showSerName val="0"/>
          <c:showPercent val="0"/>
          <c:showBubbleSize val="0"/>
        </c:dLbls>
        <c:gapWidth val="182"/>
        <c:axId val="199583616"/>
        <c:axId val="199585152"/>
      </c:barChart>
      <c:catAx>
        <c:axId val="19958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585152"/>
        <c:crosses val="autoZero"/>
        <c:auto val="1"/>
        <c:lblAlgn val="ctr"/>
        <c:lblOffset val="100"/>
        <c:noMultiLvlLbl val="0"/>
      </c:catAx>
      <c:valAx>
        <c:axId val="1995851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58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Penetracija fiksnega širokopasovnega dostopa</a:t>
            </a:r>
          </a:p>
        </c:rich>
      </c:tx>
      <c:layout>
        <c:manualLayout>
          <c:xMode val="edge"/>
          <c:yMode val="edge"/>
          <c:x val="0.2816707135176385"/>
          <c:y val="6.629817824496077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9.4231996264567908E-2"/>
          <c:y val="0.13591514613910882"/>
          <c:w val="0.81410136112825171"/>
          <c:h val="0.58720422399962968"/>
        </c:manualLayout>
      </c:layout>
      <c:lineChart>
        <c:grouping val="standard"/>
        <c:varyColors val="0"/>
        <c:ser>
          <c:idx val="0"/>
          <c:order val="0"/>
          <c:tx>
            <c:strRef>
              <c:f>'[penetracija-fiksnega-iro.xls]Ark1'!$B$1:$B$2</c:f>
              <c:strCache>
                <c:ptCount val="2"/>
                <c:pt idx="0">
                  <c:v>Penetracija fiksnega širokopasovnega dostopa</c:v>
                </c:pt>
                <c:pt idx="1">
                  <c:v>Penetracija fiksnega širokopasovnega dostopa na gospodinjstva SURS (EU-SILC)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'[penetracija-fiksnega-iro.xls]Ark1'!$B$3:$B$30</c:f>
              <c:numCache>
                <c:formatCode>#.000</c:formatCode>
                <c:ptCount val="28"/>
                <c:pt idx="0">
                  <c:v>68.959999999999994</c:v>
                </c:pt>
                <c:pt idx="1">
                  <c:v>69.09</c:v>
                </c:pt>
                <c:pt idx="2">
                  <c:v>69.66</c:v>
                </c:pt>
                <c:pt idx="3">
                  <c:v>69.91</c:v>
                </c:pt>
                <c:pt idx="4">
                  <c:v>70.61</c:v>
                </c:pt>
                <c:pt idx="5">
                  <c:v>71.41</c:v>
                </c:pt>
                <c:pt idx="6">
                  <c:v>71.959999999999994</c:v>
                </c:pt>
                <c:pt idx="7">
                  <c:v>72.400000000000006</c:v>
                </c:pt>
                <c:pt idx="8">
                  <c:v>73.11</c:v>
                </c:pt>
                <c:pt idx="9">
                  <c:v>72.73</c:v>
                </c:pt>
                <c:pt idx="10">
                  <c:v>73.08</c:v>
                </c:pt>
                <c:pt idx="11">
                  <c:v>73.75</c:v>
                </c:pt>
                <c:pt idx="12">
                  <c:v>73.64</c:v>
                </c:pt>
              </c:numCache>
            </c:numRef>
          </c:val>
          <c:smooth val="0"/>
          <c:extLst>
            <c:ext xmlns:c16="http://schemas.microsoft.com/office/drawing/2014/chart" uri="{C3380CC4-5D6E-409C-BE32-E72D297353CC}">
              <c16:uniqueId val="{00000000-D75B-4F25-B9FE-CB6625FD9145}"/>
            </c:ext>
          </c:extLst>
        </c:ser>
        <c:ser>
          <c:idx val="1"/>
          <c:order val="1"/>
          <c:tx>
            <c:strRef>
              <c:f>'[penetracija-fiksnega-iro.xls]Ark1'!$C$1:$C$2</c:f>
              <c:strCache>
                <c:ptCount val="2"/>
                <c:pt idx="0">
                  <c:v>Penetracija fiksnega širokopasovnega dostopa</c:v>
                </c:pt>
                <c:pt idx="1">
                  <c:v>Penetracija fiksnega širokopasovnega dostopa na gospodinjstva SURS (popisi od 2015)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'[penetracija-fiksnega-iro.xls]Ark1'!$C$3:$C$30</c:f>
              <c:numCache>
                <c:formatCode>General</c:formatCode>
                <c:ptCount val="28"/>
                <c:pt idx="11" formatCode="#.000">
                  <c:v>72.25</c:v>
                </c:pt>
                <c:pt idx="12" formatCode="#.000">
                  <c:v>72.150000000000006</c:v>
                </c:pt>
                <c:pt idx="13" formatCode="#.000">
                  <c:v>73.16</c:v>
                </c:pt>
                <c:pt idx="14" formatCode="#.000">
                  <c:v>73.94</c:v>
                </c:pt>
                <c:pt idx="15" formatCode="#.000">
                  <c:v>75.41</c:v>
                </c:pt>
                <c:pt idx="16" formatCode="#.000">
                  <c:v>76.39</c:v>
                </c:pt>
                <c:pt idx="17" formatCode="#.000">
                  <c:v>77.7</c:v>
                </c:pt>
                <c:pt idx="18" formatCode="#.000">
                  <c:v>78.040000000000006</c:v>
                </c:pt>
                <c:pt idx="19" formatCode="#.000">
                  <c:v>78.63</c:v>
                </c:pt>
                <c:pt idx="20" formatCode="#.000">
                  <c:v>80.239999999999995</c:v>
                </c:pt>
                <c:pt idx="21" formatCode="#.000">
                  <c:v>81.05</c:v>
                </c:pt>
                <c:pt idx="22" formatCode="#.000">
                  <c:v>81.13</c:v>
                </c:pt>
                <c:pt idx="23" formatCode="#.000">
                  <c:v>81.3</c:v>
                </c:pt>
                <c:pt idx="24" formatCode="#.000">
                  <c:v>81.45</c:v>
                </c:pt>
                <c:pt idx="25" formatCode="#.000">
                  <c:v>81.83</c:v>
                </c:pt>
                <c:pt idx="26" formatCode="#.000">
                  <c:v>82.12</c:v>
                </c:pt>
                <c:pt idx="27" formatCode="#.000">
                  <c:v>82.6</c:v>
                </c:pt>
              </c:numCache>
            </c:numRef>
          </c:val>
          <c:smooth val="0"/>
          <c:extLst>
            <c:ext xmlns:c16="http://schemas.microsoft.com/office/drawing/2014/chart" uri="{C3380CC4-5D6E-409C-BE32-E72D297353CC}">
              <c16:uniqueId val="{00000001-D75B-4F25-B9FE-CB6625FD9145}"/>
            </c:ext>
          </c:extLst>
        </c:ser>
        <c:ser>
          <c:idx val="2"/>
          <c:order val="2"/>
          <c:tx>
            <c:strRef>
              <c:f>'[penetracija-fiksnega-iro.xls]Ark1'!$D$1:$D$2</c:f>
              <c:strCache>
                <c:ptCount val="2"/>
                <c:pt idx="0">
                  <c:v>Penetracija fiksnega širokopasovnega dostopa</c:v>
                </c:pt>
                <c:pt idx="1">
                  <c:v>Penetracija fiksnega širokopasovnega dostopa na prebivalstvo SURS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'[penetracija-fiksnega-iro.xls]Ark1'!$D$3:$D$30</c:f>
              <c:numCache>
                <c:formatCode>#.000</c:formatCode>
                <c:ptCount val="28"/>
                <c:pt idx="0">
                  <c:v>26.06</c:v>
                </c:pt>
                <c:pt idx="1">
                  <c:v>26.3</c:v>
                </c:pt>
                <c:pt idx="2">
                  <c:v>26.51</c:v>
                </c:pt>
                <c:pt idx="3">
                  <c:v>26.59</c:v>
                </c:pt>
                <c:pt idx="4">
                  <c:v>26.84</c:v>
                </c:pt>
                <c:pt idx="5">
                  <c:v>27.52</c:v>
                </c:pt>
                <c:pt idx="6">
                  <c:v>27.73</c:v>
                </c:pt>
                <c:pt idx="7">
                  <c:v>27.9</c:v>
                </c:pt>
                <c:pt idx="8">
                  <c:v>28.15</c:v>
                </c:pt>
                <c:pt idx="9">
                  <c:v>28.34</c:v>
                </c:pt>
                <c:pt idx="10">
                  <c:v>28.49</c:v>
                </c:pt>
                <c:pt idx="11">
                  <c:v>28.73</c:v>
                </c:pt>
                <c:pt idx="12">
                  <c:v>28.67</c:v>
                </c:pt>
                <c:pt idx="13">
                  <c:v>29.08</c:v>
                </c:pt>
                <c:pt idx="14">
                  <c:v>29.39</c:v>
                </c:pt>
                <c:pt idx="15">
                  <c:v>29.98</c:v>
                </c:pt>
                <c:pt idx="16">
                  <c:v>30.34</c:v>
                </c:pt>
                <c:pt idx="17">
                  <c:v>30.86</c:v>
                </c:pt>
                <c:pt idx="18">
                  <c:v>31.01</c:v>
                </c:pt>
                <c:pt idx="19">
                  <c:v>31.23</c:v>
                </c:pt>
                <c:pt idx="20">
                  <c:v>31.87</c:v>
                </c:pt>
                <c:pt idx="21">
                  <c:v>32.18</c:v>
                </c:pt>
                <c:pt idx="22">
                  <c:v>32.200000000000003</c:v>
                </c:pt>
                <c:pt idx="23">
                  <c:v>32.229999999999997</c:v>
                </c:pt>
                <c:pt idx="24">
                  <c:v>32.340000000000003</c:v>
                </c:pt>
                <c:pt idx="25">
                  <c:v>32.49</c:v>
                </c:pt>
                <c:pt idx="26">
                  <c:v>32.49</c:v>
                </c:pt>
                <c:pt idx="27">
                  <c:v>32.6</c:v>
                </c:pt>
              </c:numCache>
            </c:numRef>
          </c:val>
          <c:smooth val="0"/>
          <c:extLst>
            <c:ext xmlns:c16="http://schemas.microsoft.com/office/drawing/2014/chart" uri="{C3380CC4-5D6E-409C-BE32-E72D297353CC}">
              <c16:uniqueId val="{00000002-D75B-4F25-B9FE-CB6625FD9145}"/>
            </c:ext>
          </c:extLst>
        </c:ser>
        <c:dLbls>
          <c:showLegendKey val="0"/>
          <c:showVal val="0"/>
          <c:showCatName val="0"/>
          <c:showSerName val="0"/>
          <c:showPercent val="0"/>
          <c:showBubbleSize val="0"/>
        </c:dLbls>
        <c:marker val="1"/>
        <c:smooth val="0"/>
        <c:axId val="115609984"/>
        <c:axId val="115611520"/>
      </c:lineChart>
      <c:catAx>
        <c:axId val="1156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15611520"/>
        <c:crosses val="autoZero"/>
        <c:auto val="1"/>
        <c:lblAlgn val="ctr"/>
        <c:lblOffset val="100"/>
        <c:noMultiLvlLbl val="0"/>
      </c:catAx>
      <c:valAx>
        <c:axId val="11561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v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15609984"/>
        <c:crosses val="autoZero"/>
        <c:crossBetween val="between"/>
      </c:valAx>
      <c:spPr>
        <a:gradFill>
          <a:gsLst>
            <a:gs pos="55000">
              <a:schemeClr val="bg1">
                <a:lumMod val="95000"/>
              </a:schemeClr>
            </a:gs>
            <a:gs pos="93000">
              <a:schemeClr val="bg1">
                <a:lumMod val="85000"/>
              </a:schemeClr>
            </a:gs>
            <a:gs pos="100000">
              <a:schemeClr val="accent1">
                <a:lumMod val="45000"/>
                <a:lumOff val="55000"/>
              </a:schemeClr>
            </a:gs>
            <a:gs pos="79624">
              <a:srgbClr val="E2E2E2"/>
            </a:gs>
            <a:gs pos="99000">
              <a:schemeClr val="bg1">
                <a:lumMod val="95000"/>
              </a:schemeClr>
            </a:gs>
          </a:gsLst>
          <a:lin ang="5400000" scaled="1"/>
        </a:gradFill>
        <a:ln>
          <a:solidFill>
            <a:schemeClr val="accent1"/>
          </a:solidFill>
        </a:ln>
        <a:effectLst/>
      </c:spPr>
    </c:plotArea>
    <c:legend>
      <c:legendPos val="b"/>
      <c:layout>
        <c:manualLayout>
          <c:xMode val="edge"/>
          <c:yMode val="edge"/>
          <c:x val="7.8220420467243576E-2"/>
          <c:y val="0.8487536280187199"/>
          <c:w val="0.84355898581984179"/>
          <c:h val="0.1512463719812801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sl-SI" sz="900" b="1"/>
              <a:t> Neto dodana vrednost / PDM, v </a:t>
            </a:r>
            <a:r>
              <a:rPr lang="en-US" sz="900" b="1"/>
              <a:t>2019</a:t>
            </a:r>
            <a:r>
              <a:rPr lang="sl-SI" sz="900" b="1"/>
              <a:t>, v EUR</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1304281409268285"/>
          <c:y val="5.6754338879942745E-2"/>
          <c:w val="0.83585652020181411"/>
          <c:h val="0.83426145311381528"/>
        </c:manualLayout>
      </c:layout>
      <c:barChart>
        <c:barDir val="bar"/>
        <c:grouping val="clustered"/>
        <c:varyColors val="0"/>
        <c:ser>
          <c:idx val="0"/>
          <c:order val="0"/>
          <c:tx>
            <c:strRef>
              <c:f>'Neto dod. vr. na AWU'!$B$175</c:f>
              <c:strCache>
                <c:ptCount val="1"/>
                <c:pt idx="0">
                  <c:v>2019</c:v>
                </c:pt>
              </c:strCache>
            </c:strRef>
          </c:tx>
          <c:spPr>
            <a:solidFill>
              <a:srgbClr val="92D05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1-661A-481E-AB8C-B1ACCDCB9C48}"/>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'Neto dod. vr. na AWU'!$A$176:$A$203</c:f>
              <c:strCache>
                <c:ptCount val="28"/>
                <c:pt idx="0">
                  <c:v>FI</c:v>
                </c:pt>
                <c:pt idx="1">
                  <c:v>SI</c:v>
                </c:pt>
                <c:pt idx="2">
                  <c:v>HR</c:v>
                </c:pt>
                <c:pt idx="3">
                  <c:v>RO</c:v>
                </c:pt>
                <c:pt idx="4">
                  <c:v>PL</c:v>
                </c:pt>
                <c:pt idx="5">
                  <c:v>LV</c:v>
                </c:pt>
                <c:pt idx="6">
                  <c:v>LU</c:v>
                </c:pt>
                <c:pt idx="7">
                  <c:v>SK</c:v>
                </c:pt>
                <c:pt idx="8">
                  <c:v>HU</c:v>
                </c:pt>
                <c:pt idx="9">
                  <c:v>LT</c:v>
                </c:pt>
                <c:pt idx="10">
                  <c:v>BG</c:v>
                </c:pt>
                <c:pt idx="11">
                  <c:v>CZ</c:v>
                </c:pt>
                <c:pt idx="12">
                  <c:v>PT</c:v>
                </c:pt>
                <c:pt idx="13">
                  <c:v>EE</c:v>
                </c:pt>
                <c:pt idx="14">
                  <c:v>SE</c:v>
                </c:pt>
                <c:pt idx="15">
                  <c:v>EL</c:v>
                </c:pt>
                <c:pt idx="16">
                  <c:v>MT</c:v>
                </c:pt>
                <c:pt idx="17">
                  <c:v>IE</c:v>
                </c:pt>
                <c:pt idx="18">
                  <c:v>AT</c:v>
                </c:pt>
                <c:pt idx="19">
                  <c:v>EU27_2020</c:v>
                </c:pt>
                <c:pt idx="20">
                  <c:v>CY</c:v>
                </c:pt>
                <c:pt idx="21">
                  <c:v>IT</c:v>
                </c:pt>
                <c:pt idx="22">
                  <c:v>DE</c:v>
                </c:pt>
                <c:pt idx="23">
                  <c:v>ES</c:v>
                </c:pt>
                <c:pt idx="24">
                  <c:v>BE</c:v>
                </c:pt>
                <c:pt idx="25">
                  <c:v>FR</c:v>
                </c:pt>
                <c:pt idx="26">
                  <c:v>DK</c:v>
                </c:pt>
                <c:pt idx="27">
                  <c:v>NL</c:v>
                </c:pt>
              </c:strCache>
            </c:strRef>
          </c:cat>
          <c:val>
            <c:numRef>
              <c:f>'Neto dod. vr. na AWU'!$B$176:$B$203</c:f>
              <c:numCache>
                <c:formatCode>###,000</c:formatCode>
                <c:ptCount val="28"/>
                <c:pt idx="0">
                  <c:v>919.86417657045843</c:v>
                </c:pt>
                <c:pt idx="1">
                  <c:v>3964.3041237113403</c:v>
                </c:pt>
                <c:pt idx="2">
                  <c:v>4271.4841515047492</c:v>
                </c:pt>
                <c:pt idx="3">
                  <c:v>4367.7553956834536</c:v>
                </c:pt>
                <c:pt idx="4">
                  <c:v>5131.4357321876123</c:v>
                </c:pt>
                <c:pt idx="5">
                  <c:v>5514.3640825754292</c:v>
                </c:pt>
                <c:pt idx="6">
                  <c:v>6245.5089820359281</c:v>
                </c:pt>
                <c:pt idx="7">
                  <c:v>6591.5367483296213</c:v>
                </c:pt>
                <c:pt idx="8">
                  <c:v>6648.6183524504695</c:v>
                </c:pt>
                <c:pt idx="9">
                  <c:v>7191.1127167630057</c:v>
                </c:pt>
                <c:pt idx="10">
                  <c:v>7378.4736842105267</c:v>
                </c:pt>
                <c:pt idx="11">
                  <c:v>8475.464826528656</c:v>
                </c:pt>
                <c:pt idx="12">
                  <c:v>9931.520902795588</c:v>
                </c:pt>
                <c:pt idx="13">
                  <c:v>10333.673469387755</c:v>
                </c:pt>
                <c:pt idx="14">
                  <c:v>10931.386861313869</c:v>
                </c:pt>
                <c:pt idx="15">
                  <c:v>10971.431998081074</c:v>
                </c:pt>
                <c:pt idx="16">
                  <c:v>11019.84126984127</c:v>
                </c:pt>
                <c:pt idx="17">
                  <c:v>12506.471686372122</c:v>
                </c:pt>
                <c:pt idx="18">
                  <c:v>12692.682078915348</c:v>
                </c:pt>
                <c:pt idx="19">
                  <c:v>13192.034136169681</c:v>
                </c:pt>
                <c:pt idx="20">
                  <c:v>15970.833333333334</c:v>
                </c:pt>
                <c:pt idx="21">
                  <c:v>17717.378942692136</c:v>
                </c:pt>
                <c:pt idx="22">
                  <c:v>20025.253592561286</c:v>
                </c:pt>
                <c:pt idx="23">
                  <c:v>24616.590616590616</c:v>
                </c:pt>
                <c:pt idx="24">
                  <c:v>27346.209126841539</c:v>
                </c:pt>
                <c:pt idx="25">
                  <c:v>27984.374156636262</c:v>
                </c:pt>
                <c:pt idx="26">
                  <c:v>42389.416806409543</c:v>
                </c:pt>
                <c:pt idx="27">
                  <c:v>45790.675547097999</c:v>
                </c:pt>
              </c:numCache>
            </c:numRef>
          </c:val>
          <c:extLst>
            <c:ext xmlns:c16="http://schemas.microsoft.com/office/drawing/2014/chart" uri="{C3380CC4-5D6E-409C-BE32-E72D297353CC}">
              <c16:uniqueId val="{00000002-661A-481E-AB8C-B1ACCDCB9C48}"/>
            </c:ext>
          </c:extLst>
        </c:ser>
        <c:dLbls>
          <c:showLegendKey val="0"/>
          <c:showVal val="0"/>
          <c:showCatName val="0"/>
          <c:showSerName val="0"/>
          <c:showPercent val="0"/>
          <c:showBubbleSize val="0"/>
        </c:dLbls>
        <c:gapWidth val="182"/>
        <c:axId val="144485376"/>
        <c:axId val="154407680"/>
      </c:barChart>
      <c:catAx>
        <c:axId val="1444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407680"/>
        <c:crosses val="autoZero"/>
        <c:auto val="1"/>
        <c:lblAlgn val="ctr"/>
        <c:lblOffset val="100"/>
        <c:noMultiLvlLbl val="0"/>
      </c:catAx>
      <c:valAx>
        <c:axId val="1544076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44485376"/>
        <c:crosses val="autoZero"/>
        <c:crossBetween val="between"/>
      </c:valAx>
      <c:spPr>
        <a:gradFill>
          <a:gsLst>
            <a:gs pos="79210">
              <a:schemeClr val="bg1">
                <a:lumMod val="85000"/>
                <a:alpha val="99000"/>
              </a:schemeClr>
            </a:gs>
            <a:gs pos="67000">
              <a:schemeClr val="bg1">
                <a:lumMod val="85000"/>
              </a:schemeClr>
            </a:gs>
            <a:gs pos="0">
              <a:schemeClr val="bg1"/>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 GFCF v </a:t>
            </a:r>
            <a:r>
              <a:rPr lang="sl-SI" sz="800" b="1"/>
              <a:t>BDV</a:t>
            </a:r>
            <a:endParaRPr lang="en-US" sz="800" b="1"/>
          </a:p>
        </c:rich>
      </c:tx>
      <c:overlay val="0"/>
      <c:spPr>
        <a:noFill/>
        <a:ln>
          <a:noFill/>
        </a:ln>
        <a:effectLst/>
      </c:spPr>
    </c:title>
    <c:autoTitleDeleted val="0"/>
    <c:plotArea>
      <c:layout/>
      <c:barChart>
        <c:barDir val="col"/>
        <c:grouping val="clustered"/>
        <c:varyColors val="0"/>
        <c:ser>
          <c:idx val="0"/>
          <c:order val="0"/>
          <c:tx>
            <c:strRef>
              <c:f>Data!$B$92</c:f>
              <c:strCache>
                <c:ptCount val="1"/>
                <c:pt idx="0">
                  <c:v>2005</c:v>
                </c:pt>
              </c:strCache>
            </c:strRef>
          </c:tx>
          <c:spPr>
            <a:solidFill>
              <a:schemeClr val="accent1"/>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Data!$B$93:$B$120</c:f>
              <c:numCache>
                <c:formatCode>###,000</c:formatCode>
                <c:ptCount val="28"/>
                <c:pt idx="0">
                  <c:v>32.130024830893056</c:v>
                </c:pt>
                <c:pt idx="1">
                  <c:v>31.334925211749866</c:v>
                </c:pt>
                <c:pt idx="2">
                  <c:v>9.9083055962078923</c:v>
                </c:pt>
                <c:pt idx="3">
                  <c:v>47.574057966667667</c:v>
                </c:pt>
                <c:pt idx="4">
                  <c:v>73.902045844746468</c:v>
                </c:pt>
                <c:pt idx="5">
                  <c:v>55.691151780438709</c:v>
                </c:pt>
                <c:pt idx="6">
                  <c:v>78.861714285714285</c:v>
                </c:pt>
                <c:pt idx="7">
                  <c:v>32.997461890205138</c:v>
                </c:pt>
                <c:pt idx="8">
                  <c:v>21.038706064499127</c:v>
                </c:pt>
                <c:pt idx="9">
                  <c:v>13.758644594431027</c:v>
                </c:pt>
                <c:pt idx="10">
                  <c:v>31.334948339470586</c:v>
                </c:pt>
                <c:pt idx="11">
                  <c:v>37.760598020116184</c:v>
                </c:pt>
                <c:pt idx="12">
                  <c:v>39.330544962566492</c:v>
                </c:pt>
                <c:pt idx="13">
                  <c:v>11.386272680769116</c:v>
                </c:pt>
                <c:pt idx="14">
                  <c:v>101.72524646378056</c:v>
                </c:pt>
                <c:pt idx="15">
                  <c:v>46.528239202657815</c:v>
                </c:pt>
                <c:pt idx="16">
                  <c:v>96.516618424992515</c:v>
                </c:pt>
                <c:pt idx="17">
                  <c:v>28.509825524690246</c:v>
                </c:pt>
                <c:pt idx="18">
                  <c:v>16.969382459782047</c:v>
                </c:pt>
                <c:pt idx="19">
                  <c:v>35.447658640799126</c:v>
                </c:pt>
                <c:pt idx="20">
                  <c:v>65.802565291577935</c:v>
                </c:pt>
                <c:pt idx="21">
                  <c:v>12.964376402382676</c:v>
                </c:pt>
                <c:pt idx="22">
                  <c:v>27.762654490270439</c:v>
                </c:pt>
                <c:pt idx="23">
                  <c:v>8.0895659367648207</c:v>
                </c:pt>
                <c:pt idx="24">
                  <c:v>45.94840154668583</c:v>
                </c:pt>
                <c:pt idx="25">
                  <c:v>33.935162538355499</c:v>
                </c:pt>
                <c:pt idx="26">
                  <c:v>70.658698261913457</c:v>
                </c:pt>
                <c:pt idx="27">
                  <c:v>70.595074687121524</c:v>
                </c:pt>
              </c:numCache>
            </c:numRef>
          </c:val>
          <c:extLst>
            <c:ext xmlns:c16="http://schemas.microsoft.com/office/drawing/2014/chart" uri="{C3380CC4-5D6E-409C-BE32-E72D297353CC}">
              <c16:uniqueId val="{00000000-924E-4386-B398-1654D2A496E4}"/>
            </c:ext>
          </c:extLst>
        </c:ser>
        <c:ser>
          <c:idx val="5"/>
          <c:order val="1"/>
          <c:tx>
            <c:strRef>
              <c:f>Data!$G$92</c:f>
              <c:strCache>
                <c:ptCount val="1"/>
                <c:pt idx="0">
                  <c:v>2010</c:v>
                </c:pt>
              </c:strCache>
            </c:strRef>
          </c:tx>
          <c:spPr>
            <a:solidFill>
              <a:srgbClr val="FFC00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Data!$G$93:$G$120</c:f>
              <c:numCache>
                <c:formatCode>###,000</c:formatCode>
                <c:ptCount val="28"/>
                <c:pt idx="0">
                  <c:v>34.075311610809607</c:v>
                </c:pt>
                <c:pt idx="1">
                  <c:v>48.81368586257139</c:v>
                </c:pt>
                <c:pt idx="2">
                  <c:v>11.27282115590307</c:v>
                </c:pt>
                <c:pt idx="3">
                  <c:v>46.447307155051995</c:v>
                </c:pt>
                <c:pt idx="4">
                  <c:v>46.457960442628305</c:v>
                </c:pt>
                <c:pt idx="5">
                  <c:v>46.977647179182711</c:v>
                </c:pt>
                <c:pt idx="6">
                  <c:v>55.727078891257996</c:v>
                </c:pt>
                <c:pt idx="7">
                  <c:v>31.620829462556081</c:v>
                </c:pt>
                <c:pt idx="8">
                  <c:v>25.492405831779958</c:v>
                </c:pt>
                <c:pt idx="9">
                  <c:v>17.23450621164389</c:v>
                </c:pt>
                <c:pt idx="10">
                  <c:v>35.780319643389099</c:v>
                </c:pt>
                <c:pt idx="11">
                  <c:v>25.45755856822678</c:v>
                </c:pt>
                <c:pt idx="12">
                  <c:v>37.08757532745561</c:v>
                </c:pt>
                <c:pt idx="13">
                  <c:v>3.6682970208981773</c:v>
                </c:pt>
                <c:pt idx="14">
                  <c:v>61.571349955551788</c:v>
                </c:pt>
                <c:pt idx="15">
                  <c:v>55.762493085008302</c:v>
                </c:pt>
                <c:pt idx="16">
                  <c:v>133.51151315789474</c:v>
                </c:pt>
                <c:pt idx="17">
                  <c:v>35.754533086966234</c:v>
                </c:pt>
                <c:pt idx="18">
                  <c:v>38.477331052181349</c:v>
                </c:pt>
                <c:pt idx="19">
                  <c:v>43.479988361870738</c:v>
                </c:pt>
                <c:pt idx="20">
                  <c:v>71.18219771078212</c:v>
                </c:pt>
                <c:pt idx="21">
                  <c:v>12.620313583307938</c:v>
                </c:pt>
                <c:pt idx="22">
                  <c:v>30.605412714946183</c:v>
                </c:pt>
                <c:pt idx="23">
                  <c:v>16.925611659882669</c:v>
                </c:pt>
                <c:pt idx="24">
                  <c:v>53.744493392070481</c:v>
                </c:pt>
                <c:pt idx="25">
                  <c:v>45.728671019143526</c:v>
                </c:pt>
                <c:pt idx="26">
                  <c:v>75.921158264817421</c:v>
                </c:pt>
                <c:pt idx="27">
                  <c:v>69.406619812929577</c:v>
                </c:pt>
              </c:numCache>
            </c:numRef>
          </c:val>
          <c:extLst>
            <c:ext xmlns:c16="http://schemas.microsoft.com/office/drawing/2014/chart" uri="{C3380CC4-5D6E-409C-BE32-E72D297353CC}">
              <c16:uniqueId val="{00000001-924E-4386-B398-1654D2A496E4}"/>
            </c:ext>
          </c:extLst>
        </c:ser>
        <c:ser>
          <c:idx val="13"/>
          <c:order val="2"/>
          <c:tx>
            <c:strRef>
              <c:f>Data!$O$92</c:f>
              <c:strCache>
                <c:ptCount val="1"/>
                <c:pt idx="0">
                  <c:v>2018</c:v>
                </c:pt>
              </c:strCache>
            </c:strRef>
          </c:tx>
          <c:spPr>
            <a:solidFill>
              <a:srgbClr val="92D05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Data!$O$93:$O$120</c:f>
              <c:numCache>
                <c:formatCode>###,000</c:formatCode>
                <c:ptCount val="28"/>
                <c:pt idx="0">
                  <c:v>31.604988201450151</c:v>
                </c:pt>
                <c:pt idx="1">
                  <c:v>56.886423143077337</c:v>
                </c:pt>
                <c:pt idx="2">
                  <c:v>16.965639481495717</c:v>
                </c:pt>
                <c:pt idx="3">
                  <c:v>56.544335077541199</c:v>
                </c:pt>
                <c:pt idx="4">
                  <c:v>50.052222142188285</c:v>
                </c:pt>
                <c:pt idx="5">
                  <c:v>56.34275635532012</c:v>
                </c:pt>
                <c:pt idx="6">
                  <c:v>108.6785488805789</c:v>
                </c:pt>
                <c:pt idx="7">
                  <c:v>38.952127016738174</c:v>
                </c:pt>
                <c:pt idx="8">
                  <c:v>22.836650042890088</c:v>
                </c:pt>
                <c:pt idx="9">
                  <c:v>15.768485518631545</c:v>
                </c:pt>
                <c:pt idx="10">
                  <c:v>31.67508572648039</c:v>
                </c:pt>
                <c:pt idx="11">
                  <c:v>21.482254311777524</c:v>
                </c:pt>
                <c:pt idx="12">
                  <c:v>26.876111181784275</c:v>
                </c:pt>
                <c:pt idx="13">
                  <c:v>7.3550087873462218</c:v>
                </c:pt>
                <c:pt idx="14">
                  <c:v>128.9255289914812</c:v>
                </c:pt>
                <c:pt idx="15">
                  <c:v>64.686988667353504</c:v>
                </c:pt>
                <c:pt idx="16">
                  <c:v>89.829274213124037</c:v>
                </c:pt>
                <c:pt idx="17">
                  <c:v>30.09114154934862</c:v>
                </c:pt>
                <c:pt idx="18">
                  <c:v>16.363953894516243</c:v>
                </c:pt>
                <c:pt idx="19">
                  <c:v>44.38579919546374</c:v>
                </c:pt>
                <c:pt idx="20">
                  <c:v>65.291160518388182</c:v>
                </c:pt>
                <c:pt idx="21">
                  <c:v>13.431675367054249</c:v>
                </c:pt>
                <c:pt idx="22">
                  <c:v>34.080384330919053</c:v>
                </c:pt>
                <c:pt idx="23">
                  <c:v>11.656214620685676</c:v>
                </c:pt>
                <c:pt idx="24">
                  <c:v>49.165069805639199</c:v>
                </c:pt>
                <c:pt idx="25">
                  <c:v>31.146389694875161</c:v>
                </c:pt>
                <c:pt idx="26">
                  <c:v>87.342635993031976</c:v>
                </c:pt>
                <c:pt idx="27">
                  <c:v>81.224371482706928</c:v>
                </c:pt>
              </c:numCache>
            </c:numRef>
          </c:val>
          <c:extLst>
            <c:ext xmlns:c16="http://schemas.microsoft.com/office/drawing/2014/chart" uri="{C3380CC4-5D6E-409C-BE32-E72D297353CC}">
              <c16:uniqueId val="{00000002-924E-4386-B398-1654D2A496E4}"/>
            </c:ext>
          </c:extLst>
        </c:ser>
        <c:dLbls>
          <c:showLegendKey val="0"/>
          <c:showVal val="0"/>
          <c:showCatName val="0"/>
          <c:showSerName val="0"/>
          <c:showPercent val="0"/>
          <c:showBubbleSize val="0"/>
        </c:dLbls>
        <c:gapWidth val="75"/>
        <c:axId val="154460160"/>
        <c:axId val="154461696"/>
      </c:barChart>
      <c:catAx>
        <c:axId val="1544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54461696"/>
        <c:crosses val="autoZero"/>
        <c:auto val="1"/>
        <c:lblAlgn val="ctr"/>
        <c:lblOffset val="100"/>
        <c:noMultiLvlLbl val="0"/>
      </c:catAx>
      <c:valAx>
        <c:axId val="1544616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460160"/>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8938266079562128"/>
          <c:y val="0.77464404061664127"/>
          <c:w val="0.19911795002181179"/>
          <c:h val="7.64259650470520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6984648501671E-2"/>
          <c:y val="4.2759961127308066E-2"/>
          <c:w val="0.91445608867236905"/>
          <c:h val="0.61180032823765884"/>
        </c:manualLayout>
      </c:layout>
      <c:barChart>
        <c:barDir val="bar"/>
        <c:grouping val="stacked"/>
        <c:varyColors val="0"/>
        <c:ser>
          <c:idx val="0"/>
          <c:order val="0"/>
          <c:tx>
            <c:strRef>
              <c:f>'[GFCF PO INVESTICIJI 2005-2019 aact_eaa01.xls]Data'!$A$29</c:f>
              <c:strCache>
                <c:ptCount val="1"/>
                <c:pt idx="0">
                  <c:v>neopredmetena osnovna sredstva (npr. računalniška programska oprema)</c:v>
                </c:pt>
              </c:strCache>
            </c:strRef>
          </c:tx>
          <c:spPr>
            <a:solidFill>
              <a:schemeClr val="accent1"/>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aact_eaa01.xls]Data'!$B$29:$O$29</c:f>
              <c:numCache>
                <c:formatCode>###,000</c:formatCode>
                <c:ptCount val="14"/>
                <c:pt idx="0">
                  <c:v>0</c:v>
                </c:pt>
                <c:pt idx="1">
                  <c:v>0</c:v>
                </c:pt>
                <c:pt idx="2">
                  <c:v>0</c:v>
                </c:pt>
                <c:pt idx="3">
                  <c:v>0</c:v>
                </c:pt>
                <c:pt idx="4">
                  <c:v>0.33</c:v>
                </c:pt>
                <c:pt idx="5">
                  <c:v>0.53</c:v>
                </c:pt>
                <c:pt idx="6">
                  <c:v>0.46</c:v>
                </c:pt>
                <c:pt idx="7">
                  <c:v>0.49</c:v>
                </c:pt>
                <c:pt idx="8">
                  <c:v>0.08</c:v>
                </c:pt>
                <c:pt idx="9">
                  <c:v>0.01</c:v>
                </c:pt>
                <c:pt idx="10">
                  <c:v>0.41</c:v>
                </c:pt>
                <c:pt idx="11">
                  <c:v>0.02</c:v>
                </c:pt>
                <c:pt idx="12">
                  <c:v>0.01</c:v>
                </c:pt>
                <c:pt idx="13">
                  <c:v>0.01</c:v>
                </c:pt>
              </c:numCache>
            </c:numRef>
          </c:val>
          <c:extLst>
            <c:ext xmlns:c16="http://schemas.microsoft.com/office/drawing/2014/chart" uri="{C3380CC4-5D6E-409C-BE32-E72D297353CC}">
              <c16:uniqueId val="{00000000-FF05-4DED-B936-66BC18F7B029}"/>
            </c:ext>
          </c:extLst>
        </c:ser>
        <c:ser>
          <c:idx val="1"/>
          <c:order val="1"/>
          <c:tx>
            <c:strRef>
              <c:f>'[GFCF PO INVESTICIJI 2005-2019 aact_eaa01.xls]Data'!$A$30</c:f>
              <c:strCache>
                <c:ptCount val="1"/>
                <c:pt idx="0">
                  <c:v>bistvena izboljšava zemljišč</c:v>
                </c:pt>
              </c:strCache>
            </c:strRef>
          </c:tx>
          <c:spPr>
            <a:solidFill>
              <a:schemeClr val="accent2"/>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aact_eaa01.xls]Data'!$B$30:$O$30</c:f>
              <c:numCache>
                <c:formatCode>###,000</c:formatCode>
                <c:ptCount val="14"/>
                <c:pt idx="0">
                  <c:v>1.51</c:v>
                </c:pt>
                <c:pt idx="1">
                  <c:v>1.19</c:v>
                </c:pt>
                <c:pt idx="2">
                  <c:v>0.65</c:v>
                </c:pt>
                <c:pt idx="3">
                  <c:v>0.71</c:v>
                </c:pt>
                <c:pt idx="4">
                  <c:v>0.78</c:v>
                </c:pt>
                <c:pt idx="5">
                  <c:v>0.71</c:v>
                </c:pt>
                <c:pt idx="6">
                  <c:v>0.66</c:v>
                </c:pt>
                <c:pt idx="7">
                  <c:v>0.62</c:v>
                </c:pt>
                <c:pt idx="8">
                  <c:v>0.59</c:v>
                </c:pt>
                <c:pt idx="9">
                  <c:v>0.56000000000000005</c:v>
                </c:pt>
                <c:pt idx="10">
                  <c:v>0.52</c:v>
                </c:pt>
                <c:pt idx="11">
                  <c:v>0.51</c:v>
                </c:pt>
                <c:pt idx="12">
                  <c:v>0.62</c:v>
                </c:pt>
                <c:pt idx="13">
                  <c:v>0.47</c:v>
                </c:pt>
              </c:numCache>
            </c:numRef>
          </c:val>
          <c:extLst>
            <c:ext xmlns:c16="http://schemas.microsoft.com/office/drawing/2014/chart" uri="{C3380CC4-5D6E-409C-BE32-E72D297353CC}">
              <c16:uniqueId val="{00000001-FF05-4DED-B936-66BC18F7B029}"/>
            </c:ext>
          </c:extLst>
        </c:ser>
        <c:ser>
          <c:idx val="2"/>
          <c:order val="2"/>
          <c:tx>
            <c:strRef>
              <c:f>'[GFCF PO INVESTICIJI 2005-2019 aact_eaa01.xls]Data'!$A$31</c:f>
              <c:strCache>
                <c:ptCount val="1"/>
                <c:pt idx="0">
                  <c:v>osnovna čreda</c:v>
                </c:pt>
              </c:strCache>
            </c:strRef>
          </c:tx>
          <c:spPr>
            <a:solidFill>
              <a:schemeClr val="accent3"/>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aact_eaa01.xls]Data'!$B$31:$O$31</c:f>
              <c:numCache>
                <c:formatCode>###,000</c:formatCode>
                <c:ptCount val="14"/>
                <c:pt idx="0">
                  <c:v>12.06</c:v>
                </c:pt>
                <c:pt idx="1">
                  <c:v>10.41</c:v>
                </c:pt>
                <c:pt idx="2">
                  <c:v>18.25</c:v>
                </c:pt>
                <c:pt idx="3">
                  <c:v>13.18</c:v>
                </c:pt>
                <c:pt idx="4">
                  <c:v>13.54</c:v>
                </c:pt>
                <c:pt idx="5">
                  <c:v>14.58</c:v>
                </c:pt>
                <c:pt idx="6">
                  <c:v>11.93</c:v>
                </c:pt>
                <c:pt idx="7">
                  <c:v>6.94</c:v>
                </c:pt>
                <c:pt idx="8">
                  <c:v>10.58</c:v>
                </c:pt>
                <c:pt idx="9">
                  <c:v>17.760000000000002</c:v>
                </c:pt>
                <c:pt idx="10">
                  <c:v>18.760000000000002</c:v>
                </c:pt>
                <c:pt idx="11">
                  <c:v>14.92</c:v>
                </c:pt>
                <c:pt idx="12">
                  <c:v>12.18</c:v>
                </c:pt>
                <c:pt idx="13">
                  <c:v>12.58</c:v>
                </c:pt>
              </c:numCache>
            </c:numRef>
          </c:val>
          <c:extLst>
            <c:ext xmlns:c16="http://schemas.microsoft.com/office/drawing/2014/chart" uri="{C3380CC4-5D6E-409C-BE32-E72D297353CC}">
              <c16:uniqueId val="{00000002-FF05-4DED-B936-66BC18F7B029}"/>
            </c:ext>
          </c:extLst>
        </c:ser>
        <c:ser>
          <c:idx val="3"/>
          <c:order val="3"/>
          <c:tx>
            <c:strRef>
              <c:f>'[GFCF PO INVESTICIJI 2005-2019 aact_eaa01.xls]Data'!$A$32</c:f>
              <c:strCache>
                <c:ptCount val="1"/>
                <c:pt idx="0">
                  <c:v>trajni nasadi</c:v>
                </c:pt>
              </c:strCache>
            </c:strRef>
          </c:tx>
          <c:spPr>
            <a:solidFill>
              <a:schemeClr val="accent4"/>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aact_eaa01.xls]Data'!$B$32:$O$32</c:f>
              <c:numCache>
                <c:formatCode>###,000</c:formatCode>
                <c:ptCount val="14"/>
                <c:pt idx="0">
                  <c:v>16.07</c:v>
                </c:pt>
                <c:pt idx="1">
                  <c:v>13.72</c:v>
                </c:pt>
                <c:pt idx="2">
                  <c:v>12.85</c:v>
                </c:pt>
                <c:pt idx="3">
                  <c:v>12.99</c:v>
                </c:pt>
                <c:pt idx="4">
                  <c:v>17.489999999999998</c:v>
                </c:pt>
                <c:pt idx="5">
                  <c:v>10.6</c:v>
                </c:pt>
                <c:pt idx="6">
                  <c:v>10.119999999999999</c:v>
                </c:pt>
                <c:pt idx="7">
                  <c:v>13.32</c:v>
                </c:pt>
                <c:pt idx="8">
                  <c:v>16.68</c:v>
                </c:pt>
                <c:pt idx="9">
                  <c:v>18.920000000000002</c:v>
                </c:pt>
                <c:pt idx="10">
                  <c:v>19.170000000000002</c:v>
                </c:pt>
                <c:pt idx="11">
                  <c:v>19.559999999999999</c:v>
                </c:pt>
                <c:pt idx="12">
                  <c:v>21.38</c:v>
                </c:pt>
                <c:pt idx="13">
                  <c:v>20.22</c:v>
                </c:pt>
              </c:numCache>
            </c:numRef>
          </c:val>
          <c:extLst>
            <c:ext xmlns:c16="http://schemas.microsoft.com/office/drawing/2014/chart" uri="{C3380CC4-5D6E-409C-BE32-E72D297353CC}">
              <c16:uniqueId val="{00000003-FF05-4DED-B936-66BC18F7B029}"/>
            </c:ext>
          </c:extLst>
        </c:ser>
        <c:ser>
          <c:idx val="4"/>
          <c:order val="4"/>
          <c:tx>
            <c:strRef>
              <c:f>'[GFCF PO INVESTICIJI 2005-2019 aact_eaa01.xls]Data'!$A$33</c:f>
              <c:strCache>
                <c:ptCount val="1"/>
                <c:pt idx="0">
                  <c:v>kmetijske zgradbe (nestanovanjske)</c:v>
                </c:pt>
              </c:strCache>
            </c:strRef>
          </c:tx>
          <c:spPr>
            <a:solidFill>
              <a:schemeClr val="accent5"/>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aact_eaa01.xls]Data'!$B$33:$O$33</c:f>
              <c:numCache>
                <c:formatCode>###,000</c:formatCode>
                <c:ptCount val="14"/>
                <c:pt idx="0">
                  <c:v>56.54</c:v>
                </c:pt>
                <c:pt idx="1">
                  <c:v>55.74</c:v>
                </c:pt>
                <c:pt idx="2">
                  <c:v>64.260000000000005</c:v>
                </c:pt>
                <c:pt idx="3">
                  <c:v>66.77</c:v>
                </c:pt>
                <c:pt idx="4">
                  <c:v>63.12</c:v>
                </c:pt>
                <c:pt idx="5">
                  <c:v>55.02</c:v>
                </c:pt>
                <c:pt idx="6">
                  <c:v>48.49</c:v>
                </c:pt>
                <c:pt idx="7">
                  <c:v>48.7</c:v>
                </c:pt>
                <c:pt idx="8">
                  <c:v>50.97</c:v>
                </c:pt>
                <c:pt idx="9">
                  <c:v>53.14</c:v>
                </c:pt>
                <c:pt idx="10">
                  <c:v>55.38</c:v>
                </c:pt>
                <c:pt idx="11">
                  <c:v>57.6</c:v>
                </c:pt>
                <c:pt idx="12">
                  <c:v>59.98</c:v>
                </c:pt>
                <c:pt idx="13">
                  <c:v>62.45</c:v>
                </c:pt>
              </c:numCache>
            </c:numRef>
          </c:val>
          <c:extLst>
            <c:ext xmlns:c16="http://schemas.microsoft.com/office/drawing/2014/chart" uri="{C3380CC4-5D6E-409C-BE32-E72D297353CC}">
              <c16:uniqueId val="{00000004-FF05-4DED-B936-66BC18F7B029}"/>
            </c:ext>
          </c:extLst>
        </c:ser>
        <c:ser>
          <c:idx val="5"/>
          <c:order val="5"/>
          <c:tx>
            <c:strRef>
              <c:f>'[GFCF PO INVESTICIJI 2005-2019 aact_eaa01.xls]Data'!$A$34</c:f>
              <c:strCache>
                <c:ptCount val="1"/>
                <c:pt idx="0">
                  <c:v>prevozna sredstva</c:v>
                </c:pt>
              </c:strCache>
            </c:strRef>
          </c:tx>
          <c:spPr>
            <a:solidFill>
              <a:schemeClr val="accent6"/>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aact_eaa01.xls]Data'!$B$34:$O$34</c:f>
              <c:numCache>
                <c:formatCode>###,000</c:formatCode>
                <c:ptCount val="14"/>
                <c:pt idx="0">
                  <c:v>62.02</c:v>
                </c:pt>
                <c:pt idx="1">
                  <c:v>91.26</c:v>
                </c:pt>
                <c:pt idx="2">
                  <c:v>99</c:v>
                </c:pt>
                <c:pt idx="3">
                  <c:v>113.62</c:v>
                </c:pt>
                <c:pt idx="4">
                  <c:v>83.95</c:v>
                </c:pt>
                <c:pt idx="5">
                  <c:v>66.58</c:v>
                </c:pt>
                <c:pt idx="6">
                  <c:v>67.260000000000005</c:v>
                </c:pt>
                <c:pt idx="7">
                  <c:v>68.430000000000007</c:v>
                </c:pt>
                <c:pt idx="8">
                  <c:v>71.099999999999994</c:v>
                </c:pt>
                <c:pt idx="9">
                  <c:v>59.91</c:v>
                </c:pt>
                <c:pt idx="10">
                  <c:v>56.85</c:v>
                </c:pt>
                <c:pt idx="11">
                  <c:v>56.49</c:v>
                </c:pt>
                <c:pt idx="12">
                  <c:v>65.930000000000007</c:v>
                </c:pt>
                <c:pt idx="13">
                  <c:v>80.61</c:v>
                </c:pt>
              </c:numCache>
            </c:numRef>
          </c:val>
          <c:extLst>
            <c:ext xmlns:c16="http://schemas.microsoft.com/office/drawing/2014/chart" uri="{C3380CC4-5D6E-409C-BE32-E72D297353CC}">
              <c16:uniqueId val="{00000005-FF05-4DED-B936-66BC18F7B029}"/>
            </c:ext>
          </c:extLst>
        </c:ser>
        <c:ser>
          <c:idx val="6"/>
          <c:order val="6"/>
          <c:tx>
            <c:strRef>
              <c:f>'[GFCF PO INVESTICIJI 2005-2019 aact_eaa01.xls]Data'!$A$35</c:f>
              <c:strCache>
                <c:ptCount val="1"/>
                <c:pt idx="0">
                  <c:v>stroji in oprema</c:v>
                </c:pt>
              </c:strCache>
            </c:strRef>
          </c:tx>
          <c:spPr>
            <a:solidFill>
              <a:schemeClr val="accent1">
                <a:lumMod val="60000"/>
              </a:schemeClr>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aact_eaa01.xls]Data'!$B$35:$O$35</c:f>
              <c:numCache>
                <c:formatCode>###,000</c:formatCode>
                <c:ptCount val="14"/>
                <c:pt idx="0">
                  <c:v>69.260000000000005</c:v>
                </c:pt>
                <c:pt idx="1">
                  <c:v>68.33</c:v>
                </c:pt>
                <c:pt idx="2">
                  <c:v>82.59</c:v>
                </c:pt>
                <c:pt idx="3">
                  <c:v>105.52</c:v>
                </c:pt>
                <c:pt idx="4">
                  <c:v>75.260000000000005</c:v>
                </c:pt>
                <c:pt idx="5">
                  <c:v>69.150000000000006</c:v>
                </c:pt>
                <c:pt idx="6">
                  <c:v>64.8</c:v>
                </c:pt>
                <c:pt idx="7">
                  <c:v>73.900000000000006</c:v>
                </c:pt>
                <c:pt idx="8">
                  <c:v>74.010000000000005</c:v>
                </c:pt>
                <c:pt idx="9">
                  <c:v>82.71</c:v>
                </c:pt>
                <c:pt idx="10">
                  <c:v>97.94</c:v>
                </c:pt>
                <c:pt idx="11">
                  <c:v>82.23</c:v>
                </c:pt>
                <c:pt idx="12">
                  <c:v>95.79</c:v>
                </c:pt>
                <c:pt idx="13">
                  <c:v>128.99</c:v>
                </c:pt>
              </c:numCache>
            </c:numRef>
          </c:val>
          <c:extLst>
            <c:ext xmlns:c16="http://schemas.microsoft.com/office/drawing/2014/chart" uri="{C3380CC4-5D6E-409C-BE32-E72D297353CC}">
              <c16:uniqueId val="{00000006-FF05-4DED-B936-66BC18F7B029}"/>
            </c:ext>
          </c:extLst>
        </c:ser>
        <c:dLbls>
          <c:showLegendKey val="0"/>
          <c:showVal val="0"/>
          <c:showCatName val="0"/>
          <c:showSerName val="0"/>
          <c:showPercent val="0"/>
          <c:showBubbleSize val="0"/>
        </c:dLbls>
        <c:gapWidth val="150"/>
        <c:overlap val="100"/>
        <c:axId val="154721664"/>
        <c:axId val="163644544"/>
      </c:barChart>
      <c:catAx>
        <c:axId val="15472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crossAx val="163644544"/>
        <c:crosses val="autoZero"/>
        <c:auto val="1"/>
        <c:lblAlgn val="ctr"/>
        <c:lblOffset val="100"/>
        <c:noMultiLvlLbl val="0"/>
      </c:catAx>
      <c:valAx>
        <c:axId val="16364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154721664"/>
        <c:crosses val="autoZero"/>
        <c:crossBetween val="between"/>
      </c:valAx>
      <c:spPr>
        <a:noFill/>
        <a:ln>
          <a:solidFill>
            <a:schemeClr val="accent3"/>
          </a:solidFill>
        </a:ln>
        <a:effectLst/>
      </c:spPr>
    </c:plotArea>
    <c:legend>
      <c:legendPos val="b"/>
      <c:layout>
        <c:manualLayout>
          <c:xMode val="edge"/>
          <c:yMode val="edge"/>
          <c:x val="7.5157272007665725E-3"/>
          <c:y val="0.71929757164845509"/>
          <c:w val="0.95731957116471555"/>
          <c:h val="0.271625812524646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80C78-2EA3-4B7D-8DF2-73568D17E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ED4B3-0661-4DA5-AF21-FA4E0B4D4C0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6888A3F-1898-4D72-8BF6-4CC4AA9ABD71}">
  <ds:schemaRefs>
    <ds:schemaRef ds:uri="http://schemas.microsoft.com/sharepoint/v3/contenttype/forms"/>
  </ds:schemaRefs>
</ds:datastoreItem>
</file>

<file path=customXml/itemProps4.xml><?xml version="1.0" encoding="utf-8"?>
<ds:datastoreItem xmlns:ds="http://schemas.openxmlformats.org/officeDocument/2006/customXml" ds:itemID="{AEC20285-0CBA-47BB-A32C-4A30ADA91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70560</Words>
  <Characters>402197</Characters>
  <Application>Microsoft Office Word</Application>
  <DocSecurity>0</DocSecurity>
  <Lines>3351</Lines>
  <Paragraphs>943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471814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Svetek Tomšič</dc:creator>
  <cp:keywords/>
  <cp:lastModifiedBy>Anita Žalik-Košutnik</cp:lastModifiedBy>
  <cp:revision>3</cp:revision>
  <cp:lastPrinted>2021-11-03T08:40:00Z</cp:lastPrinted>
  <dcterms:created xsi:type="dcterms:W3CDTF">2021-12-20T13:06:00Z</dcterms:created>
  <dcterms:modified xsi:type="dcterms:W3CDTF">2021-12-20T13:07:00Z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