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70" w:rsidRDefault="003E7170" w:rsidP="008E36CD">
      <w:pPr>
        <w:pStyle w:val="Odstavekseznama"/>
        <w:spacing w:after="0" w:line="240" w:lineRule="auto"/>
        <w:ind w:left="0"/>
        <w:jc w:val="center"/>
        <w:rPr>
          <w:rFonts w:ascii="Arial" w:hAnsi="Arial" w:cs="Arial"/>
          <w:b/>
          <w:sz w:val="20"/>
          <w:szCs w:val="20"/>
        </w:rPr>
      </w:pPr>
      <w:r w:rsidRPr="008E36CD">
        <w:rPr>
          <w:rFonts w:ascii="Arial" w:hAnsi="Arial" w:cs="Arial"/>
          <w:b/>
          <w:sz w:val="20"/>
          <w:szCs w:val="20"/>
        </w:rPr>
        <w:t>ZNANJE ZA PODEŽELJE</w:t>
      </w:r>
    </w:p>
    <w:p w:rsidR="008E36CD" w:rsidRDefault="008E36CD" w:rsidP="008E36CD">
      <w:pPr>
        <w:pStyle w:val="Odstavekseznama"/>
        <w:spacing w:after="0" w:line="240" w:lineRule="auto"/>
        <w:ind w:left="0"/>
        <w:jc w:val="center"/>
        <w:rPr>
          <w:rFonts w:ascii="Arial" w:hAnsi="Arial" w:cs="Arial"/>
          <w:b/>
          <w:sz w:val="20"/>
          <w:szCs w:val="20"/>
        </w:rPr>
      </w:pPr>
    </w:p>
    <w:p w:rsidR="008E36CD" w:rsidRPr="008E36CD" w:rsidRDefault="008E36CD" w:rsidP="008E36CD">
      <w:pPr>
        <w:pStyle w:val="Odstavekseznama"/>
        <w:spacing w:after="0" w:line="240" w:lineRule="auto"/>
        <w:ind w:left="0"/>
        <w:rPr>
          <w:rFonts w:ascii="Arial" w:hAnsi="Arial" w:cs="Arial"/>
          <w:sz w:val="20"/>
          <w:szCs w:val="20"/>
        </w:rPr>
      </w:pPr>
      <w:r w:rsidRPr="008E36CD">
        <w:rPr>
          <w:rFonts w:ascii="Arial" w:hAnsi="Arial" w:cs="Arial"/>
          <w:sz w:val="20"/>
          <w:szCs w:val="20"/>
        </w:rPr>
        <w:t xml:space="preserve">Pripravil: </w:t>
      </w:r>
      <w:r>
        <w:rPr>
          <w:rFonts w:ascii="Arial" w:hAnsi="Arial" w:cs="Arial"/>
          <w:sz w:val="20"/>
          <w:szCs w:val="20"/>
        </w:rPr>
        <w:t>Boštjan Zgonc, Ministrstvo za izobraževanje, znanost in šport</w:t>
      </w:r>
    </w:p>
    <w:p w:rsidR="003E7170" w:rsidRPr="008E36CD" w:rsidRDefault="003E7170" w:rsidP="008E36CD">
      <w:pPr>
        <w:pStyle w:val="Odstavekseznama"/>
        <w:spacing w:after="0" w:line="240" w:lineRule="auto"/>
        <w:ind w:left="0"/>
        <w:jc w:val="both"/>
        <w:rPr>
          <w:rFonts w:ascii="Arial" w:hAnsi="Arial" w:cs="Arial"/>
          <w:b/>
          <w:sz w:val="20"/>
          <w:szCs w:val="20"/>
        </w:rPr>
      </w:pP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b/>
          <w:sz w:val="20"/>
          <w:szCs w:val="20"/>
        </w:rPr>
        <w:t>Sodobno razumevanje podeželja</w:t>
      </w:r>
      <w:r w:rsidRPr="008E36CD">
        <w:rPr>
          <w:rFonts w:ascii="Arial" w:hAnsi="Arial" w:cs="Arial"/>
          <w:sz w:val="20"/>
          <w:szCs w:val="20"/>
        </w:rPr>
        <w:t xml:space="preserve"> poleg  kmetijstva, gozdarstva, živilstva in prehrane, vrtnarstva, urejanja krajine, varstva okolja in narave ter veterine vključuje še tako imenovana mejna področja, kot so: turizem, trgovina, podjetništvo, trženje, lov ribolov, gostinstvo, socialno varstvo, primarna pridelava lesa, kar podeželje povezuje tudi mestnimi okolji. </w:t>
      </w:r>
    </w:p>
    <w:p w:rsidR="003E7170" w:rsidRPr="008E36CD" w:rsidRDefault="003E7170" w:rsidP="008E36CD">
      <w:pPr>
        <w:pStyle w:val="Odstavekseznama"/>
        <w:spacing w:after="0" w:line="240" w:lineRule="auto"/>
        <w:ind w:left="0"/>
        <w:jc w:val="both"/>
        <w:rPr>
          <w:rFonts w:ascii="Arial" w:hAnsi="Arial" w:cs="Arial"/>
          <w:sz w:val="20"/>
          <w:szCs w:val="20"/>
        </w:rPr>
      </w:pP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sz w:val="20"/>
          <w:szCs w:val="20"/>
        </w:rPr>
        <w:t>Sodobni trendi razvoja  poklicnega in strokovnega izobraževanja temeljijo na  krepitvi socialnega partnerstva, ki naj prispeva k usklajenosti izobraževanja s potrebami trga dela in k večji praktični usposobljenosti  diplomantov poklicnega in strokovnega izobraževanja na vseh ravneh.</w:t>
      </w:r>
    </w:p>
    <w:p w:rsidR="003E7170" w:rsidRPr="008E36CD" w:rsidRDefault="003E7170" w:rsidP="008E36CD">
      <w:pPr>
        <w:pStyle w:val="Odstavekseznama"/>
        <w:spacing w:after="0" w:line="240" w:lineRule="auto"/>
        <w:ind w:left="0"/>
        <w:jc w:val="both"/>
        <w:rPr>
          <w:rFonts w:ascii="Arial" w:hAnsi="Arial" w:cs="Arial"/>
          <w:sz w:val="20"/>
          <w:szCs w:val="20"/>
        </w:rPr>
      </w:pP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sz w:val="20"/>
          <w:szCs w:val="20"/>
        </w:rPr>
        <w:t>Razvoj poklicnega in strokovnega izobraževanja vključuje načelo vseživljenjskega učenja, kar odpira  premislek o čim širši zasnovanosti   začetnega izobraževanja , ki se  nato  dopolnjuje z izobraževanjem in usposabljanje  po programih za izpopolnjevanje, tudi s specializacijami. Še zlasti velja to za Slovenijo, ki ima  majhne človeške  resurse, preveč razdrobljeno  mrežo izobraževalnih institucij in preveliko programsko razdrobljenost.</w:t>
      </w:r>
    </w:p>
    <w:p w:rsidR="003E7170" w:rsidRPr="008E36CD" w:rsidRDefault="008E36CD" w:rsidP="008E36CD">
      <w:pPr>
        <w:pStyle w:val="Odstavekseznama"/>
        <w:spacing w:after="0" w:line="240" w:lineRule="auto"/>
        <w:ind w:left="0"/>
        <w:jc w:val="both"/>
        <w:rPr>
          <w:rFonts w:ascii="Arial" w:hAnsi="Arial" w:cs="Arial"/>
          <w:sz w:val="20"/>
          <w:szCs w:val="20"/>
        </w:rPr>
      </w:pPr>
      <w:r>
        <w:rPr>
          <w:rFonts w:ascii="Arial" w:hAnsi="Arial" w:cs="Arial"/>
          <w:sz w:val="20"/>
          <w:szCs w:val="20"/>
        </w:rPr>
        <w:t xml:space="preserve"> </w:t>
      </w: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b/>
          <w:sz w:val="20"/>
          <w:szCs w:val="20"/>
        </w:rPr>
        <w:t xml:space="preserve">Programska struktura izobraževanja, </w:t>
      </w:r>
      <w:r w:rsidRPr="008E36CD">
        <w:rPr>
          <w:rFonts w:ascii="Arial" w:hAnsi="Arial" w:cs="Arial"/>
          <w:sz w:val="20"/>
          <w:szCs w:val="20"/>
        </w:rPr>
        <w:t xml:space="preserve">kakršno smo zasnovali tudi z uporabo sredstev ESS, temelji na  nekaterih rešitvah, ki upoštevajo  potrebe različnih interesnih skupin. Programi  srednjega in višjega strokovnega izobraževanja izhajajo iz več poklicnih standardov na istem poklicnem področju, zgrajeni so po načelih izbirnosti in modularnosti. Obsegajo  20% odprtega </w:t>
      </w:r>
      <w:proofErr w:type="spellStart"/>
      <w:r w:rsidRPr="008E36CD">
        <w:rPr>
          <w:rFonts w:ascii="Arial" w:hAnsi="Arial" w:cs="Arial"/>
          <w:sz w:val="20"/>
          <w:szCs w:val="20"/>
        </w:rPr>
        <w:t>kurikula</w:t>
      </w:r>
      <w:proofErr w:type="spellEnd"/>
      <w:r w:rsidRPr="008E36CD">
        <w:rPr>
          <w:rFonts w:ascii="Arial" w:hAnsi="Arial" w:cs="Arial"/>
          <w:sz w:val="20"/>
          <w:szCs w:val="20"/>
        </w:rPr>
        <w:t>, ki je prepuščen šoli, da  v sodelovanju s svojim lokalnim okoljem ponudi  znanje in kompetence, ki so  najbolj potrebne.  Taka programska zgradba omogoča tudi  dovolj hitro prilagajanje potrebam okolja in sledenje  realnim izzivom</w:t>
      </w:r>
    </w:p>
    <w:p w:rsidR="003E7170" w:rsidRPr="008E36CD" w:rsidRDefault="003E7170" w:rsidP="008E36CD">
      <w:pPr>
        <w:pStyle w:val="Odstavekseznama"/>
        <w:spacing w:after="0" w:line="240" w:lineRule="auto"/>
        <w:ind w:left="0"/>
        <w:jc w:val="both"/>
        <w:rPr>
          <w:rFonts w:ascii="Arial" w:hAnsi="Arial" w:cs="Arial"/>
          <w:sz w:val="20"/>
          <w:szCs w:val="20"/>
        </w:rPr>
      </w:pP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sz w:val="20"/>
          <w:szCs w:val="20"/>
        </w:rPr>
        <w:t xml:space="preserve">Razvojni </w:t>
      </w:r>
      <w:r w:rsidRPr="008E36CD">
        <w:rPr>
          <w:rFonts w:ascii="Arial" w:hAnsi="Arial" w:cs="Arial"/>
          <w:b/>
          <w:sz w:val="20"/>
          <w:szCs w:val="20"/>
        </w:rPr>
        <w:t>potenciali</w:t>
      </w:r>
      <w:r w:rsidRPr="008E36CD">
        <w:rPr>
          <w:rFonts w:ascii="Arial" w:hAnsi="Arial" w:cs="Arial"/>
          <w:sz w:val="20"/>
          <w:szCs w:val="20"/>
        </w:rPr>
        <w:t xml:space="preserve">, ki jih Slovenija ima, bi lahko dali  večje  učinke, predvsem pri uveljavljanju  vseživljenjskega učenja in razvoja programov za izpopolnjevanje, saj bi lahko  specialistična znanja na vseh ravneh zahtevnosti  posredovali v sodelovanju  mreže strokovnjakov, ki  delujejo na terenu v kmetijsko gozdarskih zavodih in  na šolah, ki so povezane v konzorcij  biotehniških šol.  Sodelovanje obeh omrežij bi z uporabo sredstev  evropskih kohezijskih skladov dalo večkratne </w:t>
      </w:r>
      <w:proofErr w:type="spellStart"/>
      <w:r w:rsidRPr="008E36CD">
        <w:rPr>
          <w:rFonts w:ascii="Arial" w:hAnsi="Arial" w:cs="Arial"/>
          <w:sz w:val="20"/>
          <w:szCs w:val="20"/>
        </w:rPr>
        <w:t>sinergijske</w:t>
      </w:r>
      <w:proofErr w:type="spellEnd"/>
      <w:r w:rsidRPr="008E36CD">
        <w:rPr>
          <w:rFonts w:ascii="Arial" w:hAnsi="Arial" w:cs="Arial"/>
          <w:sz w:val="20"/>
          <w:szCs w:val="20"/>
        </w:rPr>
        <w:t xml:space="preserve"> učinke. </w:t>
      </w:r>
      <w:bookmarkStart w:id="0" w:name="_GoBack"/>
      <w:bookmarkEnd w:id="0"/>
    </w:p>
    <w:p w:rsidR="003E7170" w:rsidRPr="008E36CD" w:rsidRDefault="003E7170" w:rsidP="008E36CD">
      <w:pPr>
        <w:pStyle w:val="Odstavekseznama"/>
        <w:spacing w:after="0" w:line="240" w:lineRule="auto"/>
        <w:ind w:left="0"/>
        <w:jc w:val="both"/>
        <w:rPr>
          <w:rFonts w:ascii="Arial" w:hAnsi="Arial" w:cs="Arial"/>
          <w:sz w:val="20"/>
          <w:szCs w:val="20"/>
        </w:rPr>
      </w:pPr>
    </w:p>
    <w:p w:rsidR="003E7170" w:rsidRPr="008E36CD" w:rsidRDefault="003E7170" w:rsidP="008E36CD">
      <w:pPr>
        <w:pStyle w:val="Odstavekseznama"/>
        <w:spacing w:after="0" w:line="240" w:lineRule="auto"/>
        <w:ind w:left="0"/>
        <w:jc w:val="both"/>
        <w:rPr>
          <w:rFonts w:ascii="Arial" w:hAnsi="Arial" w:cs="Arial"/>
          <w:sz w:val="20"/>
          <w:szCs w:val="20"/>
        </w:rPr>
      </w:pPr>
      <w:r w:rsidRPr="008E36CD">
        <w:rPr>
          <w:rFonts w:ascii="Arial" w:hAnsi="Arial" w:cs="Arial"/>
          <w:b/>
          <w:sz w:val="20"/>
          <w:szCs w:val="20"/>
        </w:rPr>
        <w:t xml:space="preserve">Vlada in strokovne službe  </w:t>
      </w:r>
      <w:r w:rsidRPr="008E36CD">
        <w:rPr>
          <w:rFonts w:ascii="Arial" w:hAnsi="Arial" w:cs="Arial"/>
          <w:sz w:val="20"/>
          <w:szCs w:val="20"/>
        </w:rPr>
        <w:t xml:space="preserve">bi morale v prihodnje podpirati ukrepe, ki bi v ospredje postavili krepitev kompetenc na temeljnih  področjih in na mejnih področjih.  Zato se mora pozornost od začetnega izobraževanja za pridobitev poklica usmeriti na  vseživljenjsko učenje in na pridobivanje  kompetenc v nadaljevalnem izobraževanju. </w:t>
      </w:r>
    </w:p>
    <w:p w:rsidR="003E7170" w:rsidRPr="008E36CD" w:rsidRDefault="003E7170" w:rsidP="008E36CD">
      <w:pPr>
        <w:pStyle w:val="Odstavekseznama"/>
        <w:spacing w:after="0" w:line="240" w:lineRule="auto"/>
        <w:ind w:left="0"/>
        <w:jc w:val="both"/>
        <w:rPr>
          <w:rFonts w:ascii="Arial" w:hAnsi="Arial" w:cs="Arial"/>
          <w:sz w:val="20"/>
          <w:szCs w:val="20"/>
        </w:rPr>
      </w:pPr>
    </w:p>
    <w:p w:rsidR="003E7170" w:rsidRPr="008E36CD" w:rsidRDefault="003E7170" w:rsidP="008E36CD">
      <w:pPr>
        <w:pStyle w:val="Odstavekseznama"/>
        <w:spacing w:after="0" w:line="240" w:lineRule="auto"/>
        <w:ind w:left="0"/>
        <w:jc w:val="both"/>
        <w:rPr>
          <w:rFonts w:ascii="Arial" w:hAnsi="Arial" w:cs="Arial"/>
          <w:b/>
          <w:sz w:val="20"/>
          <w:szCs w:val="20"/>
        </w:rPr>
      </w:pPr>
    </w:p>
    <w:p w:rsidR="003E7170" w:rsidRPr="008E36CD" w:rsidRDefault="003E7170" w:rsidP="008E36CD">
      <w:pPr>
        <w:spacing w:after="0" w:line="240" w:lineRule="auto"/>
        <w:jc w:val="both"/>
        <w:rPr>
          <w:rFonts w:ascii="Arial" w:hAnsi="Arial" w:cs="Arial"/>
          <w:sz w:val="20"/>
          <w:szCs w:val="20"/>
        </w:rPr>
      </w:pPr>
    </w:p>
    <w:p w:rsidR="009F39A0" w:rsidRPr="008E36CD" w:rsidRDefault="009F39A0" w:rsidP="008E36CD">
      <w:pPr>
        <w:spacing w:after="0" w:line="240" w:lineRule="auto"/>
        <w:jc w:val="both"/>
        <w:rPr>
          <w:rFonts w:ascii="Arial" w:hAnsi="Arial" w:cs="Arial"/>
          <w:sz w:val="20"/>
          <w:szCs w:val="20"/>
        </w:rPr>
      </w:pPr>
    </w:p>
    <w:sectPr w:rsidR="009F39A0" w:rsidRPr="008E36CD"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9FB"/>
    <w:multiLevelType w:val="hybridMultilevel"/>
    <w:tmpl w:val="17486C6C"/>
    <w:lvl w:ilvl="0" w:tplc="572ED4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2F3E32"/>
    <w:multiLevelType w:val="hybridMultilevel"/>
    <w:tmpl w:val="6B52A68E"/>
    <w:lvl w:ilvl="0" w:tplc="04240017">
      <w:start w:val="1"/>
      <w:numFmt w:val="lowerLetter"/>
      <w:lvlText w:val="%1)"/>
      <w:lvlJc w:val="left"/>
      <w:pPr>
        <w:ind w:left="720" w:hanging="360"/>
      </w:pPr>
      <w:rPr>
        <w:rFonts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A66DAB"/>
    <w:multiLevelType w:val="hybridMultilevel"/>
    <w:tmpl w:val="FE3E2604"/>
    <w:lvl w:ilvl="0" w:tplc="79EA6B9A">
      <w:start w:val="1"/>
      <w:numFmt w:val="bullet"/>
      <w:lvlText w:val="-"/>
      <w:lvlJc w:val="left"/>
      <w:pPr>
        <w:ind w:left="720" w:hanging="360"/>
      </w:pPr>
      <w:rPr>
        <w:rFonts w:ascii="Calibri" w:eastAsiaTheme="minorHAnsi" w:hAnsi="Calibri" w:cstheme="minorBidi" w:hint="default"/>
      </w:rPr>
    </w:lvl>
    <w:lvl w:ilvl="1" w:tplc="79EA6B9A">
      <w:start w:val="1"/>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093653"/>
    <w:multiLevelType w:val="hybridMultilevel"/>
    <w:tmpl w:val="3006B3A6"/>
    <w:lvl w:ilvl="0" w:tplc="9840383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4D348F8"/>
    <w:multiLevelType w:val="hybridMultilevel"/>
    <w:tmpl w:val="FA6C9C22"/>
    <w:lvl w:ilvl="0" w:tplc="54A822D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62979C2"/>
    <w:multiLevelType w:val="hybridMultilevel"/>
    <w:tmpl w:val="10225BC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EE2F50"/>
    <w:multiLevelType w:val="hybridMultilevel"/>
    <w:tmpl w:val="A092B0A4"/>
    <w:lvl w:ilvl="0" w:tplc="E46458A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8EB2138"/>
    <w:multiLevelType w:val="hybridMultilevel"/>
    <w:tmpl w:val="8398DB7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520D53"/>
    <w:multiLevelType w:val="hybridMultilevel"/>
    <w:tmpl w:val="6E58B0B6"/>
    <w:lvl w:ilvl="0" w:tplc="79EA6B9A">
      <w:start w:val="1"/>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1"/>
  </w:num>
  <w:num w:numId="6">
    <w:abstractNumId w:val="9"/>
  </w:num>
  <w:num w:numId="7">
    <w:abstractNumId w:val="13"/>
  </w:num>
  <w:num w:numId="8">
    <w:abstractNumId w:val="1"/>
  </w:num>
  <w:num w:numId="9">
    <w:abstractNumId w:val="5"/>
  </w:num>
  <w:num w:numId="10">
    <w:abstractNumId w:val="12"/>
  </w:num>
  <w:num w:numId="11">
    <w:abstractNumId w:val="0"/>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42703"/>
    <w:rsid w:val="003E7170"/>
    <w:rsid w:val="005E4DFF"/>
    <w:rsid w:val="007C0D71"/>
    <w:rsid w:val="008B0AF3"/>
    <w:rsid w:val="008E36CD"/>
    <w:rsid w:val="00936960"/>
    <w:rsid w:val="009F39A0"/>
    <w:rsid w:val="00A41C0F"/>
    <w:rsid w:val="00AC775D"/>
    <w:rsid w:val="00B84FBD"/>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3</cp:revision>
  <cp:lastPrinted>2015-09-02T16:13:00Z</cp:lastPrinted>
  <dcterms:created xsi:type="dcterms:W3CDTF">2015-09-07T12:55:00Z</dcterms:created>
  <dcterms:modified xsi:type="dcterms:W3CDTF">2015-09-07T12:57:00Z</dcterms:modified>
</cp:coreProperties>
</file>