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0D" w:rsidRPr="00926ED7" w:rsidRDefault="00926ED7" w:rsidP="00926ED7">
      <w:pPr>
        <w:spacing w:after="0" w:line="240" w:lineRule="auto"/>
        <w:jc w:val="center"/>
        <w:rPr>
          <w:rFonts w:ascii="Arial" w:hAnsi="Arial" w:cs="Arial"/>
          <w:b/>
          <w:sz w:val="20"/>
          <w:szCs w:val="20"/>
        </w:rPr>
      </w:pPr>
      <w:r w:rsidRPr="00926ED7">
        <w:rPr>
          <w:rFonts w:ascii="Arial" w:hAnsi="Arial" w:cs="Arial"/>
          <w:b/>
          <w:sz w:val="20"/>
          <w:szCs w:val="20"/>
        </w:rPr>
        <w:t>PODEŽELJE URESNIČUJE ŽELJE</w:t>
      </w:r>
    </w:p>
    <w:p w:rsidR="00926ED7" w:rsidRPr="00926ED7" w:rsidRDefault="00926ED7" w:rsidP="00926ED7">
      <w:pPr>
        <w:spacing w:after="0" w:line="240" w:lineRule="auto"/>
        <w:jc w:val="both"/>
        <w:rPr>
          <w:rFonts w:ascii="Arial" w:hAnsi="Arial" w:cs="Arial"/>
          <w:sz w:val="20"/>
          <w:szCs w:val="20"/>
        </w:rPr>
      </w:pPr>
    </w:p>
    <w:p w:rsidR="00926ED7" w:rsidRDefault="00926ED7" w:rsidP="00926ED7">
      <w:pPr>
        <w:spacing w:after="0" w:line="240" w:lineRule="auto"/>
        <w:jc w:val="both"/>
        <w:rPr>
          <w:rFonts w:ascii="Arial" w:hAnsi="Arial" w:cs="Arial"/>
          <w:sz w:val="20"/>
          <w:szCs w:val="20"/>
        </w:rPr>
      </w:pPr>
      <w:r>
        <w:rPr>
          <w:rFonts w:ascii="Arial" w:hAnsi="Arial" w:cs="Arial"/>
          <w:sz w:val="20"/>
          <w:szCs w:val="20"/>
        </w:rPr>
        <w:t xml:space="preserve">Pripravila: </w:t>
      </w:r>
      <w:r w:rsidR="00CF0751">
        <w:rPr>
          <w:rFonts w:ascii="Arial" w:hAnsi="Arial" w:cs="Arial"/>
          <w:sz w:val="20"/>
          <w:szCs w:val="20"/>
        </w:rPr>
        <w:t xml:space="preserve">dr. </w:t>
      </w:r>
      <w:bookmarkStart w:id="0" w:name="_GoBack"/>
      <w:bookmarkEnd w:id="0"/>
      <w:r w:rsidRPr="00926ED7">
        <w:rPr>
          <w:rFonts w:ascii="Arial" w:hAnsi="Arial" w:cs="Arial"/>
          <w:sz w:val="20"/>
          <w:szCs w:val="20"/>
        </w:rPr>
        <w:t>Majda Černič Istenič</w:t>
      </w:r>
      <w:r w:rsidR="00CF0751">
        <w:rPr>
          <w:rFonts w:ascii="Arial" w:hAnsi="Arial" w:cs="Arial"/>
          <w:sz w:val="20"/>
          <w:szCs w:val="20"/>
        </w:rPr>
        <w:t>, Univerza v Ljubljani, Biotehniška fakulteta</w:t>
      </w:r>
    </w:p>
    <w:p w:rsidR="00926ED7" w:rsidRPr="00926ED7" w:rsidRDefault="00926ED7" w:rsidP="00926ED7">
      <w:pPr>
        <w:spacing w:after="0" w:line="240" w:lineRule="auto"/>
        <w:jc w:val="both"/>
        <w:rPr>
          <w:rFonts w:ascii="Arial" w:hAnsi="Arial" w:cs="Arial"/>
          <w:sz w:val="20"/>
          <w:szCs w:val="20"/>
        </w:rPr>
      </w:pPr>
    </w:p>
    <w:p w:rsidR="00DB0B0D" w:rsidRDefault="00DB0B0D" w:rsidP="00926ED7">
      <w:pPr>
        <w:spacing w:after="0" w:line="240" w:lineRule="auto"/>
        <w:jc w:val="both"/>
        <w:rPr>
          <w:rFonts w:ascii="Arial" w:hAnsi="Arial" w:cs="Arial"/>
          <w:sz w:val="20"/>
          <w:szCs w:val="20"/>
        </w:rPr>
      </w:pPr>
      <w:r w:rsidRPr="00926ED7">
        <w:rPr>
          <w:rFonts w:ascii="Arial" w:hAnsi="Arial" w:cs="Arial"/>
          <w:sz w:val="20"/>
          <w:szCs w:val="20"/>
        </w:rPr>
        <w:t xml:space="preserve">Kratek </w:t>
      </w:r>
      <w:r w:rsidRPr="00926ED7">
        <w:rPr>
          <w:rFonts w:ascii="Arial" w:hAnsi="Arial" w:cs="Arial"/>
          <w:b/>
          <w:sz w:val="20"/>
          <w:szCs w:val="20"/>
        </w:rPr>
        <w:t>opis tematskega področja</w:t>
      </w:r>
      <w:r w:rsidRPr="00926ED7">
        <w:rPr>
          <w:rFonts w:ascii="Arial" w:hAnsi="Arial" w:cs="Arial"/>
          <w:sz w:val="20"/>
          <w:szCs w:val="20"/>
        </w:rPr>
        <w:t xml:space="preserve">: pregled trendov in procesov: </w:t>
      </w:r>
    </w:p>
    <w:p w:rsidR="00762A21" w:rsidRPr="00926ED7" w:rsidRDefault="00762A21" w:rsidP="00926ED7">
      <w:pPr>
        <w:spacing w:after="0" w:line="240" w:lineRule="auto"/>
        <w:jc w:val="both"/>
        <w:rPr>
          <w:rFonts w:ascii="Arial" w:hAnsi="Arial" w:cs="Arial"/>
          <w:sz w:val="20"/>
          <w:szCs w:val="20"/>
        </w:rPr>
      </w:pPr>
    </w:p>
    <w:p w:rsidR="00DB0B0D" w:rsidRDefault="00DB0B0D" w:rsidP="00926ED7">
      <w:pPr>
        <w:spacing w:after="0" w:line="240" w:lineRule="auto"/>
        <w:jc w:val="both"/>
        <w:rPr>
          <w:rFonts w:ascii="Arial" w:hAnsi="Arial" w:cs="Arial"/>
          <w:sz w:val="20"/>
          <w:szCs w:val="20"/>
        </w:rPr>
      </w:pPr>
      <w:r w:rsidRPr="00926ED7">
        <w:rPr>
          <w:rFonts w:ascii="Arial" w:hAnsi="Arial" w:cs="Arial"/>
          <w:sz w:val="20"/>
          <w:szCs w:val="20"/>
        </w:rPr>
        <w:t xml:space="preserve">V Sloveniji se kljub urbanizaciji in njenim spremljajočim procesom, še posebno intenzivnim  od druge polovice 20. stoletja, ki so prispevali k zmanjševanju razlik med mestom in podeželjem ter brisanjem ločnic med njima še zlasti v pokrajinskem izgledu, v veliki meri </w:t>
      </w:r>
      <w:r w:rsidRPr="00926ED7">
        <w:rPr>
          <w:rFonts w:ascii="Arial" w:hAnsi="Arial" w:cs="Arial"/>
          <w:b/>
          <w:sz w:val="20"/>
          <w:szCs w:val="20"/>
        </w:rPr>
        <w:t>še vedno ohranjajo socialne in kulturne posebnosti vzorcev življenja podeželskega prebivalstva</w:t>
      </w:r>
      <w:r w:rsidRPr="00926ED7">
        <w:rPr>
          <w:rFonts w:ascii="Arial" w:hAnsi="Arial" w:cs="Arial"/>
          <w:sz w:val="20"/>
          <w:szCs w:val="20"/>
        </w:rPr>
        <w:t xml:space="preserve">. Ti izhajajo iz značilne povezanosti podeželskega prebivalstva s kmetijstvom in gozdarstvom ne glede na to, da ti dve dejavnosti zanje postopoma izgubljata pomen glavnega  in edinega vira dohodka. Povezanost z gospodarsko rabo tal še vedno daje nek poseben pečat življenju ljudi na podeželju, njihovi identiteti, ki  se odraža tudi v specifičnih (npr. pogostejših  in bolj celovitih) odnosih med ljudmi v skupnosti in vzorcih družinskega življenja (npr. višja rodnost, večji pomen družine kot nosilke skrbstvenega dela). Obenem pa se zaradi še vedno pogosto slabše infrastrukturne opremljenosti podeželskega prostora razlike med mestom in podeželjem še dodatno ohranjajo (npr. podpovprečna izobrazbena raven podeželskega prebivalstva, še posebej kmečkih žensk). </w:t>
      </w:r>
    </w:p>
    <w:p w:rsidR="00926ED7" w:rsidRPr="00926ED7" w:rsidRDefault="00926ED7" w:rsidP="00926ED7">
      <w:pPr>
        <w:spacing w:after="0" w:line="240" w:lineRule="auto"/>
        <w:jc w:val="both"/>
        <w:rPr>
          <w:rFonts w:ascii="Arial" w:hAnsi="Arial" w:cs="Arial"/>
          <w:sz w:val="20"/>
          <w:szCs w:val="20"/>
        </w:rPr>
      </w:pPr>
    </w:p>
    <w:p w:rsidR="00DB0B0D" w:rsidRPr="00926ED7" w:rsidRDefault="00DB0B0D" w:rsidP="00926ED7">
      <w:pPr>
        <w:autoSpaceDE w:val="0"/>
        <w:autoSpaceDN w:val="0"/>
        <w:adjustRightInd w:val="0"/>
        <w:spacing w:after="0" w:line="240" w:lineRule="auto"/>
        <w:jc w:val="both"/>
        <w:rPr>
          <w:rFonts w:ascii="Arial" w:hAnsi="Arial" w:cs="Arial"/>
          <w:sz w:val="20"/>
          <w:szCs w:val="20"/>
        </w:rPr>
      </w:pPr>
      <w:r w:rsidRPr="00926ED7">
        <w:rPr>
          <w:rFonts w:ascii="Arial" w:hAnsi="Arial" w:cs="Arial"/>
          <w:sz w:val="20"/>
          <w:szCs w:val="20"/>
        </w:rPr>
        <w:t xml:space="preserve">Navedene značilnosti se odražajo tudi v </w:t>
      </w:r>
      <w:r w:rsidRPr="00926ED7">
        <w:rPr>
          <w:rFonts w:ascii="Arial" w:hAnsi="Arial" w:cs="Arial"/>
          <w:b/>
          <w:sz w:val="20"/>
          <w:szCs w:val="20"/>
        </w:rPr>
        <w:t>odnosih med generacijami in spoloma v podeželskem okolju</w:t>
      </w:r>
      <w:r w:rsidRPr="00926ED7">
        <w:rPr>
          <w:rFonts w:ascii="Arial" w:hAnsi="Arial" w:cs="Arial"/>
          <w:sz w:val="20"/>
          <w:szCs w:val="20"/>
        </w:rPr>
        <w:t xml:space="preserve">. Nekatere, (sicer žal bolj redke) raziskave (Knežević Hočevar in Černič Istenič 2010), opravljene v zadnjem obdobju v Sloveniji, prvenstveno usmerjene v kmečko prebivalstvo ob hkratni primerjavi z drugimi poklicnimi skupinami, bivajočimi na podeželju in v mestnem okolju, kažejo, da kmetije, prejemniki državne podpore za pomoč mladim prevzemnikom (ukrep iz Programa razvoja podeželja (PRP)), poleg ugodnih proizvodnih razvojnih potencialov izkazujejo v primerjavi z drugimi opazovanimi skupinami (npr. kmeti neprejemniki podpore) večjo </w:t>
      </w:r>
      <w:r w:rsidRPr="00926ED7">
        <w:rPr>
          <w:rFonts w:ascii="Arial" w:hAnsi="Arial" w:cs="Arial"/>
          <w:b/>
          <w:sz w:val="20"/>
          <w:szCs w:val="20"/>
        </w:rPr>
        <w:t>zavezanost skrbeti za starejšo generacijo</w:t>
      </w:r>
      <w:r w:rsidRPr="00926ED7">
        <w:rPr>
          <w:rFonts w:ascii="Arial" w:hAnsi="Arial" w:cs="Arial"/>
          <w:sz w:val="20"/>
          <w:szCs w:val="20"/>
        </w:rPr>
        <w:t>, kar se lahko šteje kot dokaz obstoja močnega medgeneracijskega sožitja. Tudi  nedavno preučevanje stališč o sami organiziranosti oskrbe starejših v skupnosti  (Černič Istenič 2013) je pokazalo, da podeželsko (tako kmečko kot nekmečko) prebivalstvo, posebej iz manjših podeželskih občin, kjer je institucionalna oskrba za starejše slabše organizirana in finančno podprta, pripisuje družini največjo odgovornost pri oskrbi starejših. Takšno stališče je seveda moč razumeti kot dejansko odgovornost in udejanjanje, a tudi kot neko navado, običaj ali pa celo kot nujnost, ki je lahko ovira pri opravljanju drugih dejavnosti (zlasti ženskam pri poklicnem delu). Ob tem je večji pomen družini lahko razumeti tudi kot posledico pomanjkanja (npr. precej nižjih pokojnin ali med določenim deležem kmečkega prebivalstva celo odsotnosti pokojnin), s katerimi bi lahko pokrivali stroške institucionalne oskrbe starejših. S tem, da se je prebivalstvo manjših ruralnih občin v Sloveniji zaradi pomanjkanja finančnih virov  prisiljeno bolj opreti na pomoč družine, seveda nujno ne potrjuje večjega medgeneracijskega sožitja na podeželju v primerjavi z mestnim okoljem.</w:t>
      </w:r>
    </w:p>
    <w:p w:rsidR="00DB0B0D" w:rsidRPr="00926ED7" w:rsidRDefault="00DB0B0D" w:rsidP="00926ED7">
      <w:pPr>
        <w:spacing w:after="0" w:line="240" w:lineRule="auto"/>
        <w:jc w:val="both"/>
        <w:rPr>
          <w:rFonts w:ascii="Arial" w:hAnsi="Arial" w:cs="Arial"/>
          <w:sz w:val="20"/>
          <w:szCs w:val="20"/>
        </w:rPr>
      </w:pPr>
    </w:p>
    <w:p w:rsidR="00926ED7" w:rsidRDefault="00DB0B0D" w:rsidP="00926ED7">
      <w:pPr>
        <w:spacing w:after="0" w:line="240" w:lineRule="auto"/>
        <w:jc w:val="both"/>
        <w:rPr>
          <w:rFonts w:ascii="Arial" w:hAnsi="Arial" w:cs="Arial"/>
          <w:sz w:val="20"/>
          <w:szCs w:val="20"/>
        </w:rPr>
      </w:pPr>
      <w:r w:rsidRPr="00926ED7">
        <w:rPr>
          <w:rFonts w:ascii="Arial" w:hAnsi="Arial" w:cs="Arial"/>
          <w:sz w:val="20"/>
          <w:szCs w:val="20"/>
        </w:rPr>
        <w:t xml:space="preserve">Nujnosti zagotavljanja </w:t>
      </w:r>
      <w:r w:rsidRPr="00926ED7">
        <w:rPr>
          <w:rFonts w:ascii="Arial" w:hAnsi="Arial" w:cs="Arial"/>
          <w:b/>
          <w:sz w:val="20"/>
          <w:szCs w:val="20"/>
        </w:rPr>
        <w:t>enakosti med spoloma</w:t>
      </w:r>
      <w:r w:rsidRPr="00926ED7">
        <w:rPr>
          <w:rFonts w:ascii="Arial" w:hAnsi="Arial" w:cs="Arial"/>
          <w:sz w:val="20"/>
          <w:szCs w:val="20"/>
        </w:rPr>
        <w:t xml:space="preserve"> na vseh področjih življenja in dela poudarjajo mnogi strateški dokumenti in programi na ravni EU ter nacionalnih držav kot tudi druge organizacije (npr. FAO). Preučevanje položaja kmečkih žensk v Sloveniji pa kaže, da so premiki v tej smeri precej počasni navkljub nekaterim deklarativnim prizadevanjem. Tako je analiza domnevnega prispevka PRP k enakosti med spoloma na družinskih kmetijah, ki je vključeval pozitivno diskriminacijo za ženske pri nekaterih ukrepih (Černič Istenič 2015), pokazalo, da se </w:t>
      </w:r>
      <w:r w:rsidRPr="00926ED7">
        <w:rPr>
          <w:rFonts w:ascii="Arial" w:hAnsi="Arial" w:cs="Arial"/>
          <w:sz w:val="20"/>
          <w:szCs w:val="20"/>
        </w:rPr>
        <w:lastRenderedPageBreak/>
        <w:t xml:space="preserve">neenakost med spoloma ohranja tudi na kmetijah, ki so bile/so vključene v ta program in ki izkazujejo svojo razvojno naravnanost v ekonomskem in demografskem </w:t>
      </w:r>
      <w:r w:rsidR="00926ED7" w:rsidRPr="00926ED7">
        <w:rPr>
          <w:rFonts w:ascii="Arial" w:hAnsi="Arial" w:cs="Arial"/>
          <w:sz w:val="20"/>
          <w:szCs w:val="20"/>
        </w:rPr>
        <w:t>smislu</w:t>
      </w:r>
      <w:r w:rsidRPr="00926ED7">
        <w:rPr>
          <w:rFonts w:ascii="Arial" w:hAnsi="Arial" w:cs="Arial"/>
          <w:sz w:val="20"/>
          <w:szCs w:val="20"/>
        </w:rPr>
        <w:t>. Togost statusov in vlog obeh spolov je pojasnjena in obravnavana skozi dejstva neenakega dostopa žensk do lastništva kmetijskih zemljišč in kmetijske izobrazbe ter skozi vztrajno šibko institucionalno podporo - navkljub sprejetemu Nacionalnemu programu za vključevanje žensk v kmetijstva in razvoj podeželje - za povečanje družbene vključenosti in moči kmečkih žensk.</w:t>
      </w:r>
    </w:p>
    <w:p w:rsidR="00DB0B0D" w:rsidRPr="00926ED7" w:rsidRDefault="00DB0B0D" w:rsidP="00926ED7">
      <w:pPr>
        <w:spacing w:after="0" w:line="240" w:lineRule="auto"/>
        <w:jc w:val="both"/>
        <w:rPr>
          <w:rFonts w:ascii="Arial" w:hAnsi="Arial" w:cs="Arial"/>
          <w:sz w:val="20"/>
          <w:szCs w:val="20"/>
        </w:rPr>
      </w:pPr>
      <w:r w:rsidRPr="00926ED7">
        <w:rPr>
          <w:rFonts w:ascii="Arial" w:hAnsi="Arial" w:cs="Arial"/>
          <w:sz w:val="20"/>
          <w:szCs w:val="20"/>
        </w:rPr>
        <w:t xml:space="preserve">  </w:t>
      </w:r>
    </w:p>
    <w:p w:rsidR="00DB0B0D" w:rsidRPr="00926ED7" w:rsidRDefault="00DB0B0D" w:rsidP="00926ED7">
      <w:pPr>
        <w:spacing w:after="0" w:line="240" w:lineRule="auto"/>
        <w:jc w:val="both"/>
        <w:rPr>
          <w:rFonts w:ascii="Arial" w:hAnsi="Arial" w:cs="Arial"/>
          <w:b/>
          <w:sz w:val="20"/>
          <w:szCs w:val="20"/>
        </w:rPr>
      </w:pPr>
      <w:r w:rsidRPr="00926ED7">
        <w:rPr>
          <w:rFonts w:ascii="Arial" w:hAnsi="Arial" w:cs="Arial"/>
          <w:sz w:val="20"/>
          <w:szCs w:val="20"/>
        </w:rPr>
        <w:t xml:space="preserve"> </w:t>
      </w:r>
      <w:r w:rsidRPr="00926ED7">
        <w:rPr>
          <w:rFonts w:ascii="Arial" w:hAnsi="Arial" w:cs="Arial"/>
          <w:b/>
          <w:sz w:val="20"/>
          <w:szCs w:val="20"/>
        </w:rPr>
        <w:t>Potrebe različnih interesnih skupin:</w:t>
      </w:r>
    </w:p>
    <w:p w:rsidR="00DB0B0D" w:rsidRPr="00926ED7" w:rsidRDefault="00DB0B0D" w:rsidP="00926ED7">
      <w:pPr>
        <w:pStyle w:val="Odstavekseznama"/>
        <w:numPr>
          <w:ilvl w:val="0"/>
          <w:numId w:val="7"/>
        </w:numPr>
        <w:spacing w:after="0" w:line="240" w:lineRule="auto"/>
        <w:jc w:val="both"/>
        <w:rPr>
          <w:rFonts w:ascii="Arial" w:hAnsi="Arial" w:cs="Arial"/>
          <w:sz w:val="20"/>
          <w:szCs w:val="20"/>
        </w:rPr>
      </w:pPr>
      <w:r w:rsidRPr="00926ED7">
        <w:rPr>
          <w:rFonts w:ascii="Arial" w:hAnsi="Arial" w:cs="Arial"/>
          <w:sz w:val="20"/>
          <w:szCs w:val="20"/>
        </w:rPr>
        <w:t>Proces starajoče družbe je še posebej izraziti na podeželju (migracija mladih v mestna območja) obenem pa so ta območja slabše opremljena s storitvami in servisi. Starejši prebivalci podeželja in njihovi člani družine v primerjavi s preteklimi obdobji izražajo večje zaupanje v institucionalno oskrbo (iti v dom ni več sramota oz. domovi za starejše niso več hiralnice). Problem pa je pokrivanje stroškov teh storitev in da še ni sprejetega Zakona o dolgotrajni oskrbi in zavarovanju za dolgotrajno oskrbo.</w:t>
      </w:r>
    </w:p>
    <w:p w:rsidR="00DB0B0D" w:rsidRDefault="00DB0B0D" w:rsidP="00926ED7">
      <w:pPr>
        <w:pStyle w:val="Odstavekseznama"/>
        <w:numPr>
          <w:ilvl w:val="0"/>
          <w:numId w:val="7"/>
        </w:numPr>
        <w:spacing w:after="0" w:line="240" w:lineRule="auto"/>
        <w:jc w:val="both"/>
        <w:rPr>
          <w:rFonts w:ascii="Arial" w:hAnsi="Arial" w:cs="Arial"/>
          <w:sz w:val="20"/>
          <w:szCs w:val="20"/>
        </w:rPr>
      </w:pPr>
      <w:r w:rsidRPr="00926ED7">
        <w:rPr>
          <w:rFonts w:ascii="Arial" w:hAnsi="Arial" w:cs="Arial"/>
          <w:sz w:val="20"/>
          <w:szCs w:val="20"/>
        </w:rPr>
        <w:t xml:space="preserve">Problem manjšega interesa žensk za življenje in delo na kmetijah je bil v Sloveniji javno (v strokovnih krogih in medijih) prepoznan že v začetku 80tih let prejšnjega stoletja. Ta problem ostaja aktualen za ohranitev in razvoj kmetijstva pa tudi podeželja še danes. Ob težavah pri predaji in nadaljevanju obratovanja družinskih kmetij, ki so še vedno glavne nosilke kmetijske dejavnosti in obenem zagotavljajo tudi druge funkcije večnamenskega kmetijstva na podeželju, tako ne gre spregledati interesov mladih žensk v teh območjih (brez žensk ni kmečke družine in brez teh ni družinske kmetije). Statistični podatki kažejo, da se je delež žensk na podeželju, starih 40 let ali manj, znižal za 7 odstotnih točk v obdobju 2005–2009.  Za zaustavitev tega procesa so potrebni dobro domišljeni ukrepi, npr. takšni, ki bodo celovito upoštevali pravice kmečkih žensk do posesti kmetijskih zemljišč in dostopa do izobraževalnih programov, podprtih z ustreznimi finančnimi viri. </w:t>
      </w:r>
    </w:p>
    <w:p w:rsidR="00926ED7" w:rsidRPr="00926ED7" w:rsidRDefault="00926ED7" w:rsidP="00926ED7">
      <w:pPr>
        <w:pStyle w:val="Odstavekseznama"/>
        <w:spacing w:after="0" w:line="240" w:lineRule="auto"/>
        <w:jc w:val="both"/>
        <w:rPr>
          <w:rFonts w:ascii="Arial" w:hAnsi="Arial" w:cs="Arial"/>
          <w:sz w:val="20"/>
          <w:szCs w:val="20"/>
        </w:rPr>
      </w:pPr>
    </w:p>
    <w:p w:rsidR="00DB0B0D" w:rsidRPr="00926ED7" w:rsidRDefault="00DB0B0D" w:rsidP="00926ED7">
      <w:pPr>
        <w:autoSpaceDE w:val="0"/>
        <w:autoSpaceDN w:val="0"/>
        <w:adjustRightInd w:val="0"/>
        <w:spacing w:after="0" w:line="240" w:lineRule="auto"/>
        <w:jc w:val="both"/>
        <w:rPr>
          <w:rFonts w:ascii="Arial" w:hAnsi="Arial" w:cs="Arial"/>
          <w:b/>
          <w:sz w:val="20"/>
          <w:szCs w:val="20"/>
        </w:rPr>
      </w:pPr>
      <w:r w:rsidRPr="00926ED7">
        <w:rPr>
          <w:rFonts w:ascii="Arial" w:hAnsi="Arial" w:cs="Arial"/>
          <w:b/>
          <w:sz w:val="20"/>
          <w:szCs w:val="20"/>
        </w:rPr>
        <w:t>Razvojni potenciali in predlogi vladi in strokovnim službam</w:t>
      </w:r>
    </w:p>
    <w:p w:rsidR="00DB0B0D" w:rsidRPr="00926ED7" w:rsidRDefault="00DB0B0D" w:rsidP="00926ED7">
      <w:pPr>
        <w:autoSpaceDE w:val="0"/>
        <w:autoSpaceDN w:val="0"/>
        <w:adjustRightInd w:val="0"/>
        <w:spacing w:after="0" w:line="240" w:lineRule="auto"/>
        <w:jc w:val="both"/>
        <w:rPr>
          <w:rFonts w:ascii="Arial" w:hAnsi="Arial" w:cs="Arial"/>
          <w:sz w:val="20"/>
          <w:szCs w:val="20"/>
        </w:rPr>
      </w:pPr>
    </w:p>
    <w:p w:rsidR="00DB0B0D" w:rsidRPr="00926ED7" w:rsidRDefault="00DB0B0D" w:rsidP="00926ED7">
      <w:pPr>
        <w:pStyle w:val="Odstavekseznama"/>
        <w:numPr>
          <w:ilvl w:val="0"/>
          <w:numId w:val="7"/>
        </w:numPr>
        <w:autoSpaceDE w:val="0"/>
        <w:autoSpaceDN w:val="0"/>
        <w:adjustRightInd w:val="0"/>
        <w:spacing w:after="0" w:line="240" w:lineRule="auto"/>
        <w:jc w:val="both"/>
        <w:rPr>
          <w:rFonts w:ascii="Arial" w:hAnsi="Arial" w:cs="Arial"/>
          <w:sz w:val="20"/>
          <w:szCs w:val="20"/>
        </w:rPr>
      </w:pPr>
      <w:r w:rsidRPr="00926ED7">
        <w:rPr>
          <w:rFonts w:ascii="Arial" w:hAnsi="Arial" w:cs="Arial"/>
          <w:sz w:val="20"/>
          <w:szCs w:val="20"/>
        </w:rPr>
        <w:t xml:space="preserve">Pri oskrbi starejših na podeželju (kakor tudi drugih ranljivih skupin, kot so otroci in odraslih z motnjami v duševnem in telesnem razvoju in zdravju) bi veljalo aktivirati nekatere prezrte potenciale kot so t. i. zelenih programih socialnega varstva, ki povezujejo večnamensko kmetijstva s podeželskimi skupnostmi pri razvijanju  in pospeševanju različnih načinov in oblik solidarnosti, socialne pomoči in socialnega vključevanja. V okviru takih oblik bi se lahko v okolju, ki je podeželskemu in kmečkemu staremu človeku blizu, zagotavljala kakovostna pomoč starejšim </w:t>
      </w:r>
      <w:r w:rsidR="00926ED7" w:rsidRPr="00926ED7">
        <w:rPr>
          <w:rFonts w:ascii="Arial" w:hAnsi="Arial" w:cs="Arial"/>
          <w:sz w:val="20"/>
          <w:szCs w:val="20"/>
        </w:rPr>
        <w:t>prebivalcem</w:t>
      </w:r>
      <w:r w:rsidRPr="00926ED7">
        <w:rPr>
          <w:rFonts w:ascii="Arial" w:hAnsi="Arial" w:cs="Arial"/>
          <w:sz w:val="20"/>
          <w:szCs w:val="20"/>
        </w:rPr>
        <w:t xml:space="preserve"> kmečkega in </w:t>
      </w:r>
      <w:r w:rsidR="00926ED7" w:rsidRPr="00926ED7">
        <w:rPr>
          <w:rFonts w:ascii="Arial" w:hAnsi="Arial" w:cs="Arial"/>
          <w:sz w:val="20"/>
          <w:szCs w:val="20"/>
        </w:rPr>
        <w:t>nekmečkega</w:t>
      </w:r>
      <w:r w:rsidRPr="00926ED7">
        <w:rPr>
          <w:rFonts w:ascii="Arial" w:hAnsi="Arial" w:cs="Arial"/>
          <w:sz w:val="20"/>
          <w:szCs w:val="20"/>
        </w:rPr>
        <w:t xml:space="preserve"> izvora ob vrsti še drugih priložnosti za razvoj podeželja (nova delovna mesta, ohranjanje majhnih kmetij, povečevanje socialne vključenosti, razvijanje solidarnosti in strpnosti).</w:t>
      </w:r>
    </w:p>
    <w:p w:rsidR="00DB0B0D" w:rsidRPr="00926ED7" w:rsidRDefault="00DB0B0D" w:rsidP="00926ED7">
      <w:pPr>
        <w:pStyle w:val="Odstavekseznama"/>
        <w:numPr>
          <w:ilvl w:val="0"/>
          <w:numId w:val="7"/>
        </w:numPr>
        <w:autoSpaceDE w:val="0"/>
        <w:autoSpaceDN w:val="0"/>
        <w:adjustRightInd w:val="0"/>
        <w:spacing w:after="0" w:line="240" w:lineRule="auto"/>
        <w:jc w:val="both"/>
        <w:rPr>
          <w:rFonts w:ascii="Arial" w:hAnsi="Arial" w:cs="Arial"/>
          <w:sz w:val="20"/>
          <w:szCs w:val="20"/>
        </w:rPr>
      </w:pPr>
      <w:r w:rsidRPr="00926ED7">
        <w:rPr>
          <w:rFonts w:ascii="Arial" w:hAnsi="Arial" w:cs="Arial"/>
          <w:sz w:val="20"/>
          <w:szCs w:val="20"/>
        </w:rPr>
        <w:t xml:space="preserve">Aktivi kmečkih žena so ena od najbolje organiziranih oblik delovanja skupnosti v podeželskem okolju. Njihovo delo in rezultati (tudi na izobraževalnem področju) pa so pogosto spregledani in ne dovolj podprti s strani strokovnih in administrativnih služb. V bodoče je potrebno bolj spodbuditi medsebojno povezovanje (mreženje) med različnimi društvi in organizacijami na podeželju, pri čemer so zgled lahko dobre prakse aktivov kmečkih žena.  </w:t>
      </w:r>
    </w:p>
    <w:p w:rsidR="00DB0B0D" w:rsidRPr="00926ED7" w:rsidRDefault="00DB0B0D" w:rsidP="00926ED7">
      <w:pPr>
        <w:autoSpaceDE w:val="0"/>
        <w:autoSpaceDN w:val="0"/>
        <w:adjustRightInd w:val="0"/>
        <w:spacing w:after="0" w:line="240" w:lineRule="auto"/>
        <w:jc w:val="both"/>
        <w:rPr>
          <w:rFonts w:ascii="Arial" w:hAnsi="Arial" w:cs="Arial"/>
          <w:sz w:val="20"/>
          <w:szCs w:val="20"/>
        </w:rPr>
      </w:pPr>
    </w:p>
    <w:p w:rsidR="009F39A0" w:rsidRPr="00926ED7" w:rsidRDefault="009F39A0" w:rsidP="00926ED7">
      <w:pPr>
        <w:spacing w:after="0" w:line="240" w:lineRule="auto"/>
        <w:jc w:val="both"/>
        <w:rPr>
          <w:rFonts w:ascii="Arial" w:hAnsi="Arial" w:cs="Arial"/>
          <w:sz w:val="20"/>
          <w:szCs w:val="20"/>
        </w:rPr>
      </w:pPr>
    </w:p>
    <w:sectPr w:rsidR="009F39A0" w:rsidRPr="00926ED7" w:rsidSect="00CE0696">
      <w:headerReference w:type="default" r:id="rId8"/>
      <w:pgSz w:w="11906" w:h="16838"/>
      <w:pgMar w:top="3119" w:right="1701" w:bottom="2552" w:left="1701"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610" w:rsidRDefault="00D42610" w:rsidP="00DA3BF5">
      <w:pPr>
        <w:spacing w:after="0" w:line="240" w:lineRule="auto"/>
      </w:pPr>
      <w:r>
        <w:separator/>
      </w:r>
    </w:p>
  </w:endnote>
  <w:endnote w:type="continuationSeparator" w:id="0">
    <w:p w:rsidR="00D42610" w:rsidRDefault="00D42610" w:rsidP="00DA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usTEEMed">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610" w:rsidRDefault="00D42610" w:rsidP="00DA3BF5">
      <w:pPr>
        <w:spacing w:after="0" w:line="240" w:lineRule="auto"/>
      </w:pPr>
      <w:r>
        <w:separator/>
      </w:r>
    </w:p>
  </w:footnote>
  <w:footnote w:type="continuationSeparator" w:id="0">
    <w:p w:rsidR="00D42610" w:rsidRDefault="00D42610" w:rsidP="00DA3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F5" w:rsidRDefault="00DA3BF5">
    <w:pPr>
      <w:pStyle w:val="Glava"/>
    </w:pPr>
    <w:r>
      <w:rPr>
        <w:noProof/>
        <w:lang w:eastAsia="sl-SI"/>
      </w:rPr>
      <w:drawing>
        <wp:anchor distT="0" distB="0" distL="114300" distR="114300" simplePos="0" relativeHeight="251658240" behindDoc="1" locked="0" layoutInCell="1" allowOverlap="1" wp14:anchorId="7A05B05C" wp14:editId="474BB820">
          <wp:simplePos x="0" y="0"/>
          <wp:positionH relativeFrom="column">
            <wp:posOffset>-899795</wp:posOffset>
          </wp:positionH>
          <wp:positionV relativeFrom="paragraph">
            <wp:posOffset>-449580</wp:posOffset>
          </wp:positionV>
          <wp:extent cx="7542000" cy="1612800"/>
          <wp:effectExtent l="0" t="0" r="1905" b="6985"/>
          <wp:wrapThrough wrapText="bothSides">
            <wp:wrapPolygon edited="0">
              <wp:start x="0" y="0"/>
              <wp:lineTo x="0" y="21438"/>
              <wp:lineTo x="21551" y="21438"/>
              <wp:lineTo x="21551" y="0"/>
              <wp:lineTo x="0" y="0"/>
            </wp:wrapPolygon>
          </wp:wrapThrough>
          <wp:docPr id="1" name="Slika 1" descr="G:\grafika\MKGP\spp\word-logoti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fika\MKGP\spp\word-logotipi-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2000" cy="16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3BF5" w:rsidRDefault="00DA3B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B6D08"/>
    <w:multiLevelType w:val="hybridMultilevel"/>
    <w:tmpl w:val="D0D28BB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70B067E"/>
    <w:multiLevelType w:val="hybridMultilevel"/>
    <w:tmpl w:val="57782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BE60A4"/>
    <w:multiLevelType w:val="hybridMultilevel"/>
    <w:tmpl w:val="05AE2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7D6D31"/>
    <w:multiLevelType w:val="hybridMultilevel"/>
    <w:tmpl w:val="212E37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0666E1A"/>
    <w:multiLevelType w:val="hybridMultilevel"/>
    <w:tmpl w:val="3E4C4486"/>
    <w:lvl w:ilvl="0" w:tplc="61205FE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0E76EE"/>
    <w:multiLevelType w:val="hybridMultilevel"/>
    <w:tmpl w:val="6E1A6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46644D5"/>
    <w:multiLevelType w:val="hybridMultilevel"/>
    <w:tmpl w:val="FC0E7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5"/>
    <w:rsid w:val="00106ABB"/>
    <w:rsid w:val="00222609"/>
    <w:rsid w:val="004A375E"/>
    <w:rsid w:val="005E4DFF"/>
    <w:rsid w:val="00762A21"/>
    <w:rsid w:val="007C0D71"/>
    <w:rsid w:val="00926ED7"/>
    <w:rsid w:val="009F39A0"/>
    <w:rsid w:val="00AC775D"/>
    <w:rsid w:val="00CE0696"/>
    <w:rsid w:val="00CF0751"/>
    <w:rsid w:val="00D42610"/>
    <w:rsid w:val="00DA3BF5"/>
    <w:rsid w:val="00DB0B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0D71"/>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3B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A3BF5"/>
  </w:style>
  <w:style w:type="paragraph" w:styleId="Noga">
    <w:name w:val="footer"/>
    <w:basedOn w:val="Navaden"/>
    <w:link w:val="NogaZnak"/>
    <w:uiPriority w:val="99"/>
    <w:unhideWhenUsed/>
    <w:rsid w:val="00DA3BF5"/>
    <w:pPr>
      <w:tabs>
        <w:tab w:val="center" w:pos="4536"/>
        <w:tab w:val="right" w:pos="9072"/>
      </w:tabs>
      <w:spacing w:after="0" w:line="240" w:lineRule="auto"/>
    </w:pPr>
  </w:style>
  <w:style w:type="character" w:customStyle="1" w:styleId="NogaZnak">
    <w:name w:val="Noga Znak"/>
    <w:basedOn w:val="Privzetapisavaodstavka"/>
    <w:link w:val="Noga"/>
    <w:uiPriority w:val="99"/>
    <w:rsid w:val="00DA3BF5"/>
  </w:style>
  <w:style w:type="paragraph" w:styleId="Besedilooblaka">
    <w:name w:val="Balloon Text"/>
    <w:basedOn w:val="Navaden"/>
    <w:link w:val="BesedilooblakaZnak"/>
    <w:uiPriority w:val="99"/>
    <w:semiHidden/>
    <w:unhideWhenUsed/>
    <w:rsid w:val="00DA3B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BF5"/>
    <w:rPr>
      <w:rFonts w:ascii="Tahoma" w:hAnsi="Tahoma" w:cs="Tahoma"/>
      <w:sz w:val="16"/>
      <w:szCs w:val="16"/>
    </w:rPr>
  </w:style>
  <w:style w:type="paragraph" w:styleId="Odstavekseznama">
    <w:name w:val="List Paragraph"/>
    <w:basedOn w:val="Navaden"/>
    <w:uiPriority w:val="34"/>
    <w:qFormat/>
    <w:rsid w:val="00CE0696"/>
    <w:pPr>
      <w:ind w:left="720"/>
      <w:contextualSpacing/>
    </w:pPr>
  </w:style>
  <w:style w:type="paragraph" w:customStyle="1" w:styleId="Default">
    <w:name w:val="Default"/>
    <w:rsid w:val="00CE0696"/>
    <w:pPr>
      <w:autoSpaceDE w:val="0"/>
      <w:autoSpaceDN w:val="0"/>
      <w:adjustRightInd w:val="0"/>
      <w:spacing w:after="0" w:line="240" w:lineRule="auto"/>
    </w:pPr>
    <w:rPr>
      <w:rFonts w:ascii="OptusTEEMed" w:hAnsi="OptusTEEMed" w:cs="OptusTEEMed"/>
      <w:color w:val="000000"/>
      <w:sz w:val="24"/>
      <w:szCs w:val="24"/>
    </w:rPr>
  </w:style>
  <w:style w:type="paragraph" w:customStyle="1" w:styleId="Pa19">
    <w:name w:val="Pa19"/>
    <w:basedOn w:val="Default"/>
    <w:next w:val="Default"/>
    <w:uiPriority w:val="99"/>
    <w:rsid w:val="00CE0696"/>
    <w:pPr>
      <w:spacing w:line="201" w:lineRule="atLeast"/>
    </w:pPr>
    <w:rPr>
      <w:rFonts w:cstheme="minorBidi"/>
      <w:color w:val="auto"/>
    </w:rPr>
  </w:style>
  <w:style w:type="paragraph" w:customStyle="1" w:styleId="Pa2">
    <w:name w:val="Pa2"/>
    <w:basedOn w:val="Default"/>
    <w:next w:val="Default"/>
    <w:uiPriority w:val="99"/>
    <w:rsid w:val="00CE0696"/>
    <w:pPr>
      <w:spacing w:line="151" w:lineRule="atLeast"/>
    </w:pPr>
    <w:rPr>
      <w:rFonts w:ascii="Myriad Pro" w:hAnsi="Myriad Pro" w:cstheme="minorBidi"/>
      <w:color w:val="auto"/>
    </w:rPr>
  </w:style>
  <w:style w:type="paragraph" w:customStyle="1" w:styleId="Pa9">
    <w:name w:val="Pa9"/>
    <w:basedOn w:val="Default"/>
    <w:next w:val="Default"/>
    <w:uiPriority w:val="99"/>
    <w:rsid w:val="00CE0696"/>
    <w:pPr>
      <w:spacing w:line="151" w:lineRule="atLeast"/>
    </w:pPr>
    <w:rPr>
      <w:rFonts w:ascii="Myriad Pro" w:hAnsi="Myriad Pro" w:cstheme="minorBidi"/>
      <w:color w:val="auto"/>
    </w:rPr>
  </w:style>
  <w:style w:type="character" w:styleId="Hiperpovezava">
    <w:name w:val="Hyperlink"/>
    <w:basedOn w:val="Privzetapisavaodstavka"/>
    <w:uiPriority w:val="99"/>
    <w:rsid w:val="007C0D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5978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Furmil</dc:creator>
  <cp:lastModifiedBy>Martina Stupar</cp:lastModifiedBy>
  <cp:revision>5</cp:revision>
  <cp:lastPrinted>2015-09-02T16:13:00Z</cp:lastPrinted>
  <dcterms:created xsi:type="dcterms:W3CDTF">2015-09-07T12:50:00Z</dcterms:created>
  <dcterms:modified xsi:type="dcterms:W3CDTF">2015-09-07T12:53:00Z</dcterms:modified>
</cp:coreProperties>
</file>